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E94693" w:rsidRDefault="00000000">
      <w:pPr>
        <w:pStyle w:val="Heading2"/>
        <w:keepNext w:val="0"/>
        <w:keepLines w:val="0"/>
        <w:spacing w:before="0" w:after="280" w:line="360" w:lineRule="auto"/>
        <w:rPr>
          <w:rFonts w:ascii="Times New Roman" w:eastAsia="Times New Roman" w:hAnsi="Times New Roman" w:cs="Times New Roman"/>
          <w:b/>
          <w:color w:val="000000"/>
        </w:rPr>
      </w:pPr>
      <w:bookmarkStart w:id="0" w:name="_heading=h.vn4difw98m7z" w:colFirst="0" w:colLast="0"/>
      <w:bookmarkEnd w:id="0"/>
      <w:r>
        <w:rPr>
          <w:rFonts w:ascii="Times New Roman" w:eastAsia="Times New Roman" w:hAnsi="Times New Roman" w:cs="Times New Roman"/>
          <w:b/>
          <w:color w:val="000000"/>
        </w:rPr>
        <w:t xml:space="preserve">Understanding the Role of Open Banking in Digital Tenant Profiling </w:t>
      </w:r>
    </w:p>
    <w:p w14:paraId="00000003" w14:textId="77777777" w:rsidR="00E94693" w:rsidRDefault="00000000">
      <w:pPr>
        <w:spacing w:after="280" w:line="360" w:lineRule="auto"/>
      </w:pPr>
      <w:r>
        <w:t xml:space="preserve">Alison Wallace, Emeritus Professor in Social Policy and Housing, School of Business and Society, University of York. </w:t>
      </w:r>
      <w:hyperlink r:id="rId7">
        <w:r w:rsidR="00E94693">
          <w:rPr>
            <w:color w:val="1155CC"/>
            <w:u w:val="single"/>
          </w:rPr>
          <w:t>https://orcid.org/0000-0001-5088-1895</w:t>
        </w:r>
      </w:hyperlink>
    </w:p>
    <w:p w14:paraId="00000004" w14:textId="77777777" w:rsidR="00E94693" w:rsidRDefault="00000000">
      <w:pPr>
        <w:spacing w:after="280" w:line="360" w:lineRule="auto"/>
      </w:pPr>
      <w:r>
        <w:t xml:space="preserve">Roger Burrows, Professor in Global Inequalities, School of Policy Studies, University of Bristol. Honorary Professorial Fellow, Centre for Cities, University of Melbourne. Adjunct Professor, Australian Centre for Housing Research, University of Adelaide. </w:t>
      </w:r>
      <w:hyperlink r:id="rId8">
        <w:r w:rsidR="00E94693">
          <w:rPr>
            <w:color w:val="1155CC"/>
            <w:u w:val="single"/>
          </w:rPr>
          <w:t>https://orcid.org/0000-0001-6837-1586</w:t>
        </w:r>
      </w:hyperlink>
    </w:p>
    <w:p w14:paraId="00000005" w14:textId="77777777" w:rsidR="00E94693" w:rsidRDefault="00000000">
      <w:pPr>
        <w:spacing w:after="280" w:line="360" w:lineRule="auto"/>
      </w:pPr>
      <w:r>
        <w:t xml:space="preserve">David Beer, Professor of Sociology, Department of Sociology, University of York. </w:t>
      </w:r>
      <w:hyperlink r:id="rId9">
        <w:r w:rsidR="00E94693">
          <w:rPr>
            <w:color w:val="1155CC"/>
            <w:u w:val="single"/>
          </w:rPr>
          <w:t>https://orcid.org/0000-0002-6926-4595</w:t>
        </w:r>
      </w:hyperlink>
    </w:p>
    <w:p w14:paraId="00000006" w14:textId="77777777" w:rsidR="00E94693" w:rsidRDefault="00000000">
      <w:pPr>
        <w:spacing w:after="280" w:line="360" w:lineRule="auto"/>
      </w:pPr>
      <w:r>
        <w:t xml:space="preserve">Alexanra Ciocãnel, formerly Research Associate, School of Business and Society, University of York </w:t>
      </w:r>
      <w:hyperlink r:id="rId10">
        <w:r w:rsidR="00E94693">
          <w:rPr>
            <w:color w:val="1155CC"/>
            <w:u w:val="single"/>
          </w:rPr>
          <w:t>https://orcid.org/0000-0001-9550-9755</w:t>
        </w:r>
      </w:hyperlink>
    </w:p>
    <w:p w14:paraId="00000007" w14:textId="77777777" w:rsidR="00E94693" w:rsidRDefault="00000000">
      <w:pPr>
        <w:spacing w:after="280" w:line="360" w:lineRule="auto"/>
      </w:pPr>
      <w:r>
        <w:t xml:space="preserve">James Cussens, Senior Lecturer, School of Computer Science, University of Bristol. </w:t>
      </w:r>
      <w:hyperlink r:id="rId11">
        <w:r w:rsidR="00E94693">
          <w:rPr>
            <w:color w:val="1155CC"/>
            <w:u w:val="single"/>
          </w:rPr>
          <w:t>https://orcid.org/0000-0002-1363-2336</w:t>
        </w:r>
      </w:hyperlink>
    </w:p>
    <w:p w14:paraId="00000008" w14:textId="77777777" w:rsidR="00E94693" w:rsidRDefault="00000000">
      <w:pPr>
        <w:spacing w:after="280" w:line="360" w:lineRule="auto"/>
      </w:pPr>
      <w:r>
        <w:t>[8448 words]</w:t>
      </w:r>
      <w:r>
        <w:br w:type="page"/>
      </w:r>
    </w:p>
    <w:p w14:paraId="510286B2" w14:textId="77777777" w:rsidR="001B0340" w:rsidRDefault="001B0340" w:rsidP="001B0340">
      <w:pPr>
        <w:pStyle w:val="Heading2"/>
        <w:keepNext w:val="0"/>
        <w:keepLines w:val="0"/>
        <w:spacing w:before="0" w:after="280" w:line="360" w:lineRule="auto"/>
        <w:rPr>
          <w:rFonts w:ascii="Times New Roman" w:eastAsia="Times New Roman" w:hAnsi="Times New Roman" w:cs="Times New Roman"/>
          <w:b/>
          <w:color w:val="000000"/>
        </w:rPr>
      </w:pPr>
      <w:bookmarkStart w:id="1" w:name="_heading=h.2tsmt8pn9mz7" w:colFirst="0" w:colLast="0"/>
      <w:bookmarkStart w:id="2" w:name="_heading=h.6t1cwgv0e877" w:colFirst="0" w:colLast="0"/>
      <w:bookmarkEnd w:id="1"/>
      <w:bookmarkEnd w:id="2"/>
      <w:r>
        <w:rPr>
          <w:rFonts w:ascii="Times New Roman" w:eastAsia="Times New Roman" w:hAnsi="Times New Roman" w:cs="Times New Roman"/>
          <w:b/>
          <w:color w:val="000000"/>
        </w:rPr>
        <w:lastRenderedPageBreak/>
        <w:t xml:space="preserve">Understanding the Role of Open Banking in Digital Tenant Profiling </w:t>
      </w:r>
    </w:p>
    <w:p w14:paraId="0000000A" w14:textId="77777777" w:rsidR="00E94693" w:rsidRDefault="00000000">
      <w:pPr>
        <w:pStyle w:val="Heading3"/>
        <w:keepNext w:val="0"/>
        <w:keepLines w:val="0"/>
        <w:spacing w:before="0"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0000000B" w14:textId="323B0127" w:rsidR="00E94693" w:rsidRDefault="00000000">
      <w:pPr>
        <w:spacing w:after="280" w:line="360" w:lineRule="auto"/>
        <w:ind w:right="600"/>
      </w:pPr>
      <w:r>
        <w:t xml:space="preserve">This paper examines open banking’s (OB) emerging role in digital tenant profiling. We focus on England’s rental market within a changing international context of newly adopted OB frameworks. OB is regulated in the UK, but the evidence </w:t>
      </w:r>
      <w:r w:rsidR="00C93217">
        <w:t>base,</w:t>
      </w:r>
      <w:r>
        <w:t xml:space="preserve"> and public awareness lag the expanding use cases. OB enables access to banking information in real-time and is being used in housing for digital tenant referencing platforms to access often intimate and detailed banking data via third-party interfaces to make inferences about tenant credibility. Drawing on 50 in-depth interviews with technology providers, landlords, agents, insurer</w:t>
      </w:r>
      <w:r>
        <w:rPr>
          <w:color w:val="137333"/>
        </w:rPr>
        <w:t xml:space="preserve">s </w:t>
      </w:r>
      <w:r>
        <w:t xml:space="preserve">and tenants, the paper explores OB’s role in reinforcing digital hierarchies that shape housing access. Contributing to the growing literature on platform real estate and the impact on rental systems, and exploring the intersection with open finance, the paper highlights problems of data privacy, the volume of data required to get a home and, counter to the prevailing idea of OB empowering consumers, the limited control tenants have in the market. The paper also emphasises the growing imperative placed on tenants to manage their banking and other accessible data, or what Fourcade and Healy’s term their </w:t>
      </w:r>
      <w:r>
        <w:rPr>
          <w:i/>
        </w:rPr>
        <w:t>eigencapital</w:t>
      </w:r>
      <w:r>
        <w:t xml:space="preserve">, in the </w:t>
      </w:r>
      <w:r>
        <w:rPr>
          <w:i/>
        </w:rPr>
        <w:t>Ordinal Society</w:t>
      </w:r>
      <w:r>
        <w:t xml:space="preserve">. This system, though marketed as neutral, recasts tenant selection producing winners and losers and raises ethical concerns about privacy, autonomy and fairness. </w:t>
      </w:r>
    </w:p>
    <w:p w14:paraId="0000000C" w14:textId="77777777" w:rsidR="00E94693" w:rsidRDefault="00000000">
      <w:pPr>
        <w:spacing w:after="280" w:line="360" w:lineRule="auto"/>
        <w:ind w:right="600"/>
        <w:rPr>
          <w:b/>
          <w:color w:val="000000"/>
        </w:rPr>
      </w:pPr>
      <w:r>
        <w:rPr>
          <w:b/>
          <w:color w:val="000000"/>
        </w:rPr>
        <w:t>Keywords</w:t>
      </w:r>
    </w:p>
    <w:p w14:paraId="0000000D" w14:textId="77777777" w:rsidR="00E94693" w:rsidRDefault="00000000">
      <w:pPr>
        <w:spacing w:after="280" w:line="360" w:lineRule="auto"/>
      </w:pPr>
      <w:r>
        <w:t xml:space="preserve">Open banking; private rented sector; England; digital tenant profiling; algorithmic systems; exclusion; ordinal society. </w:t>
      </w:r>
    </w:p>
    <w:p w14:paraId="0000000E" w14:textId="77777777" w:rsidR="00E94693" w:rsidRDefault="00000000">
      <w:pPr>
        <w:pStyle w:val="Heading3"/>
        <w:keepNext w:val="0"/>
        <w:keepLines w:val="0"/>
        <w:spacing w:before="0" w:after="280" w:line="360" w:lineRule="auto"/>
        <w:rPr>
          <w:rFonts w:ascii="Times New Roman" w:eastAsia="Times New Roman" w:hAnsi="Times New Roman" w:cs="Times New Roman"/>
          <w:b/>
          <w:color w:val="000000"/>
          <w:sz w:val="24"/>
          <w:szCs w:val="24"/>
        </w:rPr>
      </w:pPr>
      <w:bookmarkStart w:id="3" w:name="_heading=h.qkwwc9snvayw" w:colFirst="0" w:colLast="0"/>
      <w:bookmarkEnd w:id="3"/>
      <w:r>
        <w:rPr>
          <w:rFonts w:ascii="Times New Roman" w:eastAsia="Times New Roman" w:hAnsi="Times New Roman" w:cs="Times New Roman"/>
          <w:b/>
          <w:color w:val="000000"/>
          <w:sz w:val="24"/>
          <w:szCs w:val="24"/>
        </w:rPr>
        <w:t>Introduction</w:t>
      </w:r>
    </w:p>
    <w:p w14:paraId="0000000F" w14:textId="77777777" w:rsidR="00E94693" w:rsidRDefault="00000000">
      <w:pPr>
        <w:spacing w:after="280" w:line="360" w:lineRule="auto"/>
      </w:pPr>
      <w:r>
        <w:t xml:space="preserve">This paper is concerned with innovation at the confluence of what are often referred to as </w:t>
      </w:r>
      <w:r>
        <w:rPr>
          <w:i/>
        </w:rPr>
        <w:t xml:space="preserve">fintech </w:t>
      </w:r>
      <w:r>
        <w:t xml:space="preserve">and </w:t>
      </w:r>
      <w:r>
        <w:rPr>
          <w:i/>
        </w:rPr>
        <w:t xml:space="preserve">proptech </w:t>
      </w:r>
      <w:r>
        <w:t xml:space="preserve">(Baum, 2017). More specifically, it concerns the meeting of open finance (Open </w:t>
      </w:r>
      <w:r>
        <w:lastRenderedPageBreak/>
        <w:t>Banking Ltd., 2023) and platform real estate (Shaw, 2020). Credit market information, typically used in financial services, has “off-label” uses (Ronas-Tias, 2017) relating to access to labour markets or utilities, and is now central to much tenant referencing in rental markets and critical to access and exclusion within rental systems (Wallace et al., 2025; Przhedetsky, 2024; Wainwright, 2022). Into this mix, new algorithmic possibilities associated with open banking (OB) technology are rapidly emerging in conjunction with, or indeed to replace, these credit data to appraise prospective tenants’ credibility, recasting or reinforcing who gets a home.</w:t>
      </w:r>
    </w:p>
    <w:p w14:paraId="00000010" w14:textId="77777777" w:rsidR="00E94693" w:rsidRDefault="00000000">
      <w:pPr>
        <w:spacing w:after="280" w:line="360" w:lineRule="auto"/>
      </w:pPr>
      <w:r>
        <w:t xml:space="preserve">Tenant selection has traditionally encompassed evidence of rent payments and perceived ‘good’ behaviour via landlord and maybe employer references, supplemented with qualitative character judgements (Azvedo et al., 2024). Landlords and letting agents now increasingly rely on digital data insights from credit reference agencies and credit information brokers, not just tenant, landlord or employer-provided information, to identify the ideal tenant’ (Wainwright, 2022). </w:t>
      </w:r>
    </w:p>
    <w:p w14:paraId="00000011" w14:textId="77777777" w:rsidR="00E94693" w:rsidRDefault="00000000">
      <w:pPr>
        <w:spacing w:after="280" w:line="360" w:lineRule="auto"/>
      </w:pPr>
      <w:r>
        <w:t>In England, letting agents and landlords are adopting OB data within digital tenant referencing tools. OB is where people provide consent to regulated third-party providers to access their current account banking transaction data, shared using APIs (</w:t>
      </w:r>
      <w:r>
        <w:rPr>
          <w:color w:val="001D35"/>
          <w:highlight w:val="white"/>
        </w:rPr>
        <w:t>Application Programming Interfaces)</w:t>
      </w:r>
      <w:r>
        <w:t xml:space="preserve"> (Open Banking Ltd, n.d). Firms use the transaction data in various ways, often deploying artificial intelligence and/or machine learning (AI/ML) analytics to capture the categories, timing and flows of all income and expenditure. OB data is now being used in rental markets to establish rental affordability (Ciocãnel et al., 2024). </w:t>
      </w:r>
    </w:p>
    <w:p w14:paraId="00000012" w14:textId="77777777" w:rsidR="00E94693" w:rsidRDefault="00000000">
      <w:pPr>
        <w:spacing w:after="280" w:line="360" w:lineRule="auto"/>
      </w:pPr>
      <w:r>
        <w:t xml:space="preserve">The focus of this article is the use of OB within digital tenant referencing in the PRS, where OB adoption is more advanced than in mortgage market or social housing affordability assessments, although it is also being adopted in these spaces (see Wallace et al., 2024a; 2024b). We argue that OB technology in tenant referencing represents a significant change in the way people are scored or rated in access to housing and changes how people react to those emergent measures. We have examined elsewhere the alignment of digital tenant risk profiling with Fourcade and Healy’s </w:t>
      </w:r>
      <w:r>
        <w:rPr>
          <w:i/>
        </w:rPr>
        <w:t>Ordinal Society</w:t>
      </w:r>
      <w:r>
        <w:t xml:space="preserve"> in general terms (Wallace et al., 2025), and how referencing firms and tenants viewed early approaches to Open Banking (Ciocãnel et al., 2024). In this paper, we focus on OB and tenant referencing, specifically the privacy and proportionality concern of such data sharing and how this recasting of how a prospective tenants’ worth is judged creates </w:t>
      </w:r>
      <w:r>
        <w:lastRenderedPageBreak/>
        <w:t xml:space="preserve">opportunities for new modes of exclusion. This paper examines the real-world application and challenges of OB within digital tenant risk profiling. </w:t>
      </w:r>
    </w:p>
    <w:p w14:paraId="00000013" w14:textId="77777777" w:rsidR="00E94693" w:rsidRDefault="00000000">
      <w:pPr>
        <w:spacing w:after="280" w:line="360" w:lineRule="auto"/>
      </w:pPr>
      <w:r>
        <w:t>Put into context, digital tenant referencing tools and OB are components of what Fourcade and Healey (2024) designate an Ordinal Society</w:t>
      </w:r>
      <w:r>
        <w:rPr>
          <w:i/>
        </w:rPr>
        <w:t xml:space="preserve">, </w:t>
      </w:r>
      <w:r>
        <w:t xml:space="preserve">where digital profile data, or what they term a person’s </w:t>
      </w:r>
      <w:r>
        <w:rPr>
          <w:i/>
        </w:rPr>
        <w:t>eigencapital</w:t>
      </w:r>
      <w:r>
        <w:t xml:space="preserve">, is mobilised to classify, score and rank people for access to support, services or goods. Such profiling means an increase in the importance of managing our ‘data selves’ (Lupton, 2019) or ‘data doubles’ (Lyons, 2003: 22) – with individuals feeling a necessity to be anticipatory in their actions and actively shape behaviours to optimise the data through which they will be judged. OB provides firms with much greater insights than traditional credit rating agency (CRA) payment history data. OB data may be supplied in summary form or can also identify individual banking transactions. In the UK, cash payments only account for 12% of transactions (UK Finance, 2024), so OB has the capacity to reveal the details of an individual’s tastes, dispositions, associations and consumption. </w:t>
      </w:r>
    </w:p>
    <w:p w14:paraId="00000014" w14:textId="77777777" w:rsidR="00E94693" w:rsidRDefault="00000000">
      <w:pPr>
        <w:spacing w:after="280" w:line="360" w:lineRule="auto"/>
      </w:pPr>
      <w:r>
        <w:t xml:space="preserve">The result is subject to ‘reactivity’, </w:t>
      </w:r>
      <w:r>
        <w:rPr>
          <w:color w:val="000000"/>
        </w:rPr>
        <w:t xml:space="preserve">“the idea that people change their behaviour in reaction to being evaluated, observed, or measured” (Espeland &amp; Sauder, 2007:1). After profiling, </w:t>
      </w:r>
      <w:r>
        <w:t xml:space="preserve">individuals are compelled to manage their eigencapital to secure access and critical services. Consumers require new OB financial education to play versions of the ‘credit score game’ where consumers organise their lives to ensure classification systems reflect them positively (Kear, 2018). The recursive nature of these systems means that feedback loops or ‘data coils’ emerge (Beer, 2022) as consumers adopt new strategic or tactical consumer behaviours; the resulting data enter new models in the ‘algorithm game’ (Bambauer and Zarsky, 2018). For behavioural change to occur, and for people to be able to exercise their rights (Selbst and Powles, 2017), greater explanation, transparency and financial education about how OB contributes to new scoring systems of inclusion and exclusion are required. </w:t>
      </w:r>
    </w:p>
    <w:p w14:paraId="00000015" w14:textId="77777777" w:rsidR="00E94693" w:rsidRDefault="00000000">
      <w:pPr>
        <w:spacing w:after="280" w:line="360" w:lineRule="auto"/>
      </w:pPr>
      <w:r>
        <w:t xml:space="preserve">To examine the use of digital risk profiling in access to housing markets, we followed Kitchin’s (2017) suggestion to focus on the whole socio-technical assemblage around algorithms, and Amoore’s (2020) regimes of recognition that govern the extraction and attribution of data, the project on which this article is based explored the </w:t>
      </w:r>
      <w:r>
        <w:rPr>
          <w:i/>
        </w:rPr>
        <w:t xml:space="preserve">construction </w:t>
      </w:r>
      <w:r>
        <w:t xml:space="preserve">of risk profiling products, their </w:t>
      </w:r>
      <w:r>
        <w:rPr>
          <w:i/>
        </w:rPr>
        <w:t>operation</w:t>
      </w:r>
      <w:r>
        <w:t xml:space="preserve"> in practice, as well as the </w:t>
      </w:r>
      <w:r>
        <w:rPr>
          <w:i/>
        </w:rPr>
        <w:t xml:space="preserve">impacts </w:t>
      </w:r>
      <w:r>
        <w:t xml:space="preserve">on the tenant or mortgage borrowers  A total of 122 </w:t>
      </w:r>
      <w:r>
        <w:lastRenderedPageBreak/>
        <w:t>in-depth interviews were undertaken during 2022-2024 across all tenures. Of these, 50 interviews related to the Private Rented Sector (PRS), with technology firms providing tenant referencing (TR) services (n=10), landlords (n=7), agents (n=5), insurers (n=1), industry stakeholders (n=7) and private tenants (n=20). Insights on OB also arose in discussions about social housing and the mortgage industry (Wallace et al., 2024a; 2024b), and OB represented the most impactful emerging technology to mediate housing access.</w:t>
      </w:r>
    </w:p>
    <w:p w14:paraId="00000016" w14:textId="77777777" w:rsidR="00E94693" w:rsidRDefault="00000000">
      <w:pPr>
        <w:spacing w:after="280" w:line="360" w:lineRule="auto"/>
      </w:pPr>
      <w:r>
        <w:t xml:space="preserve">Market professionals were mainly recruited via direct approaches, but a trade body distributed research invitations to private landlords on our behalf. Private tenants and mortgage borrowers were recruited via advocacy organisations, social tenants were identified via a market research firm, and all tenants and borrowers were awarded a £20 shopping voucher for their time. Ethical approval was obtained from the host university, and interviews were conducted via Zoom, transcribed professionally and subjected to thematic analysis supported by Nvivo.  </w:t>
      </w:r>
    </w:p>
    <w:p w14:paraId="00000017" w14:textId="77777777" w:rsidR="00E94693" w:rsidRDefault="00000000">
      <w:pPr>
        <w:spacing w:after="280" w:line="360" w:lineRule="auto"/>
      </w:pPr>
      <w:r>
        <w:t>Our study considered the adoption of OB within classification technologies, and its use in determining tenants’ affordability or propensity to pay. The paper contributes to the literature on digital rental platforms, exploring new processes of digital inflected inclusion and exclusion in UK rental markets with implications for similar developments emerging in other countries (</w:t>
      </w:r>
      <w:r>
        <w:rPr>
          <w:color w:val="000000"/>
        </w:rPr>
        <w:t>Przhedetsky, 2024; Wainright, 2022; Azevedo et al., 2024; Migozzi, 2020)</w:t>
      </w:r>
      <w:r>
        <w:t xml:space="preserve"> These tools comprise new market intermediaries permitting public and private administrative, retail, spatial or other digital data footprints to be corralled in service of landlords to score and risk assess tenants. </w:t>
      </w:r>
    </w:p>
    <w:p w14:paraId="00000018" w14:textId="77777777" w:rsidR="00E94693" w:rsidRDefault="00000000">
      <w:pPr>
        <w:pStyle w:val="Heading3"/>
        <w:keepNext w:val="0"/>
        <w:keepLines w:val="0"/>
        <w:spacing w:before="0" w:after="280" w:line="360" w:lineRule="auto"/>
        <w:rPr>
          <w:rFonts w:ascii="Times New Roman" w:eastAsia="Times New Roman" w:hAnsi="Times New Roman" w:cs="Times New Roman"/>
          <w:b/>
          <w:color w:val="000000"/>
          <w:sz w:val="24"/>
          <w:szCs w:val="24"/>
        </w:rPr>
      </w:pPr>
      <w:bookmarkStart w:id="4" w:name="_heading=h.jc0spjlc0dsc" w:colFirst="0" w:colLast="0"/>
      <w:bookmarkEnd w:id="4"/>
      <w:r>
        <w:rPr>
          <w:rFonts w:ascii="Times New Roman" w:eastAsia="Times New Roman" w:hAnsi="Times New Roman" w:cs="Times New Roman"/>
          <w:b/>
          <w:color w:val="000000"/>
          <w:sz w:val="24"/>
          <w:szCs w:val="24"/>
        </w:rPr>
        <w:t>Eigencapital, tenant referencing and housing access</w:t>
      </w:r>
    </w:p>
    <w:p w14:paraId="00000019" w14:textId="77777777" w:rsidR="00E94693" w:rsidRDefault="00000000">
      <w:pPr>
        <w:spacing w:after="280" w:line="360" w:lineRule="auto"/>
      </w:pPr>
      <w:r>
        <w:rPr>
          <w:i/>
        </w:rPr>
        <w:t xml:space="preserve">The Ordinal Society </w:t>
      </w:r>
      <w:r>
        <w:t xml:space="preserve">examines how digital scoring systems have transformed societal values and measures of individual worth. These systems - including credit scores (Laur, 2017), geodemographics (Webber &amp; Burrows, 2018), and Airbnb ratings (Bajde et al., 2024) through to prioritisation for public services or interventions (Dencik et al., 2018) - now play a crucial role in decision support systems that mediate access to opportunities, resources and rights in increasingly quantifiable ways (Gillingham, 2019). This shift signifies a movement from traditional understandings of social stratification, based on relatively fixed categories such as </w:t>
      </w:r>
      <w:r>
        <w:lastRenderedPageBreak/>
        <w:t xml:space="preserve">social class, race and gender, towards a framework where personal value and worth are ranked and classified repeatedly, and in granular detail via myriad algorithms. These systems can not only perpetuate existing intersectional inequalities (Wolifson et al., 2024) but also influence moral judgments about individuals, raising questions about the societal implications of the emerging and often automatically ascribed digital hierarchies. </w:t>
      </w:r>
    </w:p>
    <w:p w14:paraId="0000001A" w14:textId="77777777" w:rsidR="00E94693" w:rsidRDefault="00000000">
      <w:pPr>
        <w:spacing w:after="280" w:line="360" w:lineRule="auto"/>
      </w:pPr>
      <w:r>
        <w:t>Central to F</w:t>
      </w:r>
      <w:r w:rsidRPr="002C2301">
        <w:t>ourc</w:t>
      </w:r>
      <w:r>
        <w:t xml:space="preserve">ade and Healey’s exploration of this emerging </w:t>
      </w:r>
      <w:r>
        <w:rPr>
          <w:i/>
        </w:rPr>
        <w:t>Ordinal Society</w:t>
      </w:r>
      <w:r>
        <w:t xml:space="preserve"> is, after Bourdieu (1986), their notion of </w:t>
      </w:r>
      <w:r>
        <w:rPr>
          <w:i/>
        </w:rPr>
        <w:t>eigencapital</w:t>
      </w:r>
      <w:r>
        <w:t xml:space="preserve">, a metaphorical sociological device designed to reveal how personal data is now being converted to reflect an individual's value in contemporary society. This concept focuses on how personal data is transformed into a measurable asset that impacts access to opportunities and societal status. It highlights how digital scoring systems, used during ‘classification situations’ (Fourcade and Healey, 2024 pp.100-131), can perpetuate existing inequalities, privileging those whose data aligns with normative expectations. Vulnerable citizens, referred to by Fourcade and Healey (2024, p.131) as the ‘lumpenscoretariat,’ are often filtered into poorer areas of provision, illustrating the clear stratifying effects of eigencapital. </w:t>
      </w:r>
    </w:p>
    <w:p w14:paraId="0000001B" w14:textId="77777777" w:rsidR="00E94693" w:rsidRDefault="00000000">
      <w:pPr>
        <w:shd w:val="clear" w:color="auto" w:fill="FFFFFF"/>
        <w:spacing w:after="280" w:line="360" w:lineRule="auto"/>
      </w:pPr>
      <w:r>
        <w:t xml:space="preserve">Platform real estate has enhanced data recording and analytics on property, land, and housing, enabling algorithmic processing and fostering new entrants and innovations in real estate (Landau-Ward &amp; Porter, 2019). These digital technologies have profoundly impacted the housing market supporting real-time insight into the sales market (Dunning &amp; Grayson, 2014), automated property acquisition models (Fields, 2022), anti-competitive algorithmic rental price fixing (Calder-Wang &amp; Kim, 2024); influence shared housing dynamics and exclusion (Maalsen, 2020), facilitate short-term rentals (Cocola-Gant &amp; Gago, 2019); reduce tenant selection costs (Schneider, 2020) and automate landlord management functions (McElroy, 2024). Additionally, aggregated digital data offers insights for build-to-rent projects (Nethercote, 2023) and integrates smart home technologies (Maalsen, 2024). </w:t>
      </w:r>
    </w:p>
    <w:p w14:paraId="0000001C" w14:textId="77777777" w:rsidR="00E94693" w:rsidRDefault="00000000">
      <w:pPr>
        <w:shd w:val="clear" w:color="auto" w:fill="FFFFFF"/>
        <w:spacing w:after="280" w:line="360" w:lineRule="auto"/>
      </w:pPr>
      <w:r>
        <w:t>Where these platforms and algorithmic decision support systems  govern access to goods and services (Gillingham, 2019), including a home, ‘digital discrimination’ is a key concern (Criado and Such, 2019;), and in this classification situation can lead to unfair tenant selection, undermining housing justice (Przhedetsky, 2024; Wolifson et al., 2024; So, 2022; Schneider, 2020) and contributing to the reshaping of neighbourhoods (Chun, 20</w:t>
      </w:r>
      <w:r w:rsidRPr="002C2301">
        <w:t>21</w:t>
      </w:r>
      <w:r>
        <w:t xml:space="preserve">). The models often </w:t>
      </w:r>
      <w:r>
        <w:lastRenderedPageBreak/>
        <w:t>involve moral judgments, favouring young tenants and urban professionals and failing to accommodate those with non-standard employment, adverse credit or benefits (Wainwright, 2022; Wallace et al., 2025). But, while discrimination and bias have long existed in rental markets, algorithmic decision support systems necessitate scrutiny to prevent the reproduction of these biases (Landau-Ward and Porter, 2019).</w:t>
      </w:r>
    </w:p>
    <w:p w14:paraId="0000001D" w14:textId="77777777" w:rsidR="00E94693" w:rsidRDefault="00000000">
      <w:pPr>
        <w:spacing w:after="280" w:line="360" w:lineRule="auto"/>
      </w:pPr>
      <w:r>
        <w:t xml:space="preserve">These situations mean that tenants must carefully manage the presentation of their income levels, rental history, credit scores and much more (Sparkes, 2024). Individuals are being ‘responsibilised’ (Stonehouse et al., 2015) and are becoming ‘entrepreneurs of themselves’ (Langley, 2014) to ensure positive outcomes. These situations are not passing moments but a continual regime of scoring that, outside of credit markets, garners limited public awareness. </w:t>
      </w:r>
    </w:p>
    <w:p w14:paraId="0000001E" w14:textId="77777777" w:rsidR="00E94693" w:rsidRDefault="00000000">
      <w:pPr>
        <w:shd w:val="clear" w:color="auto" w:fill="FFFFFF"/>
        <w:spacing w:after="280" w:line="360" w:lineRule="auto"/>
      </w:pPr>
      <w:r>
        <w:t>Nonetheless, media and regulatory attention of digital tenant selection is growing in the US, UK and Australia, due to problems with data errors, limited training data, lack of predictive capacity, data volumes and errors (Consumer Financial Protection Bureau, 2022; HUD, 2024; Wainwright, 2022; CMA, 2023; Przhedetsky, 2024; Bogle, 2024; Convery, 2022a, 2022b). There are calls for tighter regulation due to concerns about privacy and bias (DRW, 2023).</w:t>
      </w:r>
    </w:p>
    <w:p w14:paraId="0000001F" w14:textId="7FC284F2" w:rsidR="00E94693" w:rsidRDefault="00000000">
      <w:pPr>
        <w:shd w:val="clear" w:color="auto" w:fill="FFFFFF"/>
        <w:spacing w:after="280" w:line="360" w:lineRule="auto"/>
      </w:pPr>
      <w:r>
        <w:t xml:space="preserve">Of course, tenant referencing has a long history in the </w:t>
      </w:r>
      <w:r w:rsidR="00C93217">
        <w:t>UK,</w:t>
      </w:r>
      <w:r>
        <w:t xml:space="preserve"> but cheaper digital risk-profiling technologies are in part replacing manual systems (Beer et al., 2023; 2024), migrating from financial services to rental markets (Wallace et al., 2025), accelerated by landlords no longer being able to charge tenants fees for this process (Wainwright, 2022). These tools may standalone or be connected via APIs to automated landlord management platforms like </w:t>
      </w:r>
      <w:r>
        <w:rPr>
          <w:i/>
        </w:rPr>
        <w:t xml:space="preserve">Open Rent </w:t>
      </w:r>
      <w:r>
        <w:t>or</w:t>
      </w:r>
      <w:r>
        <w:rPr>
          <w:i/>
        </w:rPr>
        <w:t xml:space="preserve"> Goodlord</w:t>
      </w:r>
      <w:r>
        <w:t xml:space="preserve">. These checks are offered by CRAs and a range of specialist firms including </w:t>
      </w:r>
      <w:r>
        <w:rPr>
          <w:i/>
        </w:rPr>
        <w:t>Van Mildert, Homelet or Lettings Hub</w:t>
      </w:r>
      <w:r>
        <w:t xml:space="preserve">. Tools vary in the systems used but often combine automated and manual processes, producing a categorical risk score or rank based on identity verification, credit history, employment assessments, landlord checks, immigration status and OB data (Wallace et al., 2025; Ciocănel et al., 2024). Data regulation and sector infrastructure means some forms of data available in other jurisdictions are largely inaccessible to UK landlords, such as crime, housing court or landlord blacklist data.  But while not universally adopted, with a variegated landscape of automation between and within tenures, the imperative and drive is to increase the volume of data and automate (Beer et al., 2023; Wallace et al., 2025). </w:t>
      </w:r>
    </w:p>
    <w:p w14:paraId="00000020" w14:textId="77777777" w:rsidR="00E94693" w:rsidRDefault="00000000">
      <w:pPr>
        <w:spacing w:after="280" w:line="360" w:lineRule="auto"/>
      </w:pPr>
      <w:r>
        <w:lastRenderedPageBreak/>
        <w:t xml:space="preserve">UK market research highlights exclusionary and conditional practices, with 25% of renters being denied tenancies due to failed financial assessments, 45% requiring a guarantor, and 32% of benefit recipients being refused housing (Husmus, 2023). These outcomes are not solely attributable to digital risk profiling, as welfare reform has undermined low-income tenants’ market positions (Lee et al., 2022; Meers, 2024), not least when in the UK income has failed to keep pace with rent inflation. Algorithmic tenant-profiling consequently mediates access to housing in profoundly unbalanced markets. These scoring devices aim to mitigate landlord risk but can exacerbate market power relations and disadvantage certain groups. </w:t>
      </w:r>
    </w:p>
    <w:p w14:paraId="00000021" w14:textId="77777777" w:rsidR="00E94693" w:rsidRDefault="00000000">
      <w:pPr>
        <w:spacing w:after="280" w:line="360" w:lineRule="auto"/>
      </w:pPr>
      <w:r>
        <w:t xml:space="preserve">These ordinal systems are rarely ‘totalising’, as situations are messy and outcomes can be unexpected (Fourcade and Healey, 2024, p.260). Landlords and agents are hesitant about wholly digital tenant referencing, displaying confidence deficits due to data gaps and the opacity of some models, but are adopting greater use of data and automation in tenant selection (Beer et al., 2023). Adoption is not universal, but for mainstream lets, especially if landlords engaged letting agents, these hybrid and digital tenant referencing services were routinely used alongside the assessment of tenants’ ‘soft attributes’ (Wallace et al., 2025; Azvedo et al., 2024). These increasingly algorithmic tools have become central to mainstream tenant selection and represent a new ‘digital obligatory passage point’ (Wainwright, 2022, p.2). </w:t>
      </w:r>
    </w:p>
    <w:p w14:paraId="00000022" w14:textId="77777777" w:rsidR="00E94693" w:rsidRDefault="00000000">
      <w:pPr>
        <w:pStyle w:val="Heading3"/>
        <w:keepNext w:val="0"/>
        <w:keepLines w:val="0"/>
        <w:spacing w:before="0" w:after="280" w:line="360" w:lineRule="auto"/>
        <w:rPr>
          <w:rFonts w:ascii="Times New Roman" w:eastAsia="Times New Roman" w:hAnsi="Times New Roman" w:cs="Times New Roman"/>
          <w:b/>
          <w:color w:val="000000"/>
          <w:sz w:val="24"/>
          <w:szCs w:val="24"/>
        </w:rPr>
      </w:pPr>
      <w:bookmarkStart w:id="5" w:name="_heading=h.coq0n41xppgf" w:colFirst="0" w:colLast="0"/>
      <w:bookmarkEnd w:id="5"/>
      <w:r>
        <w:rPr>
          <w:rFonts w:ascii="Times New Roman" w:eastAsia="Times New Roman" w:hAnsi="Times New Roman" w:cs="Times New Roman"/>
          <w:b/>
          <w:color w:val="000000"/>
          <w:sz w:val="24"/>
          <w:szCs w:val="24"/>
        </w:rPr>
        <w:t>The advent of Open Banking in financial risk assessment</w:t>
      </w:r>
    </w:p>
    <w:p w14:paraId="00000023" w14:textId="77777777" w:rsidR="00E94693" w:rsidRDefault="00000000">
      <w:pPr>
        <w:spacing w:after="280" w:line="360" w:lineRule="auto"/>
      </w:pPr>
      <w:r>
        <w:t xml:space="preserve">OB is an open market architecture that allows data sharing between regulated firms using secure connections when the consumer has given consent (Littlejohn et al., 2022). The EU Second Payment Services Directive (PSD2) agreement in 2018 produced an OB framework promoting competition within financial services by empowering consumers to take their banking transaction data - previously only available to customers’ incumbent banks - to other institutions to secure better deals and products (Nam, 2023). The UK was the first country to regulate OB and mandate banks’ compliance, but other countries are adopting the technology at pace, although regulatory frameworks differ, by being industry or regulator led, the scope of data shared, whether banks’ OB adoption is mandatory or voluntary and how third-party providers are licensed (Maldonado, 2022). OB is said to have 8 million users in the UK (Open Banking Ltd, 2024) and is a key component of many fintech businesses (Borgogno &amp; Colangelo, 2020). </w:t>
      </w:r>
    </w:p>
    <w:p w14:paraId="00000024" w14:textId="77777777" w:rsidR="00E94693" w:rsidRDefault="00000000">
      <w:pPr>
        <w:spacing w:after="280" w:line="360" w:lineRule="auto"/>
      </w:pPr>
      <w:r>
        <w:lastRenderedPageBreak/>
        <w:t xml:space="preserve">Contested ownership of banking data and meant people originally having to share their bank login details with third parties impeded OB data sharing (Littlejohn et al., 2022). In the UK and EU, the OB regulations and data protection legislation have circumvented these issues, enhancing interoperability and producing opportunities to reduce adverse selection and information asymmetry in financial markets (Borgogno &amp; Colangelo, 2020; Nam, 2023). </w:t>
      </w:r>
    </w:p>
    <w:p w14:paraId="00000025" w14:textId="77777777" w:rsidR="00E94693" w:rsidRDefault="00000000">
      <w:pPr>
        <w:spacing w:after="280" w:line="360" w:lineRule="auto"/>
      </w:pPr>
      <w:r>
        <w:t xml:space="preserve">OB third-party providers receive and analyse transaction data on behalf of other firms, making them strategic data aggregators (Awrey &amp; Macey, 2023). Consumers typically consent to share access to current or checking account data for a period of up to 12 months in the past and 90 days after the consent is granted. These third-party aggregators, regulated by the Financial Conduct Authority in the UK, add value to OB data by offering AI/ML analyses that categorises income and expenditure, examines the timing of transactions and the velocity of spending, identifies savings habits, or flags adverse markers like gambling and overdraft use, from which providers infer positive or negative behaviours, and sometimes the raw data.  </w:t>
      </w:r>
    </w:p>
    <w:p w14:paraId="00000026" w14:textId="77777777" w:rsidR="00E94693" w:rsidRDefault="00000000">
      <w:pPr>
        <w:spacing w:after="280" w:line="360" w:lineRule="auto"/>
      </w:pPr>
      <w:r>
        <w:t xml:space="preserve">The rationale behind OB relates to notions of consumer empowerment and control of their data (FCA, 2021; OECD, 2019), supposedly reducing financial exclusion and enhancing consumers’ position in relation to the banks (Borgogno &amp; Colangelo, 2020). However, for such a potentially powerful technology, consumer understanding of OB is low. A total of 61% of UK adults were unaware of OB, 31% would not trust sharing their banking data for a mortgage application, and 22% would not share their data in any circumstances, although 48% were willing to try if data security could be assured (Bluestone Mortgages, 2024).  As with wider developments in AI/ML, public awareness is growing, but significant negative sentiments regarding trust, security, control and impacts remain (DSIT, 2024). The industry is aware that they need to build consumer awareness and instil confidence to further mainstream this technology. </w:t>
      </w:r>
    </w:p>
    <w:p w14:paraId="00000027" w14:textId="77777777" w:rsidR="00E94693" w:rsidRDefault="00000000">
      <w:pPr>
        <w:spacing w:after="280" w:line="360" w:lineRule="auto"/>
      </w:pPr>
      <w:r>
        <w:t xml:space="preserve">Alternative credit risk assessments - using behavioural cookie data (Berg et al., 2020) or psychometric data regarding timing and values (Djeundje et al., 2021) - have greater predictive capacity of default than traditional financial and socio-demographic credit risk models alone (Hjelkrem et al., 2022). OB is becoming key to these emerging alternative credit risk assessments and fintech operations. CRAs have added OB to their data resources, where consumers can opt into Experian Boost that uses Spotify and Netflix payments to populate data </w:t>
      </w:r>
      <w:r>
        <w:lastRenderedPageBreak/>
        <w:t>gaps in ‘thin files’, or Equifax places itself as a third-party provider of full OB data assessments alongside their traditional payment data to provide stronger insights for credit risk assessment models (Equifax, 2024).</w:t>
      </w:r>
    </w:p>
    <w:p w14:paraId="00000028" w14:textId="77777777" w:rsidR="00E94693" w:rsidRDefault="00000000">
      <w:pPr>
        <w:spacing w:after="280" w:line="360" w:lineRule="auto"/>
      </w:pPr>
      <w:r>
        <w:t xml:space="preserve">He et al. (2023) found that OB data helped people with thin credit files and identified negative attributes like gambling absent from traditional CRA data. But OB data could amplify unequal access to lending by enhancing the positions of high-credit-quality consumers but weaken those with low-credit-quality as their financial vulnerabilities were exposed (He et al., 2023; Kim et al., 2023). Privacy-conscious consumers could also be penalised as opting out may be associated with an unwillingness to expose poor credit quality (He et al., 2023). Conversely, Nam (2023) found that OB data can be beneficial for low-credit score consumers, who engaged more with OB, and those with thin credit files who received greater access to credit with lower costs and fewer defaults. </w:t>
      </w:r>
    </w:p>
    <w:p w14:paraId="00000029" w14:textId="77777777" w:rsidR="00E94693" w:rsidRDefault="00000000">
      <w:pPr>
        <w:spacing w:after="280" w:line="360" w:lineRule="auto"/>
      </w:pPr>
      <w:r>
        <w:t xml:space="preserve">The issue of OB reinforcing bias in AI/ML models also arose as adverse borrowing flags or certain spending were highly gendered and challenging for lenders to disentangle within automated lending decisions (Kim et al., 2023). Awrey and Macey (2023, pp.4-5) cautioned that the benefits of OB may be offset by the potential for algorithmic discrimination and exploitation of behavioural biases, as AI/ML based analytics provide insights from these data. Rather than empower consumers, there may be some marginal benefits that leave untouched the power relations between institutions and consumers while opening the risk of fraud, abuses and data breaches (Borgogno &amp; Colangelo, 2020).  </w:t>
      </w:r>
    </w:p>
    <w:p w14:paraId="0000002A" w14:textId="77777777" w:rsidR="00E94693" w:rsidRDefault="00000000">
      <w:pPr>
        <w:spacing w:after="280" w:line="360" w:lineRule="auto"/>
      </w:pPr>
      <w:r>
        <w:t>It is these uses of OB that have entered the realm of digital tenant referencing and after setting out the background to the expanding reach of an ‘Ordinal Society’, platform real estate and OB, we outline our empirical findings.</w:t>
      </w:r>
    </w:p>
    <w:p w14:paraId="0000002B" w14:textId="77777777" w:rsidR="00E94693" w:rsidRDefault="00000000">
      <w:pPr>
        <w:pStyle w:val="Heading3"/>
        <w:keepNext w:val="0"/>
        <w:keepLines w:val="0"/>
        <w:spacing w:before="0" w:after="280" w:line="360" w:lineRule="auto"/>
        <w:rPr>
          <w:rFonts w:ascii="Times New Roman" w:eastAsia="Times New Roman" w:hAnsi="Times New Roman" w:cs="Times New Roman"/>
          <w:b/>
          <w:color w:val="000000"/>
          <w:sz w:val="24"/>
          <w:szCs w:val="24"/>
        </w:rPr>
      </w:pPr>
      <w:bookmarkStart w:id="6" w:name="_heading=h.cljqucsdz4x1" w:colFirst="0" w:colLast="0"/>
      <w:bookmarkEnd w:id="6"/>
      <w:r>
        <w:rPr>
          <w:rFonts w:ascii="Times New Roman" w:eastAsia="Times New Roman" w:hAnsi="Times New Roman" w:cs="Times New Roman"/>
          <w:b/>
          <w:color w:val="000000"/>
          <w:sz w:val="24"/>
          <w:szCs w:val="24"/>
        </w:rPr>
        <w:t>OB raises issues of data privacy, proportionality and control</w:t>
      </w:r>
    </w:p>
    <w:p w14:paraId="0000002C" w14:textId="77777777" w:rsidR="00E94693" w:rsidRDefault="00000000">
      <w:pPr>
        <w:spacing w:after="280" w:line="360" w:lineRule="auto"/>
      </w:pPr>
      <w:r>
        <w:t xml:space="preserve">A range of data is mobilised to effect tenant risk profiling, comprising credit information, fraud and immigration data, electronic wage slips, Companies House data for filed self-employed accounts, electoral roll, and data that observe the stability of residential addresses, mobile phone numbers and emails. Key gaps in the data infrastructure of private renting were apparent, notably </w:t>
      </w:r>
      <w:r>
        <w:lastRenderedPageBreak/>
        <w:t xml:space="preserve">relating to the quality of employment income, whether the earnings were associated with fixed term, zero hours, agency work or other precarious non-conforming employment terms, and former landlord references (Wallace et al., 2025). Tenant referencing firms also incorporated OB third-party providers into their digital referencing tools, designing interfaces that took the tenant from their platform to the OB providers’ while simultaneously minimising friction and trying to establish trust to enable verification of income and rent payments (Ciocãnel et al., 2024). OB use accelerated during the study replacing only verifying income and rent payments, and the use of simple income multiples to establish rent affordability, with a comprehensive analysis of all income and expenditure and financial behaviour patterns, providing greater insights about tenants’ payment risk. </w:t>
      </w:r>
    </w:p>
    <w:p w14:paraId="0000002D" w14:textId="77777777" w:rsidR="00E94693" w:rsidRDefault="00000000">
      <w:pPr>
        <w:spacing w:after="280" w:line="360" w:lineRule="auto"/>
      </w:pPr>
      <w:r>
        <w:t xml:space="preserve">Concerns about privacy and proportionality of OB data, therefore, are set against a significant and pre-existing increase in the volume of data that landlords and letting agents collect about tenants (Wallace et al., 2025; CMA, 2023). One landlord observed that the data required for tenant referencing is less than required for a mortgage, although that involves a 25- to 35-year commitment compared to a typical 12-month tenancy. Few tenants complain to referencing firms but can be dissatisfied with the service. The often-urgent need for a home, combined with the qualitative influence of landlords or agents’ discussions during pre-screening, discouraged tenants from voicing their concerns. </w:t>
      </w:r>
    </w:p>
    <w:p w14:paraId="0000002E" w14:textId="77777777" w:rsidR="00E94693" w:rsidRDefault="00000000">
      <w:pPr>
        <w:shd w:val="clear" w:color="auto" w:fill="FFFFFF"/>
        <w:spacing w:after="280" w:line="360" w:lineRule="auto"/>
      </w:pPr>
      <w:r>
        <w:t xml:space="preserve">Data protection regulations require data collection to be sufficient and proportionate for decision-making. Tenants were often resigned to voluminous data-sharing requests, especially if they lacked power when applying for social security or housing. Many participants, including landlords, reflected on the change in the volume of data requested from tenant applicants compared to a generation ago. The advent of OB in this space pushes further the ‘information dragnet’ (Fourcade and Healey, 2017), going well beyond historic payment data used in traditional credit scoring models. Firms acknowledged how insightful this technology is, while many tenants felt that the amount of data requested was excessive but felt unable to opt out. Some firms were sensitive to this and accelerated data requests only if a tenant appeared likely to fail the initial checks, suggesting, for instance: </w:t>
      </w:r>
    </w:p>
    <w:p w14:paraId="0000002F" w14:textId="77777777" w:rsidR="00E94693" w:rsidRDefault="00000000">
      <w:pPr>
        <w:spacing w:after="280" w:line="360" w:lineRule="auto"/>
        <w:ind w:left="720"/>
        <w:rPr>
          <w:sz w:val="22"/>
          <w:szCs w:val="22"/>
        </w:rPr>
      </w:pPr>
      <w:r>
        <w:rPr>
          <w:sz w:val="22"/>
          <w:szCs w:val="22"/>
        </w:rPr>
        <w:lastRenderedPageBreak/>
        <w:t>That's why I always thought open banking to be an extremely scary thing. “Give me your 11 months of data in half an hour, and I will tell you exactly what sort of a person you are in half a day” (Tenant referencing firm 2)</w:t>
      </w:r>
    </w:p>
    <w:p w14:paraId="00000030" w14:textId="77777777" w:rsidR="00E94693" w:rsidRDefault="00000000">
      <w:pPr>
        <w:spacing w:after="280" w:line="360" w:lineRule="auto"/>
        <w:ind w:left="720"/>
        <w:rPr>
          <w:sz w:val="22"/>
          <w:szCs w:val="22"/>
        </w:rPr>
      </w:pPr>
      <w:r>
        <w:rPr>
          <w:color w:val="000000"/>
          <w:sz w:val="22"/>
          <w:szCs w:val="22"/>
        </w:rPr>
        <w:t xml:space="preserve">For instance, one of the big things, it always makes people laugh - the amount that people spend on </w:t>
      </w:r>
      <w:r>
        <w:rPr>
          <w:i/>
          <w:color w:val="000000"/>
          <w:sz w:val="22"/>
          <w:szCs w:val="22"/>
        </w:rPr>
        <w:t>OnlyFans</w:t>
      </w:r>
      <w:r>
        <w:rPr>
          <w:color w:val="000000"/>
          <w:sz w:val="22"/>
          <w:szCs w:val="22"/>
        </w:rPr>
        <w:t xml:space="preserve"> [pornography platform], for instance. It is the absolute un-bearing of most people's souls. (Credit Firm 4)</w:t>
      </w:r>
    </w:p>
    <w:p w14:paraId="00000031" w14:textId="77777777" w:rsidR="00E94693" w:rsidRDefault="00000000">
      <w:pPr>
        <w:spacing w:after="280" w:line="360" w:lineRule="auto"/>
        <w:ind w:left="720"/>
        <w:rPr>
          <w:sz w:val="22"/>
          <w:szCs w:val="22"/>
        </w:rPr>
      </w:pPr>
      <w:r>
        <w:rPr>
          <w:sz w:val="22"/>
          <w:szCs w:val="22"/>
        </w:rPr>
        <w:t>We acknowledge it is quite intrusive; we see a lot of their information, but it isn't [...] It is sometimes useful to help [...] demonstrate their credentials, so we use it. (Tenant referencing firm 1)</w:t>
      </w:r>
    </w:p>
    <w:p w14:paraId="00000032" w14:textId="77777777" w:rsidR="00E94693" w:rsidRDefault="00000000">
      <w:pPr>
        <w:spacing w:after="280" w:line="360" w:lineRule="auto"/>
      </w:pPr>
      <w:r>
        <w:t xml:space="preserve">OB systematised the sharing of transaction data, but rather than empowering people in this ‘classification situation’, the technology limits a person’s control over what data is shared or redacted. </w:t>
      </w:r>
      <w:r w:rsidRPr="002C2301">
        <w:t xml:space="preserve">Referencing firms and credit firms varied in their sharing of raw OB data, some provided landlords or lenders with raw transaction data as well as their analysis, while others shared only the analysis. </w:t>
      </w:r>
      <w:r>
        <w:t xml:space="preserve">One landlord used tenants’ paper bank statements to analyse their spending, focusing on what he viewed as frivolous purchases or loans. Understandably then, many tenant participants found even paper statements intrusive, with some blocking out all but their balances to avoid this sort of scrutiny, although others were more relaxed. Another tenant wanted greater transparency but felt more comfortable if only machines read the data, believing this to mean decisions were free of human judgement, rather than human economic and moral appraisal being already embedded in the systems. </w:t>
      </w:r>
    </w:p>
    <w:p w14:paraId="00000033" w14:textId="77777777" w:rsidR="00E94693" w:rsidRDefault="00000000">
      <w:pPr>
        <w:spacing w:after="280" w:line="360" w:lineRule="auto"/>
      </w:pPr>
      <w:r>
        <w:t xml:space="preserve">OB offered convenience for some tenants, alleviating the need to produce copious documentary evidence to verify a person’s identity, position and financial standing. But many tenants were unfamiliar with the technology, and the convenience did not outweigh the privacy intrusion, wanting to avoid their spending on alcohol, adult services or lingerie being revealed. </w:t>
      </w:r>
    </w:p>
    <w:p w14:paraId="00000034" w14:textId="77777777" w:rsidR="00E94693" w:rsidRDefault="00000000">
      <w:pPr>
        <w:spacing w:after="280" w:line="360" w:lineRule="auto"/>
      </w:pPr>
      <w:r>
        <w:t>Several firms experienced high dropout rates when tenants were faced with the OB third-party interface and were asked to give their consent, although, over time, these reduced. The importance of trusting the firms and the design of the user experience was important here (Ciocãnel et al., 2024), but firms recognised that drop-off also reflected the need for a home. As one participant in tenant referencing explained:</w:t>
      </w:r>
    </w:p>
    <w:p w14:paraId="00000035" w14:textId="77777777" w:rsidR="00E94693" w:rsidRDefault="00000000">
      <w:pPr>
        <w:spacing w:after="280" w:line="360" w:lineRule="auto"/>
        <w:ind w:left="720"/>
        <w:rPr>
          <w:sz w:val="22"/>
          <w:szCs w:val="22"/>
        </w:rPr>
      </w:pPr>
      <w:r>
        <w:rPr>
          <w:sz w:val="22"/>
          <w:szCs w:val="22"/>
        </w:rPr>
        <w:lastRenderedPageBreak/>
        <w:t>We thought, okay, maybe we'll have a 50% drop-off rate. Like I say, it's only been one person in that whole time. [...] When you ask someone objectively, “Would you give personal information to a tech company?” They're like, “No, never.” Then, when your landlord who you want to rent from says, “You have to give your personal information to this tech company,” then it just shows the power of the need for housing. (Tenant referencing firm 10)</w:t>
      </w:r>
    </w:p>
    <w:p w14:paraId="00000036" w14:textId="77777777" w:rsidR="00E94693" w:rsidRDefault="00000000">
      <w:pPr>
        <w:spacing w:after="280" w:line="360" w:lineRule="auto"/>
      </w:pPr>
      <w:r>
        <w:t>Firms acknowledged the landlord-tenant power imbalance in the rental market and offered other options to verify themselves, although this was not always clear to tenants. This power imbalance is essentially a driver for the requirement for tenants to manage their eigencapital.</w:t>
      </w:r>
    </w:p>
    <w:p w14:paraId="00000037" w14:textId="77777777" w:rsidR="00E94693" w:rsidRDefault="00000000">
      <w:pPr>
        <w:pStyle w:val="Heading3"/>
        <w:keepNext w:val="0"/>
        <w:keepLines w:val="0"/>
        <w:spacing w:before="0" w:after="280" w:line="360" w:lineRule="auto"/>
        <w:rPr>
          <w:rFonts w:ascii="Times New Roman" w:eastAsia="Times New Roman" w:hAnsi="Times New Roman" w:cs="Times New Roman"/>
          <w:b/>
          <w:color w:val="000000"/>
          <w:sz w:val="24"/>
          <w:szCs w:val="24"/>
        </w:rPr>
      </w:pPr>
      <w:bookmarkStart w:id="7" w:name="_heading=h.tukmc4hguzxw" w:colFirst="0" w:colLast="0"/>
      <w:bookmarkEnd w:id="7"/>
      <w:r>
        <w:rPr>
          <w:rFonts w:ascii="Times New Roman" w:eastAsia="Times New Roman" w:hAnsi="Times New Roman" w:cs="Times New Roman"/>
          <w:b/>
          <w:color w:val="000000"/>
          <w:sz w:val="24"/>
          <w:szCs w:val="24"/>
        </w:rPr>
        <w:t>OB produces new modes of exclusion, conditionality and worth</w:t>
      </w:r>
    </w:p>
    <w:p w14:paraId="00000038" w14:textId="77777777" w:rsidR="00E94693" w:rsidRDefault="00000000">
      <w:pPr>
        <w:spacing w:after="280" w:line="360" w:lineRule="auto"/>
      </w:pPr>
      <w:r>
        <w:t>Landlord rent guarantee insurance requires formal tenant referencing, and one firm that relied heavily on OB data used insurance claims data to demonstrate that people outside the traditional ideal tenant’ model (Wainwright, 2022; Bonnet and Pollard, 2021) were still viable options. They reported little difference in tenancy performance on rent and property damage across different types of tenants and argued that landlord property and rent guarantee insurers should not price risk higher for groups with weaker profiles. With people facing limited housing options, rethinking tenant referencing was important to this participant:</w:t>
      </w:r>
    </w:p>
    <w:p w14:paraId="00000039" w14:textId="77777777" w:rsidR="00E94693" w:rsidRDefault="00000000">
      <w:pPr>
        <w:shd w:val="clear" w:color="auto" w:fill="FFFFFF"/>
        <w:spacing w:after="280" w:line="360" w:lineRule="auto"/>
        <w:ind w:left="720"/>
        <w:rPr>
          <w:sz w:val="22"/>
          <w:szCs w:val="22"/>
        </w:rPr>
      </w:pPr>
      <w:r>
        <w:rPr>
          <w:sz w:val="22"/>
          <w:szCs w:val="22"/>
        </w:rPr>
        <w:t>We're one of the places that tenants can go to, to get access to a home even if, perhaps, they've had issues in the past. Other referencing agents and risk classifiers will immediately say, “No,” to you if you've had any issues [adverse credit] in the last four years. Four years is a long time to be homeless. What do you want people to do? (Tenant referencing firm 10)</w:t>
      </w:r>
    </w:p>
    <w:p w14:paraId="0000003A" w14:textId="77777777" w:rsidR="00E94693" w:rsidRDefault="00000000">
      <w:pPr>
        <w:spacing w:after="280" w:line="360" w:lineRule="auto"/>
      </w:pPr>
      <w:r>
        <w:t>This referencing firms’ business model is reinforced by their analysis of the insurers’ dataset. Although these data would include only those tenants who had initially passed traditional tenant referencing anyway, the firm reported that their analysis shows OB’s potential to offer more inclusive tenant screening, as creditworthiness was apparently not a strong predictor of non-payment of rent. But reducing information asymmetries works both ways, and OB could expose households with precarious finances who meet their payment commitments. Such insights were once only available to incumbent banks, giving them advantages in credit markets compared to other lenders, but posing a risk to struggling households, as one participant in credit risk decision-making noted, with implications for tenants too:</w:t>
      </w:r>
    </w:p>
    <w:p w14:paraId="0000003B" w14:textId="77777777" w:rsidR="00E94693" w:rsidRDefault="00000000">
      <w:pPr>
        <w:spacing w:after="280" w:line="360" w:lineRule="auto"/>
        <w:ind w:left="720"/>
        <w:rPr>
          <w:sz w:val="22"/>
          <w:szCs w:val="22"/>
        </w:rPr>
      </w:pPr>
      <w:r>
        <w:rPr>
          <w:sz w:val="22"/>
          <w:szCs w:val="22"/>
        </w:rPr>
        <w:lastRenderedPageBreak/>
        <w:t>So, if you were a little bit marginalised, though you know in financial difficulties, you probably didn't want to go to your existing current account provider, and you would hope that the mortgage provider isn't looking at this stuff, cause you desperately need a place. But your current account isn't saying you can afford it. (Credit risk decision firm 7)</w:t>
      </w:r>
    </w:p>
    <w:p w14:paraId="0000003C" w14:textId="77777777" w:rsidR="00E94693" w:rsidRDefault="00000000">
      <w:pPr>
        <w:spacing w:after="280" w:line="360" w:lineRule="auto"/>
      </w:pPr>
      <w:r>
        <w:t xml:space="preserve">The UK is experiencing a cost-of-living crisis with intense pressure on households often going without essentials but not necessarily being behind with their bills (JRF, 2024).  OB will expose their financial insecurity, so far avoided in CRA data, further inviting exclusion in tight rental markets.  </w:t>
      </w:r>
    </w:p>
    <w:p w14:paraId="0000003D" w14:textId="77777777" w:rsidR="00E94693" w:rsidRDefault="00000000">
      <w:pPr>
        <w:spacing w:after="280" w:line="360" w:lineRule="auto"/>
      </w:pPr>
      <w:r>
        <w:t xml:space="preserve">Conversely, where CRA data showed historic adverse markers, OB could be deployed positively to provide additional insight into a person's current circumstances.  </w:t>
      </w:r>
    </w:p>
    <w:p w14:paraId="0000003E" w14:textId="77777777" w:rsidR="00E94693" w:rsidRDefault="00000000">
      <w:pPr>
        <w:spacing w:after="280" w:line="360" w:lineRule="auto"/>
        <w:ind w:left="720"/>
        <w:rPr>
          <w:sz w:val="22"/>
          <w:szCs w:val="22"/>
        </w:rPr>
      </w:pPr>
      <w:r>
        <w:rPr>
          <w:sz w:val="22"/>
          <w:szCs w:val="22"/>
        </w:rPr>
        <w:t>There can be scenarios there, where the technology helps us to identify, okay, this looks like it could decline but actually, what the data is showing me, the open banking data, for example, is showing me there's something else there. (Tenant referencing firm 8)</w:t>
      </w:r>
    </w:p>
    <w:p w14:paraId="0000003F" w14:textId="77777777" w:rsidR="00E94693" w:rsidRDefault="00000000">
      <w:pPr>
        <w:spacing w:after="280" w:line="360" w:lineRule="auto"/>
      </w:pPr>
      <w:r>
        <w:t xml:space="preserve">Some referencing firms expressed hesitancy about pursuing comprehensive OB data analysis, fearing that OB might reinforce and amplify existing biases. </w:t>
      </w:r>
    </w:p>
    <w:p w14:paraId="00000040" w14:textId="77777777" w:rsidR="00E94693" w:rsidRDefault="00000000">
      <w:pPr>
        <w:spacing w:after="280" w:line="360" w:lineRule="auto"/>
        <w:ind w:left="720"/>
        <w:rPr>
          <w:sz w:val="22"/>
          <w:szCs w:val="22"/>
        </w:rPr>
      </w:pPr>
      <w:r>
        <w:rPr>
          <w:sz w:val="22"/>
          <w:szCs w:val="22"/>
        </w:rPr>
        <w:t>I think that point opens the door for discrimination even more. The idea of open banking is you utilise technology to avoid bias, but the technology is built by humans. [...] You don't write algorithms out of thin air; you write algorithms based on human decisions. (Tenant referencing firm 2)</w:t>
      </w:r>
    </w:p>
    <w:p w14:paraId="00000041" w14:textId="77777777" w:rsidR="00E94693" w:rsidRDefault="00000000">
      <w:pPr>
        <w:spacing w:after="280" w:line="360" w:lineRule="auto"/>
      </w:pPr>
      <w:r>
        <w:t xml:space="preserve">Interviews with credit decision-making firms revealed more about the inferences derived from OB data. One firm outlined that shopping late at night could be interpreted as a higher risk of non-payment, through perceived impulsiveness rather than reflecting shift work, and that spending on categories like gambling or pornography can be flagged as problematic. OB can give a quantitative veneer of precision to subjective decisions, as aside from inferences being unclear, predictive capacity is uncertain in rental markets as no comprehensive accessible UK rent payment history dataset exists. While agents or landlords often request paper and PDF bank statements to inform tenant selection, OB technology has the potential to influence decisions rapidly more broadly and consistently across all assessments. </w:t>
      </w:r>
    </w:p>
    <w:p w14:paraId="00000042" w14:textId="77777777" w:rsidR="00E94693" w:rsidRDefault="00000000">
      <w:pPr>
        <w:spacing w:after="280" w:line="360" w:lineRule="auto"/>
      </w:pPr>
      <w:r>
        <w:lastRenderedPageBreak/>
        <w:t xml:space="preserve">Tenant referencing firm interviews revealed little focus on equality outcomes, with one firm noting that ‘Ethnicity isn't something we would capture, it's irrelevant.’ (Tenant referencing firm 1). As OB and the associated AI/ML that underpins the analysis are more widely adopted, when markers of protected characteristics are easily identifiable, this position of taking a ‘blindness’ approach, or 'fairness through unawareness, is untenable (Kim et al., 2023, p.17). For example, gender is not a recorded variable in models but is easily identified via use of ‘buy now pay later’ credit services for women or gambling for men, both spending reported by participants as proxy indicators of gender and financial risk. </w:t>
      </w:r>
    </w:p>
    <w:p w14:paraId="00000043" w14:textId="50AB0F05" w:rsidR="00E94693" w:rsidRDefault="00000000">
      <w:pPr>
        <w:spacing w:after="280" w:line="360" w:lineRule="auto"/>
      </w:pPr>
      <w:r>
        <w:t xml:space="preserve">Firms also observed that OB data could not fill data gaps about the quality of employment income or former landlord references, and multiple bank accounts, regular transfers of money between accounts and different sources of income challenged the analysis. Tenants working and/or spending in the cash economy were also problematic. Disparities between tenant-provided information and OB required manual intervention and time to resolve. The categorisation of income and expenditure was not standardised or, </w:t>
      </w:r>
      <w:r w:rsidR="00C93217">
        <w:t>yet</w:t>
      </w:r>
      <w:r>
        <w:t xml:space="preserve">, wholly accurate. Discerning discretionary from essential spending was challenged by stores offering a variety of products. Firms were often committed to exploring the technology but considered OB to be incomplete. As the technology is new, firms retained alternative appraisal systems, but as the adoption of OB grows, it is unclear whether this will continue. </w:t>
      </w:r>
    </w:p>
    <w:p w14:paraId="00000044" w14:textId="77777777" w:rsidR="00E94693" w:rsidRDefault="00000000">
      <w:pPr>
        <w:spacing w:after="280" w:line="360" w:lineRule="auto"/>
      </w:pPr>
      <w:r>
        <w:t>Despite being in its infancy, OB use has rapidly expanded and represents a significant change in the way people are scored or rated in access to housing and is likely to produce both winners and losers.  In rental markets, unlike in mortgage markets (FCA, 2025), there is no regulatory guidance on what income and expenditure can be considered. Using OB, tenants with a good, verified salary but large loans, high costs or a gambling habit may consequently have a lower affordability level than someone with a lower income who manages their finances assiduously. OB also raises the prospect of identifying those with weak financial profiles, with irregular income or who are ‘getting by’ but are financially strained. Kim et al. (2023) note that OB revealed indicators of the extent of financial vulnerability that may preclude people from borrowing, meaning that previously unrevealed risk could also undermine rental applications in tight housing markets. These issues raise debates about the limits of scrutiny for a critical service and how much of our lives we are willing or are now compelled to share</w:t>
      </w:r>
    </w:p>
    <w:p w14:paraId="00000045" w14:textId="77777777" w:rsidR="00E94693" w:rsidRDefault="00000000">
      <w:pPr>
        <w:pStyle w:val="Heading3"/>
        <w:keepNext w:val="0"/>
        <w:keepLines w:val="0"/>
        <w:spacing w:before="0" w:after="280" w:line="360" w:lineRule="auto"/>
        <w:rPr>
          <w:rFonts w:ascii="Times New Roman" w:eastAsia="Times New Roman" w:hAnsi="Times New Roman" w:cs="Times New Roman"/>
          <w:b/>
          <w:color w:val="000000"/>
          <w:sz w:val="24"/>
          <w:szCs w:val="24"/>
        </w:rPr>
      </w:pPr>
      <w:bookmarkStart w:id="8" w:name="_heading=h.xn91a5pm5qj5" w:colFirst="0" w:colLast="0"/>
      <w:bookmarkEnd w:id="8"/>
      <w:r>
        <w:rPr>
          <w:rFonts w:ascii="Times New Roman" w:eastAsia="Times New Roman" w:hAnsi="Times New Roman" w:cs="Times New Roman"/>
          <w:b/>
          <w:color w:val="000000"/>
          <w:sz w:val="24"/>
          <w:szCs w:val="24"/>
        </w:rPr>
        <w:lastRenderedPageBreak/>
        <w:t xml:space="preserve">Managing banking data and </w:t>
      </w:r>
      <w:r>
        <w:rPr>
          <w:rFonts w:ascii="Times New Roman" w:eastAsia="Times New Roman" w:hAnsi="Times New Roman" w:cs="Times New Roman"/>
          <w:b/>
          <w:i/>
          <w:color w:val="000000"/>
          <w:sz w:val="24"/>
          <w:szCs w:val="24"/>
        </w:rPr>
        <w:t xml:space="preserve">eigencapital </w:t>
      </w:r>
      <w:r>
        <w:rPr>
          <w:rFonts w:ascii="Times New Roman" w:eastAsia="Times New Roman" w:hAnsi="Times New Roman" w:cs="Times New Roman"/>
          <w:b/>
          <w:color w:val="000000"/>
          <w:sz w:val="24"/>
          <w:szCs w:val="24"/>
        </w:rPr>
        <w:t xml:space="preserve"> </w:t>
      </w:r>
    </w:p>
    <w:p w14:paraId="00000046" w14:textId="77777777" w:rsidR="00E94693" w:rsidRDefault="00000000">
      <w:pPr>
        <w:spacing w:after="280" w:line="360" w:lineRule="auto"/>
      </w:pPr>
      <w:r>
        <w:t xml:space="preserve">For Zehlar and Dahdel (2021, p.23), OB is providing people with control and empowerment over their banking data, overcoming problems of ‘surveillance capitalism’ (Zuboff, 2019). Across tenure, the study observed how OB accelerates the insights afforded to firms in the Ordinal Society (Fourcade &amp; Healey, 2024). For us, OB exemplifies Fourcade and Healey’s (2017, p.23) observation that ‘the old classifier was outside, looking in. The firm tried to guess what you liked based on some general information and often failed. The new classifier is inside, looking around’. The use of OB data, therefore, erodes privacy, but AI/ML analytics means that a series of seemingly unrelated data can have predictive power, leaving consumers unclear about which data to protect (Solow-Niederman, 2021).  Tenant awareness of OB was limited, and rather than empowered, many tenants felt compelled to consent to data requests (Ciocãnel et al., 2024) and were unclear about the OB data processing and inferences firms made about them. OB is promoted as empowering consumers while overcoming thin credit files for some tenants, but in rental markets, power imbalances are unlikely to be recast, and the precarious realities of many tenants’ finances exposed. </w:t>
      </w:r>
    </w:p>
    <w:p w14:paraId="00000047" w14:textId="77777777" w:rsidR="00E94693" w:rsidRDefault="00000000">
      <w:pPr>
        <w:spacing w:after="280" w:line="360" w:lineRule="auto"/>
      </w:pPr>
      <w:r>
        <w:t>While OB and credit market data mean tenants should be sensitive to how they manage their digital selves or eigencapital, systems lack transparency, and public education lags OB adoption.  Occasional industry promotional activity rests on the benefits of money management and reassurance around data security</w:t>
      </w:r>
      <w:r>
        <w:rPr>
          <w:color w:val="800080"/>
          <w:sz w:val="26"/>
          <w:szCs w:val="26"/>
          <w:vertAlign w:val="superscript"/>
        </w:rPr>
        <w:t xml:space="preserve"> [1</w:t>
      </w:r>
      <w:r>
        <w:t xml:space="preserve">, but issues relating to OB use go beyond these topics. Models are opaque, as it is unclear what data is collected, how it is interpreted and deployed to inform rental decisions. These factors undermine consumer consent, as required under data and OB regulation, therefore eroding notions of consumer control and empowerment. Data protection regulation required privacy statements to outline the ownership and control of data and the purpose of data processing and retention policies, but these often have limited detail, and tenants rarely accessed these documents. </w:t>
      </w:r>
    </w:p>
    <w:p w14:paraId="00000048" w14:textId="77777777" w:rsidR="00E94693" w:rsidRDefault="00000000">
      <w:pPr>
        <w:spacing w:after="280" w:line="360" w:lineRule="auto"/>
      </w:pPr>
      <w:r>
        <w:t xml:space="preserve">Financial education about credit scoring (Kear, 2017) is well established but absent about the inferences made from OB data.  Apps like </w:t>
      </w:r>
      <w:r>
        <w:rPr>
          <w:i/>
        </w:rPr>
        <w:t xml:space="preserve">Credit Karma </w:t>
      </w:r>
      <w:r>
        <w:t xml:space="preserve">or </w:t>
      </w:r>
      <w:r>
        <w:rPr>
          <w:i/>
        </w:rPr>
        <w:t xml:space="preserve">Totally Money </w:t>
      </w:r>
      <w:r>
        <w:t xml:space="preserve">proliferate that summarise basic credit market information with advice about how to improve profiles by, in the UK, ensuring borrowing stays below 25% of credit limits, that new borrowing is not sought 6 </w:t>
      </w:r>
      <w:r>
        <w:lastRenderedPageBreak/>
        <w:t xml:space="preserve">months prior to seeking credit or that you are on the electoral roll, for instance.  Details of lenders’ models are commercially confidential, but any semblance of similar consumer guidance about improving OB data results is missing. Should consumers be advised to refrain from spending at night, making large purchases or using cash before seeking credit or a tenancy to avoid disrupting OB-based affordability scores? </w:t>
      </w:r>
    </w:p>
    <w:p w14:paraId="00000049" w14:textId="77777777" w:rsidR="00E94693" w:rsidRDefault="00000000">
      <w:pPr>
        <w:spacing w:after="280" w:line="360" w:lineRule="auto"/>
      </w:pPr>
      <w:r>
        <w:t>Nascent ‘tenant passports’ accelerate this trend in the Ordinal Society. Here, tenants essentially reference themselves, buying a passport from referencing firms comprising their digital profiles to demonstrate their credibility and affordability to participating landlords or agents. Passports will allow ‘ideal tenants’ to jump ahead of other prospective applicants, saving agents and landlords time sifting through multiple applicants. Several firms were working on such products, although operational details varied, but products have since been brought to market where OB is a central component.</w:t>
      </w:r>
      <w:r>
        <w:rPr>
          <w:color w:val="800080"/>
          <w:sz w:val="28"/>
          <w:szCs w:val="28"/>
          <w:vertAlign w:val="superscript"/>
        </w:rPr>
        <w:t>[2]</w:t>
      </w:r>
      <w:r>
        <w:t>. Tenant passports amplify the individual responsibilisation of housing market risk (Stonehouse et al., 2015). One firm suggested that tenant passports would reframe the rental market along the lines of labour markets, where a CV is presented from which employers select for interviews, or in this case, property viewings. These data repositories or wallets place the onus on tenants to manage their digital profiles and eigencapital</w:t>
      </w:r>
      <w:r>
        <w:rPr>
          <w:i/>
        </w:rPr>
        <w:t xml:space="preserve"> </w:t>
      </w:r>
      <w:r>
        <w:t xml:space="preserve">to secure critical housing services, empowering those with solid credentials but further disadvantaging those with weaker profiles. The direction is toward a greater imperative for these different representations of eigencapital to be carefully managed to secure future opportunities. </w:t>
      </w:r>
    </w:p>
    <w:p w14:paraId="0000004A" w14:textId="77777777" w:rsidR="00E94693" w:rsidRDefault="00000000">
      <w:pPr>
        <w:rPr>
          <w:b/>
          <w:color w:val="000000"/>
        </w:rPr>
      </w:pPr>
      <w:bookmarkStart w:id="9" w:name="_heading=h.jdvbymxxjyxn" w:colFirst="0" w:colLast="0"/>
      <w:bookmarkEnd w:id="9"/>
      <w:r>
        <w:rPr>
          <w:b/>
          <w:color w:val="000000"/>
        </w:rPr>
        <w:t>Conclusion</w:t>
      </w:r>
    </w:p>
    <w:p w14:paraId="0000004B" w14:textId="77777777" w:rsidR="00E94693" w:rsidRDefault="00E94693"/>
    <w:p w14:paraId="0000004C" w14:textId="77777777" w:rsidR="00E94693" w:rsidRDefault="00000000">
      <w:pPr>
        <w:spacing w:line="360" w:lineRule="auto"/>
      </w:pPr>
      <w:r>
        <w:t xml:space="preserve">This paper has explored the intersection of open finance and platform real estate, focusing on the role and experience of OB technology in the UK rental market. It has examined how OB is used in digital tenant referencing tools, replacing traditional credit checks with detailed data on income and spending. This moves away from historic payment patterns towards assessment through a near real time analytics of financial behaviours. While OB can potentially empower tenants by offering a more accurate view of their finances, it has also raised concerns about exclusion, privacy and the growing imbalance of power between landlords and tenants. OB represents a significant advance in algorithmic decision support in rental markets, showing how platform renting is reshaping housing access. As we have shown, the use of OB in tenant </w:t>
      </w:r>
      <w:r>
        <w:lastRenderedPageBreak/>
        <w:t>selection creates a perceived need for individuals to be reactive and to actively manage their digital data or eigencapital.</w:t>
      </w:r>
    </w:p>
    <w:p w14:paraId="0000004D" w14:textId="77777777" w:rsidR="00E94693" w:rsidRDefault="00E94693">
      <w:pPr>
        <w:spacing w:line="360" w:lineRule="auto"/>
      </w:pPr>
    </w:p>
    <w:p w14:paraId="0000004E" w14:textId="77777777" w:rsidR="00E94693" w:rsidRDefault="00000000">
      <w:pPr>
        <w:spacing w:line="360" w:lineRule="auto"/>
      </w:pPr>
      <w:r>
        <w:t xml:space="preserve">OB data enables comprehensive tenant </w:t>
      </w:r>
      <w:r w:rsidRPr="002C2301">
        <w:t>assessments via increased and detailed surveillance, with privacy often compromised.</w:t>
      </w:r>
      <w:r>
        <w:t xml:space="preserve"> Tenants may be trapped in recursive feedback loops of constant scoring and assessment. While some tenants might benefit from OB’s broader approach, those with irregular incomes or precarious finances may face greater exclusion. The paper highlights that OB can reduce information gaps for landlords, but the lack of transparency in how OB data is used raises concerns about fairness and potential bias.</w:t>
      </w:r>
    </w:p>
    <w:p w14:paraId="0000004F" w14:textId="77777777" w:rsidR="00E94693" w:rsidRDefault="00E94693">
      <w:pPr>
        <w:spacing w:line="360" w:lineRule="auto"/>
      </w:pPr>
    </w:p>
    <w:p w14:paraId="00000050" w14:textId="77777777" w:rsidR="00E94693" w:rsidRDefault="00000000">
      <w:pPr>
        <w:spacing w:line="360" w:lineRule="auto"/>
      </w:pPr>
      <w:r>
        <w:t xml:space="preserve">We conclude that </w:t>
      </w:r>
      <w:r w:rsidRPr="002C2301">
        <w:t xml:space="preserve">within the logic of what Fourcade and Healy (2024) have called the </w:t>
      </w:r>
      <w:r w:rsidRPr="002C2301">
        <w:rPr>
          <w:i/>
        </w:rPr>
        <w:t>Ordinal Society</w:t>
      </w:r>
      <w:r>
        <w:t xml:space="preserve">, OB technology </w:t>
      </w:r>
      <w:r w:rsidRPr="002C2301">
        <w:t>is considered to offer a more</w:t>
      </w:r>
      <w:r>
        <w:t xml:space="preserve"> efficient way to assess tenants, that also contributes to the commodification and digital ranking of individuals. The rapid adoption of OB, along </w:t>
      </w:r>
      <w:r w:rsidRPr="002C2301">
        <w:t>with the potential for the further emergence</w:t>
      </w:r>
      <w:r>
        <w:t xml:space="preserve"> of ‘tenant passports,’ reinforces the need for tenants to carefully manage their digital profiles to secure housing.  However, the lack of transparency, consumer understanding and regulatory oversight in using OB data risks deepening exclusionary practices, underscoring the need for stronger protections to ensure fairer outcomes in the rental market.</w:t>
      </w:r>
    </w:p>
    <w:p w14:paraId="00000051" w14:textId="77777777" w:rsidR="00E94693" w:rsidRDefault="00E94693"/>
    <w:p w14:paraId="00000052" w14:textId="77777777" w:rsidR="00E94693" w:rsidRDefault="00E94693"/>
    <w:p w14:paraId="00000053" w14:textId="77777777" w:rsidR="00E94693" w:rsidRDefault="00000000">
      <w:pPr>
        <w:pStyle w:val="Heading3"/>
        <w:keepNext w:val="0"/>
        <w:keepLines w:val="0"/>
        <w:spacing w:before="0" w:after="280" w:line="360" w:lineRule="auto"/>
        <w:rPr>
          <w:rFonts w:ascii="Times New Roman" w:eastAsia="Times New Roman" w:hAnsi="Times New Roman" w:cs="Times New Roman"/>
          <w:b/>
          <w:color w:val="000000"/>
          <w:sz w:val="24"/>
          <w:szCs w:val="24"/>
        </w:rPr>
      </w:pPr>
      <w:bookmarkStart w:id="10" w:name="_heading=h.t4o85t74exbo" w:colFirst="0" w:colLast="0"/>
      <w:bookmarkEnd w:id="10"/>
      <w:r>
        <w:rPr>
          <w:rFonts w:ascii="Times New Roman" w:eastAsia="Times New Roman" w:hAnsi="Times New Roman" w:cs="Times New Roman"/>
          <w:b/>
          <w:color w:val="000000"/>
          <w:sz w:val="24"/>
          <w:szCs w:val="24"/>
        </w:rPr>
        <w:t>Funding</w:t>
      </w:r>
    </w:p>
    <w:p w14:paraId="00000054" w14:textId="77777777" w:rsidR="00E94693" w:rsidRDefault="00000000">
      <w:pPr>
        <w:spacing w:after="280" w:line="360" w:lineRule="auto"/>
      </w:pPr>
      <w:r>
        <w:rPr>
          <w:color w:val="333333"/>
        </w:rPr>
        <w:t>This project was funded by the Nuffield Foundation, but the views expressed are those of the authors and not necessarily those of the Foundation.</w:t>
      </w:r>
    </w:p>
    <w:p w14:paraId="00000055" w14:textId="77777777" w:rsidR="00E94693" w:rsidRDefault="00000000">
      <w:pPr>
        <w:pStyle w:val="Heading3"/>
        <w:keepNext w:val="0"/>
        <w:keepLines w:val="0"/>
        <w:spacing w:before="0"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00000056" w14:textId="77777777" w:rsidR="00E94693" w:rsidRDefault="00000000">
      <w:pPr>
        <w:spacing w:after="280" w:line="360" w:lineRule="auto"/>
      </w:pPr>
      <w:r>
        <w:t xml:space="preserve">Aggarwal, N. (2021). The Norms of Algorithmic Credit Scoring. </w:t>
      </w:r>
      <w:r>
        <w:rPr>
          <w:i/>
        </w:rPr>
        <w:t xml:space="preserve">The Cambridge Law Journal </w:t>
      </w:r>
      <w:r>
        <w:t>80(1), 42–73.</w:t>
      </w:r>
    </w:p>
    <w:p w14:paraId="00000057" w14:textId="77777777" w:rsidR="00E94693" w:rsidRDefault="00000000">
      <w:pPr>
        <w:spacing w:after="280" w:line="360" w:lineRule="auto"/>
      </w:pPr>
      <w:r>
        <w:t xml:space="preserve">Aaron, L. (2024) Digital Arrival Infrastructures: Housing Platforms and Residency Governance in Berlin’s Rental Sector. </w:t>
      </w:r>
      <w:r>
        <w:rPr>
          <w:i/>
        </w:rPr>
        <w:t>Urban Planning</w:t>
      </w:r>
      <w:r>
        <w:t xml:space="preserve"> 9, Article 8480.</w:t>
      </w:r>
    </w:p>
    <w:p w14:paraId="00000058" w14:textId="77777777" w:rsidR="00E94693" w:rsidRDefault="00000000">
      <w:pPr>
        <w:shd w:val="clear" w:color="auto" w:fill="FFFFFF"/>
        <w:spacing w:after="280" w:line="360" w:lineRule="auto"/>
      </w:pPr>
      <w:r>
        <w:lastRenderedPageBreak/>
        <w:t xml:space="preserve">Amoore, L. (2020) </w:t>
      </w:r>
      <w:r>
        <w:rPr>
          <w:i/>
        </w:rPr>
        <w:t>Cloud Ethics: Algorithms and the Attributes of Ourselves and Others</w:t>
      </w:r>
      <w:r>
        <w:t>. Durham: Duke University Press.</w:t>
      </w:r>
    </w:p>
    <w:p w14:paraId="00000059" w14:textId="77777777" w:rsidR="00E94693" w:rsidRDefault="00000000">
      <w:pPr>
        <w:spacing w:after="280" w:line="360" w:lineRule="auto"/>
      </w:pPr>
      <w:r>
        <w:t xml:space="preserve">Awrey, D., &amp; Macey, J. (2023). The promise &amp; perils of open finance. </w:t>
      </w:r>
      <w:r>
        <w:rPr>
          <w:i/>
        </w:rPr>
        <w:t>Yale Journal on Regulation.</w:t>
      </w:r>
      <w:r>
        <w:t xml:space="preserve">, 40 (1) 1-59. </w:t>
      </w:r>
    </w:p>
    <w:p w14:paraId="0000005A" w14:textId="77777777" w:rsidR="00E94693" w:rsidRDefault="00000000">
      <w:pPr>
        <w:spacing w:after="280" w:line="360" w:lineRule="auto"/>
      </w:pPr>
      <w:r>
        <w:t>Azevedo, S., Kohout, R., Rogojanu, A. &amp; Wolfmayr, G. (2024). Subjectification as an ideal tenant. Competing for housing in the Viennese private rental market.</w:t>
      </w:r>
      <w:r>
        <w:rPr>
          <w:i/>
        </w:rPr>
        <w:t xml:space="preserve"> Housing Studies, </w:t>
      </w:r>
      <w:r>
        <w:t>1–25.</w:t>
      </w:r>
    </w:p>
    <w:p w14:paraId="0000005B" w14:textId="77777777" w:rsidR="00E94693" w:rsidRDefault="00000000">
      <w:pPr>
        <w:spacing w:after="280" w:line="360" w:lineRule="auto"/>
      </w:pPr>
      <w:r>
        <w:t xml:space="preserve">Babina, T., Bahaj, S., Buchak, G., De Marco, F., Gornall, F., Mazzola, F. &amp; Yu, T. (2024) </w:t>
      </w:r>
      <w:r>
        <w:rPr>
          <w:i/>
        </w:rPr>
        <w:t>Customer Data Access and Fintech Entry: Early Evidence from Open Banking NBER</w:t>
      </w:r>
      <w:r>
        <w:t xml:space="preserve"> Working Paper No. 32089 January 2024</w:t>
      </w:r>
    </w:p>
    <w:p w14:paraId="0000005C" w14:textId="77777777" w:rsidR="00E94693" w:rsidRDefault="00000000">
      <w:pPr>
        <w:spacing w:after="280" w:line="360" w:lineRule="auto"/>
      </w:pPr>
      <w:r>
        <w:t xml:space="preserve">Bajde, D., Golf-Papez, M., Kolar, T. &amp; Culiberg, B. (2024). The multiple logics of market-based governance: How the sharing economy platform Airbnb governs user conduct. </w:t>
      </w:r>
      <w:r>
        <w:rPr>
          <w:i/>
        </w:rPr>
        <w:t xml:space="preserve">Marketing Theory, </w:t>
      </w:r>
      <w:r>
        <w:t xml:space="preserve">24(3), 367-396. </w:t>
      </w:r>
    </w:p>
    <w:p w14:paraId="0000005D" w14:textId="77777777" w:rsidR="00E94693" w:rsidRDefault="00000000">
      <w:pPr>
        <w:shd w:val="clear" w:color="auto" w:fill="FFFFFF"/>
        <w:spacing w:after="280" w:line="360" w:lineRule="auto"/>
      </w:pPr>
      <w:r>
        <w:t xml:space="preserve">Baum, A. (2017) </w:t>
      </w:r>
      <w:r>
        <w:rPr>
          <w:i/>
        </w:rPr>
        <w:t>PropTech 3.0: The Future of Real Estate</w:t>
      </w:r>
      <w:r>
        <w:t>. Oxford: Said Business School, University of Oxford.</w:t>
      </w:r>
    </w:p>
    <w:p w14:paraId="0000005E" w14:textId="77777777" w:rsidR="00E94693" w:rsidRDefault="00000000">
      <w:pPr>
        <w:spacing w:after="280" w:line="360" w:lineRule="auto"/>
      </w:pPr>
      <w:r>
        <w:t xml:space="preserve">Bambauer, J. &amp; Zarsky, T. (2018) The Algorithm Game. </w:t>
      </w:r>
      <w:r>
        <w:rPr>
          <w:i/>
        </w:rPr>
        <w:t>Notre Dame Law Review</w:t>
      </w:r>
      <w:r>
        <w:t xml:space="preserve"> 94 (1) 1-47. </w:t>
      </w:r>
    </w:p>
    <w:p w14:paraId="0000005F" w14:textId="77777777" w:rsidR="00E94693" w:rsidRDefault="00000000">
      <w:pPr>
        <w:spacing w:after="280" w:line="360" w:lineRule="auto"/>
      </w:pPr>
      <w:r>
        <w:t>Beer, D. (2022). The problem of researching a recursive society: Algorithms, data coils and the looping of the social.</w:t>
      </w:r>
      <w:r>
        <w:rPr>
          <w:i/>
        </w:rPr>
        <w:t xml:space="preserve"> Big Data &amp; Society,</w:t>
      </w:r>
      <w:r>
        <w:t xml:space="preserve"> 9(2). </w:t>
      </w:r>
    </w:p>
    <w:p w14:paraId="00000060" w14:textId="77777777" w:rsidR="00E94693" w:rsidRDefault="00000000">
      <w:pPr>
        <w:spacing w:after="280" w:line="360" w:lineRule="auto"/>
      </w:pPr>
      <w:r>
        <w:t xml:space="preserve">Beer, D., Wallace A., Ciocănel A., Burrows R. &amp; Cussens, J. (2023) ‘Automation Hesitancy: Confidence Deficits, Established Limits and Notional Horizons in the Application of Algorithms within the Private Rental Sector in the UK’, </w:t>
      </w:r>
      <w:r>
        <w:rPr>
          <w:i/>
        </w:rPr>
        <w:t>Information, Communication &amp; Society,</w:t>
      </w:r>
      <w:r>
        <w:t xml:space="preserve"> 27(9), 1743–1758.</w:t>
      </w:r>
    </w:p>
    <w:p w14:paraId="00000061" w14:textId="77777777" w:rsidR="00E94693" w:rsidRDefault="00000000">
      <w:pPr>
        <w:spacing w:after="280" w:line="360" w:lineRule="auto"/>
      </w:pPr>
      <w:r>
        <w:t xml:space="preserve">Beer, D., Wallace, A., Burrows, R., Ciocanel, A. &amp; Cussens, J. (2024). Valuing the manual: the demarcation of embodied practices within algorithmic decision-making processes. </w:t>
      </w:r>
      <w:r>
        <w:rPr>
          <w:i/>
        </w:rPr>
        <w:t>Social &amp; Cultural Geography,</w:t>
      </w:r>
      <w:r>
        <w:t xml:space="preserve"> 25(10), 1575–1593.</w:t>
      </w:r>
    </w:p>
    <w:p w14:paraId="00000062" w14:textId="77777777" w:rsidR="00E94693" w:rsidRDefault="00000000">
      <w:pPr>
        <w:spacing w:after="280" w:line="360" w:lineRule="auto"/>
      </w:pPr>
      <w:r>
        <w:lastRenderedPageBreak/>
        <w:t xml:space="preserve">Berg, T., Burg, V., Gombović, A., et al. (2020) On the rise of FinTechs: Credit scoring using digital footprints. </w:t>
      </w:r>
      <w:r>
        <w:rPr>
          <w:i/>
        </w:rPr>
        <w:t xml:space="preserve">The Review of Financial Studies </w:t>
      </w:r>
      <w:r>
        <w:t>33(7) 2845–2897.</w:t>
      </w:r>
    </w:p>
    <w:p w14:paraId="00000063" w14:textId="1D3832FF" w:rsidR="00E94693" w:rsidRDefault="00000000">
      <w:pPr>
        <w:spacing w:after="280" w:line="360" w:lineRule="auto"/>
      </w:pPr>
      <w:r>
        <w:t xml:space="preserve">Bluestone Mortgages (2024) Is the future of mortgage approvals Open Banking? London, Bluestone Mortgages. </w:t>
      </w:r>
      <w:r w:rsidR="00C93217">
        <w:t>Retrieved</w:t>
      </w:r>
      <w:r>
        <w:t xml:space="preserve"> 1 February 2025. </w:t>
      </w:r>
      <w:hyperlink r:id="rId12">
        <w:r w:rsidR="00E94693">
          <w:rPr>
            <w:color w:val="1155CC"/>
            <w:u w:val="single"/>
          </w:rPr>
          <w:t>https://bluestonemortgages.co.uk/news/is-the-future-of-mortgage-approvals-open-banking/</w:t>
        </w:r>
      </w:hyperlink>
      <w:r>
        <w:t xml:space="preserve"> </w:t>
      </w:r>
    </w:p>
    <w:p w14:paraId="00000064" w14:textId="77777777" w:rsidR="00E94693" w:rsidRDefault="00000000">
      <w:pPr>
        <w:spacing w:after="280" w:line="360" w:lineRule="auto"/>
      </w:pPr>
      <w:r>
        <w:t xml:space="preserve">Bogle, A. (2024) ‘The Australian tenants who are charged to pay their rent.’ The Guardian. Retrieved 18 September 2024. </w:t>
      </w:r>
      <w:hyperlink r:id="rId13">
        <w:r w:rsidR="00E94693">
          <w:rPr>
            <w:color w:val="1155CC"/>
            <w:u w:val="single"/>
          </w:rPr>
          <w:t>https://www.theguardian.com/australia-news/2024/sep/18/renttech-real-estate-ailo-snug-ignite-renters-ntwnfb</w:t>
        </w:r>
      </w:hyperlink>
      <w:r>
        <w:t xml:space="preserve"> </w:t>
      </w:r>
    </w:p>
    <w:p w14:paraId="00000065" w14:textId="77777777" w:rsidR="00E94693" w:rsidRDefault="00000000">
      <w:r>
        <w:rPr>
          <w:color w:val="000000"/>
        </w:rPr>
        <w:t>Bonnet, F. &amp;Pollard, J. (2021) Tenant selection in the private rental sector of Paris and Geneva. </w:t>
      </w:r>
      <w:r>
        <w:rPr>
          <w:i/>
          <w:color w:val="000000"/>
        </w:rPr>
        <w:t>Housing Studies</w:t>
      </w:r>
      <w:r>
        <w:rPr>
          <w:color w:val="000000"/>
        </w:rPr>
        <w:t> 36(9). Routledge: 1427–1445.</w:t>
      </w:r>
    </w:p>
    <w:p w14:paraId="00000066" w14:textId="77777777" w:rsidR="00E94693" w:rsidRDefault="00E94693"/>
    <w:p w14:paraId="00000067" w14:textId="77777777" w:rsidR="00E94693" w:rsidRDefault="00000000">
      <w:pPr>
        <w:spacing w:after="280" w:line="360" w:lineRule="auto"/>
        <w:rPr>
          <w:color w:val="474747"/>
          <w:highlight w:val="white"/>
        </w:rPr>
      </w:pPr>
      <w:r>
        <w:t xml:space="preserve">Borgogno, O. &amp; Colangelo, G. (2020) Consumer Inertia and Competition-Sensitive Data Governance: The Case of Open Banking </w:t>
      </w:r>
      <w:r>
        <w:rPr>
          <w:i/>
        </w:rPr>
        <w:t xml:space="preserve">Journal of European Consumer and Market Law, </w:t>
      </w:r>
      <w:r>
        <w:t xml:space="preserve">9 (4) </w:t>
      </w:r>
      <w:r>
        <w:rPr>
          <w:color w:val="474747"/>
          <w:highlight w:val="white"/>
        </w:rPr>
        <w:t>143 – 150.</w:t>
      </w:r>
    </w:p>
    <w:p w14:paraId="00000068" w14:textId="77777777" w:rsidR="00E94693" w:rsidRDefault="00000000">
      <w:pPr>
        <w:spacing w:after="280" w:line="360" w:lineRule="auto"/>
        <w:rPr>
          <w:highlight w:val="white"/>
        </w:rPr>
      </w:pPr>
      <w:r>
        <w:t xml:space="preserve">Bourdieu, P. (1986) The forms of capital. In J. Richardson (Ed.) </w:t>
      </w:r>
      <w:r>
        <w:rPr>
          <w:i/>
        </w:rPr>
        <w:t>Handbook of Theory and Research for the Sociology of Education</w:t>
      </w:r>
      <w:r>
        <w:t xml:space="preserve"> (New York, Greenwood), 241-258.</w:t>
      </w:r>
    </w:p>
    <w:p w14:paraId="00000069" w14:textId="77777777" w:rsidR="00E94693" w:rsidRDefault="00000000">
      <w:pPr>
        <w:spacing w:after="280" w:line="360" w:lineRule="auto"/>
        <w:rPr>
          <w:color w:val="800080"/>
          <w:u w:val="single"/>
        </w:rPr>
      </w:pPr>
      <w:r>
        <w:rPr>
          <w:highlight w:val="white"/>
        </w:rPr>
        <w:t xml:space="preserve">Calder-Wang, S. &amp; Kim, G.  (2024) Algorithmic Pricing in Multifamily Rentals: Efficiency Gains or Price Coordination? Available at SSRN: </w:t>
      </w:r>
      <w:hyperlink r:id="rId14">
        <w:r w:rsidR="00E94693">
          <w:rPr>
            <w:color w:val="800080"/>
            <w:u w:val="single"/>
          </w:rPr>
          <w:t>https://ssrn.com/abstract=4403058</w:t>
        </w:r>
      </w:hyperlink>
    </w:p>
    <w:p w14:paraId="0000006A" w14:textId="77777777" w:rsidR="00E94693" w:rsidRDefault="00000000">
      <w:pPr>
        <w:spacing w:after="280" w:line="360" w:lineRule="auto"/>
      </w:pPr>
      <w:r>
        <w:t xml:space="preserve">Chan R, Troshani I, Rao Hill S, et al. (2022) Towards an understanding of consumers’ FinTech adoption: the case of Open Banking. </w:t>
      </w:r>
      <w:r>
        <w:rPr>
          <w:i/>
        </w:rPr>
        <w:t>International journal of bank marketing.</w:t>
      </w:r>
      <w:r>
        <w:t xml:space="preserve"> 40(4) 886-917.</w:t>
      </w:r>
    </w:p>
    <w:p w14:paraId="0000006B" w14:textId="77777777" w:rsidR="00E94693" w:rsidRDefault="00000000">
      <w:pPr>
        <w:shd w:val="clear" w:color="auto" w:fill="FFFFFF"/>
        <w:spacing w:after="280" w:line="360" w:lineRule="auto"/>
      </w:pPr>
      <w:r>
        <w:t>Chun, W.H.K. (20</w:t>
      </w:r>
      <w:r>
        <w:rPr>
          <w:highlight w:val="yellow"/>
        </w:rPr>
        <w:t>21</w:t>
      </w:r>
      <w:r>
        <w:t xml:space="preserve">). </w:t>
      </w:r>
      <w:r>
        <w:rPr>
          <w:i/>
        </w:rPr>
        <w:t>Discriminating Data</w:t>
      </w:r>
      <w:r>
        <w:t>. Cambridge: MIT Press.</w:t>
      </w:r>
    </w:p>
    <w:p w14:paraId="0000006C" w14:textId="77777777" w:rsidR="00E94693" w:rsidRDefault="00000000">
      <w:pPr>
        <w:shd w:val="clear" w:color="auto" w:fill="FFFFFF"/>
        <w:spacing w:after="280" w:line="360" w:lineRule="auto"/>
      </w:pPr>
      <w:r>
        <w:t xml:space="preserve">Ciocănel A., Wallace A., Beer D., Cussens J. &amp; Burrows R. (2024) Open Banking and data reassurance: the case of tenant referencing in the UK. </w:t>
      </w:r>
      <w:r>
        <w:rPr>
          <w:i/>
        </w:rPr>
        <w:t>Information, Communication &amp; Society</w:t>
      </w:r>
      <w:r>
        <w:t xml:space="preserve">, 27 (10) </w:t>
      </w:r>
    </w:p>
    <w:p w14:paraId="0000006D" w14:textId="77777777" w:rsidR="00E94693" w:rsidRDefault="00000000">
      <w:pPr>
        <w:shd w:val="clear" w:color="auto" w:fill="FFFFFF"/>
        <w:spacing w:after="280" w:line="360" w:lineRule="auto"/>
      </w:pPr>
      <w:r>
        <w:t xml:space="preserve">CMA (2023) </w:t>
      </w:r>
      <w:r>
        <w:rPr>
          <w:i/>
        </w:rPr>
        <w:t xml:space="preserve">Rented Housing Sector: Consumer Research Project Update Report. </w:t>
      </w:r>
      <w:r>
        <w:t>London, Competition and Market Authority.</w:t>
      </w:r>
    </w:p>
    <w:p w14:paraId="0000006E" w14:textId="77777777" w:rsidR="00E94693" w:rsidRDefault="00000000">
      <w:pPr>
        <w:spacing w:after="280" w:line="360" w:lineRule="auto"/>
      </w:pPr>
      <w:r>
        <w:lastRenderedPageBreak/>
        <w:t xml:space="preserve">Cocola-Gant, A. &amp; Gago, A. (2021) Airbnb, buy-to-let investment and tourism-driven displacement: A case study in Lisbon. </w:t>
      </w:r>
      <w:r>
        <w:rPr>
          <w:i/>
        </w:rPr>
        <w:t xml:space="preserve">Environment and Planning A: Economy and Space, </w:t>
      </w:r>
      <w:r>
        <w:t xml:space="preserve">53(7), 1671-1688. </w:t>
      </w:r>
    </w:p>
    <w:p w14:paraId="0000006F" w14:textId="77777777" w:rsidR="00E94693" w:rsidRDefault="00000000">
      <w:pPr>
        <w:spacing w:after="280" w:line="360" w:lineRule="auto"/>
      </w:pPr>
      <w:r>
        <w:t xml:space="preserve">Compliance Week (2023) TransUnion settles with CFPB, FTC over tenant screening accuracy.  Retrieved 28 Jun 2024. </w:t>
      </w:r>
      <w:hyperlink r:id="rId15">
        <w:r w:rsidR="00E94693">
          <w:rPr>
            <w:color w:val="1155CC"/>
            <w:u w:val="single"/>
          </w:rPr>
          <w:t>https://www.complianceweek.com/regulatory-enforcement/transunion-settles-with-cfpb-ftc-over-tenant-screening-accuracy/33711.article</w:t>
        </w:r>
      </w:hyperlink>
    </w:p>
    <w:p w14:paraId="00000070" w14:textId="77777777" w:rsidR="00E94693" w:rsidRDefault="00000000">
      <w:pPr>
        <w:shd w:val="clear" w:color="auto" w:fill="FFFFFF"/>
        <w:spacing w:after="280" w:line="360" w:lineRule="auto"/>
      </w:pPr>
      <w:r>
        <w:t xml:space="preserve">Consumer Financial Protection Bureau (2022) </w:t>
      </w:r>
      <w:r>
        <w:rPr>
          <w:i/>
        </w:rPr>
        <w:t>Tenant Background Checks Market</w:t>
      </w:r>
      <w:r>
        <w:t>. Washington DC: Consumer Financial Protection Bureau.</w:t>
      </w:r>
    </w:p>
    <w:p w14:paraId="00000071" w14:textId="312600B3" w:rsidR="00E94693" w:rsidRDefault="00000000">
      <w:pPr>
        <w:shd w:val="clear" w:color="auto" w:fill="FFFFFF"/>
        <w:spacing w:after="280" w:line="360" w:lineRule="auto"/>
      </w:pPr>
      <w:r>
        <w:t xml:space="preserve">Convery, S. (2022a) ‘They’re held over a barrel’: in the overheated rental market, tenant vetting can go too far. </w:t>
      </w:r>
      <w:r>
        <w:rPr>
          <w:i/>
        </w:rPr>
        <w:t xml:space="preserve">Guardian. </w:t>
      </w:r>
      <w:r w:rsidR="00C93217">
        <w:t>Retrieved 28</w:t>
      </w:r>
      <w:r>
        <w:t xml:space="preserve"> June 2024. </w:t>
      </w:r>
      <w:r>
        <w:rPr>
          <w:color w:val="1155CC"/>
        </w:rPr>
        <w:t xml:space="preserve">https://www.theguardian.com/australia-news/2022/may/29/theyre-held-over-a-barrel-in-the -overheated-rental-market-tenant-vetting-can-go-too-far </w:t>
      </w:r>
    </w:p>
    <w:p w14:paraId="00000072" w14:textId="77777777" w:rsidR="00E94693" w:rsidRDefault="00000000">
      <w:pPr>
        <w:shd w:val="clear" w:color="auto" w:fill="FFFFFF"/>
        <w:spacing w:after="280" w:line="360" w:lineRule="auto"/>
      </w:pPr>
      <w:r>
        <w:t>Convery, S. (2022b) Imperfect match: Australian renters in the dark overuse of data by tech company Snug.  London, Guardian</w:t>
      </w:r>
      <w:r>
        <w:rPr>
          <w:i/>
        </w:rPr>
        <w:t xml:space="preserve"> </w:t>
      </w:r>
      <w:r>
        <w:t xml:space="preserve">Retrieved 28 June 2024. </w:t>
      </w:r>
      <w:hyperlink r:id="rId16">
        <w:r w:rsidR="00E94693">
          <w:rPr>
            <w:color w:val="1155CC"/>
            <w:u w:val="single"/>
          </w:rPr>
          <w:t>https://www.theguardian.com/australia-news/2022/nov/17/imperfect-match-australian-renters-in-the-dark-over-use-of-data-by-tech-company-snug</w:t>
        </w:r>
      </w:hyperlink>
    </w:p>
    <w:p w14:paraId="00000073" w14:textId="77777777" w:rsidR="00E94693" w:rsidRDefault="00000000">
      <w:pPr>
        <w:shd w:val="clear" w:color="auto" w:fill="FFFFFF"/>
        <w:spacing w:after="280" w:line="360" w:lineRule="auto"/>
        <w:rPr>
          <w:color w:val="2A2A2A"/>
          <w:highlight w:val="white"/>
        </w:rPr>
      </w:pPr>
      <w:r>
        <w:rPr>
          <w:color w:val="2A2A2A"/>
        </w:rPr>
        <w:t>Criado, N. &amp; Such, J. (2019) 'Digital Discrimination'</w:t>
      </w:r>
      <w:r>
        <w:rPr>
          <w:color w:val="2A2A2A"/>
          <w:highlight w:val="white"/>
        </w:rPr>
        <w:t>,</w:t>
      </w:r>
      <w:r>
        <w:rPr>
          <w:color w:val="2A2A2A"/>
        </w:rPr>
        <w:t> in Karen Yeung, and Martin Lodge (eds)</w:t>
      </w:r>
      <w:r>
        <w:rPr>
          <w:color w:val="2A2A2A"/>
          <w:highlight w:val="white"/>
        </w:rPr>
        <w:t>, </w:t>
      </w:r>
      <w:r>
        <w:rPr>
          <w:i/>
          <w:color w:val="2A2A2A"/>
        </w:rPr>
        <w:t>Algorithmic Regulation</w:t>
      </w:r>
      <w:r>
        <w:rPr>
          <w:color w:val="2A2A2A"/>
          <w:highlight w:val="white"/>
        </w:rPr>
        <w:t> </w:t>
      </w:r>
      <w:r>
        <w:rPr>
          <w:color w:val="2A2A2A"/>
        </w:rPr>
        <w:t>Oxford, Oxford Academic.</w:t>
      </w:r>
    </w:p>
    <w:p w14:paraId="00000074" w14:textId="77777777" w:rsidR="00E94693" w:rsidRDefault="00000000">
      <w:pPr>
        <w:shd w:val="clear" w:color="auto" w:fill="FFFFFF"/>
        <w:spacing w:after="280" w:line="360" w:lineRule="auto"/>
      </w:pPr>
      <w:r>
        <w:t xml:space="preserve">Dencik, L., Hintz, A., Redden, J. &amp;Warne, H. (2018) </w:t>
      </w:r>
      <w:r>
        <w:rPr>
          <w:i/>
        </w:rPr>
        <w:t>Data Scores as Governance: Investigating Uses of Citizen Scoring in Public Services</w:t>
      </w:r>
      <w:r>
        <w:t>. Cardiff: Data Justice Lab.</w:t>
      </w:r>
    </w:p>
    <w:p w14:paraId="00000075" w14:textId="77777777" w:rsidR="00E94693" w:rsidRDefault="00000000">
      <w:pPr>
        <w:spacing w:after="280" w:line="360" w:lineRule="auto"/>
      </w:pPr>
      <w:r>
        <w:t xml:space="preserve">Djeundje VB, Crook J, Calabrese R, et al. (2021) Enhancing credit scoring with alternative data. </w:t>
      </w:r>
      <w:r>
        <w:rPr>
          <w:i/>
        </w:rPr>
        <w:t>Expert Systems with Applications</w:t>
      </w:r>
      <w:r>
        <w:t xml:space="preserve"> 163. 113766.</w:t>
      </w:r>
    </w:p>
    <w:p w14:paraId="00000076" w14:textId="77777777" w:rsidR="00E94693" w:rsidRDefault="00000000">
      <w:pPr>
        <w:spacing w:after="280" w:line="360" w:lineRule="auto"/>
      </w:pPr>
      <w:r>
        <w:t xml:space="preserve">DRW (2023) ‘DRW calls for regulation of RentTech amongst housing crisis’ 7 August 2023. Digital Rights Watch. Retrieved 2 September 2024.  </w:t>
      </w:r>
      <w:hyperlink r:id="rId17">
        <w:r w:rsidR="00E94693">
          <w:rPr>
            <w:color w:val="1155CC"/>
            <w:u w:val="single"/>
          </w:rPr>
          <w:t>https://digitalrightswatch.org.au/2023/08/07/renttech/</w:t>
        </w:r>
      </w:hyperlink>
      <w:r>
        <w:t xml:space="preserve"> </w:t>
      </w:r>
    </w:p>
    <w:p w14:paraId="00000077" w14:textId="77777777" w:rsidR="00E94693" w:rsidRDefault="00000000">
      <w:pPr>
        <w:spacing w:after="280" w:line="360" w:lineRule="auto"/>
      </w:pPr>
      <w:r>
        <w:lastRenderedPageBreak/>
        <w:t xml:space="preserve">DSIT (2024) </w:t>
      </w:r>
      <w:r>
        <w:rPr>
          <w:i/>
        </w:rPr>
        <w:t>Public attitudes to data and AI: Tracker survey (Wave 4) report.</w:t>
      </w:r>
      <w:r>
        <w:t xml:space="preserve"> London, Department for Science, Innovation and Technology. </w:t>
      </w:r>
    </w:p>
    <w:p w14:paraId="00000078" w14:textId="77777777" w:rsidR="00E94693" w:rsidRDefault="00000000">
      <w:pPr>
        <w:spacing w:after="280" w:line="360" w:lineRule="auto"/>
      </w:pPr>
      <w:r>
        <w:t>Dunn, E. &amp; Grabchuk, M. (2010) Background Checks and Social Effects: Contemporary Residential Tenant-Screening Problems in Washington State,</w:t>
      </w:r>
      <w:r>
        <w:rPr>
          <w:i/>
        </w:rPr>
        <w:t xml:space="preserve"> Seattle Journal of Social Justice</w:t>
      </w:r>
      <w:r>
        <w:t xml:space="preserve"> 9(1), 319-399. </w:t>
      </w:r>
    </w:p>
    <w:p w14:paraId="00000079" w14:textId="77777777" w:rsidR="00E94693" w:rsidRDefault="00000000">
      <w:pPr>
        <w:shd w:val="clear" w:color="auto" w:fill="FFFFFF"/>
        <w:spacing w:after="280" w:line="360" w:lineRule="auto"/>
      </w:pPr>
      <w:r>
        <w:t xml:space="preserve">Dunning, R.J. &amp; Grayson, A. (2014) Homebuyers and the representation of spatial markets by information providers. </w:t>
      </w:r>
      <w:r>
        <w:rPr>
          <w:i/>
        </w:rPr>
        <w:t xml:space="preserve">International Journal of Housing Markets and Analysis </w:t>
      </w:r>
      <w:r>
        <w:t>7(3). 292–306.</w:t>
      </w:r>
    </w:p>
    <w:p w14:paraId="0000007A" w14:textId="77777777" w:rsidR="00E94693" w:rsidRDefault="00000000">
      <w:pPr>
        <w:spacing w:after="280" w:line="360" w:lineRule="auto"/>
      </w:pPr>
      <w:r>
        <w:t xml:space="preserve">Equifax (2024) The increasing importance of accurate affordability checks. Retrieved 22 August 2024. </w:t>
      </w:r>
      <w:hyperlink r:id="rId18">
        <w:r w:rsidR="00E94693">
          <w:rPr>
            <w:color w:val="1155CC"/>
            <w:u w:val="single"/>
          </w:rPr>
          <w:t>https://tinyurl.com/4mskfff2</w:t>
        </w:r>
      </w:hyperlink>
      <w:r>
        <w:t xml:space="preserve"> </w:t>
      </w:r>
    </w:p>
    <w:p w14:paraId="0000007B" w14:textId="77777777" w:rsidR="00E94693" w:rsidRDefault="00000000">
      <w:pPr>
        <w:shd w:val="clear" w:color="auto" w:fill="FFFFFF"/>
        <w:spacing w:after="280" w:line="360" w:lineRule="auto"/>
      </w:pPr>
      <w:r>
        <w:t xml:space="preserve">Espeland, W. &amp; Sauder, M. (2007) ‘Ranking and reactivity: How public measures recreate social worlds’, </w:t>
      </w:r>
      <w:r>
        <w:rPr>
          <w:i/>
        </w:rPr>
        <w:t>American Journal of Sociology</w:t>
      </w:r>
      <w:r>
        <w:t xml:space="preserve"> 113(1): 1-40.</w:t>
      </w:r>
    </w:p>
    <w:p w14:paraId="0000007C" w14:textId="77777777" w:rsidR="00E94693" w:rsidRDefault="00000000">
      <w:pPr>
        <w:shd w:val="clear" w:color="auto" w:fill="FFFFFF"/>
        <w:spacing w:after="280" w:line="360" w:lineRule="auto"/>
        <w:rPr>
          <w:color w:val="980000"/>
          <w:u w:val="single"/>
        </w:rPr>
      </w:pPr>
      <w:r>
        <w:t xml:space="preserve">Experian (2019) </w:t>
      </w:r>
      <w:r>
        <w:rPr>
          <w:i/>
        </w:rPr>
        <w:t xml:space="preserve">Making the Invisible Visible: Exploring the power of new data sources, </w:t>
      </w:r>
      <w:r>
        <w:t>London: Experian UK</w:t>
      </w:r>
    </w:p>
    <w:p w14:paraId="0000007D" w14:textId="77777777" w:rsidR="00E94693" w:rsidRDefault="00000000">
      <w:pPr>
        <w:spacing w:after="280" w:line="360" w:lineRule="auto"/>
      </w:pPr>
      <w:r>
        <w:t xml:space="preserve">FCA (2021). </w:t>
      </w:r>
      <w:r>
        <w:rPr>
          <w:i/>
        </w:rPr>
        <w:t xml:space="preserve">Open Finance: Feedback statement. 21/7. </w:t>
      </w:r>
      <w:r>
        <w:t xml:space="preserve">London, Financial Conduct Authority. </w:t>
      </w:r>
    </w:p>
    <w:p w14:paraId="0000007E" w14:textId="77777777" w:rsidR="00E94693" w:rsidRDefault="00000000">
      <w:pPr>
        <w:spacing w:after="280" w:line="360" w:lineRule="auto"/>
      </w:pPr>
      <w:r>
        <w:t xml:space="preserve">FCA (2022) </w:t>
      </w:r>
      <w:r>
        <w:rPr>
          <w:i/>
        </w:rPr>
        <w:t>MS19/1: Credit Information Market Study: Final Report</w:t>
      </w:r>
      <w:r>
        <w:t xml:space="preserve">. </w:t>
      </w:r>
      <w:r>
        <w:rPr>
          <w:i/>
        </w:rPr>
        <w:t xml:space="preserve"> </w:t>
      </w:r>
      <w:r>
        <w:t xml:space="preserve">London, Financial Conduct Authority. </w:t>
      </w:r>
    </w:p>
    <w:p w14:paraId="0000007F" w14:textId="77777777" w:rsidR="00E94693" w:rsidRDefault="00000000">
      <w:pPr>
        <w:spacing w:after="280" w:line="360" w:lineRule="auto"/>
      </w:pPr>
      <w:r>
        <w:t xml:space="preserve">FCA (2025) </w:t>
      </w:r>
      <w:r>
        <w:rPr>
          <w:i/>
        </w:rPr>
        <w:t xml:space="preserve">Consumer Credit sourcebook: Chapter 5 Responsible lending. </w:t>
      </w:r>
      <w:r>
        <w:t xml:space="preserve">London, Financial Conduct Authority. Retrieved 8 March 2025. </w:t>
      </w:r>
      <w:hyperlink r:id="rId19">
        <w:r w:rsidR="00E94693">
          <w:rPr>
            <w:color w:val="1155CC"/>
            <w:u w:val="single"/>
          </w:rPr>
          <w:t>https://www.handbook.fca.org.uk/handbook/CONC/5/2A.pdf</w:t>
        </w:r>
      </w:hyperlink>
      <w:r>
        <w:t xml:space="preserve"> </w:t>
      </w:r>
    </w:p>
    <w:p w14:paraId="00000080" w14:textId="77777777" w:rsidR="00E94693" w:rsidRDefault="00000000">
      <w:pPr>
        <w:shd w:val="clear" w:color="auto" w:fill="FFFFFF"/>
        <w:spacing w:after="280" w:line="360" w:lineRule="auto"/>
      </w:pPr>
      <w:r>
        <w:t xml:space="preserve">Fields, D. (2022). Automated landlord: Digital technologies and post-crisis financial accumulation. </w:t>
      </w:r>
      <w:r>
        <w:rPr>
          <w:i/>
        </w:rPr>
        <w:t>Environment and Planning A: Economy and Space</w:t>
      </w:r>
      <w:r>
        <w:t xml:space="preserve">, 54(1), 160-181. </w:t>
      </w:r>
    </w:p>
    <w:p w14:paraId="00000081" w14:textId="77777777" w:rsidR="00E94693" w:rsidRDefault="00000000">
      <w:pPr>
        <w:shd w:val="clear" w:color="auto" w:fill="FFFFFF"/>
        <w:spacing w:after="280" w:line="360" w:lineRule="auto"/>
      </w:pPr>
      <w:r>
        <w:t xml:space="preserve">Fields, D. &amp; Rogers, D. (2021). Towards a critical housing studies research agenda on platform real estate. </w:t>
      </w:r>
      <w:r>
        <w:rPr>
          <w:i/>
        </w:rPr>
        <w:t>Housing, Theory and Society</w:t>
      </w:r>
      <w:r>
        <w:t xml:space="preserve">, 38(1), 72–94. </w:t>
      </w:r>
    </w:p>
    <w:p w14:paraId="00000082" w14:textId="77777777" w:rsidR="00E94693" w:rsidRDefault="00000000">
      <w:pPr>
        <w:spacing w:after="280" w:line="360" w:lineRule="auto"/>
      </w:pPr>
      <w:r>
        <w:t xml:space="preserve">Fourcade, M. &amp;Healy, K. (2017) Seeing like a market. </w:t>
      </w:r>
      <w:r>
        <w:rPr>
          <w:i/>
        </w:rPr>
        <w:t>Socio-Economic Review</w:t>
      </w:r>
      <w:r>
        <w:t xml:space="preserve"> 15(1). 9–29.</w:t>
      </w:r>
    </w:p>
    <w:p w14:paraId="00000083" w14:textId="77777777" w:rsidR="00E94693" w:rsidRDefault="00000000">
      <w:pPr>
        <w:shd w:val="clear" w:color="auto" w:fill="FFFFFF"/>
        <w:spacing w:after="280" w:line="360" w:lineRule="auto"/>
      </w:pPr>
      <w:r>
        <w:lastRenderedPageBreak/>
        <w:t xml:space="preserve">Fourcade, M. &amp; Healy, K. (2024) </w:t>
      </w:r>
      <w:r>
        <w:rPr>
          <w:i/>
        </w:rPr>
        <w:t>The Ordinal Society</w:t>
      </w:r>
      <w:r>
        <w:t>, London: Harvard University Press.</w:t>
      </w:r>
    </w:p>
    <w:p w14:paraId="00000084" w14:textId="77777777" w:rsidR="00E94693" w:rsidRDefault="00000000">
      <w:pPr>
        <w:spacing w:after="280" w:line="360" w:lineRule="auto"/>
      </w:pPr>
      <w:r>
        <w:rPr>
          <w:color w:val="333333"/>
          <w:highlight w:val="white"/>
        </w:rPr>
        <w:t>Gillingham, P. (2019). Decision Support Systems, Social Justice and Algorithmic Accountability in Social Work: A New Challenge. </w:t>
      </w:r>
      <w:r>
        <w:rPr>
          <w:i/>
          <w:color w:val="333333"/>
        </w:rPr>
        <w:t>Practice</w:t>
      </w:r>
      <w:r>
        <w:rPr>
          <w:color w:val="333333"/>
          <w:highlight w:val="white"/>
        </w:rPr>
        <w:t>, </w:t>
      </w:r>
      <w:r>
        <w:rPr>
          <w:i/>
          <w:color w:val="333333"/>
        </w:rPr>
        <w:t>31</w:t>
      </w:r>
      <w:r>
        <w:rPr>
          <w:color w:val="333333"/>
          <w:highlight w:val="white"/>
        </w:rPr>
        <w:t xml:space="preserve">(4), 277–290. </w:t>
      </w:r>
    </w:p>
    <w:p w14:paraId="00000085" w14:textId="77777777" w:rsidR="00E94693" w:rsidRDefault="00000000">
      <w:pPr>
        <w:spacing w:after="280" w:line="360" w:lineRule="auto"/>
      </w:pPr>
      <w:r>
        <w:t xml:space="preserve">He, Z., Huang, J. &amp; Zhou, J.  (2023) Open banking: Credit market competition when borrowers own the data, </w:t>
      </w:r>
      <w:r>
        <w:rPr>
          <w:i/>
        </w:rPr>
        <w:t>Journal of Financial Economics,</w:t>
      </w:r>
      <w:r>
        <w:t>147 (2), 449-474.</w:t>
      </w:r>
    </w:p>
    <w:p w14:paraId="00000086" w14:textId="77777777" w:rsidR="00E94693" w:rsidRDefault="00000000">
      <w:pPr>
        <w:shd w:val="clear" w:color="auto" w:fill="FFFFFF"/>
        <w:spacing w:after="280" w:line="360" w:lineRule="auto"/>
        <w:rPr>
          <w:color w:val="222222"/>
        </w:rPr>
      </w:pPr>
      <w:r>
        <w:rPr>
          <w:color w:val="222222"/>
        </w:rPr>
        <w:t xml:space="preserve">Hjelkrem, L. O., de Lange, P. E., &amp; Nesset, E. (2022). The Value of Open Banking Data for Application Credit Scoring: Case Study of a Norwegian Bank. </w:t>
      </w:r>
      <w:r>
        <w:rPr>
          <w:i/>
          <w:color w:val="222222"/>
        </w:rPr>
        <w:t>Journal of Risk and Financial Management</w:t>
      </w:r>
      <w:r>
        <w:rPr>
          <w:color w:val="222222"/>
        </w:rPr>
        <w:t xml:space="preserve">, </w:t>
      </w:r>
      <w:r>
        <w:rPr>
          <w:i/>
          <w:color w:val="222222"/>
        </w:rPr>
        <w:t>15</w:t>
      </w:r>
      <w:r>
        <w:rPr>
          <w:color w:val="222222"/>
        </w:rPr>
        <w:t xml:space="preserve">(12), 597. </w:t>
      </w:r>
    </w:p>
    <w:p w14:paraId="00000087" w14:textId="77777777" w:rsidR="00E94693" w:rsidRDefault="00000000">
      <w:pPr>
        <w:spacing w:after="280" w:line="360" w:lineRule="auto"/>
      </w:pPr>
      <w:r>
        <w:t xml:space="preserve">HUD (2024) HUD warns on AI-fuelled housing discrimination. Retrieved 28 June 2024. </w:t>
      </w:r>
      <w:hyperlink r:id="rId20">
        <w:r w:rsidR="00E94693">
          <w:rPr>
            <w:color w:val="1155CC"/>
            <w:u w:val="single"/>
          </w:rPr>
          <w:t>https://www.nextgov.com/digital-government/2024/05/hud-warns-ai-fueled-housing-discrimination/396305/</w:t>
        </w:r>
      </w:hyperlink>
      <w:r>
        <w:t xml:space="preserve"> </w:t>
      </w:r>
    </w:p>
    <w:p w14:paraId="00000088" w14:textId="77777777" w:rsidR="00E94693" w:rsidRDefault="00000000">
      <w:pPr>
        <w:shd w:val="clear" w:color="auto" w:fill="FFFFFF"/>
        <w:spacing w:after="280" w:line="360" w:lineRule="auto"/>
      </w:pPr>
      <w:r>
        <w:t>Husmus (2023)</w:t>
      </w:r>
      <w:r>
        <w:rPr>
          <w:i/>
        </w:rPr>
        <w:t xml:space="preserve"> Moving in the UK: Challenging an unfair renting model. </w:t>
      </w:r>
      <w:r>
        <w:t xml:space="preserve">London, Husmus. Retrieved 19 February 2025. </w:t>
      </w:r>
      <w:hyperlink r:id="rId21">
        <w:r w:rsidR="00E94693">
          <w:rPr>
            <w:color w:val="1155CC"/>
            <w:u w:val="single"/>
          </w:rPr>
          <w:t>https://static1.squarespace.com/static/5cdaae1065a7071779d6a4f7/t/627b83670e9a5e1d01217428/1652261743091/Husmus_Report_Challenging+an+unfair+renting+model.pdf</w:t>
        </w:r>
      </w:hyperlink>
      <w:r>
        <w:t xml:space="preserve"> </w:t>
      </w:r>
    </w:p>
    <w:p w14:paraId="00000089" w14:textId="77777777" w:rsidR="00E94693" w:rsidRDefault="00000000">
      <w:pPr>
        <w:spacing w:after="280" w:line="360" w:lineRule="auto"/>
      </w:pPr>
      <w:r>
        <w:t>JRF (2024)</w:t>
      </w:r>
      <w:r>
        <w:rPr>
          <w:i/>
        </w:rPr>
        <w:t xml:space="preserve"> No end in sight for living standards crisis: JRF’s cost of living tracker, winter 2024.</w:t>
      </w:r>
      <w:r>
        <w:t xml:space="preserve"> York, Joseph Rowntree Foundation.</w:t>
      </w:r>
    </w:p>
    <w:p w14:paraId="0000008A" w14:textId="77777777" w:rsidR="00E94693" w:rsidRDefault="00000000">
      <w:pPr>
        <w:spacing w:after="280" w:line="360" w:lineRule="auto"/>
      </w:pPr>
      <w:r>
        <w:t xml:space="preserve">Kear, M. (2017). Playing the credit score game: algorithms, ‘positive’ data and the personification of financial objects. </w:t>
      </w:r>
      <w:r>
        <w:rPr>
          <w:i/>
        </w:rPr>
        <w:t xml:space="preserve">Economy and Society, </w:t>
      </w:r>
      <w:r>
        <w:t xml:space="preserve">46(3–4), 346–368. </w:t>
      </w:r>
    </w:p>
    <w:p w14:paraId="0000008B" w14:textId="77777777" w:rsidR="00E94693" w:rsidRDefault="00000000">
      <w:pPr>
        <w:spacing w:after="280" w:line="360" w:lineRule="auto"/>
      </w:pPr>
      <w:r>
        <w:t xml:space="preserve">Kim, S., Andreeva, G. &amp; Rovatsos, M. (2023) </w:t>
      </w:r>
      <w:r>
        <w:rPr>
          <w:i/>
        </w:rPr>
        <w:t>The Double-edged Sword of Big Data and Information Technology for the Disadvantaged: A Cautionary Tale from Open Banking.</w:t>
      </w:r>
      <w:r>
        <w:t xml:space="preserve"> Edinburgh, Credit Research Centre, University of Edinburgh. Retrieved 4 November 2024.  </w:t>
      </w:r>
      <w:hyperlink r:id="rId22">
        <w:r w:rsidR="00E94693">
          <w:rPr>
            <w:color w:val="1155CC"/>
            <w:u w:val="single"/>
          </w:rPr>
          <w:t>https://tinyurl.com/yywpjpvd</w:t>
        </w:r>
      </w:hyperlink>
      <w:r>
        <w:t xml:space="preserve"> </w:t>
      </w:r>
    </w:p>
    <w:p w14:paraId="0000008C" w14:textId="77777777" w:rsidR="00E94693" w:rsidRDefault="00000000">
      <w:pPr>
        <w:shd w:val="clear" w:color="auto" w:fill="FFFFFF"/>
        <w:spacing w:after="280" w:line="360" w:lineRule="auto"/>
        <w:rPr>
          <w:color w:val="333333"/>
        </w:rPr>
      </w:pPr>
      <w:r>
        <w:rPr>
          <w:color w:val="333333"/>
        </w:rPr>
        <w:t xml:space="preserve">Kitchin, R. (2017). Thinking critically about and researching algorithms. </w:t>
      </w:r>
      <w:r>
        <w:rPr>
          <w:i/>
          <w:color w:val="333333"/>
        </w:rPr>
        <w:t xml:space="preserve">Information, Communication &amp; Society, </w:t>
      </w:r>
      <w:r>
        <w:rPr>
          <w:color w:val="333333"/>
        </w:rPr>
        <w:t xml:space="preserve">20(1), 14–29. </w:t>
      </w:r>
    </w:p>
    <w:p w14:paraId="0000008D" w14:textId="77777777" w:rsidR="00E94693" w:rsidRDefault="00000000">
      <w:pPr>
        <w:shd w:val="clear" w:color="auto" w:fill="FFFFFF"/>
        <w:spacing w:after="280" w:line="360" w:lineRule="auto"/>
        <w:rPr>
          <w:color w:val="333333"/>
        </w:rPr>
      </w:pPr>
      <w:r>
        <w:rPr>
          <w:color w:val="333333"/>
        </w:rPr>
        <w:lastRenderedPageBreak/>
        <w:t xml:space="preserve">Landau-Ward, A. &amp; Porter, L. (2019) Digital Innovations, PropTech and Housing – the View from Melbourne </w:t>
      </w:r>
      <w:r>
        <w:rPr>
          <w:i/>
          <w:color w:val="333333"/>
        </w:rPr>
        <w:t xml:space="preserve">Planning Policy and Practice </w:t>
      </w:r>
      <w:r>
        <w:rPr>
          <w:color w:val="333333"/>
        </w:rPr>
        <w:t>28 (4), 582-590.</w:t>
      </w:r>
    </w:p>
    <w:p w14:paraId="0000008E" w14:textId="77777777" w:rsidR="00E94693" w:rsidRDefault="00000000">
      <w:pPr>
        <w:shd w:val="clear" w:color="auto" w:fill="FFFFFF"/>
        <w:spacing w:after="280" w:line="360" w:lineRule="auto"/>
        <w:rPr>
          <w:color w:val="333333"/>
        </w:rPr>
      </w:pPr>
      <w:r>
        <w:rPr>
          <w:color w:val="333333"/>
        </w:rPr>
        <w:t xml:space="preserve">Langley, P. (2014) Equipping entrepreneurs: consuming credit and credit scores. </w:t>
      </w:r>
      <w:r>
        <w:rPr>
          <w:i/>
          <w:color w:val="333333"/>
        </w:rPr>
        <w:t>Consumption Markets &amp; Culture.</w:t>
      </w:r>
      <w:r>
        <w:rPr>
          <w:color w:val="333333"/>
        </w:rPr>
        <w:t xml:space="preserve"> 17(5), 448-467.</w:t>
      </w:r>
    </w:p>
    <w:p w14:paraId="0000008F" w14:textId="77777777" w:rsidR="00E94693" w:rsidRDefault="00000000">
      <w:pPr>
        <w:shd w:val="clear" w:color="auto" w:fill="FFFFFF"/>
        <w:spacing w:after="280" w:line="360" w:lineRule="auto"/>
      </w:pPr>
      <w:r>
        <w:t xml:space="preserve">Lauer, J. (2017) </w:t>
      </w:r>
      <w:r>
        <w:rPr>
          <w:i/>
        </w:rPr>
        <w:t xml:space="preserve">Creditworthy: A history of consumer surveillance and financial identity in America. </w:t>
      </w:r>
      <w:r>
        <w:t xml:space="preserve">New York, Columbia. </w:t>
      </w:r>
    </w:p>
    <w:p w14:paraId="00000090" w14:textId="77777777" w:rsidR="00E94693" w:rsidRDefault="00000000">
      <w:pPr>
        <w:spacing w:after="280" w:line="360" w:lineRule="auto"/>
      </w:pPr>
      <w:r>
        <w:t>Lee, Y., Kemp, P.A. &amp; Reina, V.J. (2022) Drivers of housing (un)affordability in the advanced economies: a review and new evidence.</w:t>
      </w:r>
      <w:r>
        <w:rPr>
          <w:i/>
        </w:rPr>
        <w:t xml:space="preserve"> Housing Studies</w:t>
      </w:r>
      <w:r>
        <w:t xml:space="preserve"> 37(10). 1739–1752.</w:t>
      </w:r>
    </w:p>
    <w:p w14:paraId="00000091" w14:textId="77777777" w:rsidR="00E94693" w:rsidRDefault="00000000">
      <w:pPr>
        <w:shd w:val="clear" w:color="auto" w:fill="FFFFFF"/>
        <w:spacing w:after="280" w:line="360" w:lineRule="auto"/>
      </w:pPr>
      <w:r>
        <w:t xml:space="preserve">Littlejohn G, Boskovich G &amp; Prior R (2022) United Kingdom: The Butterfly Effect. In: </w:t>
      </w:r>
      <w:r>
        <w:rPr>
          <w:i/>
        </w:rPr>
        <w:t>Open Banking</w:t>
      </w:r>
      <w:r>
        <w:t>. Oxford University Press New York, 173–200.</w:t>
      </w:r>
    </w:p>
    <w:p w14:paraId="00000092" w14:textId="77777777" w:rsidR="00E94693" w:rsidRDefault="00000000">
      <w:pPr>
        <w:spacing w:after="280" w:line="360" w:lineRule="auto"/>
      </w:pPr>
      <w:r>
        <w:t xml:space="preserve">Lyons, D. (2003) </w:t>
      </w:r>
      <w:r>
        <w:rPr>
          <w:i/>
        </w:rPr>
        <w:t xml:space="preserve">Surveillance as Social Sorting: Privacy, risk, and digital discrimination. </w:t>
      </w:r>
      <w:r>
        <w:t xml:space="preserve">London and New York, Routledge. </w:t>
      </w:r>
    </w:p>
    <w:p w14:paraId="00000093" w14:textId="77777777" w:rsidR="00E94693" w:rsidRDefault="00000000">
      <w:pPr>
        <w:shd w:val="clear" w:color="auto" w:fill="FFFFFF"/>
        <w:spacing w:after="280" w:line="360" w:lineRule="auto"/>
        <w:rPr>
          <w:color w:val="333333"/>
        </w:rPr>
      </w:pPr>
      <w:r>
        <w:rPr>
          <w:color w:val="333333"/>
        </w:rPr>
        <w:t xml:space="preserve">Lupton, D. (2019). </w:t>
      </w:r>
      <w:r>
        <w:rPr>
          <w:i/>
          <w:color w:val="333333"/>
        </w:rPr>
        <w:t>Data Selves</w:t>
      </w:r>
      <w:r>
        <w:rPr>
          <w:color w:val="333333"/>
        </w:rPr>
        <w:t>. Cambridge, Polity Press.</w:t>
      </w:r>
    </w:p>
    <w:p w14:paraId="00000094" w14:textId="77777777" w:rsidR="00E94693" w:rsidRDefault="00000000">
      <w:pPr>
        <w:spacing w:after="280" w:line="360" w:lineRule="auto"/>
      </w:pPr>
      <w:r>
        <w:t xml:space="preserve">Maalsen, S (2020) ‘Generation Share’: digitalized geographies of shared housing. </w:t>
      </w:r>
      <w:r>
        <w:rPr>
          <w:i/>
        </w:rPr>
        <w:t>Social and Cultural Geography</w:t>
      </w:r>
      <w:r>
        <w:t xml:space="preserve"> 21(1): 105–113.</w:t>
      </w:r>
    </w:p>
    <w:p w14:paraId="00000095" w14:textId="77777777" w:rsidR="00E94693" w:rsidRDefault="00000000">
      <w:pPr>
        <w:spacing w:after="280" w:line="360" w:lineRule="auto"/>
      </w:pPr>
      <w:r>
        <w:t xml:space="preserve">Maalsen, S. (2024). Home in cybersymbiosis: making home with digital oddkin. </w:t>
      </w:r>
      <w:r>
        <w:rPr>
          <w:i/>
        </w:rPr>
        <w:t>Information, Communication &amp; Society,</w:t>
      </w:r>
      <w:r>
        <w:t xml:space="preserve">27(9), 1759–1775. </w:t>
      </w:r>
    </w:p>
    <w:p w14:paraId="00000096" w14:textId="77777777" w:rsidR="00E94693" w:rsidRDefault="00000000">
      <w:pPr>
        <w:spacing w:after="280" w:line="360" w:lineRule="auto"/>
      </w:pPr>
      <w:r>
        <w:t xml:space="preserve">Maldonado, L. (2022). </w:t>
      </w:r>
      <w:r>
        <w:rPr>
          <w:i/>
        </w:rPr>
        <w:t xml:space="preserve">Technical Note on Open Banking: Comparative Study on Regulatory Approaches. </w:t>
      </w:r>
      <w:r>
        <w:t xml:space="preserve">Washington DC, World Bank Group. </w:t>
      </w:r>
    </w:p>
    <w:p w14:paraId="00000097" w14:textId="77777777" w:rsidR="00E94693" w:rsidRDefault="00000000">
      <w:pPr>
        <w:spacing w:after="280" w:line="360" w:lineRule="auto"/>
      </w:pPr>
      <w:r>
        <w:t xml:space="preserve">Marsh, A. &amp; Gibb, K. (2019) </w:t>
      </w:r>
      <w:r>
        <w:rPr>
          <w:i/>
        </w:rPr>
        <w:t xml:space="preserve">The private rented sector in the UK: An overview of the policy and regulatory landscape. </w:t>
      </w:r>
      <w:r>
        <w:t>Glasgow, UK Collaborative Centre for Housing Evidence (CACHE).</w:t>
      </w:r>
    </w:p>
    <w:p w14:paraId="00000098" w14:textId="77777777" w:rsidR="00E94693" w:rsidRDefault="00000000">
      <w:pPr>
        <w:spacing w:after="280" w:line="360" w:lineRule="auto"/>
      </w:pPr>
      <w:r>
        <w:t xml:space="preserve">McElroy, E. (2024). The work of landlord technology: The fictions of frictionless property management. </w:t>
      </w:r>
      <w:r>
        <w:rPr>
          <w:i/>
        </w:rPr>
        <w:t>Environment and Planning D: Society and Space,</w:t>
      </w:r>
      <w:r>
        <w:t xml:space="preserve"> 0(0). </w:t>
      </w:r>
    </w:p>
    <w:p w14:paraId="00000099" w14:textId="77777777" w:rsidR="00E94693" w:rsidRDefault="00000000">
      <w:pPr>
        <w:spacing w:after="280" w:line="360" w:lineRule="auto"/>
      </w:pPr>
      <w:r>
        <w:lastRenderedPageBreak/>
        <w:t xml:space="preserve">Meers, J. (2024). The new ‘lettings agent’s window’: interface design and discrimination on online rental platforms. </w:t>
      </w:r>
      <w:r>
        <w:rPr>
          <w:i/>
        </w:rPr>
        <w:t>Information, Communication &amp; Society,</w:t>
      </w:r>
      <w:r>
        <w:t xml:space="preserve"> 27(9), 1843–1865. </w:t>
      </w:r>
    </w:p>
    <w:p w14:paraId="0000009A" w14:textId="132906C3" w:rsidR="00E94693" w:rsidRDefault="00000000">
      <w:pPr>
        <w:spacing w:after="280" w:line="360" w:lineRule="auto"/>
      </w:pPr>
      <w:r>
        <w:t xml:space="preserve">MHCLG (2024) </w:t>
      </w:r>
      <w:r>
        <w:rPr>
          <w:i/>
        </w:rPr>
        <w:t xml:space="preserve">English Housing Survey 2022 to 2023: rented sectors. </w:t>
      </w:r>
      <w:r>
        <w:t xml:space="preserve">London, Ministry </w:t>
      </w:r>
      <w:r w:rsidR="00C93217">
        <w:t>of</w:t>
      </w:r>
      <w:r>
        <w:t xml:space="preserve"> Housing, Communities and Local Government. </w:t>
      </w:r>
    </w:p>
    <w:p w14:paraId="0000009B" w14:textId="77777777" w:rsidR="00E94693" w:rsidRDefault="00000000">
      <w:pPr>
        <w:spacing w:after="280" w:line="360" w:lineRule="auto"/>
      </w:pPr>
      <w:r>
        <w:rPr>
          <w:color w:val="000000"/>
        </w:rPr>
        <w:t>Migozzi J (2020) Selecting Spaces, Classifying People: The Financialization of Housing in the South African City. </w:t>
      </w:r>
      <w:r>
        <w:rPr>
          <w:i/>
          <w:color w:val="000000"/>
        </w:rPr>
        <w:t>Housing policy debate</w:t>
      </w:r>
      <w:r>
        <w:rPr>
          <w:color w:val="000000"/>
        </w:rPr>
        <w:t> 30(4). Routledge: 640–660.</w:t>
      </w:r>
    </w:p>
    <w:p w14:paraId="0000009C" w14:textId="77777777" w:rsidR="00E94693" w:rsidRDefault="00000000">
      <w:pPr>
        <w:spacing w:after="280" w:line="360" w:lineRule="auto"/>
        <w:rPr>
          <w:color w:val="1155CC"/>
          <w:u w:val="single"/>
        </w:rPr>
      </w:pPr>
      <w:r>
        <w:t xml:space="preserve">Nam, R. (2023) Open Banking and Customer Data Sharing: Implications for Fintech Borrowers SAFE Working Paper No. 364, Available at SSRN: </w:t>
      </w:r>
      <w:hyperlink r:id="rId23">
        <w:r w:rsidR="00E94693">
          <w:rPr>
            <w:color w:val="1155CC"/>
            <w:u w:val="single"/>
          </w:rPr>
          <w:t>https://ssrn.com/abstract=4278803</w:t>
        </w:r>
      </w:hyperlink>
    </w:p>
    <w:p w14:paraId="0000009D" w14:textId="77777777" w:rsidR="00E94693" w:rsidRDefault="00000000">
      <w:pPr>
        <w:shd w:val="clear" w:color="auto" w:fill="FFFFFF"/>
        <w:spacing w:after="280" w:line="360" w:lineRule="auto"/>
      </w:pPr>
      <w:r>
        <w:t xml:space="preserve">Nethercote, M. (2023). Platform landlords: Renters, personal data and new digital footholds of urban control. </w:t>
      </w:r>
      <w:r>
        <w:rPr>
          <w:i/>
        </w:rPr>
        <w:t>Digital Geography and Society,</w:t>
      </w:r>
      <w:r>
        <w:t xml:space="preserve"> 5, 100060. </w:t>
      </w:r>
    </w:p>
    <w:p w14:paraId="0000009E" w14:textId="77777777" w:rsidR="00E94693" w:rsidRDefault="00000000">
      <w:pPr>
        <w:spacing w:after="280" w:line="360" w:lineRule="auto"/>
      </w:pPr>
      <w:r>
        <w:t>OECD (2019),</w:t>
      </w:r>
      <w:r>
        <w:rPr>
          <w:i/>
        </w:rPr>
        <w:t xml:space="preserve"> Enhancing Access to and Sharing of Data: Reconciling Risks and Benefits for Data Re-use across Societies, </w:t>
      </w:r>
      <w:r>
        <w:t>OECD Publishing, Paris.</w:t>
      </w:r>
    </w:p>
    <w:p w14:paraId="0000009F" w14:textId="77777777" w:rsidR="00E94693" w:rsidRDefault="00000000">
      <w:pPr>
        <w:spacing w:after="280" w:line="360" w:lineRule="auto"/>
        <w:rPr>
          <w:color w:val="333333"/>
        </w:rPr>
      </w:pPr>
      <w:r>
        <w:t xml:space="preserve">Open Banking Ltd (n.d.) </w:t>
      </w:r>
      <w:r>
        <w:rPr>
          <w:i/>
        </w:rPr>
        <w:t>How Open Banking Can Help Consumers,</w:t>
      </w:r>
      <w:r>
        <w:t xml:space="preserve"> London, Open Banking Ltd. </w:t>
      </w:r>
      <w:r>
        <w:rPr>
          <w:color w:val="333333"/>
        </w:rPr>
        <w:t xml:space="preserve">Retrieved 1 February 2025. </w:t>
      </w:r>
      <w:hyperlink r:id="rId24">
        <w:r w:rsidR="00E94693">
          <w:rPr>
            <w:color w:val="1155CC"/>
            <w:u w:val="single"/>
          </w:rPr>
          <w:t>https://www.openbanking.org.uk/how-open-banking-can-help-consumers/</w:t>
        </w:r>
      </w:hyperlink>
      <w:r>
        <w:rPr>
          <w:color w:val="333333"/>
        </w:rPr>
        <w:t xml:space="preserve"> </w:t>
      </w:r>
    </w:p>
    <w:p w14:paraId="000000A0" w14:textId="77777777" w:rsidR="00E94693" w:rsidRDefault="00000000">
      <w:pPr>
        <w:spacing w:after="280" w:line="360" w:lineRule="auto"/>
        <w:rPr>
          <w:color w:val="333333"/>
        </w:rPr>
      </w:pPr>
      <w:r>
        <w:t xml:space="preserve">Open Banking Ltd (2023) </w:t>
      </w:r>
      <w:r>
        <w:rPr>
          <w:i/>
        </w:rPr>
        <w:t>From Open Banking to Open Finance and Beyond…</w:t>
      </w:r>
      <w:r>
        <w:t xml:space="preserve"> London, Open Banking Ltd. Retrieved 19 February 2025.  </w:t>
      </w:r>
      <w:hyperlink r:id="rId25">
        <w:r w:rsidR="00E94693">
          <w:rPr>
            <w:color w:val="1155CC"/>
            <w:u w:val="single"/>
          </w:rPr>
          <w:t>https://openbanking.foleon.com/live-publications/openbanking-to-openfinance/</w:t>
        </w:r>
      </w:hyperlink>
      <w:r>
        <w:t xml:space="preserve"> </w:t>
      </w:r>
    </w:p>
    <w:p w14:paraId="000000A1" w14:textId="77777777" w:rsidR="00E94693" w:rsidRDefault="00000000">
      <w:pPr>
        <w:spacing w:after="280" w:line="360" w:lineRule="auto"/>
        <w:rPr>
          <w:color w:val="333333"/>
        </w:rPr>
      </w:pPr>
      <w:r>
        <w:t xml:space="preserve">Open Banking Ltd (2024) </w:t>
      </w:r>
      <w:r>
        <w:rPr>
          <w:i/>
        </w:rPr>
        <w:t>Open banking marks major milestone of 10 million users-</w:t>
      </w:r>
      <w:r>
        <w:t xml:space="preserve"> Press Release 23 July 2024. London, Open Banking Ltd. </w:t>
      </w:r>
      <w:r>
        <w:rPr>
          <w:color w:val="333333"/>
        </w:rPr>
        <w:t xml:space="preserve">Retrieved 1 February 2025. </w:t>
      </w:r>
      <w:r>
        <w:t xml:space="preserve"> </w:t>
      </w:r>
      <w:hyperlink r:id="rId26">
        <w:r w:rsidR="00E94693">
          <w:rPr>
            <w:color w:val="1155CC"/>
            <w:u w:val="single"/>
          </w:rPr>
          <w:t>https://tinyurl.com/3emdevcv</w:t>
        </w:r>
      </w:hyperlink>
      <w:r>
        <w:t xml:space="preserve"> </w:t>
      </w:r>
    </w:p>
    <w:p w14:paraId="000000A2" w14:textId="77777777" w:rsidR="00E94693" w:rsidRDefault="00000000">
      <w:pPr>
        <w:shd w:val="clear" w:color="auto" w:fill="FFFFFF"/>
        <w:spacing w:after="280" w:line="360" w:lineRule="auto"/>
        <w:rPr>
          <w:color w:val="333333"/>
        </w:rPr>
      </w:pPr>
      <w:r>
        <w:rPr>
          <w:color w:val="333333"/>
        </w:rPr>
        <w:t xml:space="preserve">Pasquale, F. (2015) </w:t>
      </w:r>
      <w:r>
        <w:rPr>
          <w:i/>
          <w:color w:val="333333"/>
        </w:rPr>
        <w:t>The Black Box Society</w:t>
      </w:r>
      <w:r>
        <w:rPr>
          <w:color w:val="333333"/>
        </w:rPr>
        <w:t>. Harvard University Press.</w:t>
      </w:r>
    </w:p>
    <w:p w14:paraId="000000A3" w14:textId="77777777" w:rsidR="00E94693" w:rsidRDefault="00000000">
      <w:pPr>
        <w:spacing w:after="280" w:line="360" w:lineRule="auto"/>
      </w:pPr>
      <w:r>
        <w:rPr>
          <w:color w:val="000000"/>
        </w:rPr>
        <w:t>Przhedetsky, L. (2024) Mediating access: unpacking the role of algorithms in digital tenancy application technologies. </w:t>
      </w:r>
      <w:r>
        <w:rPr>
          <w:i/>
          <w:color w:val="000000"/>
        </w:rPr>
        <w:t>Information, Communication and Society</w:t>
      </w:r>
      <w:r>
        <w:rPr>
          <w:color w:val="000000"/>
        </w:rPr>
        <w:t>, 27 (9), 1826-1842.</w:t>
      </w:r>
    </w:p>
    <w:p w14:paraId="000000A4" w14:textId="77777777" w:rsidR="00E94693" w:rsidRDefault="00000000">
      <w:pPr>
        <w:shd w:val="clear" w:color="auto" w:fill="FFFFFF"/>
        <w:spacing w:after="280" w:line="360" w:lineRule="auto"/>
      </w:pPr>
      <w:r>
        <w:rPr>
          <w:color w:val="333333"/>
        </w:rPr>
        <w:lastRenderedPageBreak/>
        <w:t xml:space="preserve">Reynolds, F. (2021). </w:t>
      </w:r>
      <w:r>
        <w:rPr>
          <w:i/>
          <w:color w:val="333333"/>
        </w:rPr>
        <w:t>Open Banking. A consumer perspective</w:t>
      </w:r>
      <w:r>
        <w:rPr>
          <w:color w:val="333333"/>
        </w:rPr>
        <w:t xml:space="preserve">. London, Barclays. </w:t>
      </w:r>
    </w:p>
    <w:p w14:paraId="000000A5" w14:textId="77777777" w:rsidR="00E94693" w:rsidRDefault="00000000">
      <w:pPr>
        <w:shd w:val="clear" w:color="auto" w:fill="FFFFFF"/>
        <w:spacing w:after="280" w:line="360" w:lineRule="auto"/>
        <w:rPr>
          <w:color w:val="313131"/>
        </w:rPr>
      </w:pPr>
      <w:r>
        <w:rPr>
          <w:color w:val="313131"/>
        </w:rPr>
        <w:t xml:space="preserve">Rona-Tas, A. (2017). The Off-Label Use of Consumer Credit Ratings. </w:t>
      </w:r>
      <w:r>
        <w:rPr>
          <w:i/>
          <w:color w:val="313131"/>
        </w:rPr>
        <w:t xml:space="preserve">Historical Social Research </w:t>
      </w:r>
      <w:r>
        <w:rPr>
          <w:color w:val="313131"/>
        </w:rPr>
        <w:t xml:space="preserve">42 (1) pp.52-76. </w:t>
      </w:r>
    </w:p>
    <w:p w14:paraId="000000A6" w14:textId="77777777" w:rsidR="00E94693" w:rsidRDefault="00000000">
      <w:pPr>
        <w:spacing w:after="280" w:line="360" w:lineRule="auto"/>
      </w:pPr>
      <w:r>
        <w:t xml:space="preserve">Schneider, V. (2020) Locked out by Big Data: How Big Data Algorithms and Machine Learning May Undermine Housing Justice. </w:t>
      </w:r>
      <w:r>
        <w:rPr>
          <w:i/>
        </w:rPr>
        <w:t>Columbia Human Rights Law Review.</w:t>
      </w:r>
      <w:r>
        <w:t xml:space="preserve"> 52, 1. </w:t>
      </w:r>
    </w:p>
    <w:p w14:paraId="000000A7" w14:textId="77777777" w:rsidR="00E94693" w:rsidRDefault="00000000">
      <w:pPr>
        <w:shd w:val="clear" w:color="auto" w:fill="FFFFFF"/>
        <w:spacing w:after="280" w:line="360" w:lineRule="auto"/>
      </w:pPr>
      <w:r>
        <w:rPr>
          <w:color w:val="505050"/>
          <w:highlight w:val="white"/>
        </w:rPr>
        <w:t xml:space="preserve">Selbst, A.D. &amp; Powles, J. (2017) Meaningful Information and the Right to Explanation (2017). </w:t>
      </w:r>
      <w:r>
        <w:rPr>
          <w:i/>
          <w:color w:val="505050"/>
          <w:highlight w:val="white"/>
        </w:rPr>
        <w:t>International Data Privacy Law</w:t>
      </w:r>
      <w:r>
        <w:rPr>
          <w:color w:val="505050"/>
          <w:highlight w:val="white"/>
        </w:rPr>
        <w:t xml:space="preserve"> 7(4), 233-242. </w:t>
      </w:r>
    </w:p>
    <w:p w14:paraId="000000A8" w14:textId="77777777" w:rsidR="00E94693" w:rsidRDefault="00000000">
      <w:pPr>
        <w:shd w:val="clear" w:color="auto" w:fill="FFFFFF"/>
        <w:spacing w:after="280" w:line="360" w:lineRule="auto"/>
        <w:rPr>
          <w:rFonts w:ascii="NexusSansWebPro" w:eastAsia="NexusSansWebPro" w:hAnsi="NexusSansWebPro" w:cs="NexusSansWebPro"/>
          <w:color w:val="505050"/>
          <w:highlight w:val="white"/>
        </w:rPr>
      </w:pPr>
      <w:r>
        <w:t xml:space="preserve">Shaw, J. (2020) Platform Real Estate: theory and practice of new urban real estate markets. </w:t>
      </w:r>
      <w:r>
        <w:rPr>
          <w:i/>
        </w:rPr>
        <w:t xml:space="preserve">Urban geography </w:t>
      </w:r>
      <w:r>
        <w:t>41(8): 1037–1064.</w:t>
      </w:r>
    </w:p>
    <w:p w14:paraId="000000A9" w14:textId="77777777" w:rsidR="00E94693" w:rsidRDefault="00000000">
      <w:pPr>
        <w:shd w:val="clear" w:color="auto" w:fill="FFFFFF"/>
        <w:spacing w:after="280" w:line="360" w:lineRule="auto"/>
      </w:pPr>
      <w:r>
        <w:t xml:space="preserve">Short, P., Minnery, J., Mead, E.R.., O’Flaherty, M. &amp; Peake, A. (2006) Tenancy Databases, Professional Practices and Housing Access among Low-Income Tenants in the Private Rental Sector in Australia, </w:t>
      </w:r>
      <w:r>
        <w:rPr>
          <w:i/>
        </w:rPr>
        <w:t>International Journal of Urban and Regional Research</w:t>
      </w:r>
      <w:r>
        <w:t xml:space="preserve">, 30(4); 930-943, </w:t>
      </w:r>
    </w:p>
    <w:p w14:paraId="000000AA" w14:textId="77777777" w:rsidR="00E94693" w:rsidRDefault="00000000">
      <w:pPr>
        <w:shd w:val="clear" w:color="auto" w:fill="FFFFFF"/>
        <w:spacing w:after="280" w:line="360" w:lineRule="auto"/>
      </w:pPr>
      <w:r>
        <w:t xml:space="preserve">Smith, M. &amp; Henderson, C. (2018) Beyond thin credit files: Beyond thin credit files. </w:t>
      </w:r>
      <w:r>
        <w:rPr>
          <w:i/>
        </w:rPr>
        <w:t>Social Science Quarterly</w:t>
      </w:r>
      <w:r>
        <w:t xml:space="preserve"> 99(1) 24–42.</w:t>
      </w:r>
    </w:p>
    <w:p w14:paraId="000000AB" w14:textId="77777777" w:rsidR="00E94693" w:rsidRDefault="00000000">
      <w:pPr>
        <w:spacing w:after="280" w:line="360" w:lineRule="auto"/>
      </w:pPr>
      <w:r>
        <w:t>So, W. (2022) Which Information Matters? Measuring Landlord Assessment of Tenant Screening Reports.</w:t>
      </w:r>
      <w:r>
        <w:rPr>
          <w:i/>
        </w:rPr>
        <w:t xml:space="preserve"> Housing Policy Debate.</w:t>
      </w:r>
      <w:r>
        <w:t xml:space="preserve"> 33(6) 1484-1510.</w:t>
      </w:r>
    </w:p>
    <w:p w14:paraId="000000AC" w14:textId="77777777" w:rsidR="00E94693" w:rsidRDefault="00000000">
      <w:pPr>
        <w:spacing w:after="280" w:line="360" w:lineRule="auto"/>
      </w:pPr>
      <w:r>
        <w:t xml:space="preserve">Solow-Niederman A. (2021) Information privacy and the inference economy. </w:t>
      </w:r>
      <w:r>
        <w:rPr>
          <w:i/>
        </w:rPr>
        <w:t>SSRN Electronic Journal</w:t>
      </w:r>
      <w:r>
        <w:t xml:space="preserve"> 117(2): 357–424.</w:t>
      </w:r>
    </w:p>
    <w:p w14:paraId="000000AD" w14:textId="77777777" w:rsidR="00E94693" w:rsidRDefault="00000000">
      <w:pPr>
        <w:spacing w:after="280" w:line="360" w:lineRule="auto"/>
      </w:pPr>
      <w:r>
        <w:t xml:space="preserve">Sparkes, M. (2024). Housing, debt, and credit score classification situations: what the unique ‘situation’ of mortgage prisoners reveals about contemporary class inequality. </w:t>
      </w:r>
      <w:r>
        <w:rPr>
          <w:i/>
        </w:rPr>
        <w:t xml:space="preserve">Information, Communication &amp; Society, </w:t>
      </w:r>
      <w:r>
        <w:t xml:space="preserve">27(9), 1776–1792. </w:t>
      </w:r>
    </w:p>
    <w:p w14:paraId="000000AE" w14:textId="77777777" w:rsidR="00E94693" w:rsidRDefault="00000000">
      <w:pPr>
        <w:shd w:val="clear" w:color="auto" w:fill="FFFFFF"/>
        <w:spacing w:after="280" w:line="360" w:lineRule="auto"/>
      </w:pPr>
      <w:r>
        <w:t xml:space="preserve">Stonehouse, D., Threlkeld, G., &amp; Farmer, J. (2015). ‘Housing risk’ and the neoliberal discourse of responsibilisation in Victoria. </w:t>
      </w:r>
      <w:r>
        <w:rPr>
          <w:i/>
        </w:rPr>
        <w:t>Critical Social Policy,</w:t>
      </w:r>
      <w:r>
        <w:t xml:space="preserve"> 35(3), 393-413. </w:t>
      </w:r>
    </w:p>
    <w:p w14:paraId="000000AF" w14:textId="77777777" w:rsidR="00E94693" w:rsidRDefault="00000000">
      <w:pPr>
        <w:shd w:val="clear" w:color="auto" w:fill="FFFFFF"/>
        <w:spacing w:after="280" w:line="360" w:lineRule="auto"/>
      </w:pPr>
      <w:r>
        <w:t xml:space="preserve">UK Finance (2024) </w:t>
      </w:r>
      <w:r>
        <w:rPr>
          <w:i/>
        </w:rPr>
        <w:t xml:space="preserve">UK Payment Markets, </w:t>
      </w:r>
      <w:r>
        <w:t xml:space="preserve">London, UK Finance. </w:t>
      </w:r>
    </w:p>
    <w:p w14:paraId="000000B0" w14:textId="77777777" w:rsidR="00E94693" w:rsidRDefault="00000000">
      <w:pPr>
        <w:shd w:val="clear" w:color="auto" w:fill="FFFFFF"/>
        <w:spacing w:after="280" w:line="360" w:lineRule="auto"/>
        <w:rPr>
          <w:color w:val="333333"/>
        </w:rPr>
      </w:pPr>
      <w:r>
        <w:lastRenderedPageBreak/>
        <w:t xml:space="preserve">Wainwright, T. (2022) Rental proptech platforms: Changing landlord and tenant power relations in the UK private rental sector? </w:t>
      </w:r>
      <w:r>
        <w:rPr>
          <w:i/>
        </w:rPr>
        <w:t xml:space="preserve">Environment and planning A </w:t>
      </w:r>
      <w:r>
        <w:rPr>
          <w:color w:val="333333"/>
        </w:rPr>
        <w:t>55(2): 339-358</w:t>
      </w:r>
    </w:p>
    <w:p w14:paraId="000000B1" w14:textId="77D89E9E" w:rsidR="00E94693" w:rsidRDefault="00000000">
      <w:pPr>
        <w:spacing w:after="280" w:line="360" w:lineRule="auto"/>
      </w:pPr>
      <w:r>
        <w:t>Wallace, A., Beer, D., Burrows, R., Ciocănel, A. &amp; Cussens, J. (2024</w:t>
      </w:r>
      <w:r w:rsidR="00C93217">
        <w:t>a) Data</w:t>
      </w:r>
      <w:r>
        <w:rPr>
          <w:i/>
        </w:rPr>
        <w:t xml:space="preserve"> and automation in pre-tenancy affordability checks in social housing CODE ENCOUNTERS Report 3. </w:t>
      </w:r>
      <w:r>
        <w:t>School of Business and Society, University of York.</w:t>
      </w:r>
      <w:r w:rsidR="00C93217">
        <w:t xml:space="preserve"> </w:t>
      </w:r>
      <w:r>
        <w:t xml:space="preserve">Retrieved 8 March 2025.  </w:t>
      </w:r>
      <w:hyperlink r:id="rId27">
        <w:r w:rsidR="00E94693">
          <w:rPr>
            <w:color w:val="1155CC"/>
            <w:u w:val="single"/>
          </w:rPr>
          <w:t>https://tinyurl.com/vr6fy6xz</w:t>
        </w:r>
      </w:hyperlink>
      <w:r>
        <w:t xml:space="preserve"> </w:t>
      </w:r>
    </w:p>
    <w:p w14:paraId="000000B2" w14:textId="77777777" w:rsidR="00E94693" w:rsidRDefault="00000000">
      <w:pPr>
        <w:spacing w:after="280" w:line="360" w:lineRule="auto"/>
      </w:pPr>
      <w:r>
        <w:t xml:space="preserve">Wallace, A., Ciocănel, A., Beer, D., Burrows, R. &amp; Cussens, J. (2024b) </w:t>
      </w:r>
      <w:r>
        <w:rPr>
          <w:i/>
        </w:rPr>
        <w:t>Credit risk decisions, mortgage lending and technological possibilities CODE ENCOUNTERS Report 4:</w:t>
      </w:r>
      <w:r>
        <w:t xml:space="preserve"> School of Business and Society, University of York. Retrieved 8 March 2025.  </w:t>
      </w:r>
      <w:hyperlink r:id="rId28">
        <w:r w:rsidR="00E94693">
          <w:rPr>
            <w:color w:val="1155CC"/>
            <w:u w:val="single"/>
          </w:rPr>
          <w:t>https://tinyurl.com/bdzkuapp</w:t>
        </w:r>
      </w:hyperlink>
      <w:r>
        <w:t xml:space="preserve"> </w:t>
      </w:r>
    </w:p>
    <w:p w14:paraId="000000B3" w14:textId="77777777" w:rsidR="00E94693" w:rsidRDefault="00000000">
      <w:pPr>
        <w:spacing w:after="280" w:line="360" w:lineRule="auto"/>
      </w:pPr>
      <w:r>
        <w:t xml:space="preserve">Wallace, A., Beer, D., Burrows, R., Ciocănel, A., &amp; Cussens, J. (2025). Algorithmic tenancies and the ordinal tenant: digital risk-profiling in England’s private rented sector. </w:t>
      </w:r>
      <w:r>
        <w:rPr>
          <w:i/>
        </w:rPr>
        <w:t>Housing Studies,</w:t>
      </w:r>
      <w:r>
        <w:t xml:space="preserve"> 1–21. </w:t>
      </w:r>
    </w:p>
    <w:p w14:paraId="000000B4" w14:textId="77777777" w:rsidR="00E94693" w:rsidRDefault="00000000">
      <w:pPr>
        <w:spacing w:after="280" w:line="360" w:lineRule="auto"/>
      </w:pPr>
      <w:r>
        <w:t xml:space="preserve">Webber, R. &amp; Burrows, R. (2018) </w:t>
      </w:r>
      <w:r>
        <w:rPr>
          <w:i/>
        </w:rPr>
        <w:t xml:space="preserve">The Predictive Postcode: The geodemographic classification of British Society. </w:t>
      </w:r>
      <w:r>
        <w:t xml:space="preserve">London, Sage. </w:t>
      </w:r>
    </w:p>
    <w:p w14:paraId="000000B5" w14:textId="77777777" w:rsidR="00E94693" w:rsidRDefault="00000000">
      <w:pPr>
        <w:spacing w:after="280" w:line="360" w:lineRule="auto"/>
      </w:pPr>
      <w:r>
        <w:t xml:space="preserve">Wolifson, P., Maalsen, S. &amp; Rogers, D. (2024) Discrimination in the time of digital real estate: Illustrating a rental schema in the Australian setting. </w:t>
      </w:r>
      <w:r>
        <w:rPr>
          <w:i/>
        </w:rPr>
        <w:t>Digital Geography and Society</w:t>
      </w:r>
      <w:r>
        <w:t xml:space="preserve"> 6: 100088. </w:t>
      </w:r>
    </w:p>
    <w:p w14:paraId="000000B6" w14:textId="77777777" w:rsidR="00E94693" w:rsidRDefault="00000000">
      <w:pPr>
        <w:spacing w:after="280" w:line="360" w:lineRule="auto"/>
      </w:pPr>
      <w:r>
        <w:t xml:space="preserve">Zeller, B. &amp; Dahdal, A.M. (2021) </w:t>
      </w:r>
      <w:r>
        <w:rPr>
          <w:i/>
        </w:rPr>
        <w:t>Open Banking and Open Data in Australia: Global Context, Innovation and Consumer Protection.</w:t>
      </w:r>
      <w:r>
        <w:t xml:space="preserve"> Available at: https://papers.ssrn.com/abstract=3766076 (accessed 19 September 2023).</w:t>
      </w:r>
    </w:p>
    <w:p w14:paraId="000000B7" w14:textId="77777777" w:rsidR="00E94693" w:rsidRDefault="00000000">
      <w:pPr>
        <w:spacing w:after="280" w:line="360" w:lineRule="auto"/>
      </w:pPr>
      <w:r>
        <w:t xml:space="preserve">Zuboff, S. (2019) </w:t>
      </w:r>
      <w:r>
        <w:rPr>
          <w:i/>
        </w:rPr>
        <w:t xml:space="preserve">The Age of Surveillance Capitalism: The Fight for a Human Future at the New Frontier of Power. </w:t>
      </w:r>
      <w:r>
        <w:t xml:space="preserve">London, Profile Books. </w:t>
      </w:r>
    </w:p>
    <w:p w14:paraId="000000B8" w14:textId="77777777" w:rsidR="00E94693" w:rsidRDefault="00000000">
      <w:pPr>
        <w:spacing w:after="280" w:line="360" w:lineRule="auto"/>
        <w:rPr>
          <w:color w:val="000000"/>
        </w:rPr>
      </w:pPr>
      <w:r>
        <w:rPr>
          <w:color w:val="000000"/>
        </w:rPr>
        <w:br/>
      </w:r>
      <w:r>
        <w:rPr>
          <w:b/>
          <w:color w:val="000000"/>
        </w:rPr>
        <w:t>Conflict of Interest</w:t>
      </w:r>
    </w:p>
    <w:p w14:paraId="000000B9" w14:textId="77777777" w:rsidR="00E94693" w:rsidRDefault="00000000">
      <w:pPr>
        <w:spacing w:after="280" w:line="360" w:lineRule="auto"/>
      </w:pPr>
      <w:r>
        <w:t xml:space="preserve">The authors report that there are no competing interests to declare. </w:t>
      </w:r>
      <w:r w:rsidR="004B3FA2">
        <w:rPr>
          <w:noProof/>
        </w:rPr>
        <w:pict w14:anchorId="6334B5F1">
          <v:rect id="_x0000_i1025" alt="" style="width:451.3pt;height:.05pt;mso-width-percent:0;mso-height-percent:0;mso-width-percent:0;mso-height-percent:0" o:hralign="center" o:hrstd="t" o:hr="t" fillcolor="#a0a0a0" stroked="f"/>
        </w:pict>
      </w:r>
    </w:p>
    <w:p w14:paraId="000000BA" w14:textId="77777777" w:rsidR="00E94693" w:rsidRDefault="00000000">
      <w:pPr>
        <w:spacing w:after="280" w:line="360" w:lineRule="auto"/>
        <w:rPr>
          <w:color w:val="1155CC"/>
          <w:u w:val="single"/>
        </w:rPr>
      </w:pPr>
      <w:r>
        <w:rPr>
          <w:color w:val="800080"/>
          <w:sz w:val="40"/>
          <w:szCs w:val="40"/>
          <w:vertAlign w:val="superscript"/>
        </w:rPr>
        <w:lastRenderedPageBreak/>
        <w:t>[1]</w:t>
      </w:r>
      <w:r>
        <w:rPr>
          <w:sz w:val="20"/>
          <w:szCs w:val="20"/>
        </w:rPr>
        <w:t xml:space="preserve"> </w:t>
      </w:r>
      <w:hyperlink r:id="rId29">
        <w:r w:rsidR="00E94693">
          <w:rPr>
            <w:color w:val="1155CC"/>
            <w:u w:val="single"/>
          </w:rPr>
          <w:t>https://www.youtube.com/watch?v=nVsX7lWt1us</w:t>
        </w:r>
      </w:hyperlink>
    </w:p>
    <w:p w14:paraId="000000BB" w14:textId="77777777" w:rsidR="00E94693" w:rsidRDefault="00000000">
      <w:pPr>
        <w:spacing w:after="280" w:line="360" w:lineRule="auto"/>
        <w:rPr>
          <w:color w:val="1155CC"/>
          <w:u w:val="single"/>
        </w:rPr>
      </w:pPr>
      <w:r>
        <w:rPr>
          <w:color w:val="800080"/>
          <w:sz w:val="40"/>
          <w:szCs w:val="40"/>
          <w:vertAlign w:val="superscript"/>
        </w:rPr>
        <w:t>[2]</w:t>
      </w:r>
      <w:r>
        <w:t xml:space="preserve"> </w:t>
      </w:r>
      <w:hyperlink r:id="rId30">
        <w:r w:rsidR="00E94693">
          <w:rPr>
            <w:color w:val="1155CC"/>
            <w:u w:val="single"/>
          </w:rPr>
          <w:t>https://lettingshub.co.uk/tenants/property-passport/</w:t>
        </w:r>
      </w:hyperlink>
    </w:p>
    <w:p w14:paraId="000000BC" w14:textId="77777777" w:rsidR="00E94693" w:rsidRDefault="00E94693">
      <w:pPr>
        <w:spacing w:after="280" w:line="360" w:lineRule="auto"/>
      </w:pPr>
    </w:p>
    <w:p w14:paraId="000000BD" w14:textId="77777777" w:rsidR="00E94693" w:rsidRDefault="00E94693">
      <w:pPr>
        <w:spacing w:after="280" w:line="360" w:lineRule="auto"/>
      </w:pPr>
    </w:p>
    <w:p w14:paraId="000000BE" w14:textId="77777777" w:rsidR="00E94693" w:rsidRDefault="00E94693"/>
    <w:sectPr w:rsidR="00E94693">
      <w:head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B7F5E" w14:textId="77777777" w:rsidR="004B3FA2" w:rsidRDefault="004B3FA2">
      <w:r>
        <w:separator/>
      </w:r>
    </w:p>
  </w:endnote>
  <w:endnote w:type="continuationSeparator" w:id="0">
    <w:p w14:paraId="33ED34DC" w14:textId="77777777" w:rsidR="004B3FA2" w:rsidRDefault="004B3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230786-DF52-8846-AE5C-E10B5F6CEF0A}"/>
    <w:embedBold r:id="rId2" w:fontKey="{22D45D11-AF5E-3942-8480-3911BF0051A0}"/>
    <w:embedItalic r:id="rId3" w:fontKey="{2B8BBC19-2EAC-1A4B-89ED-845007C9E861}"/>
    <w:embedBoldItalic r:id="rId4" w:fontKey="{AF150598-896B-3545-839B-896588400BA9}"/>
  </w:font>
  <w:font w:name="Play">
    <w:charset w:val="00"/>
    <w:family w:val="auto"/>
    <w:pitch w:val="default"/>
  </w:font>
  <w:font w:name="Aptos">
    <w:panose1 w:val="020B0004020202020204"/>
    <w:charset w:val="00"/>
    <w:family w:val="swiss"/>
    <w:pitch w:val="variable"/>
    <w:sig w:usb0="20000287" w:usb1="00000003" w:usb2="00000000" w:usb3="00000000" w:csb0="0000019F" w:csb1="00000000"/>
    <w:embedRegular r:id="rId6" w:fontKey="{7CF2E486-5F0B-7145-986C-D5D64096B136}"/>
    <w:embedItalic r:id="rId7" w:fontKey="{8B04543C-6560-A14E-8AEE-1FE37A830104}"/>
  </w:font>
  <w:font w:name="Aptos Display">
    <w:panose1 w:val="020B0004020202020204"/>
    <w:charset w:val="00"/>
    <w:family w:val="swiss"/>
    <w:pitch w:val="variable"/>
    <w:sig w:usb0="20000287" w:usb1="00000003" w:usb2="00000000" w:usb3="00000000" w:csb0="0000019F" w:csb1="00000000"/>
    <w:embedRegular r:id="rId8" w:fontKey="{78AFD281-A316-3644-A0E1-5E3870F93651}"/>
  </w:font>
  <w:font w:name="NexusSansWebPro">
    <w:altName w:val="Cambria"/>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26416" w14:textId="77777777" w:rsidR="004B3FA2" w:rsidRDefault="004B3FA2">
      <w:r>
        <w:separator/>
      </w:r>
    </w:p>
  </w:footnote>
  <w:footnote w:type="continuationSeparator" w:id="0">
    <w:p w14:paraId="7171CE27" w14:textId="77777777" w:rsidR="004B3FA2" w:rsidRDefault="004B3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46773E39" w:rsidR="00E94693" w:rsidRDefault="00000000">
    <w:pPr>
      <w:jc w:val="right"/>
    </w:pPr>
    <w:r>
      <w:fldChar w:fldCharType="begin"/>
    </w:r>
    <w:r>
      <w:instrText>PAGE</w:instrText>
    </w:r>
    <w:r>
      <w:fldChar w:fldCharType="separate"/>
    </w:r>
    <w:r w:rsidR="001B0340">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693"/>
    <w:rsid w:val="001B0340"/>
    <w:rsid w:val="002C2301"/>
    <w:rsid w:val="004B3FA2"/>
    <w:rsid w:val="005910C6"/>
    <w:rsid w:val="0082553F"/>
    <w:rsid w:val="008F1882"/>
    <w:rsid w:val="009F38DA"/>
    <w:rsid w:val="00A75EE6"/>
    <w:rsid w:val="00C77E57"/>
    <w:rsid w:val="00C93217"/>
    <w:rsid w:val="00E94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92E44"/>
  <w15:docId w15:val="{4F56B578-3979-5244-BCCF-8C9A3E42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ascii="Aptos" w:eastAsia="Aptos" w:hAnsi="Aptos" w:cs="Aptos"/>
      <w:i/>
      <w:color w:val="595959"/>
    </w:rPr>
  </w:style>
  <w:style w:type="paragraph" w:styleId="Heading7">
    <w:name w:val="heading 7"/>
    <w:basedOn w:val="Normal"/>
    <w:next w:val="Normal"/>
    <w:link w:val="Heading7Char"/>
    <w:uiPriority w:val="9"/>
    <w:semiHidden/>
    <w:unhideWhenUsed/>
    <w:qFormat/>
    <w:rsid w:val="00257C42"/>
    <w:pPr>
      <w:keepNext/>
      <w:keepLines/>
      <w:spacing w:before="40"/>
      <w:outlineLvl w:val="6"/>
    </w:pPr>
    <w:rPr>
      <w:rFonts w:asciiTheme="minorHAnsi" w:eastAsiaTheme="majorEastAsia" w:hAnsiTheme="minorHAnsi" w:cstheme="majorBidi"/>
      <w:color w:val="595959" w:themeColor="text1" w:themeTint="A6"/>
      <w:kern w:val="2"/>
      <w:lang w:eastAsia="en-US"/>
    </w:rPr>
  </w:style>
  <w:style w:type="paragraph" w:styleId="Heading8">
    <w:name w:val="heading 8"/>
    <w:basedOn w:val="Normal"/>
    <w:next w:val="Normal"/>
    <w:link w:val="Heading8Char"/>
    <w:uiPriority w:val="9"/>
    <w:semiHidden/>
    <w:unhideWhenUsed/>
    <w:qFormat/>
    <w:rsid w:val="00257C42"/>
    <w:pPr>
      <w:keepNext/>
      <w:keepLines/>
      <w:outlineLvl w:val="7"/>
    </w:pPr>
    <w:rPr>
      <w:rFonts w:asciiTheme="minorHAnsi" w:eastAsiaTheme="majorEastAsia" w:hAnsiTheme="minorHAnsi" w:cstheme="majorBidi"/>
      <w:i/>
      <w:iCs/>
      <w:color w:val="272727" w:themeColor="text1" w:themeTint="D8"/>
      <w:kern w:val="2"/>
      <w:lang w:eastAsia="en-US"/>
    </w:rPr>
  </w:style>
  <w:style w:type="paragraph" w:styleId="Heading9">
    <w:name w:val="heading 9"/>
    <w:basedOn w:val="Normal"/>
    <w:next w:val="Normal"/>
    <w:link w:val="Heading9Char"/>
    <w:uiPriority w:val="9"/>
    <w:semiHidden/>
    <w:unhideWhenUsed/>
    <w:qFormat/>
    <w:rsid w:val="00257C42"/>
    <w:pPr>
      <w:keepNext/>
      <w:keepLines/>
      <w:outlineLvl w:val="8"/>
    </w:pPr>
    <w:rPr>
      <w:rFonts w:asciiTheme="minorHAnsi" w:eastAsiaTheme="majorEastAsia" w:hAnsiTheme="minorHAnsi" w:cstheme="majorBidi"/>
      <w:color w:val="272727" w:themeColor="text1" w:themeTint="D8"/>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257C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7C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7C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7C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7C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7C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7C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7C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7C42"/>
    <w:rPr>
      <w:rFonts w:eastAsiaTheme="majorEastAsia" w:cstheme="majorBidi"/>
      <w:color w:val="272727" w:themeColor="text1" w:themeTint="D8"/>
    </w:rPr>
  </w:style>
  <w:style w:type="character" w:customStyle="1" w:styleId="TitleChar">
    <w:name w:val="Title Char"/>
    <w:basedOn w:val="DefaultParagraphFont"/>
    <w:link w:val="Title"/>
    <w:uiPriority w:val="10"/>
    <w:rsid w:val="00257C4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57C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7C42"/>
    <w:pPr>
      <w:spacing w:before="160" w:after="160"/>
      <w:jc w:val="center"/>
    </w:pPr>
    <w:rPr>
      <w:rFonts w:asciiTheme="minorHAnsi" w:eastAsiaTheme="minorHAnsi" w:hAnsiTheme="minorHAnsi" w:cstheme="minorBidi"/>
      <w:i/>
      <w:iCs/>
      <w:color w:val="404040" w:themeColor="text1" w:themeTint="BF"/>
      <w:kern w:val="2"/>
      <w:lang w:eastAsia="en-US"/>
    </w:rPr>
  </w:style>
  <w:style w:type="character" w:customStyle="1" w:styleId="QuoteChar">
    <w:name w:val="Quote Char"/>
    <w:basedOn w:val="DefaultParagraphFont"/>
    <w:link w:val="Quote"/>
    <w:uiPriority w:val="29"/>
    <w:rsid w:val="00257C42"/>
    <w:rPr>
      <w:i/>
      <w:iCs/>
      <w:color w:val="404040" w:themeColor="text1" w:themeTint="BF"/>
    </w:rPr>
  </w:style>
  <w:style w:type="paragraph" w:styleId="ListParagraph">
    <w:name w:val="List Paragraph"/>
    <w:basedOn w:val="Normal"/>
    <w:uiPriority w:val="34"/>
    <w:qFormat/>
    <w:rsid w:val="00257C42"/>
    <w:pPr>
      <w:ind w:left="720"/>
      <w:contextualSpacing/>
    </w:pPr>
    <w:rPr>
      <w:rFonts w:asciiTheme="minorHAnsi" w:eastAsiaTheme="minorHAnsi" w:hAnsiTheme="minorHAnsi" w:cstheme="minorBidi"/>
      <w:kern w:val="2"/>
      <w:lang w:eastAsia="en-US"/>
    </w:rPr>
  </w:style>
  <w:style w:type="character" w:styleId="IntenseEmphasis">
    <w:name w:val="Intense Emphasis"/>
    <w:basedOn w:val="DefaultParagraphFont"/>
    <w:uiPriority w:val="21"/>
    <w:qFormat/>
    <w:rsid w:val="00257C42"/>
    <w:rPr>
      <w:i/>
      <w:iCs/>
      <w:color w:val="0F4761" w:themeColor="accent1" w:themeShade="BF"/>
    </w:rPr>
  </w:style>
  <w:style w:type="paragraph" w:styleId="IntenseQuote">
    <w:name w:val="Intense Quote"/>
    <w:basedOn w:val="Normal"/>
    <w:next w:val="Normal"/>
    <w:link w:val="IntenseQuoteChar"/>
    <w:uiPriority w:val="30"/>
    <w:qFormat/>
    <w:rsid w:val="00257C4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rPr>
  </w:style>
  <w:style w:type="character" w:customStyle="1" w:styleId="IntenseQuoteChar">
    <w:name w:val="Intense Quote Char"/>
    <w:basedOn w:val="DefaultParagraphFont"/>
    <w:link w:val="IntenseQuote"/>
    <w:uiPriority w:val="30"/>
    <w:rsid w:val="00257C42"/>
    <w:rPr>
      <w:i/>
      <w:iCs/>
      <w:color w:val="0F4761" w:themeColor="accent1" w:themeShade="BF"/>
    </w:rPr>
  </w:style>
  <w:style w:type="character" w:styleId="IntenseReference">
    <w:name w:val="Intense Reference"/>
    <w:basedOn w:val="DefaultParagraphFont"/>
    <w:uiPriority w:val="32"/>
    <w:qFormat/>
    <w:rsid w:val="00257C42"/>
    <w:rPr>
      <w:b/>
      <w:bCs/>
      <w:smallCaps/>
      <w:color w:val="0F4761" w:themeColor="accent1" w:themeShade="BF"/>
      <w:spacing w:val="5"/>
    </w:rPr>
  </w:style>
  <w:style w:type="character" w:customStyle="1" w:styleId="apple-converted-space">
    <w:name w:val="apple-converted-space"/>
    <w:basedOn w:val="DefaultParagraphFont"/>
    <w:rsid w:val="00257C42"/>
  </w:style>
  <w:style w:type="character" w:customStyle="1" w:styleId="contributors">
    <w:name w:val="contributors"/>
    <w:basedOn w:val="DefaultParagraphFont"/>
    <w:rsid w:val="00257C42"/>
  </w:style>
  <w:style w:type="character" w:customStyle="1" w:styleId="maintitle">
    <w:name w:val="maintitle"/>
    <w:basedOn w:val="DefaultParagraphFont"/>
    <w:rsid w:val="00257C42"/>
  </w:style>
  <w:style w:type="character" w:customStyle="1" w:styleId="editors">
    <w:name w:val="editors"/>
    <w:basedOn w:val="DefaultParagraphFont"/>
    <w:rsid w:val="00257C42"/>
  </w:style>
  <w:style w:type="character" w:styleId="Emphasis">
    <w:name w:val="Emphasis"/>
    <w:basedOn w:val="DefaultParagraphFont"/>
    <w:uiPriority w:val="20"/>
    <w:qFormat/>
    <w:rsid w:val="00257C42"/>
    <w:rPr>
      <w:i/>
      <w:iCs/>
    </w:rPr>
  </w:style>
  <w:style w:type="character" w:customStyle="1" w:styleId="publisher-location">
    <w:name w:val="publisher-location"/>
    <w:basedOn w:val="DefaultParagraphFont"/>
    <w:rsid w:val="00257C42"/>
  </w:style>
  <w:style w:type="character" w:customStyle="1" w:styleId="online-edition">
    <w:name w:val="online-edition"/>
    <w:basedOn w:val="DefaultParagraphFont"/>
    <w:rsid w:val="00257C42"/>
  </w:style>
  <w:style w:type="character" w:customStyle="1" w:styleId="containing-site">
    <w:name w:val="containing-site"/>
    <w:basedOn w:val="DefaultParagraphFont"/>
    <w:rsid w:val="00257C42"/>
  </w:style>
  <w:style w:type="character" w:customStyle="1" w:styleId="online-publication-date">
    <w:name w:val="online-publication-date"/>
    <w:basedOn w:val="DefaultParagraphFont"/>
    <w:rsid w:val="00257C42"/>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heguardian.com/australia-news/2024/sep/18/renttech-real-estate-ailo-snug-ignite-renters-ntwnfb" TargetMode="External"/><Relationship Id="rId18" Type="http://schemas.openxmlformats.org/officeDocument/2006/relationships/hyperlink" Target="https://tinyurl.com/4mskfff2" TargetMode="External"/><Relationship Id="rId26" Type="http://schemas.openxmlformats.org/officeDocument/2006/relationships/hyperlink" Target="https://tinyurl.com/3emdevcv" TargetMode="External"/><Relationship Id="rId3" Type="http://schemas.openxmlformats.org/officeDocument/2006/relationships/settings" Target="settings.xml"/><Relationship Id="rId21" Type="http://schemas.openxmlformats.org/officeDocument/2006/relationships/hyperlink" Target="https://static1.squarespace.com/static/5cdaae1065a7071779d6a4f7/t/627b83670e9a5e1d01217428/1652261743091/Husmus_Report_Challenging+an+unfair+renting+model.pdf" TargetMode="External"/><Relationship Id="rId7" Type="http://schemas.openxmlformats.org/officeDocument/2006/relationships/hyperlink" Target="https://orcid.org/0000-0001-5088-1895" TargetMode="External"/><Relationship Id="rId12" Type="http://schemas.openxmlformats.org/officeDocument/2006/relationships/hyperlink" Target="https://bluestonemortgages.co.uk/news/is-the-future-of-mortgage-approvals-open-banking/" TargetMode="External"/><Relationship Id="rId17" Type="http://schemas.openxmlformats.org/officeDocument/2006/relationships/hyperlink" Target="https://digitalrightswatch.org.au/2023/08/07/renttech/" TargetMode="External"/><Relationship Id="rId25" Type="http://schemas.openxmlformats.org/officeDocument/2006/relationships/hyperlink" Target="https://openbanking.foleon.com/live-publications/openbanking-to-openfinanc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heguardian.com/australia-news/2022/nov/17/imperfect-match-australian-renters-in-the-dark-over-use-of-data-by-tech-company-snug" TargetMode="External"/><Relationship Id="rId20" Type="http://schemas.openxmlformats.org/officeDocument/2006/relationships/hyperlink" Target="https://www.nextgov.com/digital-government/2024/05/hud-warns-ai-fueled-housing-discrimination/396305/" TargetMode="External"/><Relationship Id="rId29" Type="http://schemas.openxmlformats.org/officeDocument/2006/relationships/hyperlink" Target="https://www.youtube.com/watch?v=nVsX7lWt1u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rcid.org/0000-0002-1363-2336" TargetMode="External"/><Relationship Id="rId24" Type="http://schemas.openxmlformats.org/officeDocument/2006/relationships/hyperlink" Target="https://www.openbanking.org.uk/how-open-banking-can-help-consumer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omplianceweek.com/regulatory-enforcement/transunion-settles-with-cfpb-ftc-over-tenant-screening-accuracy/33711.article" TargetMode="External"/><Relationship Id="rId23" Type="http://schemas.openxmlformats.org/officeDocument/2006/relationships/hyperlink" Target="https://ssrn.com/abstract=4278803" TargetMode="External"/><Relationship Id="rId28" Type="http://schemas.openxmlformats.org/officeDocument/2006/relationships/hyperlink" Target="https://tinyurl.com/bdzkuapp" TargetMode="External"/><Relationship Id="rId10" Type="http://schemas.openxmlformats.org/officeDocument/2006/relationships/hyperlink" Target="https://orcid.org/0000-0001-9550-9755" TargetMode="External"/><Relationship Id="rId19" Type="http://schemas.openxmlformats.org/officeDocument/2006/relationships/hyperlink" Target="https://www.handbook.fca.org.uk/handbook/CONC/5/2A.pdf"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0-0002-6926-4595" TargetMode="External"/><Relationship Id="rId14" Type="http://schemas.openxmlformats.org/officeDocument/2006/relationships/hyperlink" Target="https://ssrn.com/abstract=4403058" TargetMode="External"/><Relationship Id="rId22" Type="http://schemas.openxmlformats.org/officeDocument/2006/relationships/hyperlink" Target="https://tinyurl.com/yywpjpvd" TargetMode="External"/><Relationship Id="rId27" Type="http://schemas.openxmlformats.org/officeDocument/2006/relationships/hyperlink" Target="https://tinyurl.com/vr6fy6xz" TargetMode="External"/><Relationship Id="rId30" Type="http://schemas.openxmlformats.org/officeDocument/2006/relationships/hyperlink" Target="https://lettingshub.co.uk/tenants/property-passport/" TargetMode="External"/><Relationship Id="rId8" Type="http://schemas.openxmlformats.org/officeDocument/2006/relationships/hyperlink" Target="https://orcid.org/0000-0001-6837-158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dJGJibCc4wHObZ4kuy7WtRjvog==">CgMxLjAyDmgudmZ6cjd6aGZwaXJmMg5oLnZuNGRpZnc5OG03ejIOaC4ydHNtdDhwbjltejcyDmguNnQxY3dndjBlODc3Mg5oLnFrd3djOXNudmF5dzIOaC5qYzBzcGpsYzBkc2MyDmguY29xMG40MXhwcGdmMg5oLmNsanF1Y3NkejR4MTIOaC50dWttYzRoZ3V6eHcyDmgueG45MWE1cG01cWo1Mg5oLmpkdmJ5bXh4anl4bjIOaC50NG84NXQ3NGV4Ym84AHIhMXRfM2cxZk1oaGhTLS1EVm40QThCZVRhSTRqVlYxV2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8735</Words>
  <Characters>51626</Characters>
  <Application>Microsoft Office Word</Application>
  <DocSecurity>0</DocSecurity>
  <Lines>759</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Wallace</dc:creator>
  <cp:lastModifiedBy>David Beer</cp:lastModifiedBy>
  <cp:revision>6</cp:revision>
  <dcterms:created xsi:type="dcterms:W3CDTF">2025-06-02T13:43:00Z</dcterms:created>
  <dcterms:modified xsi:type="dcterms:W3CDTF">2025-10-20T12:01:00Z</dcterms:modified>
</cp:coreProperties>
</file>