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8F40" w14:textId="77777777" w:rsidR="0069334D" w:rsidRDefault="0069334D" w:rsidP="0069334D">
      <w:pPr>
        <w:shd w:val="clear" w:color="auto" w:fill="FFFFFF"/>
        <w:tabs>
          <w:tab w:val="num" w:pos="720"/>
        </w:tabs>
        <w:spacing w:before="100" w:beforeAutospacing="1" w:after="100" w:afterAutospacing="1" w:line="240" w:lineRule="auto"/>
        <w:ind w:left="720" w:hanging="360"/>
        <w:jc w:val="center"/>
        <w:rPr>
          <w:rFonts w:cstheme="minorHAnsi"/>
          <w:b/>
          <w:bCs/>
          <w:sz w:val="24"/>
          <w:szCs w:val="24"/>
        </w:rPr>
      </w:pPr>
      <w:r w:rsidRPr="00C83273">
        <w:rPr>
          <w:rFonts w:cstheme="minorHAnsi"/>
          <w:b/>
          <w:bCs/>
          <w:sz w:val="24"/>
          <w:szCs w:val="24"/>
        </w:rPr>
        <w:t>TITLE PAGE</w:t>
      </w:r>
    </w:p>
    <w:p w14:paraId="1516643E" w14:textId="7463CE16" w:rsidR="0069334D" w:rsidRPr="00C83273" w:rsidRDefault="0069334D" w:rsidP="0069334D">
      <w:pPr>
        <w:shd w:val="clear" w:color="auto" w:fill="FFFFFF"/>
        <w:tabs>
          <w:tab w:val="num" w:pos="720"/>
        </w:tabs>
        <w:spacing w:before="100" w:beforeAutospacing="1" w:after="100" w:afterAutospacing="1" w:line="240" w:lineRule="auto"/>
        <w:ind w:left="720" w:hanging="360"/>
        <w:jc w:val="center"/>
        <w:rPr>
          <w:rFonts w:eastAsia="Times New Roman" w:cstheme="minorHAnsi"/>
          <w:kern w:val="0"/>
          <w:sz w:val="24"/>
          <w:szCs w:val="24"/>
          <w:lang w:val="hu-HU" w:eastAsia="hu-HU"/>
          <w14:ligatures w14:val="none"/>
        </w:rPr>
      </w:pPr>
      <w:proofErr w:type="spellStart"/>
      <w:r w:rsidRPr="00C83273">
        <w:rPr>
          <w:rFonts w:eastAsia="Times New Roman" w:cstheme="minorHAnsi"/>
          <w:kern w:val="0"/>
          <w:sz w:val="24"/>
          <w:szCs w:val="24"/>
          <w:lang w:val="hu-HU" w:eastAsia="hu-HU"/>
          <w14:ligatures w14:val="none"/>
        </w:rPr>
        <w:t>Title</w:t>
      </w:r>
      <w:proofErr w:type="spellEnd"/>
      <w:r w:rsidRPr="00C83273">
        <w:rPr>
          <w:rFonts w:eastAsia="Times New Roman" w:cstheme="minorHAnsi"/>
          <w:kern w:val="0"/>
          <w:sz w:val="24"/>
          <w:szCs w:val="24"/>
          <w:lang w:val="hu-HU" w:eastAsia="hu-HU"/>
          <w14:ligatures w14:val="none"/>
        </w:rPr>
        <w:t xml:space="preserve">: </w:t>
      </w:r>
      <w:bookmarkStart w:id="0" w:name="_Hlk180831107"/>
      <w:proofErr w:type="spellStart"/>
      <w:r w:rsidR="00451039" w:rsidRPr="00BA20EC">
        <w:rPr>
          <w:rFonts w:eastAsia="Times New Roman" w:cstheme="minorHAnsi"/>
          <w:kern w:val="0"/>
          <w:sz w:val="24"/>
          <w:szCs w:val="24"/>
          <w:lang w:val="hu-HU" w:eastAsia="hu-HU"/>
          <w14:ligatures w14:val="none"/>
        </w:rPr>
        <w:t>Transferability</w:t>
      </w:r>
      <w:proofErr w:type="spellEnd"/>
      <w:r w:rsidR="00451039" w:rsidRPr="00BA20EC">
        <w:rPr>
          <w:rFonts w:eastAsia="Times New Roman" w:cstheme="minorHAnsi"/>
          <w:kern w:val="0"/>
          <w:sz w:val="24"/>
          <w:szCs w:val="24"/>
          <w:lang w:val="hu-HU" w:eastAsia="hu-HU"/>
          <w14:ligatures w14:val="none"/>
        </w:rPr>
        <w:t xml:space="preserve"> of </w:t>
      </w:r>
      <w:r w:rsidR="00451039">
        <w:rPr>
          <w:rFonts w:eastAsia="Times New Roman" w:cstheme="minorHAnsi"/>
          <w:kern w:val="0"/>
          <w:sz w:val="24"/>
          <w:szCs w:val="24"/>
          <w:lang w:val="hu-HU" w:eastAsia="hu-HU"/>
          <w14:ligatures w14:val="none"/>
        </w:rPr>
        <w:t xml:space="preserve">Real World </w:t>
      </w:r>
      <w:proofErr w:type="spellStart"/>
      <w:r w:rsidR="00451039">
        <w:rPr>
          <w:rFonts w:eastAsia="Times New Roman" w:cstheme="minorHAnsi"/>
          <w:kern w:val="0"/>
          <w:sz w:val="24"/>
          <w:szCs w:val="24"/>
          <w:lang w:val="hu-HU" w:eastAsia="hu-HU"/>
          <w14:ligatures w14:val="none"/>
        </w:rPr>
        <w:t>Evidence</w:t>
      </w:r>
      <w:proofErr w:type="spellEnd"/>
      <w:r w:rsidR="00451039">
        <w:rPr>
          <w:rFonts w:eastAsia="Times New Roman" w:cstheme="minorHAnsi"/>
          <w:kern w:val="0"/>
          <w:sz w:val="24"/>
          <w:szCs w:val="24"/>
          <w:lang w:val="hu-HU" w:eastAsia="hu-HU"/>
          <w14:ligatures w14:val="none"/>
        </w:rPr>
        <w:t xml:space="preserve"> </w:t>
      </w:r>
      <w:proofErr w:type="spellStart"/>
      <w:r w:rsidR="00451039" w:rsidRPr="00BA20EC">
        <w:rPr>
          <w:rFonts w:eastAsia="Times New Roman" w:cstheme="minorHAnsi"/>
          <w:kern w:val="0"/>
          <w:sz w:val="24"/>
          <w:szCs w:val="24"/>
          <w:lang w:val="hu-HU" w:eastAsia="hu-HU"/>
          <w14:ligatures w14:val="none"/>
        </w:rPr>
        <w:t>to</w:t>
      </w:r>
      <w:proofErr w:type="spellEnd"/>
      <w:r w:rsidR="00451039" w:rsidRPr="00BA20EC">
        <w:rPr>
          <w:rFonts w:eastAsia="Times New Roman" w:cstheme="minorHAnsi"/>
          <w:kern w:val="0"/>
          <w:sz w:val="24"/>
          <w:szCs w:val="24"/>
          <w:lang w:val="hu-HU" w:eastAsia="hu-HU"/>
          <w14:ligatures w14:val="none"/>
        </w:rPr>
        <w:t xml:space="preserve"> </w:t>
      </w:r>
      <w:r w:rsidR="00451039">
        <w:rPr>
          <w:rFonts w:eastAsia="Times New Roman" w:cstheme="minorHAnsi"/>
          <w:kern w:val="0"/>
          <w:sz w:val="24"/>
          <w:szCs w:val="24"/>
          <w:lang w:val="hu-HU" w:eastAsia="hu-HU"/>
          <w14:ligatures w14:val="none"/>
        </w:rPr>
        <w:t xml:space="preserve">Support </w:t>
      </w:r>
      <w:r w:rsidR="00451039" w:rsidRPr="00BA20EC">
        <w:rPr>
          <w:rFonts w:eastAsia="Times New Roman" w:cstheme="minorHAnsi"/>
          <w:kern w:val="0"/>
          <w:sz w:val="24"/>
          <w:szCs w:val="24"/>
          <w:lang w:val="hu-HU" w:eastAsia="hu-HU"/>
          <w14:ligatures w14:val="none"/>
        </w:rPr>
        <w:t>H</w:t>
      </w:r>
      <w:r w:rsidR="00451039">
        <w:rPr>
          <w:rFonts w:eastAsia="Times New Roman" w:cstheme="minorHAnsi"/>
          <w:kern w:val="0"/>
          <w:sz w:val="24"/>
          <w:szCs w:val="24"/>
          <w:lang w:val="hu-HU" w:eastAsia="hu-HU"/>
          <w14:ligatures w14:val="none"/>
        </w:rPr>
        <w:t xml:space="preserve">TA </w:t>
      </w:r>
      <w:proofErr w:type="spellStart"/>
      <w:r w:rsidR="00451039">
        <w:rPr>
          <w:rFonts w:eastAsia="Times New Roman" w:cstheme="minorHAnsi"/>
          <w:kern w:val="0"/>
          <w:sz w:val="24"/>
          <w:szCs w:val="24"/>
          <w:lang w:val="hu-HU" w:eastAsia="hu-HU"/>
          <w14:ligatures w14:val="none"/>
        </w:rPr>
        <w:t>Recommendations</w:t>
      </w:r>
      <w:proofErr w:type="spellEnd"/>
      <w:r w:rsidR="00451039">
        <w:rPr>
          <w:rFonts w:eastAsia="Times New Roman" w:cstheme="minorHAnsi"/>
          <w:kern w:val="0"/>
          <w:sz w:val="24"/>
          <w:szCs w:val="24"/>
          <w:lang w:val="hu-HU" w:eastAsia="hu-HU"/>
          <w14:ligatures w14:val="none"/>
        </w:rPr>
        <w:t xml:space="preserve"> </w:t>
      </w:r>
      <w:r w:rsidR="00451039" w:rsidRPr="00BA20EC">
        <w:rPr>
          <w:rFonts w:eastAsia="Times New Roman" w:cstheme="minorHAnsi"/>
          <w:kern w:val="0"/>
          <w:sz w:val="24"/>
          <w:szCs w:val="24"/>
          <w:lang w:val="hu-HU" w:eastAsia="hu-HU"/>
          <w14:ligatures w14:val="none"/>
        </w:rPr>
        <w:t xml:space="preserve">in </w:t>
      </w:r>
      <w:proofErr w:type="spellStart"/>
      <w:r w:rsidR="00451039" w:rsidRPr="00BA20EC">
        <w:rPr>
          <w:rFonts w:eastAsia="Times New Roman" w:cstheme="minorHAnsi"/>
          <w:kern w:val="0"/>
          <w:sz w:val="24"/>
          <w:szCs w:val="24"/>
          <w:lang w:val="hu-HU" w:eastAsia="hu-HU"/>
          <w14:ligatures w14:val="none"/>
        </w:rPr>
        <w:t>Lower</w:t>
      </w:r>
      <w:proofErr w:type="spellEnd"/>
      <w:r w:rsidR="00451039" w:rsidRPr="00BA20EC">
        <w:rPr>
          <w:rFonts w:eastAsia="Times New Roman" w:cstheme="minorHAnsi"/>
          <w:kern w:val="0"/>
          <w:sz w:val="24"/>
          <w:szCs w:val="24"/>
          <w:lang w:val="hu-HU" w:eastAsia="hu-HU"/>
          <w14:ligatures w14:val="none"/>
        </w:rPr>
        <w:t xml:space="preserve"> </w:t>
      </w:r>
      <w:proofErr w:type="spellStart"/>
      <w:r w:rsidR="00451039" w:rsidRPr="00BA20EC">
        <w:rPr>
          <w:rFonts w:eastAsia="Times New Roman" w:cstheme="minorHAnsi"/>
          <w:kern w:val="0"/>
          <w:sz w:val="24"/>
          <w:szCs w:val="24"/>
          <w:lang w:val="hu-HU" w:eastAsia="hu-HU"/>
          <w14:ligatures w14:val="none"/>
        </w:rPr>
        <w:t>Income</w:t>
      </w:r>
      <w:proofErr w:type="spellEnd"/>
      <w:r w:rsidR="00451039" w:rsidRPr="00BA20EC">
        <w:rPr>
          <w:rFonts w:eastAsia="Times New Roman" w:cstheme="minorHAnsi"/>
          <w:kern w:val="0"/>
          <w:sz w:val="24"/>
          <w:szCs w:val="24"/>
          <w:lang w:val="hu-HU" w:eastAsia="hu-HU"/>
          <w14:ligatures w14:val="none"/>
        </w:rPr>
        <w:t xml:space="preserve"> European </w:t>
      </w:r>
      <w:proofErr w:type="spellStart"/>
      <w:r w:rsidR="00451039" w:rsidRPr="00BA20EC">
        <w:rPr>
          <w:rFonts w:eastAsia="Times New Roman" w:cstheme="minorHAnsi"/>
          <w:kern w:val="0"/>
          <w:sz w:val="24"/>
          <w:szCs w:val="24"/>
          <w:lang w:val="hu-HU" w:eastAsia="hu-HU"/>
          <w14:ligatures w14:val="none"/>
        </w:rPr>
        <w:t>Countries</w:t>
      </w:r>
      <w:bookmarkEnd w:id="0"/>
      <w:proofErr w:type="spellEnd"/>
    </w:p>
    <w:p w14:paraId="171057C5" w14:textId="5FCDAF79" w:rsidR="0069334D" w:rsidRPr="00C83273" w:rsidRDefault="0069334D" w:rsidP="0069334D">
      <w:pPr>
        <w:shd w:val="clear" w:color="auto" w:fill="FFFFFF"/>
        <w:spacing w:before="100" w:beforeAutospacing="1" w:after="100" w:afterAutospacing="1" w:line="240" w:lineRule="auto"/>
        <w:rPr>
          <w:rFonts w:eastAsia="Times New Roman" w:cstheme="minorHAnsi"/>
          <w:kern w:val="0"/>
          <w:sz w:val="24"/>
          <w:szCs w:val="24"/>
          <w:lang w:val="hu-HU" w:eastAsia="hu-HU"/>
          <w14:ligatures w14:val="none"/>
        </w:rPr>
      </w:pPr>
      <w:bookmarkStart w:id="1" w:name="_Hlk198665292"/>
      <w:proofErr w:type="spellStart"/>
      <w:r w:rsidRPr="00C83273">
        <w:rPr>
          <w:rFonts w:eastAsia="Times New Roman" w:cstheme="minorHAnsi"/>
          <w:kern w:val="0"/>
          <w:sz w:val="24"/>
          <w:szCs w:val="24"/>
          <w:lang w:val="hu-HU" w:eastAsia="hu-HU"/>
          <w14:ligatures w14:val="none"/>
        </w:rPr>
        <w:t>Authors</w:t>
      </w:r>
      <w:proofErr w:type="spellEnd"/>
      <w:r>
        <w:rPr>
          <w:rFonts w:eastAsia="Times New Roman" w:cstheme="minorHAnsi"/>
          <w:kern w:val="0"/>
          <w:sz w:val="24"/>
          <w:szCs w:val="24"/>
          <w:lang w:val="hu-HU" w:eastAsia="hu-HU"/>
          <w14:ligatures w14:val="none"/>
        </w:rPr>
        <w:t xml:space="preserve">: </w:t>
      </w:r>
      <w:r w:rsidRPr="00C83273">
        <w:rPr>
          <w:rFonts w:eastAsia="Times New Roman" w:cstheme="minorHAnsi"/>
          <w:kern w:val="0"/>
          <w:sz w:val="24"/>
          <w:szCs w:val="24"/>
          <w:lang w:val="hu-HU" w:eastAsia="hu-HU"/>
          <w14:ligatures w14:val="none"/>
        </w:rPr>
        <w:t>Zolt</w:t>
      </w:r>
      <w:r w:rsidR="00B059B4">
        <w:rPr>
          <w:rFonts w:eastAsia="Times New Roman" w:cstheme="minorHAnsi"/>
          <w:kern w:val="0"/>
          <w:sz w:val="24"/>
          <w:szCs w:val="24"/>
          <w:lang w:val="hu-HU" w:eastAsia="hu-HU"/>
          <w14:ligatures w14:val="none"/>
        </w:rPr>
        <w:t>á</w:t>
      </w:r>
      <w:r w:rsidRPr="00C83273">
        <w:rPr>
          <w:rFonts w:eastAsia="Times New Roman" w:cstheme="minorHAnsi"/>
          <w:kern w:val="0"/>
          <w:sz w:val="24"/>
          <w:szCs w:val="24"/>
          <w:lang w:val="hu-HU" w:eastAsia="hu-HU"/>
          <w14:ligatures w14:val="none"/>
        </w:rPr>
        <w:t>n Kaló</w:t>
      </w:r>
      <w:r w:rsidRPr="00C83273">
        <w:rPr>
          <w:rFonts w:eastAsia="Times New Roman" w:cstheme="minorHAnsi"/>
          <w:kern w:val="0"/>
          <w:sz w:val="24"/>
          <w:szCs w:val="24"/>
          <w:vertAlign w:val="superscript"/>
          <w:lang w:val="hu-HU" w:eastAsia="hu-HU"/>
          <w14:ligatures w14:val="none"/>
        </w:rPr>
        <w:t>1,2</w:t>
      </w:r>
      <w:r w:rsidR="00B059B4">
        <w:rPr>
          <w:rFonts w:eastAsia="Times New Roman" w:cstheme="minorHAnsi"/>
          <w:kern w:val="0"/>
          <w:sz w:val="24"/>
          <w:szCs w:val="24"/>
          <w:vertAlign w:val="superscript"/>
          <w:lang w:val="hu-HU" w:eastAsia="hu-HU"/>
          <w14:ligatures w14:val="none"/>
        </w:rPr>
        <w:t>,3</w:t>
      </w:r>
      <w:r w:rsidRPr="00C83273">
        <w:rPr>
          <w:rFonts w:eastAsia="Times New Roman" w:cstheme="minorHAnsi"/>
          <w:kern w:val="0"/>
          <w:sz w:val="24"/>
          <w:szCs w:val="24"/>
          <w:lang w:val="hu-HU" w:eastAsia="hu-HU"/>
          <w14:ligatures w14:val="none"/>
        </w:rPr>
        <w:t>, Guenka Petrova</w:t>
      </w:r>
      <w:r w:rsidR="00B059B4">
        <w:rPr>
          <w:rFonts w:eastAsia="Times New Roman" w:cstheme="minorHAnsi"/>
          <w:kern w:val="0"/>
          <w:sz w:val="24"/>
          <w:szCs w:val="24"/>
          <w:vertAlign w:val="superscript"/>
          <w:lang w:val="hu-HU" w:eastAsia="hu-HU"/>
          <w14:ligatures w14:val="none"/>
        </w:rPr>
        <w:t>4</w:t>
      </w:r>
      <w:r w:rsidRPr="00C83273">
        <w:rPr>
          <w:rFonts w:eastAsia="Times New Roman" w:cstheme="minorHAnsi"/>
          <w:kern w:val="0"/>
          <w:sz w:val="24"/>
          <w:szCs w:val="24"/>
          <w:lang w:val="hu-HU" w:eastAsia="hu-HU"/>
          <w14:ligatures w14:val="none"/>
        </w:rPr>
        <w:t>, Bertalan Németh</w:t>
      </w:r>
      <w:r w:rsidR="00B059B4">
        <w:rPr>
          <w:rFonts w:eastAsia="Times New Roman" w:cstheme="minorHAnsi"/>
          <w:kern w:val="0"/>
          <w:sz w:val="24"/>
          <w:szCs w:val="24"/>
          <w:vertAlign w:val="superscript"/>
          <w:lang w:val="hu-HU" w:eastAsia="hu-HU"/>
          <w14:ligatures w14:val="none"/>
        </w:rPr>
        <w:t>3</w:t>
      </w:r>
      <w:r w:rsidRPr="00C83273">
        <w:rPr>
          <w:rFonts w:eastAsia="Times New Roman" w:cstheme="minorHAnsi"/>
          <w:kern w:val="0"/>
          <w:sz w:val="24"/>
          <w:szCs w:val="24"/>
          <w:lang w:val="hu-HU" w:eastAsia="hu-HU"/>
          <w14:ligatures w14:val="none"/>
        </w:rPr>
        <w:t xml:space="preserve">, Petra </w:t>
      </w:r>
      <w:proofErr w:type="spellStart"/>
      <w:r w:rsidRPr="00C83273">
        <w:rPr>
          <w:rFonts w:eastAsia="Times New Roman" w:cstheme="minorHAnsi"/>
          <w:kern w:val="0"/>
          <w:sz w:val="24"/>
          <w:szCs w:val="24"/>
          <w:lang w:val="hu-HU" w:eastAsia="hu-HU"/>
          <w14:ligatures w14:val="none"/>
        </w:rPr>
        <w:t>Došenović</w:t>
      </w:r>
      <w:proofErr w:type="spellEnd"/>
      <w:r w:rsidRPr="00C83273">
        <w:rPr>
          <w:rFonts w:eastAsia="Times New Roman" w:cstheme="minorHAnsi"/>
          <w:kern w:val="0"/>
          <w:sz w:val="24"/>
          <w:szCs w:val="24"/>
          <w:lang w:val="hu-HU" w:eastAsia="hu-HU"/>
          <w14:ligatures w14:val="none"/>
        </w:rPr>
        <w:t xml:space="preserve"> Bonča</w:t>
      </w:r>
      <w:r w:rsidR="00B059B4">
        <w:rPr>
          <w:rFonts w:eastAsia="Times New Roman" w:cstheme="minorHAnsi"/>
          <w:kern w:val="0"/>
          <w:sz w:val="24"/>
          <w:szCs w:val="24"/>
          <w:vertAlign w:val="superscript"/>
          <w:lang w:val="hu-HU" w:eastAsia="hu-HU"/>
          <w14:ligatures w14:val="none"/>
        </w:rPr>
        <w:t>5</w:t>
      </w:r>
      <w:r w:rsidRPr="00C83273">
        <w:rPr>
          <w:rFonts w:eastAsia="Times New Roman" w:cstheme="minorHAnsi"/>
          <w:kern w:val="0"/>
          <w:sz w:val="24"/>
          <w:szCs w:val="24"/>
          <w:lang w:val="hu-HU" w:eastAsia="hu-HU"/>
          <w14:ligatures w14:val="none"/>
        </w:rPr>
        <w:t>, Diana Delnoij</w:t>
      </w:r>
      <w:r w:rsidR="00B059B4">
        <w:rPr>
          <w:rFonts w:eastAsia="Times New Roman" w:cstheme="minorHAnsi"/>
          <w:kern w:val="0"/>
          <w:sz w:val="24"/>
          <w:szCs w:val="24"/>
          <w:vertAlign w:val="superscript"/>
          <w:lang w:val="hu-HU" w:eastAsia="hu-HU"/>
          <w14:ligatures w14:val="none"/>
        </w:rPr>
        <w:t>6</w:t>
      </w:r>
      <w:r>
        <w:rPr>
          <w:rFonts w:eastAsia="Times New Roman" w:cstheme="minorHAnsi"/>
          <w:kern w:val="0"/>
          <w:sz w:val="24"/>
          <w:szCs w:val="24"/>
          <w:vertAlign w:val="superscript"/>
          <w:lang w:val="hu-HU" w:eastAsia="hu-HU"/>
          <w14:ligatures w14:val="none"/>
        </w:rPr>
        <w:t>,</w:t>
      </w:r>
      <w:r w:rsidR="00B059B4">
        <w:rPr>
          <w:rFonts w:eastAsia="Times New Roman" w:cstheme="minorHAnsi"/>
          <w:kern w:val="0"/>
          <w:sz w:val="24"/>
          <w:szCs w:val="24"/>
          <w:vertAlign w:val="superscript"/>
          <w:lang w:val="hu-HU" w:eastAsia="hu-HU"/>
          <w14:ligatures w14:val="none"/>
        </w:rPr>
        <w:t>7</w:t>
      </w:r>
      <w:r w:rsidRPr="00C83273">
        <w:rPr>
          <w:rFonts w:eastAsia="Times New Roman" w:cstheme="minorHAnsi"/>
          <w:kern w:val="0"/>
          <w:sz w:val="24"/>
          <w:szCs w:val="24"/>
          <w:lang w:val="hu-HU" w:eastAsia="hu-HU"/>
          <w14:ligatures w14:val="none"/>
        </w:rPr>
        <w:t>, Alastair Bennett</w:t>
      </w:r>
      <w:r w:rsidR="00B059B4">
        <w:rPr>
          <w:rFonts w:eastAsia="Times New Roman" w:cstheme="minorHAnsi"/>
          <w:kern w:val="0"/>
          <w:sz w:val="24"/>
          <w:szCs w:val="24"/>
          <w:vertAlign w:val="superscript"/>
          <w:lang w:val="hu-HU" w:eastAsia="hu-HU"/>
          <w14:ligatures w14:val="none"/>
        </w:rPr>
        <w:t>8</w:t>
      </w:r>
      <w:r w:rsidRPr="00C83273">
        <w:rPr>
          <w:rFonts w:eastAsia="Times New Roman" w:cstheme="minorHAnsi"/>
          <w:kern w:val="0"/>
          <w:sz w:val="24"/>
          <w:szCs w:val="24"/>
          <w:lang w:val="hu-HU" w:eastAsia="hu-HU"/>
          <w14:ligatures w14:val="none"/>
        </w:rPr>
        <w:t>, Konstantin Tachkov</w:t>
      </w:r>
      <w:r w:rsidR="00B059B4">
        <w:rPr>
          <w:rFonts w:eastAsia="Times New Roman" w:cstheme="minorHAnsi"/>
          <w:kern w:val="0"/>
          <w:sz w:val="24"/>
          <w:szCs w:val="24"/>
          <w:vertAlign w:val="superscript"/>
          <w:lang w:val="hu-HU" w:eastAsia="hu-HU"/>
          <w14:ligatures w14:val="none"/>
        </w:rPr>
        <w:t>4</w:t>
      </w:r>
      <w:r w:rsidRPr="00C83273">
        <w:rPr>
          <w:rFonts w:eastAsia="Times New Roman" w:cstheme="minorHAnsi"/>
          <w:kern w:val="0"/>
          <w:sz w:val="24"/>
          <w:szCs w:val="24"/>
          <w:lang w:val="hu-HU" w:eastAsia="hu-HU"/>
          <w14:ligatures w14:val="none"/>
        </w:rPr>
        <w:t>, Yingying Zhang</w:t>
      </w:r>
      <w:r w:rsidR="00B059B4">
        <w:rPr>
          <w:rFonts w:eastAsia="Times New Roman" w:cstheme="minorHAnsi"/>
          <w:kern w:val="0"/>
          <w:sz w:val="24"/>
          <w:szCs w:val="24"/>
          <w:vertAlign w:val="superscript"/>
          <w:lang w:val="hu-HU" w:eastAsia="hu-HU"/>
          <w14:ligatures w14:val="none"/>
        </w:rPr>
        <w:t>8</w:t>
      </w:r>
      <w:r w:rsidRPr="00C83273">
        <w:rPr>
          <w:rFonts w:eastAsia="Times New Roman" w:cstheme="minorHAnsi"/>
          <w:kern w:val="0"/>
          <w:sz w:val="24"/>
          <w:szCs w:val="24"/>
          <w:lang w:val="hu-HU" w:eastAsia="hu-HU"/>
          <w14:ligatures w14:val="none"/>
        </w:rPr>
        <w:t xml:space="preserve">, </w:t>
      </w:r>
      <w:r>
        <w:rPr>
          <w:rFonts w:eastAsia="Times New Roman" w:cstheme="minorHAnsi"/>
          <w:kern w:val="0"/>
          <w:sz w:val="24"/>
          <w:szCs w:val="24"/>
          <w:lang w:val="hu-HU" w:eastAsia="hu-HU"/>
          <w14:ligatures w14:val="none"/>
        </w:rPr>
        <w:t>Noemi Kreif</w:t>
      </w:r>
      <w:r w:rsidR="00B059B4">
        <w:rPr>
          <w:rFonts w:eastAsia="Times New Roman" w:cstheme="minorHAnsi"/>
          <w:kern w:val="0"/>
          <w:sz w:val="24"/>
          <w:szCs w:val="24"/>
          <w:vertAlign w:val="superscript"/>
          <w:lang w:val="hu-HU" w:eastAsia="hu-HU"/>
          <w14:ligatures w14:val="none"/>
        </w:rPr>
        <w:t>8</w:t>
      </w:r>
      <w:r>
        <w:rPr>
          <w:rFonts w:eastAsia="Times New Roman" w:cstheme="minorHAnsi"/>
          <w:kern w:val="0"/>
          <w:sz w:val="24"/>
          <w:szCs w:val="24"/>
          <w:lang w:val="hu-HU" w:eastAsia="hu-HU"/>
          <w14:ligatures w14:val="none"/>
        </w:rPr>
        <w:t xml:space="preserve">, </w:t>
      </w:r>
      <w:r w:rsidRPr="00C83273">
        <w:rPr>
          <w:rFonts w:eastAsia="Times New Roman" w:cstheme="minorHAnsi"/>
          <w:kern w:val="0"/>
          <w:sz w:val="24"/>
          <w:szCs w:val="24"/>
          <w:lang w:val="hu-HU" w:eastAsia="hu-HU"/>
          <w14:ligatures w14:val="none"/>
        </w:rPr>
        <w:t>Saskia Knies</w:t>
      </w:r>
      <w:r w:rsidR="00B059B4">
        <w:rPr>
          <w:rFonts w:eastAsia="Times New Roman" w:cstheme="minorHAnsi"/>
          <w:kern w:val="0"/>
          <w:sz w:val="24"/>
          <w:szCs w:val="24"/>
          <w:vertAlign w:val="superscript"/>
          <w:lang w:val="hu-HU" w:eastAsia="hu-HU"/>
          <w14:ligatures w14:val="none"/>
        </w:rPr>
        <w:t>6</w:t>
      </w:r>
      <w:r w:rsidRPr="00C83273">
        <w:rPr>
          <w:rFonts w:eastAsia="Times New Roman" w:cstheme="minorHAnsi"/>
          <w:kern w:val="0"/>
          <w:sz w:val="24"/>
          <w:szCs w:val="24"/>
          <w:lang w:val="hu-HU" w:eastAsia="hu-HU"/>
          <w14:ligatures w14:val="none"/>
        </w:rPr>
        <w:t>, Iga Lipska</w:t>
      </w:r>
      <w:r w:rsidR="00B059B4">
        <w:rPr>
          <w:rFonts w:eastAsia="Times New Roman" w:cstheme="minorHAnsi"/>
          <w:kern w:val="0"/>
          <w:sz w:val="24"/>
          <w:szCs w:val="24"/>
          <w:vertAlign w:val="superscript"/>
          <w:lang w:val="hu-HU" w:eastAsia="hu-HU"/>
          <w14:ligatures w14:val="none"/>
        </w:rPr>
        <w:t>9,10</w:t>
      </w:r>
      <w:r w:rsidRPr="00C83273">
        <w:rPr>
          <w:rFonts w:eastAsia="Times New Roman" w:cstheme="minorHAnsi"/>
          <w:kern w:val="0"/>
          <w:sz w:val="24"/>
          <w:szCs w:val="24"/>
          <w:lang w:val="hu-HU" w:eastAsia="hu-HU"/>
          <w14:ligatures w14:val="none"/>
        </w:rPr>
        <w:t>, Tomas Tesar</w:t>
      </w:r>
      <w:r>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1</w:t>
      </w:r>
      <w:r w:rsidRPr="00C83273">
        <w:rPr>
          <w:rFonts w:eastAsia="Times New Roman" w:cstheme="minorHAnsi"/>
          <w:kern w:val="0"/>
          <w:sz w:val="24"/>
          <w:szCs w:val="24"/>
          <w:lang w:val="hu-HU" w:eastAsia="hu-HU"/>
          <w14:ligatures w14:val="none"/>
        </w:rPr>
        <w:t xml:space="preserve">, </w:t>
      </w:r>
      <w:proofErr w:type="spellStart"/>
      <w:r w:rsidRPr="00C83273">
        <w:rPr>
          <w:rFonts w:eastAsia="Times New Roman" w:cstheme="minorHAnsi"/>
          <w:kern w:val="0"/>
          <w:sz w:val="24"/>
          <w:szCs w:val="24"/>
          <w:lang w:val="hu-HU" w:eastAsia="hu-HU"/>
          <w14:ligatures w14:val="none"/>
        </w:rPr>
        <w:t>Zornitsa</w:t>
      </w:r>
      <w:proofErr w:type="spellEnd"/>
      <w:r w:rsidRPr="00C83273">
        <w:rPr>
          <w:rFonts w:eastAsia="Times New Roman" w:cstheme="minorHAnsi"/>
          <w:kern w:val="0"/>
          <w:sz w:val="24"/>
          <w:szCs w:val="24"/>
          <w:lang w:val="hu-HU" w:eastAsia="hu-HU"/>
          <w14:ligatures w14:val="none"/>
        </w:rPr>
        <w:t xml:space="preserve"> Mitkova</w:t>
      </w:r>
      <w:r w:rsidR="00B059B4">
        <w:rPr>
          <w:rFonts w:eastAsia="Times New Roman" w:cstheme="minorHAnsi"/>
          <w:kern w:val="0"/>
          <w:sz w:val="24"/>
          <w:szCs w:val="24"/>
          <w:vertAlign w:val="superscript"/>
          <w:lang w:val="hu-HU" w:eastAsia="hu-HU"/>
          <w14:ligatures w14:val="none"/>
        </w:rPr>
        <w:t>4</w:t>
      </w:r>
      <w:r w:rsidRPr="00C83273">
        <w:rPr>
          <w:rFonts w:eastAsia="Times New Roman" w:cstheme="minorHAnsi"/>
          <w:kern w:val="0"/>
          <w:sz w:val="24"/>
          <w:szCs w:val="24"/>
          <w:lang w:val="hu-HU" w:eastAsia="hu-HU"/>
          <w14:ligatures w14:val="none"/>
        </w:rPr>
        <w:t>, Johan Ponten</w:t>
      </w:r>
      <w:r>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2</w:t>
      </w:r>
      <w:r w:rsidRPr="00C83273">
        <w:rPr>
          <w:rFonts w:eastAsia="Times New Roman" w:cstheme="minorHAnsi"/>
          <w:kern w:val="0"/>
          <w:sz w:val="24"/>
          <w:szCs w:val="24"/>
          <w:lang w:val="hu-HU" w:eastAsia="hu-HU"/>
          <w14:ligatures w14:val="none"/>
        </w:rPr>
        <w:t>, Anders Viberg</w:t>
      </w:r>
      <w:r>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2</w:t>
      </w:r>
      <w:r w:rsidRPr="00C83273">
        <w:rPr>
          <w:rFonts w:eastAsia="Times New Roman" w:cstheme="minorHAnsi"/>
          <w:kern w:val="0"/>
          <w:sz w:val="24"/>
          <w:szCs w:val="24"/>
          <w:lang w:val="hu-HU" w:eastAsia="hu-HU"/>
          <w14:ligatures w14:val="none"/>
        </w:rPr>
        <w:t>, Marian-Sorin Paveliu</w:t>
      </w:r>
      <w:r w:rsidRPr="00C83273">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3</w:t>
      </w:r>
      <w:r w:rsidRPr="00C83273">
        <w:rPr>
          <w:rFonts w:eastAsia="Times New Roman" w:cstheme="minorHAnsi"/>
          <w:kern w:val="0"/>
          <w:sz w:val="24"/>
          <w:szCs w:val="24"/>
          <w:lang w:val="hu-HU" w:eastAsia="hu-HU"/>
          <w14:ligatures w14:val="none"/>
        </w:rPr>
        <w:t>, Oresta Piniazkho</w:t>
      </w:r>
      <w:r w:rsidRPr="00C83273">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4</w:t>
      </w:r>
      <w:r w:rsidRPr="00C83273">
        <w:rPr>
          <w:rFonts w:eastAsia="Times New Roman" w:cstheme="minorHAnsi"/>
          <w:kern w:val="0"/>
          <w:sz w:val="24"/>
          <w:szCs w:val="24"/>
          <w:lang w:val="hu-HU" w:eastAsia="hu-HU"/>
          <w14:ligatures w14:val="none"/>
        </w:rPr>
        <w:t>, Adina Turcu</w:t>
      </w:r>
      <w:r>
        <w:rPr>
          <w:rFonts w:eastAsia="Times New Roman" w:cstheme="minorHAnsi"/>
          <w:kern w:val="0"/>
          <w:sz w:val="24"/>
          <w:szCs w:val="24"/>
          <w:lang w:val="hu-HU" w:eastAsia="hu-HU"/>
          <w14:ligatures w14:val="none"/>
        </w:rPr>
        <w:t>-Stiolica</w:t>
      </w:r>
      <w:r w:rsidRPr="00C83273">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5</w:t>
      </w:r>
      <w:r w:rsidRPr="00C83273">
        <w:rPr>
          <w:rFonts w:eastAsia="Times New Roman" w:cstheme="minorHAnsi"/>
          <w:kern w:val="0"/>
          <w:sz w:val="24"/>
          <w:szCs w:val="24"/>
          <w:lang w:val="hu-HU" w:eastAsia="hu-HU"/>
          <w14:ligatures w14:val="none"/>
        </w:rPr>
        <w:t xml:space="preserve">, </w:t>
      </w:r>
      <w:r w:rsidRPr="00A9152B">
        <w:rPr>
          <w:rFonts w:eastAsia="Times New Roman" w:cstheme="minorHAnsi"/>
          <w:kern w:val="0"/>
          <w:sz w:val="24"/>
          <w:szCs w:val="24"/>
          <w:lang w:val="hu-HU" w:eastAsia="hu-HU"/>
          <w14:ligatures w14:val="none"/>
        </w:rPr>
        <w:t>Tomáš Doležal</w:t>
      </w:r>
      <w:r w:rsidRPr="00C83273">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6</w:t>
      </w:r>
      <w:r>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7</w:t>
      </w:r>
      <w:r>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8</w:t>
      </w:r>
      <w:r w:rsidRPr="00C83273">
        <w:rPr>
          <w:rFonts w:eastAsia="Times New Roman" w:cstheme="minorHAnsi"/>
          <w:kern w:val="0"/>
          <w:sz w:val="24"/>
          <w:szCs w:val="24"/>
          <w:lang w:val="hu-HU" w:eastAsia="hu-HU"/>
          <w14:ligatures w14:val="none"/>
        </w:rPr>
        <w:t>, Michal Staňák</w:t>
      </w:r>
      <w:r w:rsidRPr="00C83273">
        <w:rPr>
          <w:rFonts w:eastAsia="Times New Roman" w:cstheme="minorHAnsi"/>
          <w:kern w:val="0"/>
          <w:sz w:val="24"/>
          <w:szCs w:val="24"/>
          <w:vertAlign w:val="superscript"/>
          <w:lang w:val="hu-HU" w:eastAsia="hu-HU"/>
          <w14:ligatures w14:val="none"/>
        </w:rPr>
        <w:t>1</w:t>
      </w:r>
      <w:r w:rsidR="00B059B4">
        <w:rPr>
          <w:rFonts w:eastAsia="Times New Roman" w:cstheme="minorHAnsi"/>
          <w:kern w:val="0"/>
          <w:sz w:val="24"/>
          <w:szCs w:val="24"/>
          <w:vertAlign w:val="superscript"/>
          <w:lang w:val="hu-HU" w:eastAsia="hu-HU"/>
          <w14:ligatures w14:val="none"/>
        </w:rPr>
        <w:t>9</w:t>
      </w:r>
      <w:r w:rsidRPr="00C83273">
        <w:rPr>
          <w:rFonts w:eastAsia="Times New Roman" w:cstheme="minorHAnsi"/>
          <w:kern w:val="0"/>
          <w:sz w:val="24"/>
          <w:szCs w:val="24"/>
          <w:lang w:val="hu-HU" w:eastAsia="hu-HU"/>
          <w14:ligatures w14:val="none"/>
        </w:rPr>
        <w:t>, Alima Almadi</w:t>
      </w:r>
      <w:r>
        <w:rPr>
          <w:rFonts w:eastAsia="Times New Roman" w:cstheme="minorHAnsi"/>
          <w:kern w:val="0"/>
          <w:sz w:val="24"/>
          <w:szCs w:val="24"/>
          <w:lang w:val="hu-HU" w:eastAsia="hu-HU"/>
          <w14:ligatures w14:val="none"/>
        </w:rPr>
        <w:t>yeva</w:t>
      </w:r>
      <w:r w:rsidR="00B059B4">
        <w:rPr>
          <w:rFonts w:eastAsia="Times New Roman" w:cstheme="minorHAnsi"/>
          <w:kern w:val="0"/>
          <w:sz w:val="24"/>
          <w:szCs w:val="24"/>
          <w:vertAlign w:val="superscript"/>
          <w:lang w:val="hu-HU" w:eastAsia="hu-HU"/>
          <w14:ligatures w14:val="none"/>
        </w:rPr>
        <w:t>20</w:t>
      </w:r>
      <w:r w:rsidRPr="00C83273">
        <w:rPr>
          <w:rFonts w:eastAsia="Times New Roman" w:cstheme="minorHAnsi"/>
          <w:kern w:val="0"/>
          <w:sz w:val="24"/>
          <w:szCs w:val="24"/>
          <w:lang w:val="hu-HU" w:eastAsia="hu-HU"/>
          <w14:ligatures w14:val="none"/>
        </w:rPr>
        <w:t>, Rok Hren</w:t>
      </w:r>
      <w:r w:rsidR="00B059B4">
        <w:rPr>
          <w:rFonts w:eastAsia="Times New Roman" w:cstheme="minorHAnsi"/>
          <w:kern w:val="0"/>
          <w:sz w:val="24"/>
          <w:szCs w:val="24"/>
          <w:vertAlign w:val="superscript"/>
          <w:lang w:val="hu-HU" w:eastAsia="hu-HU"/>
          <w14:ligatures w14:val="none"/>
        </w:rPr>
        <w:t>3</w:t>
      </w:r>
      <w:r>
        <w:rPr>
          <w:rFonts w:eastAsia="Times New Roman" w:cstheme="minorHAnsi"/>
          <w:kern w:val="0"/>
          <w:sz w:val="24"/>
          <w:szCs w:val="24"/>
          <w:vertAlign w:val="superscript"/>
          <w:lang w:val="hu-HU" w:eastAsia="hu-HU"/>
          <w14:ligatures w14:val="none"/>
        </w:rPr>
        <w:t>,2</w:t>
      </w:r>
      <w:r w:rsidR="00B059B4">
        <w:rPr>
          <w:rFonts w:eastAsia="Times New Roman" w:cstheme="minorHAnsi"/>
          <w:kern w:val="0"/>
          <w:sz w:val="24"/>
          <w:szCs w:val="24"/>
          <w:vertAlign w:val="superscript"/>
          <w:lang w:val="hu-HU" w:eastAsia="hu-HU"/>
          <w14:ligatures w14:val="none"/>
        </w:rPr>
        <w:t>1</w:t>
      </w:r>
      <w:r>
        <w:rPr>
          <w:rFonts w:eastAsia="Times New Roman" w:cstheme="minorHAnsi"/>
          <w:kern w:val="0"/>
          <w:sz w:val="24"/>
          <w:szCs w:val="24"/>
          <w:vertAlign w:val="superscript"/>
          <w:lang w:val="hu-HU" w:eastAsia="hu-HU"/>
          <w14:ligatures w14:val="none"/>
        </w:rPr>
        <w:t>,2</w:t>
      </w:r>
      <w:r w:rsidR="00B059B4">
        <w:rPr>
          <w:rFonts w:eastAsia="Times New Roman" w:cstheme="minorHAnsi"/>
          <w:kern w:val="0"/>
          <w:sz w:val="24"/>
          <w:szCs w:val="24"/>
          <w:vertAlign w:val="superscript"/>
          <w:lang w:val="hu-HU" w:eastAsia="hu-HU"/>
          <w14:ligatures w14:val="none"/>
        </w:rPr>
        <w:t>2</w:t>
      </w:r>
      <w:r w:rsidRPr="00C83273">
        <w:rPr>
          <w:rFonts w:eastAsia="Times New Roman" w:cstheme="minorHAnsi"/>
          <w:kern w:val="0"/>
          <w:sz w:val="24"/>
          <w:szCs w:val="24"/>
          <w:lang w:val="hu-HU" w:eastAsia="hu-HU"/>
          <w14:ligatures w14:val="none"/>
        </w:rPr>
        <w:t>, Dinko Vitezić</w:t>
      </w:r>
      <w:r>
        <w:rPr>
          <w:rFonts w:eastAsia="Times New Roman" w:cstheme="minorHAnsi"/>
          <w:kern w:val="0"/>
          <w:sz w:val="24"/>
          <w:szCs w:val="24"/>
          <w:vertAlign w:val="superscript"/>
          <w:lang w:val="hu-HU" w:eastAsia="hu-HU"/>
          <w14:ligatures w14:val="none"/>
        </w:rPr>
        <w:t>2</w:t>
      </w:r>
      <w:r w:rsidR="00B059B4">
        <w:rPr>
          <w:rFonts w:eastAsia="Times New Roman" w:cstheme="minorHAnsi"/>
          <w:kern w:val="0"/>
          <w:sz w:val="24"/>
          <w:szCs w:val="24"/>
          <w:vertAlign w:val="superscript"/>
          <w:lang w:val="hu-HU" w:eastAsia="hu-HU"/>
          <w14:ligatures w14:val="none"/>
        </w:rPr>
        <w:t>3</w:t>
      </w:r>
      <w:r w:rsidRPr="00C83273">
        <w:rPr>
          <w:rFonts w:eastAsia="Times New Roman" w:cstheme="minorHAnsi"/>
          <w:kern w:val="0"/>
          <w:sz w:val="24"/>
          <w:szCs w:val="24"/>
          <w:lang w:val="hu-HU" w:eastAsia="hu-HU"/>
          <w14:ligatures w14:val="none"/>
        </w:rPr>
        <w:t>, Zsuzsanna Petykó</w:t>
      </w:r>
      <w:r w:rsidRPr="00C83273">
        <w:rPr>
          <w:rFonts w:eastAsia="Times New Roman" w:cstheme="minorHAnsi"/>
          <w:kern w:val="0"/>
          <w:sz w:val="24"/>
          <w:szCs w:val="24"/>
          <w:vertAlign w:val="superscript"/>
          <w:lang w:val="hu-HU" w:eastAsia="hu-HU"/>
          <w14:ligatures w14:val="none"/>
        </w:rPr>
        <w:t>1,2</w:t>
      </w:r>
      <w:r w:rsidR="00B059B4">
        <w:rPr>
          <w:rFonts w:eastAsia="Times New Roman" w:cstheme="minorHAnsi"/>
          <w:kern w:val="0"/>
          <w:sz w:val="24"/>
          <w:szCs w:val="24"/>
          <w:vertAlign w:val="superscript"/>
          <w:lang w:val="hu-HU" w:eastAsia="hu-HU"/>
          <w14:ligatures w14:val="none"/>
        </w:rPr>
        <w:t>,3</w:t>
      </w:r>
      <w:r w:rsidRPr="00C83273">
        <w:rPr>
          <w:rFonts w:eastAsia="Times New Roman" w:cstheme="minorHAnsi"/>
          <w:kern w:val="0"/>
          <w:sz w:val="24"/>
          <w:szCs w:val="24"/>
          <w:lang w:val="hu-HU" w:eastAsia="hu-HU"/>
          <w14:ligatures w14:val="none"/>
        </w:rPr>
        <w:t>, Wim Goettsch</w:t>
      </w:r>
      <w:r>
        <w:rPr>
          <w:rFonts w:eastAsia="Times New Roman" w:cstheme="minorHAnsi"/>
          <w:kern w:val="0"/>
          <w:sz w:val="24"/>
          <w:szCs w:val="24"/>
          <w:vertAlign w:val="superscript"/>
          <w:lang w:val="hu-HU" w:eastAsia="hu-HU"/>
          <w14:ligatures w14:val="none"/>
        </w:rPr>
        <w:t>2</w:t>
      </w:r>
      <w:r w:rsidR="00B059B4">
        <w:rPr>
          <w:rFonts w:eastAsia="Times New Roman" w:cstheme="minorHAnsi"/>
          <w:kern w:val="0"/>
          <w:sz w:val="24"/>
          <w:szCs w:val="24"/>
          <w:vertAlign w:val="superscript"/>
          <w:lang w:val="hu-HU" w:eastAsia="hu-HU"/>
          <w14:ligatures w14:val="none"/>
        </w:rPr>
        <w:t>4</w:t>
      </w:r>
      <w:r>
        <w:rPr>
          <w:rFonts w:eastAsia="Times New Roman" w:cstheme="minorHAnsi"/>
          <w:kern w:val="0"/>
          <w:sz w:val="24"/>
          <w:szCs w:val="24"/>
          <w:vertAlign w:val="superscript"/>
          <w:lang w:val="hu-HU" w:eastAsia="hu-HU"/>
          <w14:ligatures w14:val="none"/>
        </w:rPr>
        <w:t>,</w:t>
      </w:r>
      <w:r w:rsidR="00B059B4">
        <w:rPr>
          <w:rFonts w:eastAsia="Times New Roman" w:cstheme="minorHAnsi"/>
          <w:kern w:val="0"/>
          <w:sz w:val="24"/>
          <w:szCs w:val="24"/>
          <w:vertAlign w:val="superscript"/>
          <w:lang w:val="hu-HU" w:eastAsia="hu-HU"/>
          <w14:ligatures w14:val="none"/>
        </w:rPr>
        <w:t>6</w:t>
      </w:r>
      <w:r w:rsidRPr="00C83273">
        <w:rPr>
          <w:rFonts w:eastAsia="Times New Roman" w:cstheme="minorHAnsi"/>
          <w:kern w:val="0"/>
          <w:sz w:val="24"/>
          <w:szCs w:val="24"/>
          <w:lang w:val="hu-HU" w:eastAsia="hu-HU"/>
          <w14:ligatures w14:val="none"/>
        </w:rPr>
        <w:t>, Andrea Manca</w:t>
      </w:r>
      <w:r w:rsidR="00B059B4">
        <w:rPr>
          <w:rFonts w:eastAsia="Times New Roman" w:cstheme="minorHAnsi"/>
          <w:kern w:val="0"/>
          <w:sz w:val="24"/>
          <w:szCs w:val="24"/>
          <w:vertAlign w:val="superscript"/>
          <w:lang w:val="hu-HU" w:eastAsia="hu-HU"/>
          <w14:ligatures w14:val="none"/>
        </w:rPr>
        <w:t>8</w:t>
      </w:r>
    </w:p>
    <w:p w14:paraId="6903F1B6"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C83273">
        <w:rPr>
          <w:rFonts w:eastAsia="Times New Roman" w:cstheme="minorHAnsi"/>
          <w:kern w:val="0"/>
          <w:sz w:val="24"/>
          <w:szCs w:val="24"/>
          <w:lang w:val="hu-HU" w:eastAsia="hu-HU"/>
          <w14:ligatures w14:val="none"/>
        </w:rPr>
        <w:t xml:space="preserve">Center for Health Technology </w:t>
      </w:r>
      <w:proofErr w:type="spellStart"/>
      <w:r w:rsidRPr="00C83273">
        <w:rPr>
          <w:rFonts w:eastAsia="Times New Roman" w:cstheme="minorHAnsi"/>
          <w:kern w:val="0"/>
          <w:sz w:val="24"/>
          <w:szCs w:val="24"/>
          <w:lang w:val="hu-HU" w:eastAsia="hu-HU"/>
          <w14:ligatures w14:val="none"/>
        </w:rPr>
        <w:t>Assessment</w:t>
      </w:r>
      <w:proofErr w:type="spellEnd"/>
      <w:r w:rsidRPr="00C83273">
        <w:rPr>
          <w:rFonts w:eastAsia="Times New Roman" w:cstheme="minorHAnsi"/>
          <w:kern w:val="0"/>
          <w:sz w:val="24"/>
          <w:szCs w:val="24"/>
          <w:lang w:val="hu-HU" w:eastAsia="hu-HU"/>
          <w14:ligatures w14:val="none"/>
        </w:rPr>
        <w:t>, Semmelweis University, Budapest, Hungary</w:t>
      </w:r>
    </w:p>
    <w:p w14:paraId="74214C40" w14:textId="30FEF2BB" w:rsidR="00B059B4" w:rsidRDefault="00B059B4"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B059B4">
        <w:rPr>
          <w:rFonts w:eastAsia="Times New Roman" w:cstheme="minorHAnsi"/>
          <w:kern w:val="0"/>
          <w:sz w:val="24"/>
          <w:szCs w:val="24"/>
          <w:lang w:val="hu-HU" w:eastAsia="hu-HU"/>
          <w14:ligatures w14:val="none"/>
        </w:rPr>
        <w:t xml:space="preserve">Center for </w:t>
      </w:r>
      <w:proofErr w:type="spellStart"/>
      <w:r w:rsidRPr="00B059B4">
        <w:rPr>
          <w:rFonts w:eastAsia="Times New Roman" w:cstheme="minorHAnsi"/>
          <w:kern w:val="0"/>
          <w:sz w:val="24"/>
          <w:szCs w:val="24"/>
          <w:lang w:val="hu-HU" w:eastAsia="hu-HU"/>
          <w14:ligatures w14:val="none"/>
        </w:rPr>
        <w:t>Pharmacology</w:t>
      </w:r>
      <w:proofErr w:type="spellEnd"/>
      <w:r w:rsidRPr="00B059B4">
        <w:rPr>
          <w:rFonts w:eastAsia="Times New Roman" w:cstheme="minorHAnsi"/>
          <w:kern w:val="0"/>
          <w:sz w:val="24"/>
          <w:szCs w:val="24"/>
          <w:lang w:val="hu-HU" w:eastAsia="hu-HU"/>
          <w14:ligatures w14:val="none"/>
        </w:rPr>
        <w:t xml:space="preserve"> and </w:t>
      </w:r>
      <w:proofErr w:type="spellStart"/>
      <w:r w:rsidRPr="00B059B4">
        <w:rPr>
          <w:rFonts w:eastAsia="Times New Roman" w:cstheme="minorHAnsi"/>
          <w:kern w:val="0"/>
          <w:sz w:val="24"/>
          <w:szCs w:val="24"/>
          <w:lang w:val="hu-HU" w:eastAsia="hu-HU"/>
          <w14:ligatures w14:val="none"/>
        </w:rPr>
        <w:t>Drug</w:t>
      </w:r>
      <w:proofErr w:type="spellEnd"/>
      <w:r w:rsidRPr="00B059B4">
        <w:rPr>
          <w:rFonts w:eastAsia="Times New Roman" w:cstheme="minorHAnsi"/>
          <w:kern w:val="0"/>
          <w:sz w:val="24"/>
          <w:szCs w:val="24"/>
          <w:lang w:val="hu-HU" w:eastAsia="hu-HU"/>
          <w14:ligatures w14:val="none"/>
        </w:rPr>
        <w:t xml:space="preserve"> Research &amp; Development, Semmelweis University, Budapest, Hungary</w:t>
      </w:r>
    </w:p>
    <w:p w14:paraId="575CC874" w14:textId="7EB80192"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C83273">
        <w:rPr>
          <w:rFonts w:eastAsia="Times New Roman" w:cstheme="minorHAnsi"/>
          <w:kern w:val="0"/>
          <w:sz w:val="24"/>
          <w:szCs w:val="24"/>
          <w:lang w:val="hu-HU" w:eastAsia="hu-HU"/>
          <w14:ligatures w14:val="none"/>
        </w:rPr>
        <w:t>Syreon Research Institute, Budapest, Hungary</w:t>
      </w:r>
    </w:p>
    <w:p w14:paraId="1D82F537"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Pr>
          <w:rFonts w:eastAsia="Times New Roman" w:cstheme="minorHAnsi"/>
          <w:kern w:val="0"/>
          <w:sz w:val="24"/>
          <w:szCs w:val="24"/>
          <w:lang w:val="hu-HU" w:eastAsia="hu-HU"/>
          <w14:ligatures w14:val="none"/>
        </w:rPr>
        <w:t xml:space="preserve">Medical University </w:t>
      </w:r>
      <w:proofErr w:type="spellStart"/>
      <w:r>
        <w:rPr>
          <w:rFonts w:eastAsia="Times New Roman" w:cstheme="minorHAnsi"/>
          <w:kern w:val="0"/>
          <w:sz w:val="24"/>
          <w:szCs w:val="24"/>
          <w:lang w:val="hu-HU" w:eastAsia="hu-HU"/>
          <w14:ligatures w14:val="none"/>
        </w:rPr>
        <w:t>Sofia</w:t>
      </w:r>
      <w:proofErr w:type="spellEnd"/>
      <w:r>
        <w:rPr>
          <w:rFonts w:eastAsia="Times New Roman" w:cstheme="minorHAnsi"/>
          <w:kern w:val="0"/>
          <w:sz w:val="24"/>
          <w:szCs w:val="24"/>
          <w:lang w:val="hu-HU" w:eastAsia="hu-HU"/>
          <w14:ligatures w14:val="none"/>
        </w:rPr>
        <w:t xml:space="preserve">, </w:t>
      </w:r>
      <w:proofErr w:type="spellStart"/>
      <w:r>
        <w:rPr>
          <w:rFonts w:eastAsia="Times New Roman" w:cstheme="minorHAnsi"/>
          <w:kern w:val="0"/>
          <w:sz w:val="24"/>
          <w:szCs w:val="24"/>
          <w:lang w:val="hu-HU" w:eastAsia="hu-HU"/>
          <w14:ligatures w14:val="none"/>
        </w:rPr>
        <w:t>Faculty</w:t>
      </w:r>
      <w:proofErr w:type="spellEnd"/>
      <w:r>
        <w:rPr>
          <w:rFonts w:eastAsia="Times New Roman" w:cstheme="minorHAnsi"/>
          <w:kern w:val="0"/>
          <w:sz w:val="24"/>
          <w:szCs w:val="24"/>
          <w:lang w:val="hu-HU" w:eastAsia="hu-HU"/>
          <w14:ligatures w14:val="none"/>
        </w:rPr>
        <w:t xml:space="preserve"> of </w:t>
      </w:r>
      <w:proofErr w:type="spellStart"/>
      <w:r>
        <w:rPr>
          <w:rFonts w:eastAsia="Times New Roman" w:cstheme="minorHAnsi"/>
          <w:kern w:val="0"/>
          <w:sz w:val="24"/>
          <w:szCs w:val="24"/>
          <w:lang w:val="hu-HU" w:eastAsia="hu-HU"/>
          <w14:ligatures w14:val="none"/>
        </w:rPr>
        <w:t>Pharmacy</w:t>
      </w:r>
      <w:proofErr w:type="spellEnd"/>
      <w:r>
        <w:rPr>
          <w:rFonts w:eastAsia="Times New Roman" w:cstheme="minorHAnsi"/>
          <w:kern w:val="0"/>
          <w:sz w:val="24"/>
          <w:szCs w:val="24"/>
          <w:lang w:val="hu-HU" w:eastAsia="hu-HU"/>
          <w14:ligatures w14:val="none"/>
        </w:rPr>
        <w:t xml:space="preserve">, </w:t>
      </w:r>
      <w:proofErr w:type="spellStart"/>
      <w:r>
        <w:rPr>
          <w:rFonts w:eastAsia="Times New Roman" w:cstheme="minorHAnsi"/>
          <w:kern w:val="0"/>
          <w:sz w:val="24"/>
          <w:szCs w:val="24"/>
          <w:lang w:val="hu-HU" w:eastAsia="hu-HU"/>
          <w14:ligatures w14:val="none"/>
        </w:rPr>
        <w:t>Sofia</w:t>
      </w:r>
      <w:proofErr w:type="spellEnd"/>
      <w:r>
        <w:rPr>
          <w:rFonts w:eastAsia="Times New Roman" w:cstheme="minorHAnsi"/>
          <w:kern w:val="0"/>
          <w:sz w:val="24"/>
          <w:szCs w:val="24"/>
          <w:lang w:val="hu-HU" w:eastAsia="hu-HU"/>
          <w14:ligatures w14:val="none"/>
        </w:rPr>
        <w:t xml:space="preserve">, </w:t>
      </w:r>
      <w:proofErr w:type="spellStart"/>
      <w:r>
        <w:rPr>
          <w:rFonts w:eastAsia="Times New Roman" w:cstheme="minorHAnsi"/>
          <w:kern w:val="0"/>
          <w:sz w:val="24"/>
          <w:szCs w:val="24"/>
          <w:lang w:val="hu-HU" w:eastAsia="hu-HU"/>
          <w14:ligatures w14:val="none"/>
        </w:rPr>
        <w:t>Bulgaria</w:t>
      </w:r>
      <w:proofErr w:type="spellEnd"/>
      <w:r w:rsidRPr="00C83273">
        <w:rPr>
          <w:rFonts w:eastAsia="Times New Roman" w:cstheme="minorHAnsi"/>
          <w:kern w:val="0"/>
          <w:sz w:val="24"/>
          <w:szCs w:val="24"/>
          <w:lang w:val="hu-HU" w:eastAsia="hu-HU"/>
          <w14:ligatures w14:val="none"/>
        </w:rPr>
        <w:t xml:space="preserve"> </w:t>
      </w:r>
    </w:p>
    <w:p w14:paraId="4406081C"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F2055F">
        <w:rPr>
          <w:rFonts w:eastAsia="Times New Roman" w:cstheme="minorHAnsi"/>
          <w:kern w:val="0"/>
          <w:sz w:val="24"/>
          <w:szCs w:val="24"/>
          <w:lang w:val="hu-HU" w:eastAsia="hu-HU"/>
          <w14:ligatures w14:val="none"/>
        </w:rPr>
        <w:t>School</w:t>
      </w:r>
      <w:proofErr w:type="spellEnd"/>
      <w:r w:rsidRPr="00F2055F">
        <w:rPr>
          <w:rFonts w:eastAsia="Times New Roman" w:cstheme="minorHAnsi"/>
          <w:kern w:val="0"/>
          <w:sz w:val="24"/>
          <w:szCs w:val="24"/>
          <w:lang w:val="hu-HU" w:eastAsia="hu-HU"/>
          <w14:ligatures w14:val="none"/>
        </w:rPr>
        <w:t xml:space="preserve"> of Economics and Business, University of Ljubljana, </w:t>
      </w:r>
      <w:proofErr w:type="spellStart"/>
      <w:r w:rsidRPr="00F2055F">
        <w:rPr>
          <w:rFonts w:eastAsia="Times New Roman" w:cstheme="minorHAnsi"/>
          <w:kern w:val="0"/>
          <w:sz w:val="24"/>
          <w:szCs w:val="24"/>
          <w:lang w:val="hu-HU" w:eastAsia="hu-HU"/>
          <w14:ligatures w14:val="none"/>
        </w:rPr>
        <w:t>Slovenia</w:t>
      </w:r>
      <w:proofErr w:type="spellEnd"/>
      <w:r w:rsidRPr="00C83273">
        <w:rPr>
          <w:rFonts w:eastAsia="Times New Roman" w:cstheme="minorHAnsi"/>
          <w:kern w:val="0"/>
          <w:sz w:val="24"/>
          <w:szCs w:val="24"/>
          <w:lang w:val="hu-HU" w:eastAsia="hu-HU"/>
          <w14:ligatures w14:val="none"/>
        </w:rPr>
        <w:t xml:space="preserve"> </w:t>
      </w:r>
    </w:p>
    <w:p w14:paraId="3671FECD"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584E02">
        <w:rPr>
          <w:rFonts w:eastAsia="Times New Roman" w:cstheme="minorHAnsi"/>
          <w:kern w:val="0"/>
          <w:sz w:val="24"/>
          <w:szCs w:val="24"/>
          <w:lang w:val="hu-HU" w:eastAsia="hu-HU"/>
          <w14:ligatures w14:val="none"/>
        </w:rPr>
        <w:t xml:space="preserve">National Health </w:t>
      </w:r>
      <w:proofErr w:type="spellStart"/>
      <w:r w:rsidRPr="00584E02">
        <w:rPr>
          <w:rFonts w:eastAsia="Times New Roman" w:cstheme="minorHAnsi"/>
          <w:kern w:val="0"/>
          <w:sz w:val="24"/>
          <w:szCs w:val="24"/>
          <w:lang w:val="hu-HU" w:eastAsia="hu-HU"/>
          <w14:ligatures w14:val="none"/>
        </w:rPr>
        <w:t>Care</w:t>
      </w:r>
      <w:proofErr w:type="spellEnd"/>
      <w:r w:rsidRPr="00584E02">
        <w:rPr>
          <w:rFonts w:eastAsia="Times New Roman" w:cstheme="minorHAnsi"/>
          <w:kern w:val="0"/>
          <w:sz w:val="24"/>
          <w:szCs w:val="24"/>
          <w:lang w:val="hu-HU" w:eastAsia="hu-HU"/>
          <w14:ligatures w14:val="none"/>
        </w:rPr>
        <w:t xml:space="preserve"> Institute, Diemen, The </w:t>
      </w:r>
      <w:proofErr w:type="spellStart"/>
      <w:r w:rsidRPr="00584E02">
        <w:rPr>
          <w:rFonts w:eastAsia="Times New Roman" w:cstheme="minorHAnsi"/>
          <w:kern w:val="0"/>
          <w:sz w:val="24"/>
          <w:szCs w:val="24"/>
          <w:lang w:val="hu-HU" w:eastAsia="hu-HU"/>
          <w14:ligatures w14:val="none"/>
        </w:rPr>
        <w:t>Netherlands</w:t>
      </w:r>
      <w:proofErr w:type="spellEnd"/>
      <w:r w:rsidRPr="00584E02">
        <w:rPr>
          <w:rFonts w:eastAsia="Times New Roman" w:cstheme="minorHAnsi"/>
          <w:kern w:val="0"/>
          <w:sz w:val="24"/>
          <w:szCs w:val="24"/>
          <w:lang w:val="hu-HU" w:eastAsia="hu-HU"/>
          <w14:ligatures w14:val="none"/>
        </w:rPr>
        <w:t xml:space="preserve">  </w:t>
      </w:r>
      <w:r w:rsidRPr="00C83273">
        <w:rPr>
          <w:rFonts w:eastAsia="Times New Roman" w:cstheme="minorHAnsi"/>
          <w:kern w:val="0"/>
          <w:sz w:val="24"/>
          <w:szCs w:val="24"/>
          <w:lang w:val="hu-HU" w:eastAsia="hu-HU"/>
          <w14:ligatures w14:val="none"/>
        </w:rPr>
        <w:t xml:space="preserve"> </w:t>
      </w:r>
    </w:p>
    <w:p w14:paraId="4E48D623" w14:textId="77777777" w:rsidR="0069334D" w:rsidRPr="001A61D1"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1A61D1">
        <w:rPr>
          <w:rFonts w:eastAsia="Times New Roman" w:cstheme="minorHAnsi"/>
          <w:kern w:val="0"/>
          <w:sz w:val="24"/>
          <w:szCs w:val="24"/>
          <w:lang w:val="hu-HU" w:eastAsia="hu-HU"/>
          <w14:ligatures w14:val="none"/>
        </w:rPr>
        <w:t xml:space="preserve">Erasmus </w:t>
      </w:r>
      <w:proofErr w:type="spellStart"/>
      <w:r w:rsidRPr="001A61D1">
        <w:rPr>
          <w:rFonts w:eastAsia="Times New Roman" w:cstheme="minorHAnsi"/>
          <w:kern w:val="0"/>
          <w:sz w:val="24"/>
          <w:szCs w:val="24"/>
          <w:lang w:val="hu-HU" w:eastAsia="hu-HU"/>
          <w14:ligatures w14:val="none"/>
        </w:rPr>
        <w:t>School</w:t>
      </w:r>
      <w:proofErr w:type="spellEnd"/>
      <w:r w:rsidRPr="001A61D1">
        <w:rPr>
          <w:rFonts w:eastAsia="Times New Roman" w:cstheme="minorHAnsi"/>
          <w:kern w:val="0"/>
          <w:sz w:val="24"/>
          <w:szCs w:val="24"/>
          <w:lang w:val="hu-HU" w:eastAsia="hu-HU"/>
          <w14:ligatures w14:val="none"/>
        </w:rPr>
        <w:t xml:space="preserve"> of Health Policy &amp; Management, Erasmus University Rotterdam, the </w:t>
      </w:r>
      <w:proofErr w:type="spellStart"/>
      <w:r w:rsidRPr="001A61D1">
        <w:rPr>
          <w:rFonts w:eastAsia="Times New Roman" w:cstheme="minorHAnsi"/>
          <w:kern w:val="0"/>
          <w:sz w:val="24"/>
          <w:szCs w:val="24"/>
          <w:lang w:val="hu-HU" w:eastAsia="hu-HU"/>
          <w14:ligatures w14:val="none"/>
        </w:rPr>
        <w:t>Netherlands</w:t>
      </w:r>
      <w:proofErr w:type="spellEnd"/>
      <w:r w:rsidRPr="001A61D1">
        <w:rPr>
          <w:rFonts w:eastAsia="Times New Roman" w:cstheme="minorHAnsi"/>
          <w:kern w:val="0"/>
          <w:sz w:val="24"/>
          <w:szCs w:val="24"/>
          <w:lang w:val="hu-HU" w:eastAsia="hu-HU"/>
          <w14:ligatures w14:val="none"/>
        </w:rPr>
        <w:t xml:space="preserve"> </w:t>
      </w:r>
    </w:p>
    <w:p w14:paraId="5B4BEA7C" w14:textId="77777777" w:rsidR="0069334D" w:rsidRPr="00BB799D"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BB799D">
        <w:rPr>
          <w:rFonts w:eastAsia="Times New Roman" w:cstheme="minorHAnsi"/>
          <w:kern w:val="0"/>
          <w:sz w:val="24"/>
          <w:szCs w:val="24"/>
          <w:lang w:val="hu-HU" w:eastAsia="hu-HU"/>
          <w14:ligatures w14:val="none"/>
        </w:rPr>
        <w:t>Centre for Health Economics, University of York, York</w:t>
      </w:r>
      <w:r>
        <w:rPr>
          <w:rFonts w:eastAsia="Times New Roman" w:cstheme="minorHAnsi"/>
          <w:kern w:val="0"/>
          <w:sz w:val="24"/>
          <w:szCs w:val="24"/>
          <w:lang w:val="hu-HU" w:eastAsia="hu-HU"/>
          <w14:ligatures w14:val="none"/>
        </w:rPr>
        <w:t xml:space="preserve">, United </w:t>
      </w:r>
      <w:proofErr w:type="spellStart"/>
      <w:r>
        <w:rPr>
          <w:rFonts w:eastAsia="Times New Roman" w:cstheme="minorHAnsi"/>
          <w:kern w:val="0"/>
          <w:sz w:val="24"/>
          <w:szCs w:val="24"/>
          <w:lang w:val="hu-HU" w:eastAsia="hu-HU"/>
          <w14:ligatures w14:val="none"/>
        </w:rPr>
        <w:t>Kingdom</w:t>
      </w:r>
      <w:proofErr w:type="spellEnd"/>
    </w:p>
    <w:p w14:paraId="0A6F74DC" w14:textId="77777777" w:rsidR="0069334D" w:rsidRPr="00D44D81"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D44D81">
        <w:rPr>
          <w:rFonts w:eastAsia="Times New Roman" w:cstheme="minorHAnsi"/>
          <w:kern w:val="0"/>
          <w:sz w:val="24"/>
          <w:szCs w:val="24"/>
          <w:lang w:val="hu-HU" w:eastAsia="hu-HU"/>
          <w14:ligatures w14:val="none"/>
        </w:rPr>
        <w:t xml:space="preserve">Academy for Medical and </w:t>
      </w:r>
      <w:proofErr w:type="spellStart"/>
      <w:r w:rsidRPr="00D44D81">
        <w:rPr>
          <w:rFonts w:eastAsia="Times New Roman" w:cstheme="minorHAnsi"/>
          <w:kern w:val="0"/>
          <w:sz w:val="24"/>
          <w:szCs w:val="24"/>
          <w:lang w:val="hu-HU" w:eastAsia="hu-HU"/>
          <w14:ligatures w14:val="none"/>
        </w:rPr>
        <w:t>Social</w:t>
      </w:r>
      <w:proofErr w:type="spellEnd"/>
      <w:r w:rsidRPr="00D44D81">
        <w:rPr>
          <w:rFonts w:eastAsia="Times New Roman" w:cstheme="minorHAnsi"/>
          <w:kern w:val="0"/>
          <w:sz w:val="24"/>
          <w:szCs w:val="24"/>
          <w:lang w:val="hu-HU" w:eastAsia="hu-HU"/>
          <w14:ligatures w14:val="none"/>
        </w:rPr>
        <w:t xml:space="preserve"> </w:t>
      </w:r>
      <w:proofErr w:type="spellStart"/>
      <w:r w:rsidRPr="00D44D81">
        <w:rPr>
          <w:rFonts w:eastAsia="Times New Roman" w:cstheme="minorHAnsi"/>
          <w:kern w:val="0"/>
          <w:sz w:val="24"/>
          <w:szCs w:val="24"/>
          <w:lang w:val="hu-HU" w:eastAsia="hu-HU"/>
          <w14:ligatures w14:val="none"/>
        </w:rPr>
        <w:t>Applied</w:t>
      </w:r>
      <w:proofErr w:type="spellEnd"/>
      <w:r w:rsidRPr="00D44D81">
        <w:rPr>
          <w:rFonts w:eastAsia="Times New Roman" w:cstheme="minorHAnsi"/>
          <w:kern w:val="0"/>
          <w:sz w:val="24"/>
          <w:szCs w:val="24"/>
          <w:lang w:val="hu-HU" w:eastAsia="hu-HU"/>
          <w14:ligatures w14:val="none"/>
        </w:rPr>
        <w:t xml:space="preserve"> </w:t>
      </w:r>
      <w:proofErr w:type="spellStart"/>
      <w:r w:rsidRPr="00D44D81">
        <w:rPr>
          <w:rFonts w:eastAsia="Times New Roman" w:cstheme="minorHAnsi"/>
          <w:kern w:val="0"/>
          <w:sz w:val="24"/>
          <w:szCs w:val="24"/>
          <w:lang w:val="hu-HU" w:eastAsia="hu-HU"/>
          <w14:ligatures w14:val="none"/>
        </w:rPr>
        <w:t>Sciences</w:t>
      </w:r>
      <w:proofErr w:type="spellEnd"/>
      <w:r>
        <w:rPr>
          <w:rFonts w:eastAsia="Times New Roman" w:cstheme="minorHAnsi"/>
          <w:kern w:val="0"/>
          <w:sz w:val="24"/>
          <w:szCs w:val="24"/>
          <w:lang w:val="hu-HU" w:eastAsia="hu-HU"/>
          <w14:ligatures w14:val="none"/>
        </w:rPr>
        <w:t xml:space="preserve">, </w:t>
      </w:r>
      <w:proofErr w:type="spellStart"/>
      <w:r w:rsidRPr="00036177">
        <w:rPr>
          <w:rFonts w:eastAsia="Times New Roman" w:cstheme="minorHAnsi"/>
          <w:kern w:val="0"/>
          <w:sz w:val="24"/>
          <w:szCs w:val="24"/>
          <w:lang w:val="hu-HU" w:eastAsia="hu-HU"/>
          <w14:ligatures w14:val="none"/>
        </w:rPr>
        <w:t>Gdańsk</w:t>
      </w:r>
      <w:proofErr w:type="spellEnd"/>
      <w:r>
        <w:rPr>
          <w:rFonts w:eastAsia="Times New Roman" w:cstheme="minorHAnsi"/>
          <w:kern w:val="0"/>
          <w:sz w:val="24"/>
          <w:szCs w:val="24"/>
          <w:lang w:val="hu-HU" w:eastAsia="hu-HU"/>
          <w14:ligatures w14:val="none"/>
        </w:rPr>
        <w:t>,</w:t>
      </w:r>
      <w:r w:rsidRPr="00D44D81">
        <w:rPr>
          <w:rFonts w:eastAsia="Times New Roman" w:cstheme="minorHAnsi"/>
          <w:kern w:val="0"/>
          <w:sz w:val="24"/>
          <w:szCs w:val="24"/>
          <w:lang w:val="hu-HU" w:eastAsia="hu-HU"/>
          <w14:ligatures w14:val="none"/>
        </w:rPr>
        <w:t xml:space="preserve"> Poland</w:t>
      </w:r>
    </w:p>
    <w:p w14:paraId="70E2DF48"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D44D81">
        <w:rPr>
          <w:rFonts w:eastAsia="Times New Roman" w:cstheme="minorHAnsi"/>
          <w:kern w:val="0"/>
          <w:sz w:val="24"/>
          <w:szCs w:val="24"/>
          <w:lang w:val="hu-HU" w:eastAsia="hu-HU"/>
          <w14:ligatures w14:val="none"/>
        </w:rPr>
        <w:t xml:space="preserve">Health Policy Institute, </w:t>
      </w:r>
      <w:proofErr w:type="spellStart"/>
      <w:r w:rsidRPr="002929C3">
        <w:rPr>
          <w:rFonts w:eastAsia="Times New Roman" w:cstheme="minorHAnsi"/>
          <w:kern w:val="0"/>
          <w:sz w:val="24"/>
          <w:szCs w:val="24"/>
          <w:lang w:val="hu-HU" w:eastAsia="hu-HU"/>
          <w14:ligatures w14:val="none"/>
        </w:rPr>
        <w:t>Gdańsk</w:t>
      </w:r>
      <w:proofErr w:type="spellEnd"/>
      <w:r>
        <w:rPr>
          <w:rFonts w:eastAsia="Times New Roman" w:cstheme="minorHAnsi"/>
          <w:kern w:val="0"/>
          <w:sz w:val="24"/>
          <w:szCs w:val="24"/>
          <w:lang w:val="hu-HU" w:eastAsia="hu-HU"/>
          <w14:ligatures w14:val="none"/>
        </w:rPr>
        <w:t xml:space="preserve">, </w:t>
      </w:r>
      <w:r w:rsidRPr="00D44D81">
        <w:rPr>
          <w:rFonts w:eastAsia="Times New Roman" w:cstheme="minorHAnsi"/>
          <w:kern w:val="0"/>
          <w:sz w:val="24"/>
          <w:szCs w:val="24"/>
          <w:lang w:val="hu-HU" w:eastAsia="hu-HU"/>
          <w14:ligatures w14:val="none"/>
        </w:rPr>
        <w:t>Poland</w:t>
      </w:r>
      <w:r w:rsidRPr="00C83273">
        <w:rPr>
          <w:rFonts w:eastAsia="Times New Roman" w:cstheme="minorHAnsi"/>
          <w:kern w:val="0"/>
          <w:sz w:val="24"/>
          <w:szCs w:val="24"/>
          <w:lang w:val="hu-HU" w:eastAsia="hu-HU"/>
          <w14:ligatures w14:val="none"/>
        </w:rPr>
        <w:t xml:space="preserve"> </w:t>
      </w:r>
    </w:p>
    <w:p w14:paraId="4A9CB24F"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237E9E">
        <w:rPr>
          <w:rFonts w:eastAsia="Times New Roman" w:cstheme="minorHAnsi"/>
          <w:kern w:val="0"/>
          <w:sz w:val="24"/>
          <w:szCs w:val="24"/>
          <w:lang w:val="hu-HU" w:eastAsia="hu-HU"/>
          <w14:ligatures w14:val="none"/>
        </w:rPr>
        <w:t>Department</w:t>
      </w:r>
      <w:proofErr w:type="spellEnd"/>
      <w:r w:rsidRPr="00237E9E">
        <w:rPr>
          <w:rFonts w:eastAsia="Times New Roman" w:cstheme="minorHAnsi"/>
          <w:kern w:val="0"/>
          <w:sz w:val="24"/>
          <w:szCs w:val="24"/>
          <w:lang w:val="hu-HU" w:eastAsia="hu-HU"/>
          <w14:ligatures w14:val="none"/>
        </w:rPr>
        <w:t xml:space="preserve"> of </w:t>
      </w:r>
      <w:proofErr w:type="spellStart"/>
      <w:r w:rsidRPr="00237E9E">
        <w:rPr>
          <w:rFonts w:eastAsia="Times New Roman" w:cstheme="minorHAnsi"/>
          <w:kern w:val="0"/>
          <w:sz w:val="24"/>
          <w:szCs w:val="24"/>
          <w:lang w:val="hu-HU" w:eastAsia="hu-HU"/>
          <w14:ligatures w14:val="none"/>
        </w:rPr>
        <w:t>Organisation</w:t>
      </w:r>
      <w:proofErr w:type="spellEnd"/>
      <w:r w:rsidRPr="00237E9E">
        <w:rPr>
          <w:rFonts w:eastAsia="Times New Roman" w:cstheme="minorHAnsi"/>
          <w:kern w:val="0"/>
          <w:sz w:val="24"/>
          <w:szCs w:val="24"/>
          <w:lang w:val="hu-HU" w:eastAsia="hu-HU"/>
          <w14:ligatures w14:val="none"/>
        </w:rPr>
        <w:t xml:space="preserve"> and Management in </w:t>
      </w:r>
      <w:proofErr w:type="spellStart"/>
      <w:r w:rsidRPr="00237E9E">
        <w:rPr>
          <w:rFonts w:eastAsia="Times New Roman" w:cstheme="minorHAnsi"/>
          <w:kern w:val="0"/>
          <w:sz w:val="24"/>
          <w:szCs w:val="24"/>
          <w:lang w:val="hu-HU" w:eastAsia="hu-HU"/>
          <w14:ligatures w14:val="none"/>
        </w:rPr>
        <w:t>Pharmacy</w:t>
      </w:r>
      <w:proofErr w:type="spellEnd"/>
      <w:r w:rsidRPr="00237E9E">
        <w:rPr>
          <w:rFonts w:eastAsia="Times New Roman" w:cstheme="minorHAnsi"/>
          <w:kern w:val="0"/>
          <w:sz w:val="24"/>
          <w:szCs w:val="24"/>
          <w:lang w:val="hu-HU" w:eastAsia="hu-HU"/>
          <w14:ligatures w14:val="none"/>
        </w:rPr>
        <w:t xml:space="preserve">, </w:t>
      </w:r>
      <w:proofErr w:type="spellStart"/>
      <w:r w:rsidRPr="00237E9E">
        <w:rPr>
          <w:rFonts w:eastAsia="Times New Roman" w:cstheme="minorHAnsi"/>
          <w:kern w:val="0"/>
          <w:sz w:val="24"/>
          <w:szCs w:val="24"/>
          <w:lang w:val="hu-HU" w:eastAsia="hu-HU"/>
          <w14:ligatures w14:val="none"/>
        </w:rPr>
        <w:t>Faculty</w:t>
      </w:r>
      <w:proofErr w:type="spellEnd"/>
      <w:r w:rsidRPr="00237E9E">
        <w:rPr>
          <w:rFonts w:eastAsia="Times New Roman" w:cstheme="minorHAnsi"/>
          <w:kern w:val="0"/>
          <w:sz w:val="24"/>
          <w:szCs w:val="24"/>
          <w:lang w:val="hu-HU" w:eastAsia="hu-HU"/>
          <w14:ligatures w14:val="none"/>
        </w:rPr>
        <w:t xml:space="preserve"> of </w:t>
      </w:r>
      <w:proofErr w:type="spellStart"/>
      <w:r w:rsidRPr="00237E9E">
        <w:rPr>
          <w:rFonts w:eastAsia="Times New Roman" w:cstheme="minorHAnsi"/>
          <w:kern w:val="0"/>
          <w:sz w:val="24"/>
          <w:szCs w:val="24"/>
          <w:lang w:val="hu-HU" w:eastAsia="hu-HU"/>
          <w14:ligatures w14:val="none"/>
        </w:rPr>
        <w:t>Pharmacy</w:t>
      </w:r>
      <w:proofErr w:type="spellEnd"/>
      <w:r w:rsidRPr="00237E9E">
        <w:rPr>
          <w:rFonts w:eastAsia="Times New Roman" w:cstheme="minorHAnsi"/>
          <w:kern w:val="0"/>
          <w:sz w:val="24"/>
          <w:szCs w:val="24"/>
          <w:lang w:val="hu-HU" w:eastAsia="hu-HU"/>
          <w14:ligatures w14:val="none"/>
        </w:rPr>
        <w:t>, Comenius University</w:t>
      </w:r>
      <w:r>
        <w:rPr>
          <w:rFonts w:eastAsia="Times New Roman" w:cstheme="minorHAnsi"/>
          <w:kern w:val="0"/>
          <w:sz w:val="24"/>
          <w:szCs w:val="24"/>
          <w:lang w:val="hu-HU" w:eastAsia="hu-HU"/>
          <w14:ligatures w14:val="none"/>
        </w:rPr>
        <w:t>,</w:t>
      </w:r>
      <w:r w:rsidRPr="00237E9E">
        <w:rPr>
          <w:rFonts w:eastAsia="Times New Roman" w:cstheme="minorHAnsi"/>
          <w:kern w:val="0"/>
          <w:sz w:val="24"/>
          <w:szCs w:val="24"/>
          <w:lang w:val="hu-HU" w:eastAsia="hu-HU"/>
          <w14:ligatures w14:val="none"/>
        </w:rPr>
        <w:t xml:space="preserve"> Bratislava, </w:t>
      </w:r>
      <w:proofErr w:type="spellStart"/>
      <w:r w:rsidRPr="00237E9E">
        <w:rPr>
          <w:rFonts w:eastAsia="Times New Roman" w:cstheme="minorHAnsi"/>
          <w:kern w:val="0"/>
          <w:sz w:val="24"/>
          <w:szCs w:val="24"/>
          <w:lang w:val="hu-HU" w:eastAsia="hu-HU"/>
          <w14:ligatures w14:val="none"/>
        </w:rPr>
        <w:t>Slovakia</w:t>
      </w:r>
      <w:proofErr w:type="spellEnd"/>
    </w:p>
    <w:p w14:paraId="787162ED"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BC1279">
        <w:rPr>
          <w:rFonts w:eastAsia="Times New Roman" w:cstheme="minorHAnsi"/>
          <w:kern w:val="0"/>
          <w:sz w:val="24"/>
          <w:szCs w:val="24"/>
          <w:lang w:val="hu-HU" w:eastAsia="hu-HU"/>
          <w14:ligatures w14:val="none"/>
        </w:rPr>
        <w:t xml:space="preserve">The </w:t>
      </w:r>
      <w:proofErr w:type="spellStart"/>
      <w:r w:rsidRPr="00BC1279">
        <w:rPr>
          <w:rFonts w:eastAsia="Times New Roman" w:cstheme="minorHAnsi"/>
          <w:kern w:val="0"/>
          <w:sz w:val="24"/>
          <w:szCs w:val="24"/>
          <w:lang w:val="hu-HU" w:eastAsia="hu-HU"/>
          <w14:ligatures w14:val="none"/>
        </w:rPr>
        <w:t>Dental</w:t>
      </w:r>
      <w:proofErr w:type="spellEnd"/>
      <w:r w:rsidRPr="00BC1279">
        <w:rPr>
          <w:rFonts w:eastAsia="Times New Roman" w:cstheme="minorHAnsi"/>
          <w:kern w:val="0"/>
          <w:sz w:val="24"/>
          <w:szCs w:val="24"/>
          <w:lang w:val="hu-HU" w:eastAsia="hu-HU"/>
          <w14:ligatures w14:val="none"/>
        </w:rPr>
        <w:t xml:space="preserve"> and </w:t>
      </w:r>
      <w:proofErr w:type="spellStart"/>
      <w:r w:rsidRPr="00BC1279">
        <w:rPr>
          <w:rFonts w:eastAsia="Times New Roman" w:cstheme="minorHAnsi"/>
          <w:kern w:val="0"/>
          <w:sz w:val="24"/>
          <w:szCs w:val="24"/>
          <w:lang w:val="hu-HU" w:eastAsia="hu-HU"/>
          <w14:ligatures w14:val="none"/>
        </w:rPr>
        <w:t>Pharmaceutical</w:t>
      </w:r>
      <w:proofErr w:type="spellEnd"/>
      <w:r w:rsidRPr="00BC1279">
        <w:rPr>
          <w:rFonts w:eastAsia="Times New Roman" w:cstheme="minorHAnsi"/>
          <w:kern w:val="0"/>
          <w:sz w:val="24"/>
          <w:szCs w:val="24"/>
          <w:lang w:val="hu-HU" w:eastAsia="hu-HU"/>
          <w14:ligatures w14:val="none"/>
        </w:rPr>
        <w:t xml:space="preserve"> </w:t>
      </w:r>
      <w:proofErr w:type="spellStart"/>
      <w:r w:rsidRPr="00BC1279">
        <w:rPr>
          <w:rFonts w:eastAsia="Times New Roman" w:cstheme="minorHAnsi"/>
          <w:kern w:val="0"/>
          <w:sz w:val="24"/>
          <w:szCs w:val="24"/>
          <w:lang w:val="hu-HU" w:eastAsia="hu-HU"/>
          <w14:ligatures w14:val="none"/>
        </w:rPr>
        <w:t>Benefits</w:t>
      </w:r>
      <w:proofErr w:type="spellEnd"/>
      <w:r w:rsidRPr="00BC1279">
        <w:rPr>
          <w:rFonts w:eastAsia="Times New Roman" w:cstheme="minorHAnsi"/>
          <w:kern w:val="0"/>
          <w:sz w:val="24"/>
          <w:szCs w:val="24"/>
          <w:lang w:val="hu-HU" w:eastAsia="hu-HU"/>
          <w14:ligatures w14:val="none"/>
        </w:rPr>
        <w:t xml:space="preserve"> </w:t>
      </w:r>
      <w:proofErr w:type="spellStart"/>
      <w:r w:rsidRPr="00BC1279">
        <w:rPr>
          <w:rFonts w:eastAsia="Times New Roman" w:cstheme="minorHAnsi"/>
          <w:kern w:val="0"/>
          <w:sz w:val="24"/>
          <w:szCs w:val="24"/>
          <w:lang w:val="hu-HU" w:eastAsia="hu-HU"/>
          <w14:ligatures w14:val="none"/>
        </w:rPr>
        <w:t>Agency</w:t>
      </w:r>
      <w:proofErr w:type="spellEnd"/>
      <w:r w:rsidRPr="00BC1279">
        <w:rPr>
          <w:rFonts w:eastAsia="Times New Roman" w:cstheme="minorHAnsi"/>
          <w:kern w:val="0"/>
          <w:sz w:val="24"/>
          <w:szCs w:val="24"/>
          <w:lang w:val="hu-HU" w:eastAsia="hu-HU"/>
          <w14:ligatures w14:val="none"/>
        </w:rPr>
        <w:t xml:space="preserve"> (TLV), Stockholm, </w:t>
      </w:r>
      <w:proofErr w:type="spellStart"/>
      <w:r w:rsidRPr="00BC1279">
        <w:rPr>
          <w:rFonts w:eastAsia="Times New Roman" w:cstheme="minorHAnsi"/>
          <w:kern w:val="0"/>
          <w:sz w:val="24"/>
          <w:szCs w:val="24"/>
          <w:lang w:val="hu-HU" w:eastAsia="hu-HU"/>
          <w14:ligatures w14:val="none"/>
        </w:rPr>
        <w:t>Sweden</w:t>
      </w:r>
      <w:proofErr w:type="spellEnd"/>
      <w:r w:rsidRPr="00C83273">
        <w:rPr>
          <w:rFonts w:eastAsia="Times New Roman" w:cstheme="minorHAnsi"/>
          <w:kern w:val="0"/>
          <w:sz w:val="24"/>
          <w:szCs w:val="24"/>
          <w:lang w:val="hu-HU" w:eastAsia="hu-HU"/>
          <w14:ligatures w14:val="none"/>
        </w:rPr>
        <w:t xml:space="preserve"> </w:t>
      </w:r>
    </w:p>
    <w:p w14:paraId="30ED2352"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Pr>
          <w:rFonts w:eastAsia="Times New Roman" w:cstheme="minorHAnsi"/>
          <w:kern w:val="0"/>
          <w:sz w:val="24"/>
          <w:szCs w:val="24"/>
          <w:lang w:val="hu-HU" w:eastAsia="hu-HU"/>
          <w14:ligatures w14:val="none"/>
        </w:rPr>
        <w:t>Department</w:t>
      </w:r>
      <w:proofErr w:type="spellEnd"/>
      <w:r>
        <w:rPr>
          <w:rFonts w:eastAsia="Times New Roman" w:cstheme="minorHAnsi"/>
          <w:kern w:val="0"/>
          <w:sz w:val="24"/>
          <w:szCs w:val="24"/>
          <w:lang w:val="hu-HU" w:eastAsia="hu-HU"/>
          <w14:ligatures w14:val="none"/>
        </w:rPr>
        <w:t xml:space="preserve"> of </w:t>
      </w:r>
      <w:proofErr w:type="spellStart"/>
      <w:r>
        <w:rPr>
          <w:rFonts w:eastAsia="Times New Roman" w:cstheme="minorHAnsi"/>
          <w:kern w:val="0"/>
          <w:sz w:val="24"/>
          <w:szCs w:val="24"/>
          <w:lang w:val="hu-HU" w:eastAsia="hu-HU"/>
          <w14:ligatures w14:val="none"/>
        </w:rPr>
        <w:t>Pharmacology</w:t>
      </w:r>
      <w:proofErr w:type="spellEnd"/>
      <w:r>
        <w:rPr>
          <w:rFonts w:eastAsia="Times New Roman" w:cstheme="minorHAnsi"/>
          <w:kern w:val="0"/>
          <w:sz w:val="24"/>
          <w:szCs w:val="24"/>
          <w:lang w:val="hu-HU" w:eastAsia="hu-HU"/>
          <w14:ligatures w14:val="none"/>
        </w:rPr>
        <w:t xml:space="preserve">, </w:t>
      </w:r>
      <w:proofErr w:type="spellStart"/>
      <w:r w:rsidRPr="00973D7C">
        <w:rPr>
          <w:rFonts w:eastAsia="Times New Roman" w:cstheme="minorHAnsi"/>
          <w:kern w:val="0"/>
          <w:sz w:val="24"/>
          <w:szCs w:val="24"/>
          <w:lang w:val="hu-HU" w:eastAsia="hu-HU"/>
          <w14:ligatures w14:val="none"/>
        </w:rPr>
        <w:t>Titu</w:t>
      </w:r>
      <w:proofErr w:type="spellEnd"/>
      <w:r w:rsidRPr="00973D7C">
        <w:rPr>
          <w:rFonts w:eastAsia="Times New Roman" w:cstheme="minorHAnsi"/>
          <w:kern w:val="0"/>
          <w:sz w:val="24"/>
          <w:szCs w:val="24"/>
          <w:lang w:val="hu-HU" w:eastAsia="hu-HU"/>
          <w14:ligatures w14:val="none"/>
        </w:rPr>
        <w:t xml:space="preserve"> </w:t>
      </w:r>
      <w:proofErr w:type="spellStart"/>
      <w:r w:rsidRPr="00973D7C">
        <w:rPr>
          <w:rFonts w:eastAsia="Times New Roman" w:cstheme="minorHAnsi"/>
          <w:kern w:val="0"/>
          <w:sz w:val="24"/>
          <w:szCs w:val="24"/>
          <w:lang w:val="hu-HU" w:eastAsia="hu-HU"/>
          <w14:ligatures w14:val="none"/>
        </w:rPr>
        <w:t>Maiorescu</w:t>
      </w:r>
      <w:proofErr w:type="spellEnd"/>
      <w:r w:rsidRPr="00973D7C">
        <w:rPr>
          <w:rFonts w:eastAsia="Times New Roman" w:cstheme="minorHAnsi"/>
          <w:kern w:val="0"/>
          <w:sz w:val="24"/>
          <w:szCs w:val="24"/>
          <w:lang w:val="hu-HU" w:eastAsia="hu-HU"/>
          <w14:ligatures w14:val="none"/>
        </w:rPr>
        <w:t xml:space="preserve"> University</w:t>
      </w:r>
      <w:r>
        <w:rPr>
          <w:rFonts w:eastAsia="Times New Roman" w:cstheme="minorHAnsi"/>
          <w:kern w:val="0"/>
          <w:sz w:val="24"/>
          <w:szCs w:val="24"/>
          <w:lang w:val="hu-HU" w:eastAsia="hu-HU"/>
          <w14:ligatures w14:val="none"/>
        </w:rPr>
        <w:t>,</w:t>
      </w:r>
      <w:r w:rsidRPr="00973D7C">
        <w:rPr>
          <w:rFonts w:eastAsia="Times New Roman" w:cstheme="minorHAnsi"/>
          <w:kern w:val="0"/>
          <w:sz w:val="24"/>
          <w:szCs w:val="24"/>
          <w:lang w:val="hu-HU" w:eastAsia="hu-HU"/>
          <w14:ligatures w14:val="none"/>
        </w:rPr>
        <w:t xml:space="preserve"> </w:t>
      </w:r>
      <w:proofErr w:type="spellStart"/>
      <w:r w:rsidRPr="00973D7C">
        <w:rPr>
          <w:rFonts w:eastAsia="Times New Roman" w:cstheme="minorHAnsi"/>
          <w:kern w:val="0"/>
          <w:sz w:val="24"/>
          <w:szCs w:val="24"/>
          <w:lang w:val="hu-HU" w:eastAsia="hu-HU"/>
          <w14:ligatures w14:val="none"/>
        </w:rPr>
        <w:t>Bucharest</w:t>
      </w:r>
      <w:proofErr w:type="spellEnd"/>
      <w:r w:rsidRPr="00973D7C">
        <w:rPr>
          <w:rFonts w:eastAsia="Times New Roman" w:cstheme="minorHAnsi"/>
          <w:kern w:val="0"/>
          <w:sz w:val="24"/>
          <w:szCs w:val="24"/>
          <w:lang w:val="hu-HU" w:eastAsia="hu-HU"/>
          <w14:ligatures w14:val="none"/>
        </w:rPr>
        <w:t xml:space="preserve">, </w:t>
      </w:r>
      <w:proofErr w:type="spellStart"/>
      <w:r w:rsidRPr="00973D7C">
        <w:rPr>
          <w:rFonts w:eastAsia="Times New Roman" w:cstheme="minorHAnsi"/>
          <w:kern w:val="0"/>
          <w:sz w:val="24"/>
          <w:szCs w:val="24"/>
          <w:lang w:val="hu-HU" w:eastAsia="hu-HU"/>
          <w14:ligatures w14:val="none"/>
        </w:rPr>
        <w:t>Romania</w:t>
      </w:r>
      <w:proofErr w:type="spellEnd"/>
      <w:r w:rsidRPr="00C83273">
        <w:rPr>
          <w:rFonts w:eastAsia="Times New Roman" w:cstheme="minorHAnsi"/>
          <w:kern w:val="0"/>
          <w:sz w:val="24"/>
          <w:szCs w:val="24"/>
          <w:lang w:val="hu-HU" w:eastAsia="hu-HU"/>
          <w14:ligatures w14:val="none"/>
        </w:rPr>
        <w:t xml:space="preserve"> </w:t>
      </w:r>
    </w:p>
    <w:p w14:paraId="1470D922" w14:textId="77777777" w:rsidR="0069334D" w:rsidRPr="00C82E0D"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C82E0D">
        <w:rPr>
          <w:rFonts w:eastAsia="Times New Roman" w:cstheme="minorHAnsi"/>
          <w:kern w:val="0"/>
          <w:sz w:val="24"/>
          <w:szCs w:val="24"/>
          <w:lang w:val="hu-HU" w:eastAsia="hu-HU"/>
          <w14:ligatures w14:val="none"/>
        </w:rPr>
        <w:t xml:space="preserve">HTA </w:t>
      </w:r>
      <w:proofErr w:type="spellStart"/>
      <w:r w:rsidRPr="00C82E0D">
        <w:rPr>
          <w:rFonts w:eastAsia="Times New Roman" w:cstheme="minorHAnsi"/>
          <w:kern w:val="0"/>
          <w:sz w:val="24"/>
          <w:szCs w:val="24"/>
          <w:lang w:val="hu-HU" w:eastAsia="hu-HU"/>
          <w14:ligatures w14:val="none"/>
        </w:rPr>
        <w:t>Department</w:t>
      </w:r>
      <w:proofErr w:type="spellEnd"/>
      <w:r w:rsidRPr="00C82E0D">
        <w:rPr>
          <w:rFonts w:eastAsia="Times New Roman" w:cstheme="minorHAnsi"/>
          <w:kern w:val="0"/>
          <w:sz w:val="24"/>
          <w:szCs w:val="24"/>
          <w:lang w:val="hu-HU" w:eastAsia="hu-HU"/>
          <w14:ligatures w14:val="none"/>
        </w:rPr>
        <w:t xml:space="preserve"> of </w:t>
      </w:r>
      <w:proofErr w:type="spellStart"/>
      <w:r w:rsidRPr="00C82E0D">
        <w:rPr>
          <w:rFonts w:eastAsia="Times New Roman" w:cstheme="minorHAnsi"/>
          <w:kern w:val="0"/>
          <w:sz w:val="24"/>
          <w:szCs w:val="24"/>
          <w:lang w:val="hu-HU" w:eastAsia="hu-HU"/>
          <w14:ligatures w14:val="none"/>
        </w:rPr>
        <w:t>State</w:t>
      </w:r>
      <w:proofErr w:type="spellEnd"/>
      <w:r w:rsidRPr="00C82E0D">
        <w:rPr>
          <w:rFonts w:eastAsia="Times New Roman" w:cstheme="minorHAnsi"/>
          <w:kern w:val="0"/>
          <w:sz w:val="24"/>
          <w:szCs w:val="24"/>
          <w:lang w:val="hu-HU" w:eastAsia="hu-HU"/>
          <w14:ligatures w14:val="none"/>
        </w:rPr>
        <w:t xml:space="preserve"> </w:t>
      </w:r>
      <w:proofErr w:type="spellStart"/>
      <w:r w:rsidRPr="00C82E0D">
        <w:rPr>
          <w:rFonts w:eastAsia="Times New Roman" w:cstheme="minorHAnsi"/>
          <w:kern w:val="0"/>
          <w:sz w:val="24"/>
          <w:szCs w:val="24"/>
          <w:lang w:val="hu-HU" w:eastAsia="hu-HU"/>
          <w14:ligatures w14:val="none"/>
        </w:rPr>
        <w:t>Expert</w:t>
      </w:r>
      <w:proofErr w:type="spellEnd"/>
      <w:r w:rsidRPr="00C82E0D">
        <w:rPr>
          <w:rFonts w:eastAsia="Times New Roman" w:cstheme="minorHAnsi"/>
          <w:kern w:val="0"/>
          <w:sz w:val="24"/>
          <w:szCs w:val="24"/>
          <w:lang w:val="hu-HU" w:eastAsia="hu-HU"/>
          <w14:ligatures w14:val="none"/>
        </w:rPr>
        <w:t xml:space="preserve"> Centre</w:t>
      </w:r>
      <w:r>
        <w:rPr>
          <w:rFonts w:eastAsia="Times New Roman" w:cstheme="minorHAnsi"/>
          <w:kern w:val="0"/>
          <w:sz w:val="24"/>
          <w:szCs w:val="24"/>
          <w:lang w:val="hu-HU" w:eastAsia="hu-HU"/>
          <w14:ligatures w14:val="none"/>
        </w:rPr>
        <w:t xml:space="preserve">, </w:t>
      </w:r>
      <w:proofErr w:type="spellStart"/>
      <w:r w:rsidRPr="00C82E0D">
        <w:rPr>
          <w:rFonts w:eastAsia="Times New Roman" w:cstheme="minorHAnsi"/>
          <w:kern w:val="0"/>
          <w:sz w:val="24"/>
          <w:szCs w:val="24"/>
          <w:lang w:val="hu-HU" w:eastAsia="hu-HU"/>
          <w14:ligatures w14:val="none"/>
        </w:rPr>
        <w:t>Ministry</w:t>
      </w:r>
      <w:proofErr w:type="spellEnd"/>
      <w:r w:rsidRPr="00C82E0D">
        <w:rPr>
          <w:rFonts w:eastAsia="Times New Roman" w:cstheme="minorHAnsi"/>
          <w:kern w:val="0"/>
          <w:sz w:val="24"/>
          <w:szCs w:val="24"/>
          <w:lang w:val="hu-HU" w:eastAsia="hu-HU"/>
          <w14:ligatures w14:val="none"/>
        </w:rPr>
        <w:t xml:space="preserve"> of Health, Kyiv, </w:t>
      </w:r>
      <w:proofErr w:type="spellStart"/>
      <w:r w:rsidRPr="00C82E0D">
        <w:rPr>
          <w:rFonts w:eastAsia="Times New Roman" w:cstheme="minorHAnsi"/>
          <w:kern w:val="0"/>
          <w:sz w:val="24"/>
          <w:szCs w:val="24"/>
          <w:lang w:val="hu-HU" w:eastAsia="hu-HU"/>
          <w14:ligatures w14:val="none"/>
        </w:rPr>
        <w:t>Ukraine</w:t>
      </w:r>
      <w:proofErr w:type="spellEnd"/>
    </w:p>
    <w:p w14:paraId="4846A6BF"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9D17A2">
        <w:rPr>
          <w:rFonts w:eastAsia="Times New Roman" w:cstheme="minorHAnsi"/>
          <w:kern w:val="0"/>
          <w:sz w:val="24"/>
          <w:szCs w:val="24"/>
          <w:lang w:val="hu-HU" w:eastAsia="hu-HU"/>
          <w14:ligatures w14:val="none"/>
        </w:rPr>
        <w:t>Department</w:t>
      </w:r>
      <w:proofErr w:type="spellEnd"/>
      <w:r w:rsidRPr="009D17A2">
        <w:rPr>
          <w:rFonts w:eastAsia="Times New Roman" w:cstheme="minorHAnsi"/>
          <w:kern w:val="0"/>
          <w:sz w:val="24"/>
          <w:szCs w:val="24"/>
          <w:lang w:val="hu-HU" w:eastAsia="hu-HU"/>
          <w14:ligatures w14:val="none"/>
        </w:rPr>
        <w:t xml:space="preserve"> of Pharmacoeconomics, University of Medicine and </w:t>
      </w:r>
      <w:proofErr w:type="spellStart"/>
      <w:r w:rsidRPr="009D17A2">
        <w:rPr>
          <w:rFonts w:eastAsia="Times New Roman" w:cstheme="minorHAnsi"/>
          <w:kern w:val="0"/>
          <w:sz w:val="24"/>
          <w:szCs w:val="24"/>
          <w:lang w:val="hu-HU" w:eastAsia="hu-HU"/>
          <w14:ligatures w14:val="none"/>
        </w:rPr>
        <w:t>Pharmacy</w:t>
      </w:r>
      <w:proofErr w:type="spellEnd"/>
      <w:r w:rsidRPr="009D17A2">
        <w:rPr>
          <w:rFonts w:eastAsia="Times New Roman" w:cstheme="minorHAnsi"/>
          <w:kern w:val="0"/>
          <w:sz w:val="24"/>
          <w:szCs w:val="24"/>
          <w:lang w:val="hu-HU" w:eastAsia="hu-HU"/>
          <w14:ligatures w14:val="none"/>
        </w:rPr>
        <w:t xml:space="preserve"> of </w:t>
      </w:r>
      <w:proofErr w:type="spellStart"/>
      <w:r w:rsidRPr="009D17A2">
        <w:rPr>
          <w:rFonts w:eastAsia="Times New Roman" w:cstheme="minorHAnsi"/>
          <w:kern w:val="0"/>
          <w:sz w:val="24"/>
          <w:szCs w:val="24"/>
          <w:lang w:val="hu-HU" w:eastAsia="hu-HU"/>
          <w14:ligatures w14:val="none"/>
        </w:rPr>
        <w:t>Craiova</w:t>
      </w:r>
      <w:proofErr w:type="spellEnd"/>
      <w:r w:rsidRPr="009D17A2">
        <w:rPr>
          <w:rFonts w:eastAsia="Times New Roman" w:cstheme="minorHAnsi"/>
          <w:kern w:val="0"/>
          <w:sz w:val="24"/>
          <w:szCs w:val="24"/>
          <w:lang w:val="hu-HU" w:eastAsia="hu-HU"/>
          <w14:ligatures w14:val="none"/>
        </w:rPr>
        <w:t xml:space="preserve">, </w:t>
      </w:r>
      <w:proofErr w:type="spellStart"/>
      <w:r w:rsidRPr="009D17A2">
        <w:rPr>
          <w:rFonts w:eastAsia="Times New Roman" w:cstheme="minorHAnsi"/>
          <w:kern w:val="0"/>
          <w:sz w:val="24"/>
          <w:szCs w:val="24"/>
          <w:lang w:val="hu-HU" w:eastAsia="hu-HU"/>
          <w14:ligatures w14:val="none"/>
        </w:rPr>
        <w:t>Craiova</w:t>
      </w:r>
      <w:proofErr w:type="spellEnd"/>
      <w:r w:rsidRPr="009D17A2">
        <w:rPr>
          <w:rFonts w:eastAsia="Times New Roman" w:cstheme="minorHAnsi"/>
          <w:kern w:val="0"/>
          <w:sz w:val="24"/>
          <w:szCs w:val="24"/>
          <w:lang w:val="hu-HU" w:eastAsia="hu-HU"/>
          <w14:ligatures w14:val="none"/>
        </w:rPr>
        <w:t xml:space="preserve">, </w:t>
      </w:r>
      <w:proofErr w:type="spellStart"/>
      <w:r w:rsidRPr="009D17A2">
        <w:rPr>
          <w:rFonts w:eastAsia="Times New Roman" w:cstheme="minorHAnsi"/>
          <w:kern w:val="0"/>
          <w:sz w:val="24"/>
          <w:szCs w:val="24"/>
          <w:lang w:val="hu-HU" w:eastAsia="hu-HU"/>
          <w14:ligatures w14:val="none"/>
        </w:rPr>
        <w:t>Romania</w:t>
      </w:r>
      <w:proofErr w:type="spellEnd"/>
    </w:p>
    <w:p w14:paraId="5977CC78" w14:textId="77777777" w:rsidR="0069334D" w:rsidRPr="00A640B7"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A640B7">
        <w:rPr>
          <w:rFonts w:eastAsia="Times New Roman" w:cstheme="minorHAnsi"/>
          <w:kern w:val="0"/>
          <w:sz w:val="24"/>
          <w:szCs w:val="24"/>
          <w:lang w:val="hu-HU" w:eastAsia="hu-HU"/>
          <w14:ligatures w14:val="none"/>
        </w:rPr>
        <w:t>Department</w:t>
      </w:r>
      <w:proofErr w:type="spellEnd"/>
      <w:r w:rsidRPr="00A640B7">
        <w:rPr>
          <w:rFonts w:eastAsia="Times New Roman" w:cstheme="minorHAnsi"/>
          <w:kern w:val="0"/>
          <w:sz w:val="24"/>
          <w:szCs w:val="24"/>
          <w:lang w:val="hu-HU" w:eastAsia="hu-HU"/>
          <w14:ligatures w14:val="none"/>
        </w:rPr>
        <w:t xml:space="preserve"> of </w:t>
      </w:r>
      <w:proofErr w:type="spellStart"/>
      <w:r w:rsidRPr="00A640B7">
        <w:rPr>
          <w:rFonts w:eastAsia="Times New Roman" w:cstheme="minorHAnsi"/>
          <w:kern w:val="0"/>
          <w:sz w:val="24"/>
          <w:szCs w:val="24"/>
          <w:lang w:val="hu-HU" w:eastAsia="hu-HU"/>
          <w14:ligatures w14:val="none"/>
        </w:rPr>
        <w:t>Pharmacology</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Faculty</w:t>
      </w:r>
      <w:proofErr w:type="spellEnd"/>
      <w:r w:rsidRPr="00A640B7">
        <w:rPr>
          <w:rFonts w:eastAsia="Times New Roman" w:cstheme="minorHAnsi"/>
          <w:kern w:val="0"/>
          <w:sz w:val="24"/>
          <w:szCs w:val="24"/>
          <w:lang w:val="hu-HU" w:eastAsia="hu-HU"/>
          <w14:ligatures w14:val="none"/>
        </w:rPr>
        <w:t xml:space="preserve"> of Medicine, Masaryk University, Brno, </w:t>
      </w:r>
      <w:proofErr w:type="spellStart"/>
      <w:r w:rsidRPr="00A640B7">
        <w:rPr>
          <w:rFonts w:eastAsia="Times New Roman" w:cstheme="minorHAnsi"/>
          <w:kern w:val="0"/>
          <w:sz w:val="24"/>
          <w:szCs w:val="24"/>
          <w:lang w:val="hu-HU" w:eastAsia="hu-HU"/>
          <w14:ligatures w14:val="none"/>
        </w:rPr>
        <w:t>Czechia</w:t>
      </w:r>
      <w:proofErr w:type="spellEnd"/>
      <w:r w:rsidRPr="00A640B7">
        <w:rPr>
          <w:rFonts w:eastAsia="Times New Roman" w:cstheme="minorHAnsi"/>
          <w:kern w:val="0"/>
          <w:sz w:val="24"/>
          <w:szCs w:val="24"/>
          <w:lang w:val="hu-HU" w:eastAsia="hu-HU"/>
          <w14:ligatures w14:val="none"/>
        </w:rPr>
        <w:t>.</w:t>
      </w:r>
    </w:p>
    <w:p w14:paraId="63EC04B0" w14:textId="77777777" w:rsidR="0069334D" w:rsidRPr="00A640B7"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A640B7">
        <w:rPr>
          <w:rFonts w:eastAsia="Times New Roman" w:cstheme="minorHAnsi"/>
          <w:kern w:val="0"/>
          <w:sz w:val="24"/>
          <w:szCs w:val="24"/>
          <w:lang w:val="hu-HU" w:eastAsia="hu-HU"/>
          <w14:ligatures w14:val="none"/>
        </w:rPr>
        <w:t>Value</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Outcomes</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Prague</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Czechia</w:t>
      </w:r>
      <w:proofErr w:type="spellEnd"/>
      <w:r w:rsidRPr="00A640B7">
        <w:rPr>
          <w:rFonts w:eastAsia="Times New Roman" w:cstheme="minorHAnsi"/>
          <w:kern w:val="0"/>
          <w:sz w:val="24"/>
          <w:szCs w:val="24"/>
          <w:lang w:val="hu-HU" w:eastAsia="hu-HU"/>
          <w14:ligatures w14:val="none"/>
        </w:rPr>
        <w:t>.</w:t>
      </w:r>
    </w:p>
    <w:p w14:paraId="707CBFC2"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A640B7">
        <w:rPr>
          <w:rFonts w:eastAsia="Times New Roman" w:cstheme="minorHAnsi"/>
          <w:kern w:val="0"/>
          <w:sz w:val="24"/>
          <w:szCs w:val="24"/>
          <w:lang w:val="hu-HU" w:eastAsia="hu-HU"/>
          <w14:ligatures w14:val="none"/>
        </w:rPr>
        <w:t>Cogvio</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Prague</w:t>
      </w:r>
      <w:proofErr w:type="spellEnd"/>
      <w:r w:rsidRPr="00A640B7">
        <w:rPr>
          <w:rFonts w:eastAsia="Times New Roman" w:cstheme="minorHAnsi"/>
          <w:kern w:val="0"/>
          <w:sz w:val="24"/>
          <w:szCs w:val="24"/>
          <w:lang w:val="hu-HU" w:eastAsia="hu-HU"/>
          <w14:ligatures w14:val="none"/>
        </w:rPr>
        <w:t xml:space="preserve">, </w:t>
      </w:r>
      <w:proofErr w:type="spellStart"/>
      <w:r w:rsidRPr="00A640B7">
        <w:rPr>
          <w:rFonts w:eastAsia="Times New Roman" w:cstheme="minorHAnsi"/>
          <w:kern w:val="0"/>
          <w:sz w:val="24"/>
          <w:szCs w:val="24"/>
          <w:lang w:val="hu-HU" w:eastAsia="hu-HU"/>
          <w14:ligatures w14:val="none"/>
        </w:rPr>
        <w:t>Czechia</w:t>
      </w:r>
      <w:proofErr w:type="spellEnd"/>
      <w:r w:rsidRPr="00A640B7">
        <w:rPr>
          <w:rFonts w:eastAsia="Times New Roman" w:cstheme="minorHAnsi"/>
          <w:kern w:val="0"/>
          <w:sz w:val="24"/>
          <w:szCs w:val="24"/>
          <w:lang w:val="hu-HU" w:eastAsia="hu-HU"/>
          <w14:ligatures w14:val="none"/>
        </w:rPr>
        <w:t>.</w:t>
      </w:r>
      <w:r w:rsidRPr="00C83273">
        <w:rPr>
          <w:rFonts w:eastAsia="Times New Roman" w:cstheme="minorHAnsi"/>
          <w:kern w:val="0"/>
          <w:sz w:val="24"/>
          <w:szCs w:val="24"/>
          <w:lang w:val="hu-HU" w:eastAsia="hu-HU"/>
          <w14:ligatures w14:val="none"/>
        </w:rPr>
        <w:t xml:space="preserve">  </w:t>
      </w:r>
    </w:p>
    <w:p w14:paraId="7CD55DEC"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C37621">
        <w:rPr>
          <w:rFonts w:eastAsia="Times New Roman" w:cstheme="minorHAnsi"/>
          <w:kern w:val="0"/>
          <w:sz w:val="24"/>
          <w:szCs w:val="24"/>
          <w:lang w:val="hu-HU" w:eastAsia="hu-HU"/>
          <w14:ligatures w14:val="none"/>
        </w:rPr>
        <w:t xml:space="preserve">National Institute for </w:t>
      </w:r>
      <w:proofErr w:type="spellStart"/>
      <w:r w:rsidRPr="00C37621">
        <w:rPr>
          <w:rFonts w:eastAsia="Times New Roman" w:cstheme="minorHAnsi"/>
          <w:kern w:val="0"/>
          <w:sz w:val="24"/>
          <w:szCs w:val="24"/>
          <w:lang w:val="hu-HU" w:eastAsia="hu-HU"/>
          <w14:ligatures w14:val="none"/>
        </w:rPr>
        <w:t>Value</w:t>
      </w:r>
      <w:proofErr w:type="spellEnd"/>
      <w:r w:rsidRPr="00C37621">
        <w:rPr>
          <w:rFonts w:eastAsia="Times New Roman" w:cstheme="minorHAnsi"/>
          <w:kern w:val="0"/>
          <w:sz w:val="24"/>
          <w:szCs w:val="24"/>
          <w:lang w:val="hu-HU" w:eastAsia="hu-HU"/>
          <w14:ligatures w14:val="none"/>
        </w:rPr>
        <w:t xml:space="preserve"> and Technologies in Healthcare</w:t>
      </w:r>
      <w:r>
        <w:rPr>
          <w:rFonts w:eastAsia="Times New Roman" w:cstheme="minorHAnsi"/>
          <w:kern w:val="0"/>
          <w:sz w:val="24"/>
          <w:szCs w:val="24"/>
          <w:lang w:val="hu-HU" w:eastAsia="hu-HU"/>
          <w14:ligatures w14:val="none"/>
        </w:rPr>
        <w:t xml:space="preserve">, </w:t>
      </w:r>
      <w:r w:rsidRPr="00DF22A0">
        <w:rPr>
          <w:rFonts w:eastAsia="Times New Roman" w:cstheme="minorHAnsi"/>
          <w:kern w:val="0"/>
          <w:sz w:val="24"/>
          <w:szCs w:val="24"/>
          <w:lang w:val="hu-HU" w:eastAsia="hu-HU"/>
          <w14:ligatures w14:val="none"/>
        </w:rPr>
        <w:t xml:space="preserve">Bratislava, </w:t>
      </w:r>
      <w:proofErr w:type="spellStart"/>
      <w:r w:rsidRPr="00DF22A0">
        <w:rPr>
          <w:rFonts w:eastAsia="Times New Roman" w:cstheme="minorHAnsi"/>
          <w:kern w:val="0"/>
          <w:sz w:val="24"/>
          <w:szCs w:val="24"/>
          <w:lang w:val="hu-HU" w:eastAsia="hu-HU"/>
          <w14:ligatures w14:val="none"/>
        </w:rPr>
        <w:t>Slovakia</w:t>
      </w:r>
      <w:proofErr w:type="spellEnd"/>
      <w:r w:rsidRPr="00C83273">
        <w:rPr>
          <w:rFonts w:eastAsia="Times New Roman" w:cstheme="minorHAnsi"/>
          <w:kern w:val="0"/>
          <w:sz w:val="24"/>
          <w:szCs w:val="24"/>
          <w:lang w:val="hu-HU" w:eastAsia="hu-HU"/>
          <w14:ligatures w14:val="none"/>
        </w:rPr>
        <w:t xml:space="preserve"> </w:t>
      </w:r>
    </w:p>
    <w:p w14:paraId="20812F08" w14:textId="77777777" w:rsidR="0069334D"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EE7FAA">
        <w:rPr>
          <w:rFonts w:eastAsia="Times New Roman" w:cstheme="minorHAnsi"/>
          <w:kern w:val="0"/>
          <w:sz w:val="24"/>
          <w:szCs w:val="24"/>
          <w:lang w:val="hu-HU" w:eastAsia="hu-HU"/>
          <w14:ligatures w14:val="none"/>
        </w:rPr>
        <w:t>Salidat</w:t>
      </w:r>
      <w:proofErr w:type="spellEnd"/>
      <w:r w:rsidRPr="00EE7FAA">
        <w:rPr>
          <w:rFonts w:eastAsia="Times New Roman" w:cstheme="minorHAnsi"/>
          <w:kern w:val="0"/>
          <w:sz w:val="24"/>
          <w:szCs w:val="24"/>
          <w:lang w:val="hu-HU" w:eastAsia="hu-HU"/>
          <w14:ligatures w14:val="none"/>
        </w:rPr>
        <w:t xml:space="preserve"> </w:t>
      </w:r>
      <w:proofErr w:type="spellStart"/>
      <w:r w:rsidRPr="00EE7FAA">
        <w:rPr>
          <w:rFonts w:eastAsia="Times New Roman" w:cstheme="minorHAnsi"/>
          <w:kern w:val="0"/>
          <w:sz w:val="24"/>
          <w:szCs w:val="24"/>
          <w:lang w:val="hu-HU" w:eastAsia="hu-HU"/>
          <w14:ligatures w14:val="none"/>
        </w:rPr>
        <w:t>Kairbekova</w:t>
      </w:r>
      <w:proofErr w:type="spellEnd"/>
      <w:r w:rsidRPr="00EE7FAA">
        <w:rPr>
          <w:rFonts w:eastAsia="Times New Roman" w:cstheme="minorHAnsi"/>
          <w:kern w:val="0"/>
          <w:sz w:val="24"/>
          <w:szCs w:val="24"/>
          <w:lang w:val="hu-HU" w:eastAsia="hu-HU"/>
          <w14:ligatures w14:val="none"/>
        </w:rPr>
        <w:t xml:space="preserve"> National Research Center for Health Development</w:t>
      </w:r>
      <w:r>
        <w:rPr>
          <w:rFonts w:eastAsia="Times New Roman" w:cstheme="minorHAnsi"/>
          <w:kern w:val="0"/>
          <w:sz w:val="24"/>
          <w:szCs w:val="24"/>
          <w:lang w:val="hu-HU" w:eastAsia="hu-HU"/>
          <w14:ligatures w14:val="none"/>
        </w:rPr>
        <w:t xml:space="preserve">, </w:t>
      </w:r>
      <w:proofErr w:type="spellStart"/>
      <w:r>
        <w:rPr>
          <w:rFonts w:eastAsia="Times New Roman" w:cstheme="minorHAnsi"/>
          <w:kern w:val="0"/>
          <w:sz w:val="24"/>
          <w:szCs w:val="24"/>
          <w:lang w:val="hu-HU" w:eastAsia="hu-HU"/>
          <w14:ligatures w14:val="none"/>
        </w:rPr>
        <w:t>Astana</w:t>
      </w:r>
      <w:proofErr w:type="spellEnd"/>
      <w:r w:rsidRPr="00420B16">
        <w:rPr>
          <w:rFonts w:eastAsia="Times New Roman" w:cstheme="minorHAnsi"/>
          <w:kern w:val="0"/>
          <w:sz w:val="24"/>
          <w:szCs w:val="24"/>
          <w:lang w:val="hu-HU" w:eastAsia="hu-HU"/>
          <w14:ligatures w14:val="none"/>
        </w:rPr>
        <w:t xml:space="preserve">, </w:t>
      </w:r>
      <w:proofErr w:type="spellStart"/>
      <w:r w:rsidRPr="00420B16">
        <w:rPr>
          <w:rFonts w:eastAsia="Times New Roman" w:cstheme="minorHAnsi"/>
          <w:kern w:val="0"/>
          <w:sz w:val="24"/>
          <w:szCs w:val="24"/>
          <w:lang w:val="hu-HU" w:eastAsia="hu-HU"/>
          <w14:ligatures w14:val="none"/>
        </w:rPr>
        <w:t>Kazakhstan</w:t>
      </w:r>
      <w:proofErr w:type="spellEnd"/>
    </w:p>
    <w:p w14:paraId="16F608F8" w14:textId="77777777" w:rsidR="0069334D"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r w:rsidRPr="00AF5090">
        <w:rPr>
          <w:rFonts w:eastAsia="Times New Roman" w:cstheme="minorHAnsi"/>
          <w:kern w:val="0"/>
          <w:sz w:val="24"/>
          <w:szCs w:val="24"/>
          <w:lang w:val="hu-HU" w:eastAsia="hu-HU"/>
          <w14:ligatures w14:val="none"/>
        </w:rPr>
        <w:t xml:space="preserve">Institute of </w:t>
      </w:r>
      <w:proofErr w:type="spellStart"/>
      <w:r w:rsidRPr="00AF5090">
        <w:rPr>
          <w:rFonts w:eastAsia="Times New Roman" w:cstheme="minorHAnsi"/>
          <w:kern w:val="0"/>
          <w:sz w:val="24"/>
          <w:szCs w:val="24"/>
          <w:lang w:val="hu-HU" w:eastAsia="hu-HU"/>
          <w14:ligatures w14:val="none"/>
        </w:rPr>
        <w:t>Mathematics</w:t>
      </w:r>
      <w:proofErr w:type="spellEnd"/>
      <w:r w:rsidRPr="00AF5090">
        <w:rPr>
          <w:rFonts w:eastAsia="Times New Roman" w:cstheme="minorHAnsi"/>
          <w:kern w:val="0"/>
          <w:sz w:val="24"/>
          <w:szCs w:val="24"/>
          <w:lang w:val="hu-HU" w:eastAsia="hu-HU"/>
          <w14:ligatures w14:val="none"/>
        </w:rPr>
        <w:t xml:space="preserve"> </w:t>
      </w:r>
      <w:proofErr w:type="spellStart"/>
      <w:r w:rsidRPr="00AF5090">
        <w:rPr>
          <w:rFonts w:eastAsia="Times New Roman" w:cstheme="minorHAnsi"/>
          <w:kern w:val="0"/>
          <w:sz w:val="24"/>
          <w:szCs w:val="24"/>
          <w:lang w:val="hu-HU" w:eastAsia="hu-HU"/>
          <w14:ligatures w14:val="none"/>
        </w:rPr>
        <w:t>Physics</w:t>
      </w:r>
      <w:proofErr w:type="spellEnd"/>
      <w:r w:rsidRPr="00AF5090">
        <w:rPr>
          <w:rFonts w:eastAsia="Times New Roman" w:cstheme="minorHAnsi"/>
          <w:kern w:val="0"/>
          <w:sz w:val="24"/>
          <w:szCs w:val="24"/>
          <w:lang w:val="hu-HU" w:eastAsia="hu-HU"/>
          <w14:ligatures w14:val="none"/>
        </w:rPr>
        <w:t xml:space="preserve"> and </w:t>
      </w:r>
      <w:proofErr w:type="spellStart"/>
      <w:r w:rsidRPr="00AF5090">
        <w:rPr>
          <w:rFonts w:eastAsia="Times New Roman" w:cstheme="minorHAnsi"/>
          <w:kern w:val="0"/>
          <w:sz w:val="24"/>
          <w:szCs w:val="24"/>
          <w:lang w:val="hu-HU" w:eastAsia="hu-HU"/>
          <w14:ligatures w14:val="none"/>
        </w:rPr>
        <w:t>Mechanics</w:t>
      </w:r>
      <w:proofErr w:type="spellEnd"/>
      <w:r>
        <w:rPr>
          <w:rFonts w:eastAsia="Times New Roman" w:cstheme="minorHAnsi"/>
          <w:kern w:val="0"/>
          <w:sz w:val="24"/>
          <w:szCs w:val="24"/>
          <w:lang w:val="hu-HU" w:eastAsia="hu-HU"/>
          <w14:ligatures w14:val="none"/>
        </w:rPr>
        <w:t>, Ljubljana,</w:t>
      </w:r>
      <w:r w:rsidRPr="00AF5090">
        <w:rPr>
          <w:rFonts w:eastAsia="Times New Roman" w:cstheme="minorHAnsi"/>
          <w:kern w:val="0"/>
          <w:sz w:val="24"/>
          <w:szCs w:val="24"/>
          <w:lang w:val="hu-HU" w:eastAsia="hu-HU"/>
          <w14:ligatures w14:val="none"/>
        </w:rPr>
        <w:t xml:space="preserve"> </w:t>
      </w:r>
      <w:proofErr w:type="spellStart"/>
      <w:r w:rsidRPr="00AF5090">
        <w:rPr>
          <w:rFonts w:eastAsia="Times New Roman" w:cstheme="minorHAnsi"/>
          <w:kern w:val="0"/>
          <w:sz w:val="24"/>
          <w:szCs w:val="24"/>
          <w:lang w:val="hu-HU" w:eastAsia="hu-HU"/>
          <w14:ligatures w14:val="none"/>
        </w:rPr>
        <w:t>Slovenia</w:t>
      </w:r>
      <w:proofErr w:type="spellEnd"/>
    </w:p>
    <w:p w14:paraId="77C2DB5F" w14:textId="77777777" w:rsidR="0069334D"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F82AB2">
        <w:rPr>
          <w:rFonts w:eastAsia="Times New Roman" w:cstheme="minorHAnsi"/>
          <w:kern w:val="0"/>
          <w:sz w:val="24"/>
          <w:szCs w:val="24"/>
          <w:lang w:val="hu-HU" w:eastAsia="hu-HU"/>
          <w14:ligatures w14:val="none"/>
        </w:rPr>
        <w:t>Faculty</w:t>
      </w:r>
      <w:proofErr w:type="spellEnd"/>
      <w:r w:rsidRPr="00F82AB2">
        <w:rPr>
          <w:rFonts w:eastAsia="Times New Roman" w:cstheme="minorHAnsi"/>
          <w:kern w:val="0"/>
          <w:sz w:val="24"/>
          <w:szCs w:val="24"/>
          <w:lang w:val="hu-HU" w:eastAsia="hu-HU"/>
          <w14:ligatures w14:val="none"/>
        </w:rPr>
        <w:t xml:space="preserve"> of </w:t>
      </w:r>
      <w:proofErr w:type="spellStart"/>
      <w:r w:rsidRPr="00F82AB2">
        <w:rPr>
          <w:rFonts w:eastAsia="Times New Roman" w:cstheme="minorHAnsi"/>
          <w:kern w:val="0"/>
          <w:sz w:val="24"/>
          <w:szCs w:val="24"/>
          <w:lang w:val="hu-HU" w:eastAsia="hu-HU"/>
          <w14:ligatures w14:val="none"/>
        </w:rPr>
        <w:t>Mathematics</w:t>
      </w:r>
      <w:proofErr w:type="spellEnd"/>
      <w:r w:rsidRPr="00F82AB2">
        <w:rPr>
          <w:rFonts w:eastAsia="Times New Roman" w:cstheme="minorHAnsi"/>
          <w:kern w:val="0"/>
          <w:sz w:val="24"/>
          <w:szCs w:val="24"/>
          <w:lang w:val="hu-HU" w:eastAsia="hu-HU"/>
          <w14:ligatures w14:val="none"/>
        </w:rPr>
        <w:t xml:space="preserve"> and </w:t>
      </w:r>
      <w:proofErr w:type="spellStart"/>
      <w:r w:rsidRPr="00F82AB2">
        <w:rPr>
          <w:rFonts w:eastAsia="Times New Roman" w:cstheme="minorHAnsi"/>
          <w:kern w:val="0"/>
          <w:sz w:val="24"/>
          <w:szCs w:val="24"/>
          <w:lang w:val="hu-HU" w:eastAsia="hu-HU"/>
          <w14:ligatures w14:val="none"/>
        </w:rPr>
        <w:t>Physics</w:t>
      </w:r>
      <w:proofErr w:type="spellEnd"/>
      <w:r w:rsidRPr="00F82AB2">
        <w:rPr>
          <w:rFonts w:eastAsia="Times New Roman" w:cstheme="minorHAnsi"/>
          <w:kern w:val="0"/>
          <w:sz w:val="24"/>
          <w:szCs w:val="24"/>
          <w:lang w:val="hu-HU" w:eastAsia="hu-HU"/>
          <w14:ligatures w14:val="none"/>
        </w:rPr>
        <w:t xml:space="preserve">, University of Ljubljana, Ljubljana, </w:t>
      </w:r>
      <w:proofErr w:type="spellStart"/>
      <w:r w:rsidRPr="00F82AB2">
        <w:rPr>
          <w:rFonts w:eastAsia="Times New Roman" w:cstheme="minorHAnsi"/>
          <w:kern w:val="0"/>
          <w:sz w:val="24"/>
          <w:szCs w:val="24"/>
          <w:lang w:val="hu-HU" w:eastAsia="hu-HU"/>
          <w14:ligatures w14:val="none"/>
        </w:rPr>
        <w:t>Slovenia</w:t>
      </w:r>
      <w:proofErr w:type="spellEnd"/>
    </w:p>
    <w:p w14:paraId="0966BE15" w14:textId="77777777" w:rsidR="0069334D" w:rsidRPr="00C83273"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val="hu-HU" w:eastAsia="hu-HU"/>
          <w14:ligatures w14:val="none"/>
        </w:rPr>
      </w:pPr>
      <w:proofErr w:type="spellStart"/>
      <w:r w:rsidRPr="00AE2F8F">
        <w:rPr>
          <w:rFonts w:eastAsia="Times New Roman" w:cstheme="minorHAnsi"/>
          <w:kern w:val="0"/>
          <w:sz w:val="24"/>
          <w:szCs w:val="24"/>
          <w:lang w:val="hu-HU" w:eastAsia="hu-HU"/>
          <w14:ligatures w14:val="none"/>
        </w:rPr>
        <w:t>Faculty</w:t>
      </w:r>
      <w:proofErr w:type="spellEnd"/>
      <w:r w:rsidRPr="00AE2F8F">
        <w:rPr>
          <w:rFonts w:eastAsia="Times New Roman" w:cstheme="minorHAnsi"/>
          <w:kern w:val="0"/>
          <w:sz w:val="24"/>
          <w:szCs w:val="24"/>
          <w:lang w:val="hu-HU" w:eastAsia="hu-HU"/>
          <w14:ligatures w14:val="none"/>
        </w:rPr>
        <w:t xml:space="preserve"> of Medicine University of Rijeka and University </w:t>
      </w:r>
      <w:proofErr w:type="spellStart"/>
      <w:r w:rsidRPr="00AE2F8F">
        <w:rPr>
          <w:rFonts w:eastAsia="Times New Roman" w:cstheme="minorHAnsi"/>
          <w:kern w:val="0"/>
          <w:sz w:val="24"/>
          <w:szCs w:val="24"/>
          <w:lang w:val="hu-HU" w:eastAsia="hu-HU"/>
          <w14:ligatures w14:val="none"/>
        </w:rPr>
        <w:t>Hospital</w:t>
      </w:r>
      <w:proofErr w:type="spellEnd"/>
      <w:r w:rsidRPr="00AE2F8F">
        <w:rPr>
          <w:rFonts w:eastAsia="Times New Roman" w:cstheme="minorHAnsi"/>
          <w:kern w:val="0"/>
          <w:sz w:val="24"/>
          <w:szCs w:val="24"/>
          <w:lang w:val="hu-HU" w:eastAsia="hu-HU"/>
          <w14:ligatures w14:val="none"/>
        </w:rPr>
        <w:t xml:space="preserve"> Centre Rijeka, Rijeka, </w:t>
      </w:r>
      <w:proofErr w:type="spellStart"/>
      <w:r w:rsidRPr="00AE2F8F">
        <w:rPr>
          <w:rFonts w:eastAsia="Times New Roman" w:cstheme="minorHAnsi"/>
          <w:kern w:val="0"/>
          <w:sz w:val="24"/>
          <w:szCs w:val="24"/>
          <w:lang w:val="hu-HU" w:eastAsia="hu-HU"/>
          <w14:ligatures w14:val="none"/>
        </w:rPr>
        <w:t>Croatia</w:t>
      </w:r>
      <w:proofErr w:type="spellEnd"/>
      <w:r w:rsidRPr="00AE2F8F">
        <w:rPr>
          <w:rFonts w:eastAsia="Times New Roman" w:cstheme="minorHAnsi"/>
          <w:kern w:val="0"/>
          <w:sz w:val="24"/>
          <w:szCs w:val="24"/>
          <w:lang w:val="hu-HU" w:eastAsia="hu-HU"/>
          <w14:ligatures w14:val="none"/>
        </w:rPr>
        <w:t xml:space="preserve"> </w:t>
      </w:r>
      <w:r w:rsidRPr="00C83273">
        <w:rPr>
          <w:rFonts w:eastAsia="Times New Roman" w:cstheme="minorHAnsi"/>
          <w:kern w:val="0"/>
          <w:sz w:val="24"/>
          <w:szCs w:val="24"/>
          <w:lang w:val="hu-HU" w:eastAsia="hu-HU"/>
          <w14:ligatures w14:val="none"/>
        </w:rPr>
        <w:t xml:space="preserve"> </w:t>
      </w:r>
    </w:p>
    <w:p w14:paraId="4596D4C4" w14:textId="77777777" w:rsidR="0069334D" w:rsidRPr="00EE672C" w:rsidRDefault="0069334D" w:rsidP="0069334D">
      <w:pPr>
        <w:pStyle w:val="ListParagraph"/>
        <w:numPr>
          <w:ilvl w:val="0"/>
          <w:numId w:val="25"/>
        </w:numPr>
        <w:shd w:val="clear" w:color="auto" w:fill="FFFFFF"/>
        <w:spacing w:before="100" w:beforeAutospacing="1" w:after="100" w:afterAutospacing="1" w:line="240" w:lineRule="auto"/>
        <w:ind w:left="360"/>
        <w:rPr>
          <w:rFonts w:eastAsia="Times New Roman" w:cstheme="minorHAnsi"/>
          <w:kern w:val="0"/>
          <w:sz w:val="24"/>
          <w:szCs w:val="24"/>
          <w:lang w:eastAsia="hu-HU"/>
          <w14:ligatures w14:val="none"/>
        </w:rPr>
      </w:pPr>
      <w:r w:rsidRPr="00DF03C2">
        <w:rPr>
          <w:rFonts w:eastAsia="Times New Roman" w:cstheme="minorHAnsi"/>
          <w:kern w:val="0"/>
          <w:sz w:val="24"/>
          <w:szCs w:val="24"/>
          <w:lang w:eastAsia="hu-HU"/>
          <w14:ligatures w14:val="none"/>
        </w:rPr>
        <w:t>Division of Pharmacoepidemiology and Clinical Pharmacology, Utrecht Institute for Pharmaceutical Sciences (UIPS), Utrecht University, Utrecht, Netherlands</w:t>
      </w:r>
      <w:r w:rsidRPr="00EE672C">
        <w:rPr>
          <w:rFonts w:eastAsia="Times New Roman" w:cstheme="minorHAnsi"/>
          <w:kern w:val="0"/>
          <w:sz w:val="24"/>
          <w:szCs w:val="24"/>
          <w:lang w:eastAsia="hu-HU"/>
          <w14:ligatures w14:val="none"/>
        </w:rPr>
        <w:t xml:space="preserve"> </w:t>
      </w:r>
    </w:p>
    <w:bookmarkEnd w:id="1"/>
    <w:p w14:paraId="466D3254" w14:textId="77777777" w:rsidR="0069334D" w:rsidRPr="00EE672C" w:rsidRDefault="0069334D" w:rsidP="0069334D">
      <w:pPr>
        <w:shd w:val="clear" w:color="auto" w:fill="FFFFFF"/>
        <w:spacing w:before="100" w:beforeAutospacing="1" w:after="0" w:line="240" w:lineRule="auto"/>
        <w:rPr>
          <w:rFonts w:eastAsia="Times New Roman" w:cstheme="minorHAnsi"/>
          <w:kern w:val="0"/>
          <w:sz w:val="24"/>
          <w:szCs w:val="24"/>
          <w:lang w:eastAsia="hu-HU"/>
          <w14:ligatures w14:val="none"/>
        </w:rPr>
      </w:pPr>
      <w:r w:rsidRPr="00EE672C">
        <w:rPr>
          <w:rFonts w:eastAsia="Times New Roman" w:cstheme="minorHAnsi"/>
          <w:kern w:val="0"/>
          <w:sz w:val="24"/>
          <w:szCs w:val="24"/>
          <w:lang w:eastAsia="hu-HU"/>
          <w14:ligatures w14:val="none"/>
        </w:rPr>
        <w:t>Corresponding author: Zoltán Kaló</w:t>
      </w:r>
    </w:p>
    <w:p w14:paraId="66309329" w14:textId="77777777" w:rsidR="0069334D" w:rsidRPr="00EE672C" w:rsidRDefault="0069334D" w:rsidP="0069334D">
      <w:pPr>
        <w:spacing w:after="0" w:line="240" w:lineRule="auto"/>
        <w:rPr>
          <w:rFonts w:eastAsia="Times New Roman" w:cstheme="minorHAnsi"/>
          <w:kern w:val="0"/>
          <w:sz w:val="24"/>
          <w:szCs w:val="24"/>
          <w:lang w:eastAsia="hu-HU"/>
          <w14:ligatures w14:val="none"/>
        </w:rPr>
      </w:pPr>
      <w:r w:rsidRPr="00EE672C">
        <w:rPr>
          <w:rFonts w:eastAsia="Times New Roman" w:cstheme="minorHAnsi"/>
          <w:kern w:val="0"/>
          <w:sz w:val="24"/>
          <w:szCs w:val="24"/>
          <w:lang w:eastAsia="hu-HU"/>
          <w14:ligatures w14:val="none"/>
        </w:rPr>
        <w:t>In</w:t>
      </w:r>
      <w:r>
        <w:rPr>
          <w:rFonts w:eastAsia="Times New Roman" w:cstheme="minorHAnsi"/>
          <w:kern w:val="0"/>
          <w:sz w:val="24"/>
          <w:szCs w:val="24"/>
          <w:lang w:eastAsia="hu-HU"/>
          <w14:ligatures w14:val="none"/>
        </w:rPr>
        <w:t>s</w:t>
      </w:r>
      <w:r w:rsidRPr="00EE672C">
        <w:rPr>
          <w:rFonts w:eastAsia="Times New Roman" w:cstheme="minorHAnsi"/>
          <w:kern w:val="0"/>
          <w:sz w:val="24"/>
          <w:szCs w:val="24"/>
          <w:lang w:eastAsia="hu-HU"/>
          <w14:ligatures w14:val="none"/>
        </w:rPr>
        <w:t xml:space="preserve">titutional address: </w:t>
      </w:r>
      <w:proofErr w:type="spellStart"/>
      <w:r w:rsidRPr="00EE672C">
        <w:rPr>
          <w:rFonts w:eastAsia="Times New Roman" w:cstheme="minorHAnsi"/>
          <w:kern w:val="0"/>
          <w:sz w:val="24"/>
          <w:szCs w:val="24"/>
          <w:lang w:eastAsia="hu-HU"/>
          <w14:ligatures w14:val="none"/>
        </w:rPr>
        <w:t>Center</w:t>
      </w:r>
      <w:proofErr w:type="spellEnd"/>
      <w:r w:rsidRPr="00EE672C">
        <w:rPr>
          <w:rFonts w:eastAsia="Times New Roman" w:cstheme="minorHAnsi"/>
          <w:kern w:val="0"/>
          <w:sz w:val="24"/>
          <w:szCs w:val="24"/>
          <w:lang w:eastAsia="hu-HU"/>
          <w14:ligatures w14:val="none"/>
        </w:rPr>
        <w:t xml:space="preserve"> for Health Technology Assessment, Semmelweis University, </w:t>
      </w:r>
      <w:proofErr w:type="spellStart"/>
      <w:r w:rsidRPr="00EE672C">
        <w:rPr>
          <w:rFonts w:eastAsia="Times New Roman" w:cstheme="minorHAnsi"/>
          <w:kern w:val="0"/>
          <w:sz w:val="24"/>
          <w:szCs w:val="24"/>
          <w:lang w:eastAsia="hu-HU"/>
          <w14:ligatures w14:val="none"/>
        </w:rPr>
        <w:t>Üllői</w:t>
      </w:r>
      <w:proofErr w:type="spellEnd"/>
      <w:r w:rsidRPr="00EE672C">
        <w:rPr>
          <w:rFonts w:eastAsia="Times New Roman" w:cstheme="minorHAnsi"/>
          <w:kern w:val="0"/>
          <w:sz w:val="24"/>
          <w:szCs w:val="24"/>
          <w:lang w:eastAsia="hu-HU"/>
          <w14:ligatures w14:val="none"/>
        </w:rPr>
        <w:t xml:space="preserve"> rd. 25, 1085, Budapest, Hungary</w:t>
      </w:r>
    </w:p>
    <w:p w14:paraId="708A7325" w14:textId="77777777" w:rsidR="0069334D" w:rsidRPr="00EE672C" w:rsidRDefault="0069334D" w:rsidP="0069334D">
      <w:pPr>
        <w:shd w:val="clear" w:color="auto" w:fill="FFFFFF"/>
        <w:spacing w:after="0" w:line="240" w:lineRule="auto"/>
        <w:rPr>
          <w:rFonts w:eastAsia="Times New Roman" w:cstheme="minorHAnsi"/>
          <w:kern w:val="0"/>
          <w:sz w:val="24"/>
          <w:szCs w:val="24"/>
          <w:lang w:eastAsia="hu-HU"/>
          <w14:ligatures w14:val="none"/>
        </w:rPr>
      </w:pPr>
      <w:r w:rsidRPr="00EE672C">
        <w:rPr>
          <w:rFonts w:eastAsia="Times New Roman" w:cstheme="minorHAnsi"/>
          <w:kern w:val="0"/>
          <w:sz w:val="24"/>
          <w:szCs w:val="24"/>
          <w:lang w:eastAsia="hu-HU"/>
          <w14:ligatures w14:val="none"/>
        </w:rPr>
        <w:t>Phone: +36 30 568 3652</w:t>
      </w:r>
    </w:p>
    <w:p w14:paraId="0A7037D3" w14:textId="77777777" w:rsidR="0069334D" w:rsidRPr="00EE672C" w:rsidRDefault="0069334D" w:rsidP="0069334D">
      <w:pPr>
        <w:shd w:val="clear" w:color="auto" w:fill="FFFFFF"/>
        <w:spacing w:after="100" w:afterAutospacing="1" w:line="240" w:lineRule="auto"/>
        <w:rPr>
          <w:rFonts w:eastAsia="Times New Roman" w:cstheme="minorHAnsi"/>
          <w:kern w:val="0"/>
          <w:sz w:val="24"/>
          <w:szCs w:val="24"/>
          <w:lang w:eastAsia="hu-HU"/>
          <w14:ligatures w14:val="none"/>
        </w:rPr>
      </w:pPr>
      <w:r w:rsidRPr="00EE672C">
        <w:rPr>
          <w:rFonts w:eastAsia="Times New Roman" w:cstheme="minorHAnsi"/>
          <w:kern w:val="0"/>
          <w:sz w:val="24"/>
          <w:szCs w:val="24"/>
          <w:lang w:eastAsia="hu-HU"/>
          <w14:ligatures w14:val="none"/>
        </w:rPr>
        <w:lastRenderedPageBreak/>
        <w:t>Email:</w:t>
      </w:r>
      <w:r w:rsidRPr="00EE672C">
        <w:rPr>
          <w:sz w:val="24"/>
          <w:szCs w:val="24"/>
        </w:rPr>
        <w:t xml:space="preserve"> </w:t>
      </w:r>
      <w:hyperlink r:id="rId9" w:history="1">
        <w:r w:rsidRPr="00825D70">
          <w:rPr>
            <w:rStyle w:val="Hyperlink"/>
            <w:rFonts w:eastAsia="Times New Roman" w:cstheme="minorHAnsi"/>
            <w:kern w:val="0"/>
            <w:sz w:val="24"/>
            <w:szCs w:val="24"/>
            <w:lang w:eastAsia="hu-HU"/>
            <w14:ligatures w14:val="none"/>
          </w:rPr>
          <w:t>kalo.zoltan@semmelweis.hu</w:t>
        </w:r>
      </w:hyperlink>
      <w:r>
        <w:rPr>
          <w:rFonts w:eastAsia="Times New Roman" w:cstheme="minorHAnsi"/>
          <w:kern w:val="0"/>
          <w:sz w:val="24"/>
          <w:szCs w:val="24"/>
          <w:lang w:eastAsia="hu-HU"/>
          <w14:ligatures w14:val="none"/>
        </w:rPr>
        <w:t xml:space="preserve"> </w:t>
      </w:r>
    </w:p>
    <w:p w14:paraId="0E1A43FD" w14:textId="77777777" w:rsidR="0069334D" w:rsidRPr="00202FF4" w:rsidRDefault="0069334D" w:rsidP="0069334D">
      <w:pPr>
        <w:shd w:val="clear" w:color="auto" w:fill="FFFFFF"/>
        <w:spacing w:before="100" w:beforeAutospacing="1" w:after="120" w:line="240" w:lineRule="auto"/>
        <w:jc w:val="both"/>
        <w:rPr>
          <w:rFonts w:eastAsia="Times New Roman" w:cstheme="minorHAnsi"/>
          <w:b/>
          <w:bCs/>
          <w:kern w:val="0"/>
          <w:sz w:val="24"/>
          <w:szCs w:val="24"/>
          <w:lang w:eastAsia="hu-HU"/>
          <w14:ligatures w14:val="none"/>
        </w:rPr>
      </w:pPr>
      <w:r w:rsidRPr="00202FF4">
        <w:rPr>
          <w:rFonts w:eastAsia="Times New Roman" w:cstheme="minorHAnsi"/>
          <w:b/>
          <w:bCs/>
          <w:kern w:val="0"/>
          <w:sz w:val="24"/>
          <w:szCs w:val="24"/>
          <w:lang w:eastAsia="hu-HU"/>
          <w14:ligatures w14:val="none"/>
        </w:rPr>
        <w:t xml:space="preserve">Emails address of authors: </w:t>
      </w:r>
    </w:p>
    <w:p w14:paraId="20AF0C71"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Pr>
          <w:rFonts w:eastAsia="Times New Roman" w:cstheme="minorHAnsi"/>
          <w:kern w:val="0"/>
          <w:sz w:val="24"/>
          <w:szCs w:val="24"/>
          <w:lang w:eastAsia="hu-HU"/>
          <w14:ligatures w14:val="none"/>
        </w:rPr>
        <w:t>Z</w:t>
      </w:r>
      <w:r w:rsidRPr="0028253E">
        <w:rPr>
          <w:rFonts w:eastAsia="Times New Roman" w:cstheme="minorHAnsi"/>
          <w:kern w:val="0"/>
          <w:sz w:val="24"/>
          <w:szCs w:val="24"/>
          <w:lang w:eastAsia="hu-HU"/>
          <w14:ligatures w14:val="none"/>
        </w:rPr>
        <w:t>olt</w:t>
      </w:r>
      <w:r>
        <w:rPr>
          <w:rFonts w:eastAsia="Times New Roman" w:cstheme="minorHAnsi"/>
          <w:kern w:val="0"/>
          <w:sz w:val="24"/>
          <w:szCs w:val="24"/>
          <w:lang w:eastAsia="hu-HU"/>
          <w14:ligatures w14:val="none"/>
        </w:rPr>
        <w:t>á</w:t>
      </w:r>
      <w:r w:rsidRPr="0028253E">
        <w:rPr>
          <w:rFonts w:eastAsia="Times New Roman" w:cstheme="minorHAnsi"/>
          <w:kern w:val="0"/>
          <w:sz w:val="24"/>
          <w:szCs w:val="24"/>
          <w:lang w:eastAsia="hu-HU"/>
          <w14:ligatures w14:val="none"/>
        </w:rPr>
        <w:t>n Kaló</w:t>
      </w:r>
      <w:r>
        <w:rPr>
          <w:rFonts w:eastAsia="Times New Roman" w:cstheme="minorHAnsi"/>
          <w:kern w:val="0"/>
          <w:sz w:val="24"/>
          <w:szCs w:val="24"/>
          <w:lang w:eastAsia="hu-HU"/>
          <w14:ligatures w14:val="none"/>
        </w:rPr>
        <w:t xml:space="preserve">: </w:t>
      </w:r>
      <w:hyperlink r:id="rId10" w:history="1">
        <w:r w:rsidRPr="00825D70">
          <w:rPr>
            <w:rStyle w:val="Hyperlink"/>
            <w:rFonts w:eastAsia="Times New Roman" w:cstheme="minorHAnsi"/>
            <w:kern w:val="0"/>
            <w:sz w:val="24"/>
            <w:szCs w:val="24"/>
            <w:lang w:eastAsia="hu-HU"/>
            <w14:ligatures w14:val="none"/>
          </w:rPr>
          <w:t>kalo.zoltan@semmelweis.hu</w:t>
        </w:r>
      </w:hyperlink>
      <w:r>
        <w:rPr>
          <w:rFonts w:eastAsia="Times New Roman" w:cstheme="minorHAnsi"/>
          <w:kern w:val="0"/>
          <w:sz w:val="24"/>
          <w:szCs w:val="24"/>
          <w:lang w:eastAsia="hu-HU"/>
          <w14:ligatures w14:val="none"/>
        </w:rPr>
        <w:t xml:space="preserve"> </w:t>
      </w:r>
    </w:p>
    <w:p w14:paraId="767D021F"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Guenka Petrova</w:t>
      </w:r>
      <w:r>
        <w:rPr>
          <w:rFonts w:eastAsia="Times New Roman" w:cstheme="minorHAnsi"/>
          <w:kern w:val="0"/>
          <w:sz w:val="24"/>
          <w:szCs w:val="24"/>
          <w:lang w:eastAsia="hu-HU"/>
          <w14:ligatures w14:val="none"/>
        </w:rPr>
        <w:t>:</w:t>
      </w:r>
      <w:r w:rsidRPr="0028253E">
        <w:rPr>
          <w:rFonts w:eastAsia="Times New Roman" w:cstheme="minorHAnsi"/>
          <w:kern w:val="0"/>
          <w:sz w:val="24"/>
          <w:szCs w:val="24"/>
          <w:lang w:eastAsia="hu-HU"/>
          <w14:ligatures w14:val="none"/>
        </w:rPr>
        <w:t xml:space="preserve"> </w:t>
      </w:r>
      <w:hyperlink r:id="rId11" w:history="1">
        <w:r w:rsidRPr="00825D70">
          <w:rPr>
            <w:rStyle w:val="Hyperlink"/>
            <w:rFonts w:eastAsia="Times New Roman" w:cstheme="minorHAnsi"/>
            <w:kern w:val="0"/>
            <w:sz w:val="24"/>
            <w:szCs w:val="24"/>
            <w:lang w:eastAsia="hu-HU"/>
            <w14:ligatures w14:val="none"/>
          </w:rPr>
          <w:t>guenka.petrova@gmail.com</w:t>
        </w:r>
      </w:hyperlink>
    </w:p>
    <w:p w14:paraId="34C74C82"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Bertalan Németh</w:t>
      </w:r>
      <w:r>
        <w:rPr>
          <w:rFonts w:eastAsia="Times New Roman" w:cstheme="minorHAnsi"/>
          <w:kern w:val="0"/>
          <w:sz w:val="24"/>
          <w:szCs w:val="24"/>
          <w:lang w:eastAsia="hu-HU"/>
          <w14:ligatures w14:val="none"/>
        </w:rPr>
        <w:t xml:space="preserve">: </w:t>
      </w:r>
      <w:hyperlink r:id="rId12" w:history="1">
        <w:r w:rsidRPr="00825D70">
          <w:rPr>
            <w:rStyle w:val="Hyperlink"/>
            <w:rFonts w:eastAsia="Times New Roman" w:cstheme="minorHAnsi"/>
            <w:kern w:val="0"/>
            <w:sz w:val="24"/>
            <w:szCs w:val="24"/>
            <w:lang w:eastAsia="hu-HU"/>
            <w14:ligatures w14:val="none"/>
          </w:rPr>
          <w:t>bertalan.nemeth@syreon.eu</w:t>
        </w:r>
      </w:hyperlink>
    </w:p>
    <w:p w14:paraId="5CCEEAC5"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Petra Došenović Bonča</w:t>
      </w:r>
      <w:r>
        <w:rPr>
          <w:rFonts w:eastAsia="Times New Roman" w:cstheme="minorHAnsi"/>
          <w:kern w:val="0"/>
          <w:sz w:val="24"/>
          <w:szCs w:val="24"/>
          <w:lang w:eastAsia="hu-HU"/>
          <w14:ligatures w14:val="none"/>
        </w:rPr>
        <w:t xml:space="preserve">: </w:t>
      </w:r>
      <w:hyperlink r:id="rId13" w:history="1">
        <w:r w:rsidRPr="00825D70">
          <w:rPr>
            <w:rStyle w:val="Hyperlink"/>
            <w:rFonts w:eastAsia="Times New Roman" w:cstheme="minorHAnsi"/>
            <w:kern w:val="0"/>
            <w:sz w:val="24"/>
            <w:szCs w:val="24"/>
            <w:lang w:eastAsia="hu-HU"/>
            <w14:ligatures w14:val="none"/>
          </w:rPr>
          <w:t>petra.d.bonca@ef.uni-lj.si</w:t>
        </w:r>
      </w:hyperlink>
    </w:p>
    <w:p w14:paraId="091175B7"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Diana Delnoij</w:t>
      </w:r>
      <w:r>
        <w:rPr>
          <w:rFonts w:eastAsia="Times New Roman" w:cstheme="minorHAnsi"/>
          <w:kern w:val="0"/>
          <w:sz w:val="24"/>
          <w:szCs w:val="24"/>
          <w:lang w:eastAsia="hu-HU"/>
          <w14:ligatures w14:val="none"/>
        </w:rPr>
        <w:t xml:space="preserve">: </w:t>
      </w:r>
      <w:hyperlink r:id="rId14" w:history="1">
        <w:r w:rsidRPr="00825D70">
          <w:rPr>
            <w:rStyle w:val="Hyperlink"/>
            <w:rFonts w:eastAsia="Times New Roman" w:cstheme="minorHAnsi"/>
            <w:kern w:val="0"/>
            <w:sz w:val="24"/>
            <w:szCs w:val="24"/>
            <w:lang w:eastAsia="hu-HU"/>
            <w14:ligatures w14:val="none"/>
          </w:rPr>
          <w:t>DDelnoij@zinl.nl</w:t>
        </w:r>
      </w:hyperlink>
    </w:p>
    <w:p w14:paraId="7DDDA167"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Alastair Bennett</w:t>
      </w:r>
      <w:r>
        <w:rPr>
          <w:rFonts w:eastAsia="Times New Roman" w:cstheme="minorHAnsi"/>
          <w:kern w:val="0"/>
          <w:sz w:val="24"/>
          <w:szCs w:val="24"/>
          <w:lang w:eastAsia="hu-HU"/>
          <w14:ligatures w14:val="none"/>
        </w:rPr>
        <w:t xml:space="preserve">: </w:t>
      </w:r>
      <w:hyperlink r:id="rId15" w:history="1">
        <w:r w:rsidRPr="00825D70">
          <w:rPr>
            <w:rStyle w:val="Hyperlink"/>
            <w:rFonts w:eastAsia="Times New Roman" w:cstheme="minorHAnsi"/>
            <w:kern w:val="0"/>
            <w:sz w:val="24"/>
            <w:szCs w:val="24"/>
            <w:lang w:eastAsia="hu-HU"/>
            <w14:ligatures w14:val="none"/>
          </w:rPr>
          <w:t>alastair.bennett@york.ac.uk</w:t>
        </w:r>
      </w:hyperlink>
    </w:p>
    <w:p w14:paraId="3A85E7E7"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Konstantin Tachkov</w:t>
      </w:r>
      <w:r>
        <w:rPr>
          <w:rFonts w:eastAsia="Times New Roman" w:cstheme="minorHAnsi"/>
          <w:kern w:val="0"/>
          <w:sz w:val="24"/>
          <w:szCs w:val="24"/>
          <w:lang w:eastAsia="hu-HU"/>
          <w14:ligatures w14:val="none"/>
        </w:rPr>
        <w:t xml:space="preserve">: </w:t>
      </w:r>
      <w:hyperlink r:id="rId16" w:history="1">
        <w:r w:rsidRPr="00825D70">
          <w:rPr>
            <w:rStyle w:val="Hyperlink"/>
            <w:rFonts w:eastAsia="Times New Roman" w:cstheme="minorHAnsi"/>
            <w:kern w:val="0"/>
            <w:sz w:val="24"/>
            <w:szCs w:val="24"/>
            <w:lang w:eastAsia="hu-HU"/>
            <w14:ligatures w14:val="none"/>
          </w:rPr>
          <w:t>ktashkov@pharmfac.mu-sofia.bg</w:t>
        </w:r>
      </w:hyperlink>
      <w:r>
        <w:rPr>
          <w:rFonts w:eastAsia="Times New Roman" w:cstheme="minorHAnsi"/>
          <w:kern w:val="0"/>
          <w:sz w:val="24"/>
          <w:szCs w:val="24"/>
          <w:lang w:eastAsia="hu-HU"/>
          <w14:ligatures w14:val="none"/>
        </w:rPr>
        <w:t xml:space="preserve"> </w:t>
      </w:r>
    </w:p>
    <w:p w14:paraId="3E1E4995"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Yingying Zhang</w:t>
      </w:r>
      <w:r>
        <w:rPr>
          <w:rFonts w:eastAsia="Times New Roman" w:cstheme="minorHAnsi"/>
          <w:kern w:val="0"/>
          <w:sz w:val="24"/>
          <w:szCs w:val="24"/>
          <w:lang w:eastAsia="hu-HU"/>
          <w14:ligatures w14:val="none"/>
        </w:rPr>
        <w:t xml:space="preserve">: </w:t>
      </w:r>
      <w:hyperlink r:id="rId17" w:history="1">
        <w:r w:rsidRPr="00825D70">
          <w:rPr>
            <w:rStyle w:val="Hyperlink"/>
            <w:rFonts w:eastAsia="Times New Roman" w:cstheme="minorHAnsi"/>
            <w:kern w:val="0"/>
            <w:sz w:val="24"/>
            <w:szCs w:val="24"/>
            <w:lang w:eastAsia="hu-HU"/>
            <w14:ligatures w14:val="none"/>
          </w:rPr>
          <w:t>yingying.zhang@york.ac.uk</w:t>
        </w:r>
      </w:hyperlink>
    </w:p>
    <w:p w14:paraId="2AF9A99A"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Noemi Kreif</w:t>
      </w:r>
      <w:r>
        <w:rPr>
          <w:rFonts w:eastAsia="Times New Roman" w:cstheme="minorHAnsi"/>
          <w:kern w:val="0"/>
          <w:sz w:val="24"/>
          <w:szCs w:val="24"/>
          <w:lang w:eastAsia="hu-HU"/>
          <w14:ligatures w14:val="none"/>
        </w:rPr>
        <w:t xml:space="preserve">: </w:t>
      </w:r>
      <w:hyperlink r:id="rId18" w:history="1">
        <w:r w:rsidRPr="00825D70">
          <w:rPr>
            <w:rStyle w:val="Hyperlink"/>
            <w:rFonts w:eastAsia="Times New Roman" w:cstheme="minorHAnsi"/>
            <w:kern w:val="0"/>
            <w:sz w:val="24"/>
            <w:szCs w:val="24"/>
            <w:lang w:eastAsia="hu-HU"/>
            <w14:ligatures w14:val="none"/>
          </w:rPr>
          <w:t>n.kreif@gmail.com</w:t>
        </w:r>
      </w:hyperlink>
      <w:r>
        <w:rPr>
          <w:rFonts w:eastAsia="Times New Roman" w:cstheme="minorHAnsi"/>
          <w:kern w:val="0"/>
          <w:sz w:val="24"/>
          <w:szCs w:val="24"/>
          <w:lang w:eastAsia="hu-HU"/>
          <w14:ligatures w14:val="none"/>
        </w:rPr>
        <w:t xml:space="preserve"> </w:t>
      </w:r>
    </w:p>
    <w:p w14:paraId="46EC55EE"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Saskia Knies</w:t>
      </w:r>
      <w:r>
        <w:rPr>
          <w:rFonts w:eastAsia="Times New Roman" w:cstheme="minorHAnsi"/>
          <w:kern w:val="0"/>
          <w:sz w:val="24"/>
          <w:szCs w:val="24"/>
          <w:lang w:eastAsia="hu-HU"/>
          <w14:ligatures w14:val="none"/>
        </w:rPr>
        <w:t xml:space="preserve">: </w:t>
      </w:r>
      <w:hyperlink r:id="rId19" w:history="1">
        <w:r w:rsidRPr="00825D70">
          <w:rPr>
            <w:rStyle w:val="Hyperlink"/>
            <w:rFonts w:eastAsia="Times New Roman" w:cstheme="minorHAnsi"/>
            <w:kern w:val="0"/>
            <w:sz w:val="24"/>
            <w:szCs w:val="24"/>
            <w:lang w:eastAsia="hu-HU"/>
            <w14:ligatures w14:val="none"/>
          </w:rPr>
          <w:t>sknies@zinl.nl</w:t>
        </w:r>
      </w:hyperlink>
    </w:p>
    <w:p w14:paraId="73A97542"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Iga Lipska</w:t>
      </w:r>
      <w:r>
        <w:rPr>
          <w:rFonts w:eastAsia="Times New Roman" w:cstheme="minorHAnsi"/>
          <w:kern w:val="0"/>
          <w:sz w:val="24"/>
          <w:szCs w:val="24"/>
          <w:lang w:eastAsia="hu-HU"/>
          <w14:ligatures w14:val="none"/>
        </w:rPr>
        <w:t xml:space="preserve">: </w:t>
      </w:r>
      <w:hyperlink r:id="rId20" w:history="1">
        <w:r w:rsidRPr="00825D70">
          <w:rPr>
            <w:rStyle w:val="Hyperlink"/>
            <w:rFonts w:eastAsia="Times New Roman" w:cstheme="minorHAnsi"/>
            <w:kern w:val="0"/>
            <w:sz w:val="24"/>
            <w:szCs w:val="24"/>
            <w:lang w:eastAsia="hu-HU"/>
            <w14:ligatures w14:val="none"/>
          </w:rPr>
          <w:t>iga.lipska@healthpolicy.institute</w:t>
        </w:r>
      </w:hyperlink>
    </w:p>
    <w:p w14:paraId="47045119"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Tomas Tesar</w:t>
      </w:r>
      <w:r>
        <w:rPr>
          <w:rFonts w:eastAsia="Times New Roman" w:cstheme="minorHAnsi"/>
          <w:kern w:val="0"/>
          <w:sz w:val="24"/>
          <w:szCs w:val="24"/>
          <w:lang w:eastAsia="hu-HU"/>
          <w14:ligatures w14:val="none"/>
        </w:rPr>
        <w:t xml:space="preserve">: </w:t>
      </w:r>
      <w:hyperlink r:id="rId21" w:history="1">
        <w:r w:rsidRPr="00825D70">
          <w:rPr>
            <w:rStyle w:val="Hyperlink"/>
            <w:rFonts w:eastAsia="Times New Roman" w:cstheme="minorHAnsi"/>
            <w:kern w:val="0"/>
            <w:sz w:val="24"/>
            <w:szCs w:val="24"/>
            <w:lang w:eastAsia="hu-HU"/>
            <w14:ligatures w14:val="none"/>
          </w:rPr>
          <w:t>tomas.tesar1@gmail.com</w:t>
        </w:r>
      </w:hyperlink>
    </w:p>
    <w:p w14:paraId="0BA80A1F"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Zornitsa Mitkova</w:t>
      </w:r>
      <w:r>
        <w:rPr>
          <w:rFonts w:eastAsia="Times New Roman" w:cstheme="minorHAnsi"/>
          <w:kern w:val="0"/>
          <w:sz w:val="24"/>
          <w:szCs w:val="24"/>
          <w:lang w:eastAsia="hu-HU"/>
          <w14:ligatures w14:val="none"/>
        </w:rPr>
        <w:t xml:space="preserve">: </w:t>
      </w:r>
      <w:hyperlink r:id="rId22" w:history="1">
        <w:r w:rsidRPr="00825D70">
          <w:rPr>
            <w:rStyle w:val="Hyperlink"/>
            <w:rFonts w:eastAsia="Times New Roman" w:cstheme="minorHAnsi"/>
            <w:kern w:val="0"/>
            <w:sz w:val="24"/>
            <w:szCs w:val="24"/>
            <w:lang w:eastAsia="hu-HU"/>
            <w14:ligatures w14:val="none"/>
          </w:rPr>
          <w:t>zmitkova@pharmfac.mu-sofia.bg</w:t>
        </w:r>
      </w:hyperlink>
    </w:p>
    <w:p w14:paraId="4898F92A"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Johan Ponten</w:t>
      </w:r>
      <w:r>
        <w:rPr>
          <w:rFonts w:eastAsia="Times New Roman" w:cstheme="minorHAnsi"/>
          <w:kern w:val="0"/>
          <w:sz w:val="24"/>
          <w:szCs w:val="24"/>
          <w:lang w:eastAsia="hu-HU"/>
          <w14:ligatures w14:val="none"/>
        </w:rPr>
        <w:t xml:space="preserve">: </w:t>
      </w:r>
      <w:hyperlink r:id="rId23" w:history="1">
        <w:r w:rsidRPr="00825D70">
          <w:rPr>
            <w:rStyle w:val="Hyperlink"/>
            <w:rFonts w:eastAsia="Times New Roman" w:cstheme="minorHAnsi"/>
            <w:kern w:val="0"/>
            <w:sz w:val="24"/>
            <w:szCs w:val="24"/>
            <w:lang w:eastAsia="hu-HU"/>
            <w14:ligatures w14:val="none"/>
          </w:rPr>
          <w:t>johan.ponten@tlv.se</w:t>
        </w:r>
      </w:hyperlink>
    </w:p>
    <w:p w14:paraId="2F9B990D"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Anders Viberg</w:t>
      </w:r>
      <w:r>
        <w:rPr>
          <w:rFonts w:eastAsia="Times New Roman" w:cstheme="minorHAnsi"/>
          <w:kern w:val="0"/>
          <w:sz w:val="24"/>
          <w:szCs w:val="24"/>
          <w:lang w:eastAsia="hu-HU"/>
          <w14:ligatures w14:val="none"/>
        </w:rPr>
        <w:t xml:space="preserve">: </w:t>
      </w:r>
      <w:hyperlink r:id="rId24" w:history="1">
        <w:r w:rsidRPr="00825D70">
          <w:rPr>
            <w:rStyle w:val="Hyperlink"/>
            <w:rFonts w:eastAsia="Times New Roman" w:cstheme="minorHAnsi"/>
            <w:kern w:val="0"/>
            <w:sz w:val="24"/>
            <w:szCs w:val="24"/>
            <w:lang w:eastAsia="hu-HU"/>
            <w14:ligatures w14:val="none"/>
          </w:rPr>
          <w:t>anders.viberg@tlv.se</w:t>
        </w:r>
      </w:hyperlink>
    </w:p>
    <w:p w14:paraId="7F4B4490"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Marian-Sorin Paveliu</w:t>
      </w:r>
      <w:r>
        <w:rPr>
          <w:rFonts w:eastAsia="Times New Roman" w:cstheme="minorHAnsi"/>
          <w:kern w:val="0"/>
          <w:sz w:val="24"/>
          <w:szCs w:val="24"/>
          <w:lang w:eastAsia="hu-HU"/>
          <w14:ligatures w14:val="none"/>
        </w:rPr>
        <w:t xml:space="preserve">: </w:t>
      </w:r>
      <w:hyperlink r:id="rId25" w:history="1">
        <w:r w:rsidRPr="00825D70">
          <w:rPr>
            <w:rStyle w:val="Hyperlink"/>
            <w:rFonts w:eastAsia="Times New Roman" w:cstheme="minorHAnsi"/>
            <w:kern w:val="0"/>
            <w:sz w:val="24"/>
            <w:szCs w:val="24"/>
            <w:lang w:eastAsia="hu-HU"/>
            <w14:ligatures w14:val="none"/>
          </w:rPr>
          <w:t>sorinpaveliu@gmail.com</w:t>
        </w:r>
      </w:hyperlink>
    </w:p>
    <w:p w14:paraId="0592350A"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Oresta Piniazkho</w:t>
      </w:r>
      <w:r>
        <w:rPr>
          <w:rFonts w:eastAsia="Times New Roman" w:cstheme="minorHAnsi"/>
          <w:kern w:val="0"/>
          <w:sz w:val="24"/>
          <w:szCs w:val="24"/>
          <w:lang w:eastAsia="hu-HU"/>
          <w14:ligatures w14:val="none"/>
        </w:rPr>
        <w:t xml:space="preserve">: </w:t>
      </w:r>
      <w:hyperlink r:id="rId26" w:history="1">
        <w:r w:rsidRPr="00825D70">
          <w:rPr>
            <w:rStyle w:val="Hyperlink"/>
            <w:rFonts w:eastAsia="Times New Roman" w:cstheme="minorHAnsi"/>
            <w:kern w:val="0"/>
            <w:sz w:val="24"/>
            <w:szCs w:val="24"/>
            <w:lang w:eastAsia="hu-HU"/>
            <w14:ligatures w14:val="none"/>
          </w:rPr>
          <w:t>orestapb@gmail.com</w:t>
        </w:r>
      </w:hyperlink>
    </w:p>
    <w:p w14:paraId="55096353"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Adina Turcu-</w:t>
      </w:r>
      <w:proofErr w:type="spellStart"/>
      <w:r w:rsidRPr="0028253E">
        <w:rPr>
          <w:rFonts w:eastAsia="Times New Roman" w:cstheme="minorHAnsi"/>
          <w:kern w:val="0"/>
          <w:sz w:val="24"/>
          <w:szCs w:val="24"/>
          <w:lang w:eastAsia="hu-HU"/>
          <w14:ligatures w14:val="none"/>
        </w:rPr>
        <w:t>Stiolica</w:t>
      </w:r>
      <w:proofErr w:type="spellEnd"/>
      <w:r>
        <w:rPr>
          <w:rFonts w:eastAsia="Times New Roman" w:cstheme="minorHAnsi"/>
          <w:kern w:val="0"/>
          <w:sz w:val="24"/>
          <w:szCs w:val="24"/>
          <w:lang w:eastAsia="hu-HU"/>
          <w14:ligatures w14:val="none"/>
        </w:rPr>
        <w:t xml:space="preserve">: </w:t>
      </w:r>
      <w:hyperlink r:id="rId27" w:history="1">
        <w:r w:rsidRPr="00825D70">
          <w:rPr>
            <w:rStyle w:val="Hyperlink"/>
            <w:rFonts w:eastAsia="Times New Roman" w:cstheme="minorHAnsi"/>
            <w:kern w:val="0"/>
            <w:sz w:val="24"/>
            <w:szCs w:val="24"/>
            <w:lang w:eastAsia="hu-HU"/>
            <w14:ligatures w14:val="none"/>
          </w:rPr>
          <w:t>adina.turcu@gmail.com</w:t>
        </w:r>
      </w:hyperlink>
    </w:p>
    <w:p w14:paraId="643444D0"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A9152B">
        <w:rPr>
          <w:rFonts w:eastAsia="Times New Roman" w:cstheme="minorHAnsi"/>
          <w:kern w:val="0"/>
          <w:sz w:val="24"/>
          <w:szCs w:val="24"/>
          <w:lang w:eastAsia="hu-HU"/>
          <w14:ligatures w14:val="none"/>
        </w:rPr>
        <w:t>Tomáš Doležal</w:t>
      </w:r>
      <w:r>
        <w:rPr>
          <w:rFonts w:eastAsia="Times New Roman" w:cstheme="minorHAnsi"/>
          <w:kern w:val="0"/>
          <w:sz w:val="24"/>
          <w:szCs w:val="24"/>
          <w:lang w:eastAsia="hu-HU"/>
          <w14:ligatures w14:val="none"/>
        </w:rPr>
        <w:t xml:space="preserve">: </w:t>
      </w:r>
      <w:hyperlink r:id="rId28" w:history="1">
        <w:r w:rsidRPr="00825D70">
          <w:rPr>
            <w:rStyle w:val="Hyperlink"/>
            <w:rFonts w:eastAsia="Times New Roman" w:cstheme="minorHAnsi"/>
            <w:kern w:val="0"/>
            <w:sz w:val="24"/>
            <w:szCs w:val="24"/>
            <w:lang w:eastAsia="hu-HU"/>
            <w14:ligatures w14:val="none"/>
          </w:rPr>
          <w:t>dolezal@iheta.org</w:t>
        </w:r>
      </w:hyperlink>
    </w:p>
    <w:p w14:paraId="4440BB5A"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Michal Staňák</w:t>
      </w:r>
      <w:r>
        <w:rPr>
          <w:rFonts w:eastAsia="Times New Roman" w:cstheme="minorHAnsi"/>
          <w:kern w:val="0"/>
          <w:sz w:val="24"/>
          <w:szCs w:val="24"/>
          <w:lang w:eastAsia="hu-HU"/>
          <w14:ligatures w14:val="none"/>
        </w:rPr>
        <w:t xml:space="preserve">: </w:t>
      </w:r>
      <w:hyperlink r:id="rId29" w:history="1">
        <w:r w:rsidRPr="00825D70">
          <w:rPr>
            <w:rStyle w:val="Hyperlink"/>
            <w:rFonts w:eastAsia="Times New Roman" w:cstheme="minorHAnsi"/>
            <w:kern w:val="0"/>
            <w:sz w:val="24"/>
            <w:szCs w:val="24"/>
            <w:lang w:eastAsia="hu-HU"/>
            <w14:ligatures w14:val="none"/>
          </w:rPr>
          <w:t>michal.stanak@niho.sk</w:t>
        </w:r>
      </w:hyperlink>
    </w:p>
    <w:p w14:paraId="026032BB"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Alima Almadiyeva</w:t>
      </w:r>
      <w:r>
        <w:rPr>
          <w:rFonts w:eastAsia="Times New Roman" w:cstheme="minorHAnsi"/>
          <w:kern w:val="0"/>
          <w:sz w:val="24"/>
          <w:szCs w:val="24"/>
          <w:lang w:eastAsia="hu-HU"/>
          <w14:ligatures w14:val="none"/>
        </w:rPr>
        <w:t xml:space="preserve">: </w:t>
      </w:r>
      <w:hyperlink r:id="rId30" w:history="1">
        <w:r w:rsidRPr="00825D70">
          <w:rPr>
            <w:rStyle w:val="Hyperlink"/>
            <w:rFonts w:eastAsia="Times New Roman" w:cstheme="minorHAnsi"/>
            <w:kern w:val="0"/>
            <w:sz w:val="24"/>
            <w:szCs w:val="24"/>
            <w:lang w:eastAsia="hu-HU"/>
            <w14:ligatures w14:val="none"/>
          </w:rPr>
          <w:t>alima.almadi@gmail.com</w:t>
        </w:r>
      </w:hyperlink>
    </w:p>
    <w:p w14:paraId="3F86EAE7"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Rok Hren</w:t>
      </w:r>
      <w:r>
        <w:rPr>
          <w:rFonts w:eastAsia="Times New Roman" w:cstheme="minorHAnsi"/>
          <w:kern w:val="0"/>
          <w:sz w:val="24"/>
          <w:szCs w:val="24"/>
          <w:lang w:eastAsia="hu-HU"/>
          <w14:ligatures w14:val="none"/>
        </w:rPr>
        <w:t xml:space="preserve">: </w:t>
      </w:r>
      <w:hyperlink r:id="rId31" w:history="1">
        <w:r w:rsidRPr="00825D70">
          <w:rPr>
            <w:rStyle w:val="Hyperlink"/>
            <w:rFonts w:eastAsia="Times New Roman" w:cstheme="minorHAnsi"/>
            <w:kern w:val="0"/>
            <w:sz w:val="24"/>
            <w:szCs w:val="24"/>
            <w:lang w:eastAsia="hu-HU"/>
            <w14:ligatures w14:val="none"/>
          </w:rPr>
          <w:t>rok_hren@yahoo.com</w:t>
        </w:r>
      </w:hyperlink>
    </w:p>
    <w:p w14:paraId="35EE77E3"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Dinko Vitezić</w:t>
      </w:r>
      <w:r>
        <w:rPr>
          <w:rFonts w:eastAsia="Times New Roman" w:cstheme="minorHAnsi"/>
          <w:kern w:val="0"/>
          <w:sz w:val="24"/>
          <w:szCs w:val="24"/>
          <w:lang w:eastAsia="hu-HU"/>
          <w14:ligatures w14:val="none"/>
        </w:rPr>
        <w:t xml:space="preserve">: </w:t>
      </w:r>
      <w:hyperlink r:id="rId32" w:history="1">
        <w:r w:rsidRPr="00825D70">
          <w:rPr>
            <w:rStyle w:val="Hyperlink"/>
            <w:rFonts w:eastAsia="Times New Roman" w:cstheme="minorHAnsi"/>
            <w:kern w:val="0"/>
            <w:sz w:val="24"/>
            <w:szCs w:val="24"/>
            <w:lang w:eastAsia="hu-HU"/>
            <w14:ligatures w14:val="none"/>
          </w:rPr>
          <w:t>dinko.vitezic@medri.uniri.hr</w:t>
        </w:r>
      </w:hyperlink>
    </w:p>
    <w:p w14:paraId="187A1363"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Zsuzsanna Petykó</w:t>
      </w:r>
      <w:r>
        <w:rPr>
          <w:rFonts w:eastAsia="Times New Roman" w:cstheme="minorHAnsi"/>
          <w:kern w:val="0"/>
          <w:sz w:val="24"/>
          <w:szCs w:val="24"/>
          <w:lang w:eastAsia="hu-HU"/>
          <w14:ligatures w14:val="none"/>
        </w:rPr>
        <w:t xml:space="preserve">: </w:t>
      </w:r>
      <w:hyperlink r:id="rId33" w:history="1">
        <w:r w:rsidRPr="00825D70">
          <w:rPr>
            <w:rStyle w:val="Hyperlink"/>
            <w:rFonts w:eastAsia="Times New Roman" w:cstheme="minorHAnsi"/>
            <w:kern w:val="0"/>
            <w:sz w:val="24"/>
            <w:szCs w:val="24"/>
            <w:lang w:eastAsia="hu-HU"/>
            <w14:ligatures w14:val="none"/>
          </w:rPr>
          <w:t>zsuzsanna.petyko@syreon.eu</w:t>
        </w:r>
      </w:hyperlink>
    </w:p>
    <w:p w14:paraId="1E46813A"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Wim Goettsch</w:t>
      </w:r>
      <w:r>
        <w:rPr>
          <w:rFonts w:eastAsia="Times New Roman" w:cstheme="minorHAnsi"/>
          <w:kern w:val="0"/>
          <w:sz w:val="24"/>
          <w:szCs w:val="24"/>
          <w:lang w:eastAsia="hu-HU"/>
          <w14:ligatures w14:val="none"/>
        </w:rPr>
        <w:t xml:space="preserve">: </w:t>
      </w:r>
      <w:hyperlink r:id="rId34" w:history="1">
        <w:r w:rsidRPr="00825D70">
          <w:rPr>
            <w:rStyle w:val="Hyperlink"/>
            <w:rFonts w:eastAsia="Times New Roman" w:cstheme="minorHAnsi"/>
            <w:kern w:val="0"/>
            <w:sz w:val="24"/>
            <w:szCs w:val="24"/>
            <w:lang w:eastAsia="hu-HU"/>
            <w14:ligatures w14:val="none"/>
          </w:rPr>
          <w:t>W.G.Goettsch@uu.nl</w:t>
        </w:r>
      </w:hyperlink>
    </w:p>
    <w:p w14:paraId="11D853C2" w14:textId="77777777" w:rsidR="0069334D" w:rsidRDefault="0069334D" w:rsidP="0069334D">
      <w:pPr>
        <w:shd w:val="clear" w:color="auto" w:fill="FFFFFF"/>
        <w:spacing w:after="0" w:line="240" w:lineRule="auto"/>
        <w:jc w:val="both"/>
        <w:rPr>
          <w:rFonts w:eastAsia="Times New Roman" w:cstheme="minorHAnsi"/>
          <w:kern w:val="0"/>
          <w:sz w:val="24"/>
          <w:szCs w:val="24"/>
          <w:lang w:eastAsia="hu-HU"/>
          <w14:ligatures w14:val="none"/>
        </w:rPr>
      </w:pPr>
      <w:r w:rsidRPr="0028253E">
        <w:rPr>
          <w:rFonts w:eastAsia="Times New Roman" w:cstheme="minorHAnsi"/>
          <w:kern w:val="0"/>
          <w:sz w:val="24"/>
          <w:szCs w:val="24"/>
          <w:lang w:eastAsia="hu-HU"/>
          <w14:ligatures w14:val="none"/>
        </w:rPr>
        <w:t>Andrea Manca</w:t>
      </w:r>
      <w:r>
        <w:rPr>
          <w:rFonts w:eastAsia="Times New Roman" w:cstheme="minorHAnsi"/>
          <w:kern w:val="0"/>
          <w:sz w:val="24"/>
          <w:szCs w:val="24"/>
          <w:lang w:eastAsia="hu-HU"/>
          <w14:ligatures w14:val="none"/>
        </w:rPr>
        <w:t xml:space="preserve">: </w:t>
      </w:r>
      <w:hyperlink r:id="rId35" w:history="1">
        <w:r w:rsidRPr="00825D70">
          <w:rPr>
            <w:rStyle w:val="Hyperlink"/>
            <w:rFonts w:eastAsia="Times New Roman" w:cstheme="minorHAnsi"/>
            <w:kern w:val="0"/>
            <w:sz w:val="24"/>
            <w:szCs w:val="24"/>
            <w:lang w:eastAsia="hu-HU"/>
            <w14:ligatures w14:val="none"/>
          </w:rPr>
          <w:t>andrea.manca@york.ac.uk</w:t>
        </w:r>
      </w:hyperlink>
      <w:r>
        <w:rPr>
          <w:rFonts w:eastAsia="Times New Roman" w:cstheme="minorHAnsi"/>
          <w:kern w:val="0"/>
          <w:sz w:val="24"/>
          <w:szCs w:val="24"/>
          <w:lang w:eastAsia="hu-HU"/>
          <w14:ligatures w14:val="none"/>
        </w:rPr>
        <w:t xml:space="preserve"> </w:t>
      </w:r>
    </w:p>
    <w:p w14:paraId="3311EA1B" w14:textId="77777777" w:rsidR="0069334D" w:rsidRDefault="0069334D" w:rsidP="0069334D">
      <w:pPr>
        <w:shd w:val="clear" w:color="auto" w:fill="FFFFFF"/>
        <w:spacing w:before="100" w:beforeAutospacing="1" w:after="100" w:afterAutospacing="1" w:line="240" w:lineRule="auto"/>
        <w:jc w:val="both"/>
        <w:rPr>
          <w:rFonts w:eastAsia="Times New Roman" w:cstheme="minorHAnsi"/>
          <w:kern w:val="0"/>
          <w:sz w:val="24"/>
          <w:szCs w:val="24"/>
          <w:lang w:eastAsia="hu-HU"/>
          <w14:ligatures w14:val="none"/>
        </w:rPr>
      </w:pPr>
      <w:r w:rsidRPr="00202FF4">
        <w:rPr>
          <w:rFonts w:eastAsia="Times New Roman" w:cstheme="minorHAnsi"/>
          <w:b/>
          <w:bCs/>
          <w:kern w:val="0"/>
          <w:sz w:val="24"/>
          <w:szCs w:val="24"/>
          <w:lang w:eastAsia="hu-HU"/>
          <w14:ligatures w14:val="none"/>
        </w:rPr>
        <w:t>Author contributions</w:t>
      </w:r>
      <w:r w:rsidRPr="00EE672C">
        <w:rPr>
          <w:rFonts w:eastAsia="Times New Roman" w:cstheme="minorHAnsi"/>
          <w:kern w:val="0"/>
          <w:sz w:val="24"/>
          <w:szCs w:val="24"/>
          <w:lang w:eastAsia="hu-HU"/>
          <w14:ligatures w14:val="none"/>
        </w:rPr>
        <w:t xml:space="preserve"> </w:t>
      </w:r>
    </w:p>
    <w:p w14:paraId="514EE33A" w14:textId="1D83302D" w:rsidR="0069334D" w:rsidRDefault="0069334D" w:rsidP="0069334D">
      <w:pPr>
        <w:shd w:val="clear" w:color="auto" w:fill="FFFFFF"/>
        <w:spacing w:after="100" w:afterAutospacing="1" w:line="240" w:lineRule="auto"/>
        <w:jc w:val="both"/>
        <w:rPr>
          <w:rFonts w:eastAsia="Times New Roman" w:cstheme="minorHAnsi"/>
          <w:kern w:val="0"/>
          <w:sz w:val="24"/>
          <w:szCs w:val="24"/>
          <w:lang w:val="hu-HU" w:eastAsia="hu-HU"/>
          <w14:ligatures w14:val="none"/>
        </w:rPr>
      </w:pPr>
      <w:r w:rsidRPr="00EE672C">
        <w:rPr>
          <w:rFonts w:eastAsia="Times New Roman" w:cstheme="minorHAnsi"/>
          <w:kern w:val="0"/>
          <w:sz w:val="24"/>
          <w:szCs w:val="24"/>
          <w:lang w:eastAsia="hu-HU"/>
          <w14:ligatures w14:val="none"/>
        </w:rPr>
        <w:t>Zolt</w:t>
      </w:r>
      <w:r w:rsidR="0052326A">
        <w:rPr>
          <w:rFonts w:eastAsia="Times New Roman" w:cstheme="minorHAnsi"/>
          <w:kern w:val="0"/>
          <w:sz w:val="24"/>
          <w:szCs w:val="24"/>
          <w:lang w:eastAsia="hu-HU"/>
          <w14:ligatures w14:val="none"/>
        </w:rPr>
        <w:t>á</w:t>
      </w:r>
      <w:r w:rsidRPr="00EE672C">
        <w:rPr>
          <w:rFonts w:eastAsia="Times New Roman" w:cstheme="minorHAnsi"/>
          <w:kern w:val="0"/>
          <w:sz w:val="24"/>
          <w:szCs w:val="24"/>
          <w:lang w:eastAsia="hu-HU"/>
          <w14:ligatures w14:val="none"/>
        </w:rPr>
        <w:t xml:space="preserve">n Kaló, Guenka Petrova, Bertalan Németh and Andrea Manca designed and coordinated the MDS transferability study and prepared the draft manuscript. Wim Goettsch coordinated the </w:t>
      </w:r>
      <w:proofErr w:type="spellStart"/>
      <w:r w:rsidRPr="00EE672C">
        <w:rPr>
          <w:rFonts w:eastAsia="Times New Roman" w:cstheme="minorHAnsi"/>
          <w:kern w:val="0"/>
          <w:sz w:val="24"/>
          <w:szCs w:val="24"/>
          <w:lang w:eastAsia="hu-HU"/>
          <w14:ligatures w14:val="none"/>
        </w:rPr>
        <w:t>HTx</w:t>
      </w:r>
      <w:proofErr w:type="spellEnd"/>
      <w:r w:rsidRPr="00EE672C">
        <w:rPr>
          <w:rFonts w:eastAsia="Times New Roman" w:cstheme="minorHAnsi"/>
          <w:kern w:val="0"/>
          <w:sz w:val="24"/>
          <w:szCs w:val="24"/>
          <w:lang w:eastAsia="hu-HU"/>
          <w14:ligatures w14:val="none"/>
        </w:rPr>
        <w:t xml:space="preserve"> H2020 project and contributed to each step of the MDS transferability study implementation together with Diana Delnoij, Alastair Bennett, Konstantin Tachkov, Yingying Zhang, Saskia Knies, Zornitsa Mitkova, Johan Ponten, Anders Viberg and Zsuzsanna Petykó. Petra Došenović Bonča, Iga Lipska, Tomas Tesar, Marian-Sorin Paveliu, Oresta </w:t>
      </w:r>
      <w:proofErr w:type="spellStart"/>
      <w:r w:rsidRPr="00EE672C">
        <w:rPr>
          <w:rFonts w:eastAsia="Times New Roman" w:cstheme="minorHAnsi"/>
          <w:kern w:val="0"/>
          <w:sz w:val="24"/>
          <w:szCs w:val="24"/>
          <w:lang w:eastAsia="hu-HU"/>
          <w14:ligatures w14:val="none"/>
        </w:rPr>
        <w:t>Piniazkho</w:t>
      </w:r>
      <w:proofErr w:type="spellEnd"/>
      <w:r w:rsidRPr="00EE672C">
        <w:rPr>
          <w:rFonts w:eastAsia="Times New Roman" w:cstheme="minorHAnsi"/>
          <w:kern w:val="0"/>
          <w:sz w:val="24"/>
          <w:szCs w:val="24"/>
          <w:lang w:eastAsia="hu-HU"/>
          <w14:ligatures w14:val="none"/>
        </w:rPr>
        <w:t>, Adina Turcu</w:t>
      </w:r>
      <w:r w:rsidR="0002567E">
        <w:rPr>
          <w:rFonts w:eastAsia="Times New Roman" w:cstheme="minorHAnsi"/>
          <w:kern w:val="0"/>
          <w:sz w:val="24"/>
          <w:szCs w:val="24"/>
          <w:lang w:eastAsia="hu-HU"/>
          <w14:ligatures w14:val="none"/>
        </w:rPr>
        <w:t>-</w:t>
      </w:r>
      <w:proofErr w:type="spellStart"/>
      <w:r w:rsidR="0002567E">
        <w:rPr>
          <w:rFonts w:eastAsia="Times New Roman" w:cstheme="minorHAnsi"/>
          <w:kern w:val="0"/>
          <w:sz w:val="24"/>
          <w:szCs w:val="24"/>
          <w:lang w:eastAsia="hu-HU"/>
          <w14:ligatures w14:val="none"/>
        </w:rPr>
        <w:t>Stiolica</w:t>
      </w:r>
      <w:proofErr w:type="spellEnd"/>
      <w:r w:rsidRPr="00EE672C">
        <w:rPr>
          <w:rFonts w:eastAsia="Times New Roman" w:cstheme="minorHAnsi"/>
          <w:kern w:val="0"/>
          <w:sz w:val="24"/>
          <w:szCs w:val="24"/>
          <w:lang w:eastAsia="hu-HU"/>
          <w14:ligatures w14:val="none"/>
        </w:rPr>
        <w:t xml:space="preserve">, </w:t>
      </w:r>
      <w:r w:rsidR="0052326A" w:rsidRPr="0052326A">
        <w:rPr>
          <w:rFonts w:eastAsia="Times New Roman" w:cstheme="minorHAnsi"/>
          <w:kern w:val="0"/>
          <w:sz w:val="24"/>
          <w:szCs w:val="24"/>
          <w:lang w:eastAsia="hu-HU"/>
          <w14:ligatures w14:val="none"/>
        </w:rPr>
        <w:t>Tomáš</w:t>
      </w:r>
      <w:r w:rsidRPr="00EE672C">
        <w:rPr>
          <w:rFonts w:eastAsia="Times New Roman" w:cstheme="minorHAnsi"/>
          <w:kern w:val="0"/>
          <w:sz w:val="24"/>
          <w:szCs w:val="24"/>
          <w:lang w:eastAsia="hu-HU"/>
          <w14:ligatures w14:val="none"/>
        </w:rPr>
        <w:t xml:space="preserve"> Dole</w:t>
      </w:r>
      <w:r w:rsidR="00B059B4" w:rsidRPr="00A9152B">
        <w:rPr>
          <w:rFonts w:eastAsia="Times New Roman" w:cstheme="minorHAnsi"/>
          <w:kern w:val="0"/>
          <w:sz w:val="24"/>
          <w:szCs w:val="24"/>
          <w:lang w:val="hu-HU" w:eastAsia="hu-HU"/>
          <w14:ligatures w14:val="none"/>
        </w:rPr>
        <w:t>ž</w:t>
      </w:r>
      <w:r w:rsidRPr="00EE672C">
        <w:rPr>
          <w:rFonts w:eastAsia="Times New Roman" w:cstheme="minorHAnsi"/>
          <w:kern w:val="0"/>
          <w:sz w:val="24"/>
          <w:szCs w:val="24"/>
          <w:lang w:eastAsia="hu-HU"/>
          <w14:ligatures w14:val="none"/>
        </w:rPr>
        <w:t>al, Michal Staňák, Alima Almadi</w:t>
      </w:r>
      <w:r w:rsidR="0002567E">
        <w:rPr>
          <w:rFonts w:eastAsia="Times New Roman" w:cstheme="minorHAnsi"/>
          <w:kern w:val="0"/>
          <w:sz w:val="24"/>
          <w:szCs w:val="24"/>
          <w:lang w:eastAsia="hu-HU"/>
          <w14:ligatures w14:val="none"/>
        </w:rPr>
        <w:t>yeva</w:t>
      </w:r>
      <w:r w:rsidRPr="00EE672C">
        <w:rPr>
          <w:rFonts w:eastAsia="Times New Roman" w:cstheme="minorHAnsi"/>
          <w:kern w:val="0"/>
          <w:sz w:val="24"/>
          <w:szCs w:val="24"/>
          <w:lang w:eastAsia="hu-HU"/>
          <w14:ligatures w14:val="none"/>
        </w:rPr>
        <w:t>, Rok Hren and Dinko Vitezić made significant contribution to the transferability workshop. All coauthors reviewed and approved the final manuscript.</w:t>
      </w:r>
      <w:r>
        <w:rPr>
          <w:rFonts w:eastAsia="Times New Roman" w:cstheme="minorHAnsi"/>
          <w:kern w:val="0"/>
          <w:sz w:val="24"/>
          <w:szCs w:val="24"/>
          <w:lang w:val="hu-HU" w:eastAsia="hu-HU"/>
          <w14:ligatures w14:val="none"/>
        </w:rPr>
        <w:t xml:space="preserve"> </w:t>
      </w:r>
    </w:p>
    <w:p w14:paraId="5A70049B" w14:textId="77777777" w:rsidR="0069334D" w:rsidRPr="0040572D" w:rsidRDefault="0069334D" w:rsidP="0069334D">
      <w:pPr>
        <w:spacing w:after="0" w:line="240" w:lineRule="auto"/>
        <w:ind w:left="360"/>
        <w:jc w:val="both"/>
        <w:rPr>
          <w:rFonts w:cstheme="minorHAnsi"/>
          <w:sz w:val="24"/>
          <w:szCs w:val="24"/>
          <w:lang w:val="en-US"/>
        </w:rPr>
      </w:pPr>
      <w:r w:rsidRPr="0040572D">
        <w:rPr>
          <w:rFonts w:cstheme="minorHAnsi"/>
          <w:sz w:val="24"/>
          <w:szCs w:val="24"/>
          <w:lang w:val="en-US"/>
        </w:rPr>
        <w:t>Abstract word count</w:t>
      </w:r>
      <w:r>
        <w:rPr>
          <w:rFonts w:cstheme="minorHAnsi"/>
          <w:sz w:val="24"/>
          <w:szCs w:val="24"/>
          <w:lang w:val="en-US"/>
        </w:rPr>
        <w:t>: 342</w:t>
      </w:r>
    </w:p>
    <w:p w14:paraId="166D94AA" w14:textId="6FCE6B78" w:rsidR="0069334D" w:rsidRPr="0040572D" w:rsidRDefault="0069334D" w:rsidP="0069334D">
      <w:pPr>
        <w:spacing w:after="0" w:line="240" w:lineRule="auto"/>
        <w:ind w:left="360"/>
        <w:jc w:val="both"/>
        <w:rPr>
          <w:rFonts w:cstheme="minorHAnsi"/>
          <w:sz w:val="24"/>
          <w:szCs w:val="24"/>
          <w:lang w:val="en-US"/>
        </w:rPr>
      </w:pPr>
      <w:r w:rsidRPr="0040572D">
        <w:rPr>
          <w:rFonts w:cstheme="minorHAnsi"/>
          <w:sz w:val="24"/>
          <w:szCs w:val="24"/>
          <w:lang w:val="en-US"/>
        </w:rPr>
        <w:t>Manuscript word count</w:t>
      </w:r>
      <w:r>
        <w:rPr>
          <w:rFonts w:cstheme="minorHAnsi"/>
          <w:sz w:val="24"/>
          <w:szCs w:val="24"/>
          <w:lang w:val="en-US"/>
        </w:rPr>
        <w:t>: 3</w:t>
      </w:r>
      <w:r w:rsidR="0052326A">
        <w:rPr>
          <w:rFonts w:cstheme="minorHAnsi"/>
          <w:sz w:val="24"/>
          <w:szCs w:val="24"/>
          <w:lang w:val="en-US"/>
        </w:rPr>
        <w:t>497</w:t>
      </w:r>
    </w:p>
    <w:p w14:paraId="04ECF5E2" w14:textId="5CFDD6AC" w:rsidR="0069334D" w:rsidRPr="0040572D" w:rsidRDefault="0069334D" w:rsidP="0069334D">
      <w:pPr>
        <w:spacing w:after="0" w:line="240" w:lineRule="auto"/>
        <w:ind w:left="360"/>
        <w:jc w:val="both"/>
        <w:rPr>
          <w:rFonts w:cstheme="minorHAnsi"/>
          <w:sz w:val="24"/>
          <w:szCs w:val="24"/>
          <w:lang w:val="en-US"/>
        </w:rPr>
      </w:pPr>
      <w:r w:rsidRPr="0040572D">
        <w:rPr>
          <w:rFonts w:cstheme="minorHAnsi"/>
          <w:sz w:val="24"/>
          <w:szCs w:val="24"/>
          <w:lang w:val="en-US"/>
        </w:rPr>
        <w:t>Number of references</w:t>
      </w:r>
      <w:r>
        <w:rPr>
          <w:rFonts w:cstheme="minorHAnsi"/>
          <w:sz w:val="24"/>
          <w:szCs w:val="24"/>
          <w:lang w:val="en-US"/>
        </w:rPr>
        <w:t>: 1</w:t>
      </w:r>
      <w:r w:rsidR="0052326A">
        <w:rPr>
          <w:rFonts w:cstheme="minorHAnsi"/>
          <w:sz w:val="24"/>
          <w:szCs w:val="24"/>
          <w:lang w:val="en-US"/>
        </w:rPr>
        <w:t>8</w:t>
      </w:r>
    </w:p>
    <w:p w14:paraId="11A19474" w14:textId="77777777" w:rsidR="0069334D" w:rsidRDefault="0069334D" w:rsidP="0069334D">
      <w:pPr>
        <w:spacing w:after="0" w:line="240" w:lineRule="auto"/>
        <w:ind w:left="360"/>
        <w:jc w:val="both"/>
        <w:rPr>
          <w:rFonts w:cstheme="minorHAnsi"/>
          <w:sz w:val="24"/>
          <w:szCs w:val="24"/>
          <w:lang w:val="en-US"/>
        </w:rPr>
      </w:pPr>
      <w:r w:rsidRPr="0040572D">
        <w:rPr>
          <w:rFonts w:cstheme="minorHAnsi"/>
          <w:sz w:val="24"/>
          <w:szCs w:val="24"/>
          <w:lang w:val="en-US"/>
        </w:rPr>
        <w:t>Number of figures</w:t>
      </w:r>
      <w:r>
        <w:rPr>
          <w:rFonts w:cstheme="minorHAnsi"/>
          <w:sz w:val="24"/>
          <w:szCs w:val="24"/>
          <w:lang w:val="en-US"/>
        </w:rPr>
        <w:t>: 1</w:t>
      </w:r>
    </w:p>
    <w:p w14:paraId="7EC8E633" w14:textId="77777777" w:rsidR="0069334D" w:rsidRPr="0040572D" w:rsidRDefault="0069334D" w:rsidP="0069334D">
      <w:pPr>
        <w:spacing w:after="0" w:line="240" w:lineRule="auto"/>
        <w:ind w:left="360"/>
        <w:jc w:val="both"/>
        <w:rPr>
          <w:rFonts w:cstheme="minorHAnsi"/>
          <w:sz w:val="24"/>
          <w:szCs w:val="24"/>
          <w:lang w:val="en-US"/>
        </w:rPr>
      </w:pPr>
      <w:r>
        <w:rPr>
          <w:rFonts w:cstheme="minorHAnsi"/>
          <w:sz w:val="24"/>
          <w:szCs w:val="24"/>
          <w:lang w:val="en-US"/>
        </w:rPr>
        <w:t xml:space="preserve">Number of </w:t>
      </w:r>
      <w:r w:rsidRPr="0040572D">
        <w:rPr>
          <w:rFonts w:cstheme="minorHAnsi"/>
          <w:sz w:val="24"/>
          <w:szCs w:val="24"/>
          <w:lang w:val="en-US"/>
        </w:rPr>
        <w:t>tables</w:t>
      </w:r>
      <w:r>
        <w:rPr>
          <w:rFonts w:cstheme="minorHAnsi"/>
          <w:sz w:val="24"/>
          <w:szCs w:val="24"/>
          <w:lang w:val="en-US"/>
        </w:rPr>
        <w:t>: 2</w:t>
      </w:r>
    </w:p>
    <w:p w14:paraId="7C343E57" w14:textId="77777777" w:rsidR="0069334D" w:rsidRDefault="0069334D" w:rsidP="0069334D">
      <w:pPr>
        <w:spacing w:line="240" w:lineRule="auto"/>
        <w:jc w:val="both"/>
        <w:rPr>
          <w:rFonts w:cstheme="minorHAnsi"/>
          <w:b/>
          <w:bCs/>
          <w:sz w:val="24"/>
          <w:szCs w:val="24"/>
          <w:lang w:val="en-US"/>
        </w:rPr>
      </w:pPr>
    </w:p>
    <w:p w14:paraId="7B488DB5" w14:textId="77777777" w:rsidR="0069334D" w:rsidRDefault="0069334D" w:rsidP="0069334D">
      <w:pPr>
        <w:spacing w:line="240" w:lineRule="auto"/>
        <w:jc w:val="both"/>
        <w:rPr>
          <w:rFonts w:cstheme="minorHAnsi"/>
          <w:b/>
          <w:bCs/>
          <w:sz w:val="24"/>
          <w:szCs w:val="24"/>
          <w:lang w:val="en-US"/>
        </w:rPr>
      </w:pPr>
    </w:p>
    <w:p w14:paraId="29714D92" w14:textId="77777777" w:rsidR="0069334D" w:rsidRPr="005A2B57" w:rsidRDefault="0069334D" w:rsidP="0069334D">
      <w:pPr>
        <w:spacing w:line="240" w:lineRule="auto"/>
        <w:jc w:val="both"/>
        <w:rPr>
          <w:rFonts w:cstheme="minorHAnsi"/>
          <w:b/>
          <w:bCs/>
          <w:sz w:val="24"/>
          <w:szCs w:val="24"/>
          <w:lang w:val="en-US"/>
        </w:rPr>
      </w:pPr>
      <w:r w:rsidRPr="005A2B57">
        <w:rPr>
          <w:rFonts w:cstheme="minorHAnsi"/>
          <w:b/>
          <w:bCs/>
          <w:sz w:val="24"/>
          <w:szCs w:val="24"/>
          <w:lang w:val="en-US"/>
        </w:rPr>
        <w:t>Novelty Statement</w:t>
      </w:r>
      <w:r>
        <w:rPr>
          <w:rFonts w:cstheme="minorHAnsi"/>
          <w:b/>
          <w:bCs/>
          <w:sz w:val="24"/>
          <w:szCs w:val="24"/>
          <w:lang w:val="en-US"/>
        </w:rPr>
        <w:t>s</w:t>
      </w:r>
    </w:p>
    <w:p w14:paraId="7AB99468" w14:textId="77777777" w:rsidR="0069334D" w:rsidRDefault="0069334D" w:rsidP="0069334D">
      <w:pPr>
        <w:numPr>
          <w:ilvl w:val="0"/>
          <w:numId w:val="27"/>
        </w:numPr>
        <w:spacing w:line="240" w:lineRule="auto"/>
        <w:jc w:val="both"/>
        <w:rPr>
          <w:rFonts w:cstheme="minorHAnsi"/>
          <w:sz w:val="24"/>
          <w:szCs w:val="24"/>
          <w:lang w:val="en-US"/>
        </w:rPr>
      </w:pPr>
      <w:r w:rsidRPr="005A2B57">
        <w:rPr>
          <w:rFonts w:cstheme="minorHAnsi"/>
          <w:sz w:val="24"/>
          <w:szCs w:val="24"/>
          <w:lang w:val="en-US"/>
        </w:rPr>
        <w:t xml:space="preserve">What is the NEW aspect of your work? </w:t>
      </w:r>
    </w:p>
    <w:p w14:paraId="3C7F46BA" w14:textId="178E3409" w:rsidR="0069334D" w:rsidRPr="005A2B57" w:rsidRDefault="0069334D" w:rsidP="0069334D">
      <w:pPr>
        <w:spacing w:line="240" w:lineRule="auto"/>
        <w:ind w:left="360"/>
        <w:jc w:val="both"/>
        <w:rPr>
          <w:rFonts w:cstheme="minorHAnsi"/>
          <w:sz w:val="24"/>
          <w:szCs w:val="24"/>
          <w:lang w:val="en-US"/>
        </w:rPr>
      </w:pPr>
      <w:r>
        <w:rPr>
          <w:rFonts w:cstheme="minorHAnsi"/>
          <w:sz w:val="24"/>
          <w:szCs w:val="24"/>
        </w:rPr>
        <w:t xml:space="preserve">This is the first study to explore how real-world evidence generated by an advanced analytical approach (i.e. target trial emulation) </w:t>
      </w:r>
      <w:r w:rsidRPr="00C83273">
        <w:rPr>
          <w:rFonts w:cstheme="minorHAnsi"/>
          <w:sz w:val="24"/>
          <w:szCs w:val="24"/>
        </w:rPr>
        <w:t xml:space="preserve">can be </w:t>
      </w:r>
      <w:r>
        <w:rPr>
          <w:rFonts w:cstheme="minorHAnsi"/>
          <w:sz w:val="24"/>
          <w:szCs w:val="24"/>
        </w:rPr>
        <w:t>transferred</w:t>
      </w:r>
      <w:r w:rsidRPr="00C83273">
        <w:rPr>
          <w:rFonts w:cstheme="minorHAnsi"/>
          <w:sz w:val="24"/>
          <w:szCs w:val="24"/>
        </w:rPr>
        <w:t xml:space="preserve"> to optim</w:t>
      </w:r>
      <w:r>
        <w:rPr>
          <w:rFonts w:cstheme="minorHAnsi"/>
          <w:sz w:val="24"/>
          <w:szCs w:val="24"/>
        </w:rPr>
        <w:t xml:space="preserve">ize </w:t>
      </w:r>
      <w:r w:rsidRPr="00C83273">
        <w:rPr>
          <w:rFonts w:cstheme="minorHAnsi"/>
          <w:sz w:val="24"/>
          <w:szCs w:val="24"/>
        </w:rPr>
        <w:t xml:space="preserve">treatment </w:t>
      </w:r>
      <w:r>
        <w:rPr>
          <w:rFonts w:cstheme="minorHAnsi"/>
          <w:sz w:val="24"/>
          <w:szCs w:val="24"/>
        </w:rPr>
        <w:t xml:space="preserve">decisions </w:t>
      </w:r>
      <w:r w:rsidRPr="00C83273">
        <w:rPr>
          <w:rFonts w:cstheme="minorHAnsi"/>
          <w:sz w:val="24"/>
          <w:szCs w:val="24"/>
        </w:rPr>
        <w:t xml:space="preserve">of </w:t>
      </w:r>
      <w:r>
        <w:rPr>
          <w:rFonts w:cstheme="minorHAnsi"/>
          <w:sz w:val="24"/>
          <w:szCs w:val="24"/>
        </w:rPr>
        <w:t xml:space="preserve">patients with a rare haematological disease </w:t>
      </w:r>
      <w:r w:rsidRPr="00C83273">
        <w:rPr>
          <w:rFonts w:cstheme="minorHAnsi"/>
          <w:sz w:val="24"/>
          <w:szCs w:val="24"/>
        </w:rPr>
        <w:t>i</w:t>
      </w:r>
      <w:r>
        <w:rPr>
          <w:rFonts w:cstheme="minorHAnsi"/>
          <w:sz w:val="24"/>
          <w:szCs w:val="24"/>
        </w:rPr>
        <w:t xml:space="preserve">n late technology adopter countries with limited financial resources and HTA capacities. </w:t>
      </w:r>
    </w:p>
    <w:p w14:paraId="79C92B9A" w14:textId="77777777" w:rsidR="0069334D" w:rsidRDefault="0069334D" w:rsidP="0069334D">
      <w:pPr>
        <w:numPr>
          <w:ilvl w:val="0"/>
          <w:numId w:val="27"/>
        </w:numPr>
        <w:spacing w:line="240" w:lineRule="auto"/>
        <w:jc w:val="both"/>
        <w:rPr>
          <w:rFonts w:cstheme="minorHAnsi"/>
          <w:sz w:val="24"/>
          <w:szCs w:val="24"/>
          <w:lang w:val="en-US"/>
        </w:rPr>
      </w:pPr>
      <w:r w:rsidRPr="005A2B57">
        <w:rPr>
          <w:rFonts w:cstheme="minorHAnsi"/>
          <w:sz w:val="24"/>
          <w:szCs w:val="24"/>
          <w:lang w:val="en-US"/>
        </w:rPr>
        <w:t xml:space="preserve">What is the CENTRAL finding of your work? </w:t>
      </w:r>
    </w:p>
    <w:p w14:paraId="359AB193" w14:textId="77777777" w:rsidR="0069334D" w:rsidRPr="005A2B57" w:rsidRDefault="0069334D" w:rsidP="0069334D">
      <w:pPr>
        <w:spacing w:line="240" w:lineRule="auto"/>
        <w:ind w:left="360"/>
        <w:jc w:val="both"/>
        <w:rPr>
          <w:rFonts w:cstheme="minorHAnsi"/>
          <w:sz w:val="24"/>
          <w:szCs w:val="24"/>
          <w:lang w:val="en-US"/>
        </w:rPr>
      </w:pPr>
      <w:bookmarkStart w:id="2" w:name="_Hlk178106476"/>
      <w:r>
        <w:rPr>
          <w:rFonts w:cstheme="minorHAnsi"/>
          <w:sz w:val="24"/>
          <w:szCs w:val="24"/>
          <w:lang w:val="en-US"/>
        </w:rPr>
        <w:t>T</w:t>
      </w:r>
      <w:r w:rsidRPr="006E5638">
        <w:rPr>
          <w:rFonts w:cstheme="minorHAnsi"/>
          <w:sz w:val="24"/>
          <w:szCs w:val="24"/>
          <w:lang w:val="en-US"/>
        </w:rPr>
        <w:t xml:space="preserve">he main challenges of transferring </w:t>
      </w:r>
      <w:r>
        <w:rPr>
          <w:rFonts w:cstheme="minorHAnsi"/>
          <w:sz w:val="24"/>
          <w:szCs w:val="24"/>
          <w:lang w:val="en-US"/>
        </w:rPr>
        <w:t xml:space="preserve">evidence generated by target trial emulation </w:t>
      </w:r>
      <w:proofErr w:type="gramStart"/>
      <w:r w:rsidRPr="006E5638">
        <w:rPr>
          <w:rFonts w:cstheme="minorHAnsi"/>
          <w:sz w:val="24"/>
          <w:szCs w:val="24"/>
          <w:lang w:val="en-US"/>
        </w:rPr>
        <w:t>method</w:t>
      </w:r>
      <w:proofErr w:type="gramEnd"/>
      <w:r w:rsidRPr="006E5638">
        <w:rPr>
          <w:rFonts w:cstheme="minorHAnsi"/>
          <w:sz w:val="24"/>
          <w:szCs w:val="24"/>
          <w:lang w:val="en-US"/>
        </w:rPr>
        <w:t xml:space="preserve"> to </w:t>
      </w:r>
      <w:r>
        <w:rPr>
          <w:rFonts w:cstheme="minorHAnsi"/>
          <w:sz w:val="24"/>
          <w:szCs w:val="24"/>
          <w:lang w:val="en-US"/>
        </w:rPr>
        <w:t xml:space="preserve">lower income European countries </w:t>
      </w:r>
      <w:r w:rsidRPr="006E5638">
        <w:rPr>
          <w:rFonts w:cstheme="minorHAnsi"/>
          <w:sz w:val="24"/>
          <w:szCs w:val="24"/>
          <w:lang w:val="en-US"/>
        </w:rPr>
        <w:t xml:space="preserve">were identified </w:t>
      </w:r>
      <w:r>
        <w:rPr>
          <w:rFonts w:cstheme="minorHAnsi"/>
          <w:sz w:val="24"/>
          <w:szCs w:val="24"/>
          <w:lang w:val="en-US"/>
        </w:rPr>
        <w:t xml:space="preserve">and </w:t>
      </w:r>
      <w:proofErr w:type="gramStart"/>
      <w:r>
        <w:rPr>
          <w:rFonts w:cstheme="minorHAnsi"/>
          <w:sz w:val="24"/>
          <w:szCs w:val="24"/>
          <w:lang w:val="en-US"/>
        </w:rPr>
        <w:t>conclusion</w:t>
      </w:r>
      <w:proofErr w:type="gramEnd"/>
      <w:r>
        <w:rPr>
          <w:rFonts w:cstheme="minorHAnsi"/>
          <w:sz w:val="24"/>
          <w:szCs w:val="24"/>
          <w:lang w:val="en-US"/>
        </w:rPr>
        <w:t xml:space="preserve"> were made to</w:t>
      </w:r>
      <w:r w:rsidRPr="006E5638">
        <w:rPr>
          <w:rFonts w:cstheme="minorHAnsi"/>
          <w:sz w:val="24"/>
          <w:szCs w:val="24"/>
          <w:lang w:val="en-US"/>
        </w:rPr>
        <w:t xml:space="preserve"> overcome these main challenges. </w:t>
      </w:r>
    </w:p>
    <w:bookmarkEnd w:id="2"/>
    <w:p w14:paraId="0A9B2D59" w14:textId="77777777" w:rsidR="0069334D" w:rsidRPr="005A2B57" w:rsidRDefault="0069334D" w:rsidP="0069334D">
      <w:pPr>
        <w:numPr>
          <w:ilvl w:val="0"/>
          <w:numId w:val="27"/>
        </w:numPr>
        <w:spacing w:line="240" w:lineRule="auto"/>
        <w:jc w:val="both"/>
        <w:rPr>
          <w:rFonts w:cstheme="minorHAnsi"/>
          <w:b/>
          <w:bCs/>
          <w:sz w:val="24"/>
          <w:szCs w:val="24"/>
        </w:rPr>
      </w:pPr>
      <w:r w:rsidRPr="005A2B57">
        <w:rPr>
          <w:rFonts w:cstheme="minorHAnsi"/>
          <w:sz w:val="24"/>
          <w:szCs w:val="24"/>
          <w:lang w:val="en-US"/>
        </w:rPr>
        <w:t>What is (or could be) the SPECIFIC clinical relevance of your work?</w:t>
      </w:r>
    </w:p>
    <w:p w14:paraId="7E2753BE" w14:textId="77777777" w:rsidR="0069334D" w:rsidRPr="005A2B57" w:rsidRDefault="0069334D" w:rsidP="0069334D">
      <w:pPr>
        <w:spacing w:line="240" w:lineRule="auto"/>
        <w:ind w:left="360"/>
        <w:jc w:val="both"/>
        <w:rPr>
          <w:rFonts w:cstheme="minorHAnsi"/>
          <w:sz w:val="24"/>
          <w:szCs w:val="24"/>
        </w:rPr>
      </w:pPr>
      <w:r w:rsidRPr="005A2B57">
        <w:rPr>
          <w:rFonts w:cstheme="minorHAnsi"/>
          <w:sz w:val="24"/>
          <w:szCs w:val="24"/>
        </w:rPr>
        <w:t xml:space="preserve">To ensure the sustainability of health care financing </w:t>
      </w:r>
      <w:r>
        <w:rPr>
          <w:rFonts w:cstheme="minorHAnsi"/>
          <w:sz w:val="24"/>
          <w:szCs w:val="24"/>
        </w:rPr>
        <w:t>lower income European countries</w:t>
      </w:r>
      <w:r w:rsidRPr="005A2B57">
        <w:rPr>
          <w:rFonts w:cstheme="minorHAnsi"/>
          <w:sz w:val="24"/>
          <w:szCs w:val="24"/>
        </w:rPr>
        <w:t xml:space="preserve"> may have to narrow down the reimbursement of expensive therapies by limiting access to specific subgroups</w:t>
      </w:r>
      <w:r>
        <w:rPr>
          <w:rFonts w:cstheme="minorHAnsi"/>
          <w:sz w:val="24"/>
          <w:szCs w:val="24"/>
        </w:rPr>
        <w:t xml:space="preserve">, which requires </w:t>
      </w:r>
      <w:r w:rsidRPr="005A2B57">
        <w:rPr>
          <w:rFonts w:cstheme="minorHAnsi"/>
          <w:sz w:val="24"/>
          <w:szCs w:val="24"/>
        </w:rPr>
        <w:t>more detailed data, preferably from the real-world, on the comparative benefits of new health technologies for different subpopulations.</w:t>
      </w:r>
    </w:p>
    <w:p w14:paraId="45C4AADE" w14:textId="77777777" w:rsidR="0069334D" w:rsidRDefault="0069334D" w:rsidP="0069334D">
      <w:pPr>
        <w:spacing w:line="240" w:lineRule="auto"/>
        <w:jc w:val="both"/>
        <w:rPr>
          <w:rFonts w:cstheme="minorHAnsi"/>
          <w:b/>
          <w:bCs/>
          <w:sz w:val="24"/>
          <w:szCs w:val="24"/>
        </w:rPr>
      </w:pPr>
    </w:p>
    <w:p w14:paraId="27E50955" w14:textId="247369F0" w:rsidR="0002567E" w:rsidRDefault="0002567E" w:rsidP="0002567E">
      <w:pPr>
        <w:spacing w:after="240" w:line="240" w:lineRule="auto"/>
        <w:jc w:val="both"/>
        <w:rPr>
          <w:rFonts w:cstheme="minorHAnsi"/>
          <w:b/>
          <w:bCs/>
          <w:sz w:val="24"/>
          <w:szCs w:val="24"/>
        </w:rPr>
      </w:pPr>
      <w:r w:rsidRPr="0002567E">
        <w:rPr>
          <w:rFonts w:cstheme="minorHAnsi"/>
          <w:b/>
          <w:bCs/>
          <w:sz w:val="24"/>
          <w:szCs w:val="24"/>
        </w:rPr>
        <w:t>T</w:t>
      </w:r>
      <w:r>
        <w:rPr>
          <w:rFonts w:cstheme="minorHAnsi"/>
          <w:b/>
          <w:bCs/>
          <w:sz w:val="24"/>
          <w:szCs w:val="24"/>
        </w:rPr>
        <w:t xml:space="preserve">ransparency statement: </w:t>
      </w:r>
      <w:r>
        <w:rPr>
          <w:rFonts w:cstheme="minorHAnsi"/>
          <w:sz w:val="24"/>
          <w:szCs w:val="24"/>
        </w:rPr>
        <w:t>T</w:t>
      </w:r>
      <w:r w:rsidRPr="0002567E">
        <w:rPr>
          <w:rFonts w:cstheme="minorHAnsi"/>
          <w:sz w:val="24"/>
          <w:szCs w:val="24"/>
        </w:rPr>
        <w:t>he lead author (Zoltán Kaló) affirms that this manuscript is an honest, accurate, and transparent account of the study being reported; that no important aspects of the study have been omitted; and that any discrepancies from the study as planned (and, if relevant, registered) have been explained.</w:t>
      </w:r>
    </w:p>
    <w:p w14:paraId="1FD8C8C3" w14:textId="3E7F590B" w:rsidR="0069334D" w:rsidRPr="00C83273" w:rsidRDefault="0069334D" w:rsidP="0002567E">
      <w:pPr>
        <w:spacing w:after="240" w:line="240" w:lineRule="auto"/>
        <w:jc w:val="both"/>
        <w:rPr>
          <w:rFonts w:cstheme="minorHAnsi"/>
          <w:sz w:val="24"/>
          <w:szCs w:val="24"/>
        </w:rPr>
      </w:pPr>
      <w:r w:rsidRPr="00C83273">
        <w:rPr>
          <w:rFonts w:cstheme="minorHAnsi"/>
          <w:b/>
          <w:bCs/>
          <w:sz w:val="24"/>
          <w:szCs w:val="24"/>
        </w:rPr>
        <w:t>Ethical statement</w:t>
      </w:r>
      <w:r w:rsidR="0002567E">
        <w:rPr>
          <w:rFonts w:cstheme="minorHAnsi"/>
          <w:b/>
          <w:bCs/>
          <w:sz w:val="24"/>
          <w:szCs w:val="24"/>
        </w:rPr>
        <w:t xml:space="preserve">: </w:t>
      </w:r>
      <w:r w:rsidRPr="00C83273">
        <w:rPr>
          <w:rFonts w:cstheme="minorHAnsi"/>
          <w:sz w:val="24"/>
          <w:szCs w:val="24"/>
        </w:rPr>
        <w:t>Ethical approval was not required for this research.</w:t>
      </w:r>
    </w:p>
    <w:p w14:paraId="668FF98B" w14:textId="11217CE6" w:rsidR="0002567E" w:rsidRDefault="0002567E" w:rsidP="0002567E">
      <w:pPr>
        <w:spacing w:after="240" w:line="240" w:lineRule="auto"/>
        <w:jc w:val="both"/>
        <w:rPr>
          <w:rFonts w:cstheme="minorHAnsi"/>
          <w:b/>
          <w:bCs/>
          <w:sz w:val="24"/>
          <w:szCs w:val="24"/>
        </w:rPr>
      </w:pPr>
      <w:r>
        <w:rPr>
          <w:rFonts w:cstheme="minorHAnsi"/>
          <w:b/>
          <w:bCs/>
          <w:sz w:val="24"/>
          <w:szCs w:val="24"/>
        </w:rPr>
        <w:t>D</w:t>
      </w:r>
      <w:r w:rsidRPr="0002567E">
        <w:rPr>
          <w:rFonts w:cstheme="minorHAnsi"/>
          <w:b/>
          <w:bCs/>
          <w:sz w:val="24"/>
          <w:szCs w:val="24"/>
        </w:rPr>
        <w:t>ata availability statement</w:t>
      </w:r>
      <w:r>
        <w:rPr>
          <w:rFonts w:cstheme="minorHAnsi"/>
          <w:b/>
          <w:bCs/>
          <w:sz w:val="24"/>
          <w:szCs w:val="24"/>
        </w:rPr>
        <w:t xml:space="preserve">: </w:t>
      </w:r>
      <w:r w:rsidR="0052326A" w:rsidRPr="009723CA">
        <w:rPr>
          <w:rFonts w:cstheme="minorHAnsi"/>
          <w:sz w:val="24"/>
          <w:szCs w:val="24"/>
        </w:rPr>
        <w:t xml:space="preserve">The data that support the findings of this study are derived from the </w:t>
      </w:r>
      <w:proofErr w:type="spellStart"/>
      <w:r w:rsidR="0052326A" w:rsidRPr="009723CA">
        <w:rPr>
          <w:rFonts w:cstheme="minorHAnsi"/>
          <w:sz w:val="24"/>
          <w:szCs w:val="24"/>
        </w:rPr>
        <w:t>Mentimeter</w:t>
      </w:r>
      <w:proofErr w:type="spellEnd"/>
      <w:r w:rsidR="0052326A" w:rsidRPr="009723CA">
        <w:rPr>
          <w:rFonts w:cstheme="minorHAnsi"/>
          <w:sz w:val="24"/>
          <w:szCs w:val="24"/>
        </w:rPr>
        <w:t xml:space="preserve"> survey and openly available in “Supporting Information”. Authors confirm that no other primary or secondary data was collected, reviewed or used in this study</w:t>
      </w:r>
      <w:r w:rsidRPr="0002567E">
        <w:rPr>
          <w:rFonts w:cstheme="minorHAnsi"/>
          <w:sz w:val="24"/>
          <w:szCs w:val="24"/>
        </w:rPr>
        <w:t>.</w:t>
      </w:r>
    </w:p>
    <w:p w14:paraId="77163AA6" w14:textId="4C72BB68" w:rsidR="0069334D" w:rsidRPr="00C83273" w:rsidRDefault="0069334D" w:rsidP="0002567E">
      <w:pPr>
        <w:spacing w:after="240" w:line="240" w:lineRule="auto"/>
        <w:jc w:val="both"/>
        <w:rPr>
          <w:rFonts w:cstheme="minorHAnsi"/>
          <w:sz w:val="24"/>
          <w:szCs w:val="24"/>
        </w:rPr>
      </w:pPr>
      <w:r w:rsidRPr="00C83273">
        <w:rPr>
          <w:rFonts w:cstheme="minorHAnsi"/>
          <w:b/>
          <w:bCs/>
          <w:sz w:val="24"/>
          <w:szCs w:val="24"/>
        </w:rPr>
        <w:t>Declaration of conflicting interests</w:t>
      </w:r>
      <w:r w:rsidR="0002567E">
        <w:rPr>
          <w:rFonts w:cstheme="minorHAnsi"/>
          <w:b/>
          <w:bCs/>
          <w:sz w:val="24"/>
          <w:szCs w:val="24"/>
        </w:rPr>
        <w:t xml:space="preserve">: </w:t>
      </w:r>
      <w:r w:rsidRPr="00C83273">
        <w:rPr>
          <w:rFonts w:cstheme="minorHAnsi"/>
          <w:sz w:val="24"/>
          <w:szCs w:val="24"/>
        </w:rPr>
        <w:t>The author(s) declared no potential conflicts of interest with respect to the research, authorship, and/or publication of this article.</w:t>
      </w:r>
    </w:p>
    <w:p w14:paraId="4240A6D3" w14:textId="7FF83725" w:rsidR="0069334D" w:rsidRPr="00970E85" w:rsidRDefault="0069334D" w:rsidP="0002567E">
      <w:pPr>
        <w:spacing w:after="240" w:line="240" w:lineRule="auto"/>
        <w:jc w:val="both"/>
        <w:rPr>
          <w:rFonts w:cstheme="minorHAnsi"/>
          <w:sz w:val="24"/>
          <w:szCs w:val="24"/>
        </w:rPr>
      </w:pPr>
      <w:r w:rsidRPr="00970E85">
        <w:rPr>
          <w:rFonts w:cstheme="minorHAnsi"/>
          <w:b/>
          <w:bCs/>
          <w:sz w:val="24"/>
          <w:szCs w:val="24"/>
        </w:rPr>
        <w:t>Funding</w:t>
      </w:r>
      <w:r w:rsidR="0002567E">
        <w:rPr>
          <w:rFonts w:cstheme="minorHAnsi"/>
          <w:b/>
          <w:bCs/>
          <w:sz w:val="24"/>
          <w:szCs w:val="24"/>
        </w:rPr>
        <w:t xml:space="preserve">: </w:t>
      </w:r>
      <w:r w:rsidRPr="00970E85">
        <w:rPr>
          <w:rFonts w:eastAsia="Times New Roman" w:cstheme="minorHAnsi"/>
          <w:kern w:val="0"/>
          <w:sz w:val="24"/>
          <w:szCs w:val="24"/>
          <w:lang w:eastAsia="hu-HU"/>
          <w14:ligatures w14:val="none"/>
        </w:rPr>
        <w:t xml:space="preserve">The </w:t>
      </w:r>
      <w:proofErr w:type="spellStart"/>
      <w:r w:rsidRPr="00970E85">
        <w:rPr>
          <w:rFonts w:eastAsia="Times New Roman" w:cstheme="minorHAnsi"/>
          <w:kern w:val="0"/>
          <w:sz w:val="24"/>
          <w:szCs w:val="24"/>
          <w:lang w:eastAsia="hu-HU"/>
          <w14:ligatures w14:val="none"/>
        </w:rPr>
        <w:t>HTx</w:t>
      </w:r>
      <w:proofErr w:type="spellEnd"/>
      <w:r w:rsidRPr="00970E85">
        <w:rPr>
          <w:rFonts w:eastAsia="Times New Roman" w:cstheme="minorHAnsi"/>
          <w:kern w:val="0"/>
          <w:sz w:val="24"/>
          <w:szCs w:val="24"/>
          <w:lang w:eastAsia="hu-HU"/>
          <w14:ligatures w14:val="none"/>
        </w:rPr>
        <w:t xml:space="preserve"> project has received funding from the European Union’s Horizon 2020 research and innovation programme under grant agreement no. 825162. This dissemination reflects only the authors’ view, and the commission is not responsible for any use that may be made of the information it contains. </w:t>
      </w:r>
    </w:p>
    <w:p w14:paraId="12181654" w14:textId="77777777" w:rsidR="0069334D" w:rsidRDefault="0069334D">
      <w:pPr>
        <w:rPr>
          <w:rFonts w:cstheme="minorHAnsi"/>
          <w:b/>
          <w:bCs/>
          <w:sz w:val="24"/>
          <w:szCs w:val="24"/>
        </w:rPr>
      </w:pPr>
      <w:r>
        <w:rPr>
          <w:rFonts w:cstheme="minorHAnsi"/>
          <w:b/>
          <w:bCs/>
          <w:sz w:val="24"/>
          <w:szCs w:val="24"/>
        </w:rPr>
        <w:br w:type="page"/>
      </w:r>
    </w:p>
    <w:p w14:paraId="31CF7910" w14:textId="61D70CEF" w:rsidR="00EF323C" w:rsidRDefault="00EF323C" w:rsidP="00C83273">
      <w:pPr>
        <w:spacing w:line="240" w:lineRule="auto"/>
        <w:ind w:left="50"/>
        <w:jc w:val="both"/>
        <w:rPr>
          <w:rFonts w:cstheme="minorHAnsi"/>
          <w:b/>
          <w:bCs/>
          <w:sz w:val="24"/>
          <w:szCs w:val="24"/>
        </w:rPr>
      </w:pPr>
      <w:r>
        <w:rPr>
          <w:rFonts w:cstheme="minorHAnsi"/>
          <w:b/>
          <w:bCs/>
          <w:sz w:val="24"/>
          <w:szCs w:val="24"/>
        </w:rPr>
        <w:t>Abstract</w:t>
      </w:r>
    </w:p>
    <w:p w14:paraId="175E3B87" w14:textId="15A44B49" w:rsidR="003F3F72" w:rsidRDefault="00A34F45" w:rsidP="00EF323C">
      <w:pPr>
        <w:spacing w:line="240" w:lineRule="auto"/>
        <w:ind w:left="50"/>
        <w:jc w:val="both"/>
        <w:rPr>
          <w:rFonts w:cstheme="minorHAnsi"/>
          <w:sz w:val="24"/>
          <w:szCs w:val="24"/>
        </w:rPr>
      </w:pPr>
      <w:r>
        <w:rPr>
          <w:rFonts w:cstheme="minorHAnsi"/>
          <w:sz w:val="24"/>
          <w:szCs w:val="24"/>
        </w:rPr>
        <w:t>Background and aims</w:t>
      </w:r>
      <w:r w:rsidR="003F3F72">
        <w:rPr>
          <w:rFonts w:cstheme="minorHAnsi"/>
          <w:sz w:val="24"/>
          <w:szCs w:val="24"/>
        </w:rPr>
        <w:t xml:space="preserve">: </w:t>
      </w:r>
      <w:r w:rsidR="00EF323C">
        <w:rPr>
          <w:rFonts w:cstheme="minorHAnsi"/>
          <w:sz w:val="24"/>
          <w:szCs w:val="24"/>
        </w:rPr>
        <w:t>Lower income European countries</w:t>
      </w:r>
      <w:r w:rsidR="003F3F72">
        <w:rPr>
          <w:rFonts w:cstheme="minorHAnsi"/>
          <w:sz w:val="24"/>
          <w:szCs w:val="24"/>
        </w:rPr>
        <w:t xml:space="preserve"> (LIECs)</w:t>
      </w:r>
      <w:r w:rsidR="00EF323C">
        <w:rPr>
          <w:rFonts w:cstheme="minorHAnsi"/>
          <w:sz w:val="24"/>
          <w:szCs w:val="24"/>
        </w:rPr>
        <w:t xml:space="preserve"> have more limited financial resources to cover high-cost technologies in rare diseases than higher income </w:t>
      </w:r>
      <w:r w:rsidR="000F0CA0">
        <w:rPr>
          <w:rFonts w:cstheme="minorHAnsi"/>
          <w:sz w:val="24"/>
          <w:szCs w:val="24"/>
        </w:rPr>
        <w:t xml:space="preserve">European </w:t>
      </w:r>
      <w:r w:rsidR="00EF323C">
        <w:rPr>
          <w:rFonts w:cstheme="minorHAnsi"/>
          <w:sz w:val="24"/>
          <w:szCs w:val="24"/>
        </w:rPr>
        <w:t>countries</w:t>
      </w:r>
      <w:r w:rsidR="00B85A1F">
        <w:rPr>
          <w:rFonts w:cstheme="minorHAnsi"/>
          <w:sz w:val="24"/>
          <w:szCs w:val="24"/>
        </w:rPr>
        <w:t xml:space="preserve"> (HIECs)</w:t>
      </w:r>
      <w:r w:rsidR="003F3F72">
        <w:rPr>
          <w:rFonts w:cstheme="minorHAnsi"/>
          <w:sz w:val="24"/>
          <w:szCs w:val="24"/>
        </w:rPr>
        <w:t xml:space="preserve">. Our study explores </w:t>
      </w:r>
      <w:r w:rsidR="003F3F72" w:rsidRPr="003F3F72">
        <w:rPr>
          <w:rFonts w:cstheme="minorHAnsi"/>
          <w:sz w:val="24"/>
          <w:szCs w:val="24"/>
        </w:rPr>
        <w:t xml:space="preserve">how treatment recommendations </w:t>
      </w:r>
      <w:r w:rsidR="009D7F02">
        <w:rPr>
          <w:rFonts w:cstheme="minorHAnsi"/>
          <w:sz w:val="24"/>
          <w:szCs w:val="24"/>
        </w:rPr>
        <w:t xml:space="preserve">in </w:t>
      </w:r>
      <w:r w:rsidR="003F3F72" w:rsidRPr="003F3F72">
        <w:rPr>
          <w:rFonts w:cstheme="minorHAnsi"/>
          <w:sz w:val="24"/>
          <w:szCs w:val="24"/>
        </w:rPr>
        <w:t xml:space="preserve">myelodysplastic syndrome </w:t>
      </w:r>
      <w:r w:rsidR="003F3F72">
        <w:rPr>
          <w:rFonts w:cstheme="minorHAnsi"/>
          <w:sz w:val="24"/>
          <w:szCs w:val="24"/>
        </w:rPr>
        <w:t>(MDS) can be supported in LIECS by transferring real-world evidence</w:t>
      </w:r>
      <w:r w:rsidR="003F3F72" w:rsidRPr="003F3F72">
        <w:rPr>
          <w:rFonts w:cstheme="minorHAnsi"/>
          <w:sz w:val="24"/>
          <w:szCs w:val="24"/>
        </w:rPr>
        <w:t xml:space="preserve"> </w:t>
      </w:r>
      <w:r w:rsidR="00B85A1F">
        <w:rPr>
          <w:rFonts w:cstheme="minorHAnsi"/>
          <w:sz w:val="24"/>
          <w:szCs w:val="24"/>
        </w:rPr>
        <w:t xml:space="preserve">(RWE) </w:t>
      </w:r>
      <w:r w:rsidR="003F3F72" w:rsidRPr="003F3F72">
        <w:rPr>
          <w:rFonts w:cstheme="minorHAnsi"/>
          <w:sz w:val="24"/>
          <w:szCs w:val="24"/>
        </w:rPr>
        <w:t xml:space="preserve">generated by </w:t>
      </w:r>
      <w:r w:rsidR="003F3F72">
        <w:rPr>
          <w:rFonts w:cstheme="minorHAnsi"/>
          <w:sz w:val="24"/>
          <w:szCs w:val="24"/>
        </w:rPr>
        <w:t>target trial emulation</w:t>
      </w:r>
      <w:r w:rsidR="00B85A1F">
        <w:rPr>
          <w:rFonts w:cstheme="minorHAnsi"/>
          <w:sz w:val="24"/>
          <w:szCs w:val="24"/>
        </w:rPr>
        <w:t xml:space="preserve"> (TTE)</w:t>
      </w:r>
      <w:r w:rsidR="003F3F72">
        <w:rPr>
          <w:rFonts w:cstheme="minorHAnsi"/>
          <w:sz w:val="24"/>
          <w:szCs w:val="24"/>
        </w:rPr>
        <w:t xml:space="preserve"> me</w:t>
      </w:r>
      <w:r w:rsidR="003F3F72" w:rsidRPr="003F3F72">
        <w:rPr>
          <w:rFonts w:cstheme="minorHAnsi"/>
          <w:sz w:val="24"/>
          <w:szCs w:val="24"/>
        </w:rPr>
        <w:t xml:space="preserve">thod </w:t>
      </w:r>
      <w:r w:rsidR="003F3F72">
        <w:rPr>
          <w:rFonts w:cstheme="minorHAnsi"/>
          <w:sz w:val="24"/>
          <w:szCs w:val="24"/>
        </w:rPr>
        <w:t>in HIECs</w:t>
      </w:r>
      <w:r w:rsidR="003F3F72" w:rsidRPr="003F3F72">
        <w:rPr>
          <w:rFonts w:cstheme="minorHAnsi"/>
          <w:sz w:val="24"/>
          <w:szCs w:val="24"/>
        </w:rPr>
        <w:t>.</w:t>
      </w:r>
    </w:p>
    <w:p w14:paraId="1A6C5302" w14:textId="234E3637" w:rsidR="00C4677D" w:rsidRDefault="003F3F72" w:rsidP="00C4677D">
      <w:pPr>
        <w:spacing w:line="240" w:lineRule="auto"/>
        <w:ind w:left="50"/>
        <w:jc w:val="both"/>
        <w:rPr>
          <w:rFonts w:cstheme="minorHAnsi"/>
          <w:sz w:val="24"/>
          <w:szCs w:val="24"/>
        </w:rPr>
      </w:pPr>
      <w:r>
        <w:rPr>
          <w:rFonts w:cstheme="minorHAnsi"/>
          <w:sz w:val="24"/>
          <w:szCs w:val="24"/>
        </w:rPr>
        <w:t>Method</w:t>
      </w:r>
      <w:r w:rsidR="00C4677D">
        <w:rPr>
          <w:rFonts w:cstheme="minorHAnsi"/>
          <w:sz w:val="24"/>
          <w:szCs w:val="24"/>
        </w:rPr>
        <w:t xml:space="preserve">: </w:t>
      </w:r>
      <w:r w:rsidR="00A34F45">
        <w:rPr>
          <w:rFonts w:cstheme="minorHAnsi"/>
          <w:sz w:val="24"/>
          <w:szCs w:val="24"/>
        </w:rPr>
        <w:t>In</w:t>
      </w:r>
      <w:r w:rsidR="00C4677D">
        <w:rPr>
          <w:rFonts w:cstheme="minorHAnsi"/>
          <w:sz w:val="24"/>
          <w:szCs w:val="24"/>
        </w:rPr>
        <w:t xml:space="preserve"> the </w:t>
      </w:r>
      <w:proofErr w:type="spellStart"/>
      <w:r w:rsidR="00C4677D">
        <w:rPr>
          <w:rFonts w:cstheme="minorHAnsi"/>
          <w:sz w:val="24"/>
          <w:szCs w:val="24"/>
        </w:rPr>
        <w:t>HTx</w:t>
      </w:r>
      <w:proofErr w:type="spellEnd"/>
      <w:r w:rsidR="00C4677D">
        <w:rPr>
          <w:rFonts w:cstheme="minorHAnsi"/>
          <w:sz w:val="24"/>
          <w:szCs w:val="24"/>
        </w:rPr>
        <w:t xml:space="preserve"> project </w:t>
      </w:r>
      <w:r w:rsidR="00C4677D" w:rsidRPr="00C4677D">
        <w:rPr>
          <w:rFonts w:cstheme="minorHAnsi"/>
          <w:sz w:val="24"/>
          <w:szCs w:val="24"/>
        </w:rPr>
        <w:t xml:space="preserve">transferability aspects </w:t>
      </w:r>
      <w:r w:rsidR="00C4677D">
        <w:rPr>
          <w:rFonts w:cstheme="minorHAnsi"/>
          <w:sz w:val="24"/>
          <w:szCs w:val="24"/>
        </w:rPr>
        <w:t xml:space="preserve">of the MDS case study were considered </w:t>
      </w:r>
      <w:r w:rsidR="00C4677D" w:rsidRPr="00C4677D">
        <w:rPr>
          <w:rFonts w:cstheme="minorHAnsi"/>
          <w:sz w:val="24"/>
          <w:szCs w:val="24"/>
        </w:rPr>
        <w:t>upfront</w:t>
      </w:r>
      <w:r w:rsidR="00C4677D">
        <w:rPr>
          <w:rFonts w:cstheme="minorHAnsi"/>
          <w:sz w:val="24"/>
          <w:szCs w:val="24"/>
        </w:rPr>
        <w:t xml:space="preserve">. </w:t>
      </w:r>
      <w:r w:rsidR="00C4677D" w:rsidRPr="00C4677D">
        <w:rPr>
          <w:rFonts w:cstheme="minorHAnsi"/>
          <w:sz w:val="24"/>
          <w:szCs w:val="24"/>
        </w:rPr>
        <w:t>HTA agenc</w:t>
      </w:r>
      <w:r w:rsidR="00C4677D">
        <w:rPr>
          <w:rFonts w:cstheme="minorHAnsi"/>
          <w:sz w:val="24"/>
          <w:szCs w:val="24"/>
        </w:rPr>
        <w:t>y</w:t>
      </w:r>
      <w:r w:rsidR="00C4677D" w:rsidRPr="00C4677D">
        <w:rPr>
          <w:rFonts w:cstheme="minorHAnsi"/>
          <w:sz w:val="24"/>
          <w:szCs w:val="24"/>
        </w:rPr>
        <w:t xml:space="preserve"> </w:t>
      </w:r>
      <w:r w:rsidR="00A34F45">
        <w:rPr>
          <w:rFonts w:cstheme="minorHAnsi"/>
          <w:sz w:val="24"/>
          <w:szCs w:val="24"/>
        </w:rPr>
        <w:t xml:space="preserve">consortium </w:t>
      </w:r>
      <w:r w:rsidR="00C4677D" w:rsidRPr="00C4677D">
        <w:rPr>
          <w:rFonts w:cstheme="minorHAnsi"/>
          <w:sz w:val="24"/>
          <w:szCs w:val="24"/>
        </w:rPr>
        <w:t xml:space="preserve">partners set expectations for the </w:t>
      </w:r>
      <w:r w:rsidR="00C4677D">
        <w:rPr>
          <w:rFonts w:cstheme="minorHAnsi"/>
          <w:sz w:val="24"/>
          <w:szCs w:val="24"/>
        </w:rPr>
        <w:t xml:space="preserve">MDS </w:t>
      </w:r>
      <w:r w:rsidR="00C4677D" w:rsidRPr="00C4677D">
        <w:rPr>
          <w:rFonts w:cstheme="minorHAnsi"/>
          <w:sz w:val="24"/>
          <w:szCs w:val="24"/>
        </w:rPr>
        <w:t xml:space="preserve">case study </w:t>
      </w:r>
      <w:r w:rsidR="00C4677D">
        <w:rPr>
          <w:rFonts w:cstheme="minorHAnsi"/>
          <w:sz w:val="24"/>
          <w:szCs w:val="24"/>
        </w:rPr>
        <w:t xml:space="preserve">team </w:t>
      </w:r>
      <w:r w:rsidR="00C4677D" w:rsidRPr="00C4677D">
        <w:rPr>
          <w:rFonts w:cstheme="minorHAnsi"/>
          <w:sz w:val="24"/>
          <w:szCs w:val="24"/>
        </w:rPr>
        <w:t xml:space="preserve">on how to integrate the new </w:t>
      </w:r>
      <w:r w:rsidR="00B85A1F">
        <w:rPr>
          <w:rFonts w:cstheme="minorHAnsi"/>
          <w:sz w:val="24"/>
          <w:szCs w:val="24"/>
        </w:rPr>
        <w:t xml:space="preserve">TTE </w:t>
      </w:r>
      <w:r w:rsidR="00C4677D" w:rsidRPr="00C4677D">
        <w:rPr>
          <w:rFonts w:cstheme="minorHAnsi"/>
          <w:sz w:val="24"/>
          <w:szCs w:val="24"/>
        </w:rPr>
        <w:t>methodology into the routine work of HTA bodies.</w:t>
      </w:r>
      <w:r w:rsidR="00C4677D">
        <w:rPr>
          <w:rFonts w:cstheme="minorHAnsi"/>
          <w:sz w:val="24"/>
          <w:szCs w:val="24"/>
        </w:rPr>
        <w:t xml:space="preserve"> </w:t>
      </w:r>
      <w:r w:rsidR="00C4677D" w:rsidRPr="00C4677D">
        <w:rPr>
          <w:rFonts w:cstheme="minorHAnsi"/>
          <w:sz w:val="24"/>
          <w:szCs w:val="24"/>
        </w:rPr>
        <w:t xml:space="preserve">In </w:t>
      </w:r>
      <w:r w:rsidR="00C4677D">
        <w:rPr>
          <w:rFonts w:cstheme="minorHAnsi"/>
          <w:sz w:val="24"/>
          <w:szCs w:val="24"/>
        </w:rPr>
        <w:t xml:space="preserve">consecutive workshops </w:t>
      </w:r>
      <w:r w:rsidR="00975D4E">
        <w:rPr>
          <w:rFonts w:cstheme="minorHAnsi"/>
          <w:sz w:val="24"/>
          <w:szCs w:val="24"/>
        </w:rPr>
        <w:t xml:space="preserve">consortium members and </w:t>
      </w:r>
      <w:r w:rsidR="00C4677D" w:rsidRPr="00C4677D">
        <w:rPr>
          <w:rFonts w:cstheme="minorHAnsi"/>
          <w:sz w:val="24"/>
          <w:szCs w:val="24"/>
        </w:rPr>
        <w:t>external HTA experts</w:t>
      </w:r>
      <w:r w:rsidR="00C4677D">
        <w:rPr>
          <w:rFonts w:cstheme="minorHAnsi"/>
          <w:sz w:val="24"/>
          <w:szCs w:val="24"/>
        </w:rPr>
        <w:t xml:space="preserve"> </w:t>
      </w:r>
      <w:r w:rsidR="00B85A1F">
        <w:rPr>
          <w:rFonts w:cstheme="minorHAnsi"/>
          <w:sz w:val="24"/>
          <w:szCs w:val="24"/>
        </w:rPr>
        <w:t xml:space="preserve">identified </w:t>
      </w:r>
      <w:r w:rsidR="00C4677D">
        <w:rPr>
          <w:rFonts w:cstheme="minorHAnsi"/>
          <w:sz w:val="24"/>
          <w:szCs w:val="24"/>
        </w:rPr>
        <w:t xml:space="preserve">the </w:t>
      </w:r>
      <w:r w:rsidR="00C4677D" w:rsidRPr="00C4677D">
        <w:rPr>
          <w:rFonts w:cstheme="minorHAnsi"/>
          <w:sz w:val="24"/>
          <w:szCs w:val="24"/>
        </w:rPr>
        <w:t xml:space="preserve">main challenges of transferring evidence generated by </w:t>
      </w:r>
      <w:r w:rsidR="00C4677D">
        <w:rPr>
          <w:rFonts w:cstheme="minorHAnsi"/>
          <w:sz w:val="24"/>
          <w:szCs w:val="24"/>
        </w:rPr>
        <w:t xml:space="preserve">TTE </w:t>
      </w:r>
      <w:r w:rsidR="00C4677D" w:rsidRPr="00C4677D">
        <w:rPr>
          <w:rFonts w:cstheme="minorHAnsi"/>
          <w:sz w:val="24"/>
          <w:szCs w:val="24"/>
        </w:rPr>
        <w:t xml:space="preserve">method to </w:t>
      </w:r>
      <w:r w:rsidR="00C4677D">
        <w:rPr>
          <w:rFonts w:cstheme="minorHAnsi"/>
          <w:sz w:val="24"/>
          <w:szCs w:val="24"/>
        </w:rPr>
        <w:t xml:space="preserve">LIECs and </w:t>
      </w:r>
      <w:r w:rsidR="00B85A1F">
        <w:rPr>
          <w:rFonts w:cstheme="minorHAnsi"/>
          <w:sz w:val="24"/>
          <w:szCs w:val="24"/>
        </w:rPr>
        <w:t>made conclusions on how to</w:t>
      </w:r>
      <w:r w:rsidR="00C4677D" w:rsidRPr="00C4677D">
        <w:rPr>
          <w:rFonts w:cstheme="minorHAnsi"/>
          <w:sz w:val="24"/>
          <w:szCs w:val="24"/>
        </w:rPr>
        <w:t xml:space="preserve"> overcome these challenges.</w:t>
      </w:r>
    </w:p>
    <w:p w14:paraId="551B27B6" w14:textId="0373E9DD" w:rsidR="00975D4E" w:rsidRDefault="00975D4E" w:rsidP="00975D4E">
      <w:pPr>
        <w:spacing w:line="240" w:lineRule="auto"/>
        <w:ind w:left="50"/>
        <w:jc w:val="both"/>
        <w:rPr>
          <w:rFonts w:cstheme="minorHAnsi"/>
          <w:sz w:val="24"/>
          <w:szCs w:val="24"/>
        </w:rPr>
      </w:pPr>
      <w:r>
        <w:rPr>
          <w:rFonts w:cstheme="minorHAnsi"/>
          <w:sz w:val="24"/>
          <w:szCs w:val="24"/>
        </w:rPr>
        <w:t xml:space="preserve">Results: </w:t>
      </w:r>
      <w:r w:rsidRPr="00975D4E">
        <w:rPr>
          <w:rFonts w:cstheme="minorHAnsi"/>
          <w:sz w:val="24"/>
          <w:szCs w:val="24"/>
        </w:rPr>
        <w:t xml:space="preserve">The </w:t>
      </w:r>
      <w:r w:rsidR="009D7F02" w:rsidRPr="00975D4E">
        <w:rPr>
          <w:rFonts w:cstheme="minorHAnsi"/>
          <w:sz w:val="24"/>
          <w:szCs w:val="24"/>
        </w:rPr>
        <w:t xml:space="preserve">lack of local </w:t>
      </w:r>
      <w:r w:rsidR="009D7F02">
        <w:rPr>
          <w:rFonts w:cstheme="minorHAnsi"/>
          <w:sz w:val="24"/>
          <w:szCs w:val="24"/>
        </w:rPr>
        <w:t xml:space="preserve">real-world data </w:t>
      </w:r>
      <w:r w:rsidR="009D7F02" w:rsidRPr="00975D4E">
        <w:rPr>
          <w:rFonts w:cstheme="minorHAnsi"/>
          <w:sz w:val="24"/>
          <w:szCs w:val="24"/>
        </w:rPr>
        <w:t xml:space="preserve">before making reimbursement decisions </w:t>
      </w:r>
      <w:r w:rsidR="009D7F02">
        <w:rPr>
          <w:rFonts w:cstheme="minorHAnsi"/>
          <w:sz w:val="24"/>
          <w:szCs w:val="24"/>
        </w:rPr>
        <w:t xml:space="preserve">is an </w:t>
      </w:r>
      <w:r w:rsidRPr="00975D4E">
        <w:rPr>
          <w:rFonts w:cstheme="minorHAnsi"/>
          <w:sz w:val="24"/>
          <w:szCs w:val="24"/>
        </w:rPr>
        <w:t xml:space="preserve">important challenge </w:t>
      </w:r>
      <w:r>
        <w:rPr>
          <w:rFonts w:cstheme="minorHAnsi"/>
          <w:sz w:val="24"/>
          <w:szCs w:val="24"/>
        </w:rPr>
        <w:t xml:space="preserve">to </w:t>
      </w:r>
      <w:r w:rsidR="00B85A1F">
        <w:rPr>
          <w:rFonts w:cstheme="minorHAnsi"/>
          <w:sz w:val="24"/>
          <w:szCs w:val="24"/>
        </w:rPr>
        <w:t xml:space="preserve">apply </w:t>
      </w:r>
      <w:r>
        <w:rPr>
          <w:rFonts w:cstheme="minorHAnsi"/>
          <w:sz w:val="24"/>
          <w:szCs w:val="24"/>
        </w:rPr>
        <w:t>the TTE method to LIECs</w:t>
      </w:r>
      <w:r w:rsidRPr="00975D4E">
        <w:rPr>
          <w:rFonts w:cstheme="minorHAnsi"/>
          <w:sz w:val="24"/>
          <w:szCs w:val="24"/>
        </w:rPr>
        <w:t xml:space="preserve">. </w:t>
      </w:r>
      <w:r>
        <w:rPr>
          <w:rFonts w:cstheme="minorHAnsi"/>
          <w:sz w:val="24"/>
          <w:szCs w:val="24"/>
        </w:rPr>
        <w:t>D</w:t>
      </w:r>
      <w:r w:rsidRPr="00975D4E">
        <w:rPr>
          <w:rFonts w:cstheme="minorHAnsi"/>
          <w:sz w:val="24"/>
          <w:szCs w:val="24"/>
        </w:rPr>
        <w:t xml:space="preserve">ifferences in patient pathways and comparator technologies, limited expertise and resources for adapting international HTA methods </w:t>
      </w:r>
      <w:r w:rsidR="009D7F02">
        <w:rPr>
          <w:rFonts w:cstheme="minorHAnsi"/>
          <w:sz w:val="24"/>
          <w:szCs w:val="24"/>
        </w:rPr>
        <w:t xml:space="preserve">are </w:t>
      </w:r>
      <w:r w:rsidRPr="00975D4E">
        <w:rPr>
          <w:rFonts w:cstheme="minorHAnsi"/>
          <w:sz w:val="24"/>
          <w:szCs w:val="24"/>
        </w:rPr>
        <w:t>significant barriers</w:t>
      </w:r>
      <w:r w:rsidR="00B85A1F">
        <w:rPr>
          <w:rFonts w:cstheme="minorHAnsi"/>
          <w:sz w:val="24"/>
          <w:szCs w:val="24"/>
        </w:rPr>
        <w:t xml:space="preserve"> of transferring RWE from other countries</w:t>
      </w:r>
      <w:r w:rsidRPr="00975D4E">
        <w:rPr>
          <w:rFonts w:cstheme="minorHAnsi"/>
          <w:sz w:val="24"/>
          <w:szCs w:val="24"/>
        </w:rPr>
        <w:t xml:space="preserve">. </w:t>
      </w:r>
    </w:p>
    <w:p w14:paraId="4AC4929C" w14:textId="6615BCF1" w:rsidR="00975D4E" w:rsidRDefault="00B85A1F" w:rsidP="00975D4E">
      <w:pPr>
        <w:spacing w:line="240" w:lineRule="auto"/>
        <w:ind w:left="50"/>
        <w:jc w:val="both"/>
        <w:rPr>
          <w:rFonts w:cstheme="minorHAnsi"/>
          <w:sz w:val="24"/>
          <w:szCs w:val="24"/>
        </w:rPr>
      </w:pPr>
      <w:r>
        <w:rPr>
          <w:rFonts w:cstheme="minorHAnsi"/>
          <w:sz w:val="24"/>
          <w:szCs w:val="24"/>
        </w:rPr>
        <w:t>Still, t</w:t>
      </w:r>
      <w:r w:rsidR="00975D4E" w:rsidRPr="00975D4E">
        <w:rPr>
          <w:rFonts w:cstheme="minorHAnsi"/>
          <w:sz w:val="24"/>
          <w:szCs w:val="24"/>
        </w:rPr>
        <w:t>ransfer</w:t>
      </w:r>
      <w:r>
        <w:rPr>
          <w:rFonts w:cstheme="minorHAnsi"/>
          <w:sz w:val="24"/>
          <w:szCs w:val="24"/>
        </w:rPr>
        <w:t>ring</w:t>
      </w:r>
      <w:r w:rsidR="00975D4E" w:rsidRPr="00975D4E">
        <w:rPr>
          <w:rFonts w:cstheme="minorHAnsi"/>
          <w:sz w:val="24"/>
          <w:szCs w:val="24"/>
        </w:rPr>
        <w:t xml:space="preserve"> RWE to LIECs from other countries based on the TTE methodology </w:t>
      </w:r>
      <w:r>
        <w:rPr>
          <w:rFonts w:cstheme="minorHAnsi"/>
          <w:sz w:val="24"/>
          <w:szCs w:val="24"/>
        </w:rPr>
        <w:t xml:space="preserve">represents </w:t>
      </w:r>
      <w:r w:rsidR="00975D4E" w:rsidRPr="00975D4E">
        <w:rPr>
          <w:rFonts w:cstheme="minorHAnsi"/>
          <w:sz w:val="24"/>
          <w:szCs w:val="24"/>
        </w:rPr>
        <w:t>an improvement to the current standard HTA methods</w:t>
      </w:r>
      <w:r w:rsidR="00D816F8">
        <w:rPr>
          <w:rFonts w:cstheme="minorHAnsi"/>
          <w:sz w:val="24"/>
          <w:szCs w:val="24"/>
        </w:rPr>
        <w:t xml:space="preserve">, especially if </w:t>
      </w:r>
      <w:r w:rsidR="00975D4E" w:rsidRPr="00975D4E">
        <w:rPr>
          <w:rFonts w:cstheme="minorHAnsi"/>
          <w:sz w:val="24"/>
          <w:szCs w:val="24"/>
        </w:rPr>
        <w:t xml:space="preserve">joint clinical assessment provides </w:t>
      </w:r>
      <w:r w:rsidR="00D816F8">
        <w:rPr>
          <w:rFonts w:cstheme="minorHAnsi"/>
          <w:sz w:val="24"/>
          <w:szCs w:val="24"/>
        </w:rPr>
        <w:t>the</w:t>
      </w:r>
      <w:r w:rsidR="00975D4E" w:rsidRPr="00975D4E">
        <w:rPr>
          <w:rFonts w:cstheme="minorHAnsi"/>
          <w:sz w:val="24"/>
          <w:szCs w:val="24"/>
        </w:rPr>
        <w:t xml:space="preserve"> unbiased judgement on the relative effectiveness of orphan medicines.</w:t>
      </w:r>
      <w:r w:rsidR="00D816F8">
        <w:rPr>
          <w:rFonts w:cstheme="minorHAnsi"/>
          <w:sz w:val="24"/>
          <w:szCs w:val="24"/>
        </w:rPr>
        <w:t xml:space="preserve"> </w:t>
      </w:r>
      <w:r w:rsidR="00975D4E" w:rsidRPr="00975D4E">
        <w:rPr>
          <w:rFonts w:cstheme="minorHAnsi"/>
          <w:sz w:val="24"/>
          <w:szCs w:val="24"/>
        </w:rPr>
        <w:t xml:space="preserve">The </w:t>
      </w:r>
      <w:r w:rsidR="00D816F8">
        <w:rPr>
          <w:rFonts w:cstheme="minorHAnsi"/>
          <w:sz w:val="24"/>
          <w:szCs w:val="24"/>
        </w:rPr>
        <w:t xml:space="preserve">TTE </w:t>
      </w:r>
      <w:r>
        <w:rPr>
          <w:rFonts w:cstheme="minorHAnsi"/>
          <w:sz w:val="24"/>
          <w:szCs w:val="24"/>
        </w:rPr>
        <w:t xml:space="preserve">approach also </w:t>
      </w:r>
      <w:r w:rsidR="00975D4E" w:rsidRPr="00975D4E">
        <w:rPr>
          <w:rFonts w:cstheme="minorHAnsi"/>
          <w:sz w:val="24"/>
          <w:szCs w:val="24"/>
        </w:rPr>
        <w:t xml:space="preserve">provides an opportunity to </w:t>
      </w:r>
      <w:r w:rsidR="00D816F8">
        <w:rPr>
          <w:rFonts w:cstheme="minorHAnsi"/>
          <w:sz w:val="24"/>
          <w:szCs w:val="24"/>
        </w:rPr>
        <w:t xml:space="preserve">LIECs </w:t>
      </w:r>
      <w:r w:rsidR="00975D4E" w:rsidRPr="00975D4E">
        <w:rPr>
          <w:rFonts w:cstheme="minorHAnsi"/>
          <w:sz w:val="24"/>
          <w:szCs w:val="24"/>
        </w:rPr>
        <w:t>to judge the value of high-cost technologies for different patient subgroups</w:t>
      </w:r>
      <w:r w:rsidR="00D816F8">
        <w:rPr>
          <w:rFonts w:cstheme="minorHAnsi"/>
          <w:sz w:val="24"/>
          <w:szCs w:val="24"/>
        </w:rPr>
        <w:t xml:space="preserve">. However, </w:t>
      </w:r>
      <w:r w:rsidR="00975D4E" w:rsidRPr="00975D4E">
        <w:rPr>
          <w:rFonts w:cstheme="minorHAnsi"/>
          <w:sz w:val="24"/>
          <w:szCs w:val="24"/>
        </w:rPr>
        <w:t xml:space="preserve">HTA </w:t>
      </w:r>
      <w:r w:rsidR="000078A2">
        <w:rPr>
          <w:rFonts w:cstheme="minorHAnsi"/>
          <w:sz w:val="24"/>
          <w:szCs w:val="24"/>
        </w:rPr>
        <w:t>professionals</w:t>
      </w:r>
      <w:r w:rsidR="00975D4E" w:rsidRPr="00975D4E">
        <w:rPr>
          <w:rFonts w:cstheme="minorHAnsi"/>
          <w:sz w:val="24"/>
          <w:szCs w:val="24"/>
        </w:rPr>
        <w:t xml:space="preserve"> in LIECs need training </w:t>
      </w:r>
      <w:r w:rsidR="00D816F8">
        <w:rPr>
          <w:rFonts w:cstheme="minorHAnsi"/>
          <w:sz w:val="24"/>
          <w:szCs w:val="24"/>
        </w:rPr>
        <w:t xml:space="preserve">about </w:t>
      </w:r>
      <w:r w:rsidR="00975D4E" w:rsidRPr="00975D4E">
        <w:rPr>
          <w:rFonts w:cstheme="minorHAnsi"/>
          <w:sz w:val="24"/>
          <w:szCs w:val="24"/>
        </w:rPr>
        <w:t>advanced methodologies.</w:t>
      </w:r>
    </w:p>
    <w:p w14:paraId="7199FFF0" w14:textId="3CF2655F" w:rsidR="00D816F8" w:rsidRPr="005A2B57" w:rsidRDefault="00D816F8" w:rsidP="00D816F8">
      <w:pPr>
        <w:spacing w:line="240" w:lineRule="auto"/>
        <w:ind w:left="50"/>
        <w:jc w:val="both"/>
        <w:rPr>
          <w:rFonts w:cstheme="minorHAnsi"/>
          <w:sz w:val="24"/>
          <w:szCs w:val="24"/>
          <w:lang w:val="en-US"/>
        </w:rPr>
      </w:pPr>
      <w:r>
        <w:rPr>
          <w:rFonts w:cstheme="minorHAnsi"/>
          <w:sz w:val="24"/>
          <w:szCs w:val="24"/>
        </w:rPr>
        <w:t xml:space="preserve">Conclusion: </w:t>
      </w:r>
      <w:bookmarkStart w:id="3" w:name="_Hlk178105073"/>
      <w:r>
        <w:rPr>
          <w:rFonts w:cstheme="minorHAnsi"/>
          <w:sz w:val="24"/>
          <w:szCs w:val="24"/>
        </w:rPr>
        <w:t xml:space="preserve">This is the first study to explore how RWE generated by </w:t>
      </w:r>
      <w:r w:rsidR="00BF31B4">
        <w:rPr>
          <w:rFonts w:cstheme="minorHAnsi"/>
          <w:sz w:val="24"/>
          <w:szCs w:val="24"/>
        </w:rPr>
        <w:t xml:space="preserve">the </w:t>
      </w:r>
      <w:r>
        <w:rPr>
          <w:rFonts w:cstheme="minorHAnsi"/>
          <w:sz w:val="24"/>
          <w:szCs w:val="24"/>
        </w:rPr>
        <w:t xml:space="preserve">TTE method </w:t>
      </w:r>
      <w:r w:rsidRPr="00C83273">
        <w:rPr>
          <w:rFonts w:cstheme="minorHAnsi"/>
          <w:sz w:val="24"/>
          <w:szCs w:val="24"/>
        </w:rPr>
        <w:t xml:space="preserve">can be </w:t>
      </w:r>
      <w:r>
        <w:rPr>
          <w:rFonts w:cstheme="minorHAnsi"/>
          <w:sz w:val="24"/>
          <w:szCs w:val="24"/>
        </w:rPr>
        <w:t>transferred</w:t>
      </w:r>
      <w:r w:rsidRPr="00C83273">
        <w:rPr>
          <w:rFonts w:cstheme="minorHAnsi"/>
          <w:sz w:val="24"/>
          <w:szCs w:val="24"/>
        </w:rPr>
        <w:t xml:space="preserve"> to optim</w:t>
      </w:r>
      <w:r>
        <w:rPr>
          <w:rFonts w:cstheme="minorHAnsi"/>
          <w:sz w:val="24"/>
          <w:szCs w:val="24"/>
        </w:rPr>
        <w:t xml:space="preserve">ize </w:t>
      </w:r>
      <w:r w:rsidRPr="00C83273">
        <w:rPr>
          <w:rFonts w:cstheme="minorHAnsi"/>
          <w:sz w:val="24"/>
          <w:szCs w:val="24"/>
        </w:rPr>
        <w:t xml:space="preserve">treatment </w:t>
      </w:r>
      <w:r>
        <w:rPr>
          <w:rFonts w:cstheme="minorHAnsi"/>
          <w:sz w:val="24"/>
          <w:szCs w:val="24"/>
        </w:rPr>
        <w:t xml:space="preserve">decisions </w:t>
      </w:r>
      <w:r w:rsidRPr="00C83273">
        <w:rPr>
          <w:rFonts w:cstheme="minorHAnsi"/>
          <w:sz w:val="24"/>
          <w:szCs w:val="24"/>
        </w:rPr>
        <w:t xml:space="preserve">of </w:t>
      </w:r>
      <w:r>
        <w:rPr>
          <w:rFonts w:cstheme="minorHAnsi"/>
          <w:sz w:val="24"/>
          <w:szCs w:val="24"/>
        </w:rPr>
        <w:t xml:space="preserve">patients with a rare disease </w:t>
      </w:r>
      <w:r w:rsidRPr="00C83273">
        <w:rPr>
          <w:rFonts w:cstheme="minorHAnsi"/>
          <w:sz w:val="24"/>
          <w:szCs w:val="24"/>
        </w:rPr>
        <w:t>i</w:t>
      </w:r>
      <w:r>
        <w:rPr>
          <w:rFonts w:cstheme="minorHAnsi"/>
          <w:sz w:val="24"/>
          <w:szCs w:val="24"/>
        </w:rPr>
        <w:t xml:space="preserve">n countries with limited HTA capacities. </w:t>
      </w:r>
      <w:r w:rsidR="00B85A1F">
        <w:rPr>
          <w:rFonts w:cstheme="minorHAnsi"/>
          <w:sz w:val="24"/>
          <w:szCs w:val="24"/>
        </w:rPr>
        <w:t xml:space="preserve">Five </w:t>
      </w:r>
      <w:r w:rsidR="00BF31B4">
        <w:rPr>
          <w:rFonts w:cstheme="minorHAnsi"/>
          <w:sz w:val="24"/>
          <w:szCs w:val="24"/>
        </w:rPr>
        <w:t xml:space="preserve">general </w:t>
      </w:r>
      <w:r w:rsidR="00B85A1F">
        <w:rPr>
          <w:rFonts w:cstheme="minorHAnsi"/>
          <w:sz w:val="24"/>
          <w:szCs w:val="24"/>
        </w:rPr>
        <w:t>c</w:t>
      </w:r>
      <w:r w:rsidRPr="00D816F8">
        <w:rPr>
          <w:rFonts w:cstheme="minorHAnsi"/>
          <w:sz w:val="24"/>
          <w:szCs w:val="24"/>
        </w:rPr>
        <w:t xml:space="preserve">oncluding statements </w:t>
      </w:r>
      <w:r w:rsidR="00B85A1F">
        <w:rPr>
          <w:rFonts w:cstheme="minorHAnsi"/>
          <w:sz w:val="24"/>
          <w:szCs w:val="24"/>
        </w:rPr>
        <w:t xml:space="preserve">were made </w:t>
      </w:r>
      <w:r w:rsidRPr="00D816F8">
        <w:rPr>
          <w:rFonts w:cstheme="minorHAnsi"/>
          <w:sz w:val="24"/>
          <w:szCs w:val="24"/>
        </w:rPr>
        <w:t xml:space="preserve">on the novelty of the TTE method </w:t>
      </w:r>
      <w:r>
        <w:rPr>
          <w:rFonts w:cstheme="minorHAnsi"/>
          <w:sz w:val="24"/>
          <w:szCs w:val="24"/>
        </w:rPr>
        <w:t>and</w:t>
      </w:r>
      <w:r w:rsidRPr="00D816F8">
        <w:rPr>
          <w:rFonts w:cstheme="minorHAnsi"/>
          <w:sz w:val="24"/>
          <w:szCs w:val="24"/>
        </w:rPr>
        <w:t xml:space="preserve"> </w:t>
      </w:r>
      <w:r w:rsidR="00B85A1F">
        <w:rPr>
          <w:rFonts w:cstheme="minorHAnsi"/>
          <w:sz w:val="24"/>
          <w:szCs w:val="24"/>
        </w:rPr>
        <w:t>on how to</w:t>
      </w:r>
      <w:r w:rsidRPr="00D816F8">
        <w:rPr>
          <w:rFonts w:cstheme="minorHAnsi"/>
          <w:sz w:val="24"/>
          <w:szCs w:val="24"/>
        </w:rPr>
        <w:t xml:space="preserve"> overcome main challenges</w:t>
      </w:r>
      <w:r w:rsidR="00B85A1F">
        <w:rPr>
          <w:rFonts w:cstheme="minorHAnsi"/>
          <w:sz w:val="24"/>
          <w:szCs w:val="24"/>
        </w:rPr>
        <w:t xml:space="preserve"> of </w:t>
      </w:r>
      <w:r w:rsidR="00BF31B4">
        <w:rPr>
          <w:rFonts w:cstheme="minorHAnsi"/>
          <w:sz w:val="24"/>
          <w:szCs w:val="24"/>
        </w:rPr>
        <w:t xml:space="preserve">transferring </w:t>
      </w:r>
      <w:r w:rsidR="00B85A1F" w:rsidRPr="00B85A1F">
        <w:rPr>
          <w:rFonts w:cstheme="minorHAnsi"/>
          <w:sz w:val="24"/>
          <w:szCs w:val="24"/>
        </w:rPr>
        <w:t>T</w:t>
      </w:r>
      <w:r w:rsidR="00B85A1F">
        <w:rPr>
          <w:rFonts w:cstheme="minorHAnsi"/>
          <w:sz w:val="24"/>
          <w:szCs w:val="24"/>
        </w:rPr>
        <w:t xml:space="preserve">TE </w:t>
      </w:r>
      <w:r w:rsidR="00BF31B4">
        <w:rPr>
          <w:rFonts w:cstheme="minorHAnsi"/>
          <w:sz w:val="24"/>
          <w:szCs w:val="24"/>
        </w:rPr>
        <w:t xml:space="preserve">results </w:t>
      </w:r>
      <w:r w:rsidR="00B85A1F">
        <w:rPr>
          <w:rFonts w:cstheme="minorHAnsi"/>
          <w:sz w:val="24"/>
          <w:szCs w:val="24"/>
        </w:rPr>
        <w:t>to HTA sy</w:t>
      </w:r>
      <w:r w:rsidR="00B85A1F" w:rsidRPr="00B85A1F">
        <w:rPr>
          <w:rFonts w:cstheme="minorHAnsi"/>
          <w:sz w:val="24"/>
          <w:szCs w:val="24"/>
        </w:rPr>
        <w:t xml:space="preserve">stems in </w:t>
      </w:r>
      <w:r w:rsidR="00B85A1F">
        <w:rPr>
          <w:rFonts w:cstheme="minorHAnsi"/>
          <w:sz w:val="24"/>
          <w:szCs w:val="24"/>
        </w:rPr>
        <w:t>LIECs</w:t>
      </w:r>
      <w:r w:rsidRPr="00D816F8">
        <w:rPr>
          <w:rFonts w:cstheme="minorHAnsi"/>
          <w:sz w:val="24"/>
          <w:szCs w:val="24"/>
        </w:rPr>
        <w:t>. </w:t>
      </w:r>
    </w:p>
    <w:bookmarkEnd w:id="3"/>
    <w:p w14:paraId="01E70C32" w14:textId="3BFC7DEB" w:rsidR="00D816F8" w:rsidRPr="00975D4E" w:rsidRDefault="00D816F8" w:rsidP="00975D4E">
      <w:pPr>
        <w:spacing w:line="240" w:lineRule="auto"/>
        <w:ind w:left="50"/>
        <w:jc w:val="both"/>
        <w:rPr>
          <w:rFonts w:cstheme="minorHAnsi"/>
          <w:sz w:val="24"/>
          <w:szCs w:val="24"/>
        </w:rPr>
      </w:pPr>
    </w:p>
    <w:p w14:paraId="5C2CA669" w14:textId="77777777" w:rsidR="0052326A" w:rsidRDefault="0052326A" w:rsidP="0052326A">
      <w:pPr>
        <w:spacing w:line="240" w:lineRule="auto"/>
        <w:ind w:left="50"/>
        <w:jc w:val="both"/>
        <w:rPr>
          <w:rFonts w:cstheme="minorHAnsi"/>
          <w:sz w:val="24"/>
          <w:szCs w:val="24"/>
        </w:rPr>
      </w:pPr>
      <w:r w:rsidRPr="00DD4BFD">
        <w:rPr>
          <w:rFonts w:cstheme="minorHAnsi"/>
          <w:b/>
          <w:bCs/>
          <w:sz w:val="24"/>
          <w:szCs w:val="24"/>
        </w:rPr>
        <w:t>Keywords</w:t>
      </w:r>
    </w:p>
    <w:p w14:paraId="37F8F285" w14:textId="77777777" w:rsidR="0052326A" w:rsidRPr="005A2B57" w:rsidRDefault="0052326A" w:rsidP="0052326A">
      <w:pPr>
        <w:spacing w:line="240" w:lineRule="auto"/>
        <w:ind w:left="50"/>
        <w:jc w:val="both"/>
        <w:rPr>
          <w:rFonts w:cstheme="minorHAnsi"/>
          <w:sz w:val="24"/>
          <w:szCs w:val="24"/>
          <w:lang w:val="en-US"/>
        </w:rPr>
      </w:pPr>
      <w:r>
        <w:rPr>
          <w:rFonts w:cstheme="minorHAnsi"/>
          <w:sz w:val="24"/>
          <w:szCs w:val="24"/>
        </w:rPr>
        <w:t>t</w:t>
      </w:r>
      <w:r w:rsidRPr="00DD4BFD">
        <w:rPr>
          <w:rFonts w:cstheme="minorHAnsi"/>
          <w:sz w:val="24"/>
          <w:szCs w:val="24"/>
        </w:rPr>
        <w:t>ransferability</w:t>
      </w:r>
      <w:r>
        <w:rPr>
          <w:rFonts w:cstheme="minorHAnsi"/>
          <w:sz w:val="24"/>
          <w:szCs w:val="24"/>
        </w:rPr>
        <w:t>; r</w:t>
      </w:r>
      <w:r w:rsidRPr="00DD4BFD">
        <w:rPr>
          <w:rFonts w:cstheme="minorHAnsi"/>
          <w:sz w:val="24"/>
          <w:szCs w:val="24"/>
        </w:rPr>
        <w:t xml:space="preserve">eal </w:t>
      </w:r>
      <w:r>
        <w:rPr>
          <w:rFonts w:cstheme="minorHAnsi"/>
          <w:sz w:val="24"/>
          <w:szCs w:val="24"/>
        </w:rPr>
        <w:t>w</w:t>
      </w:r>
      <w:r w:rsidRPr="00DD4BFD">
        <w:rPr>
          <w:rFonts w:cstheme="minorHAnsi"/>
          <w:sz w:val="24"/>
          <w:szCs w:val="24"/>
        </w:rPr>
        <w:t xml:space="preserve">orld </w:t>
      </w:r>
      <w:r>
        <w:rPr>
          <w:rFonts w:cstheme="minorHAnsi"/>
          <w:sz w:val="24"/>
          <w:szCs w:val="24"/>
        </w:rPr>
        <w:t>e</w:t>
      </w:r>
      <w:r w:rsidRPr="00DD4BFD">
        <w:rPr>
          <w:rFonts w:cstheme="minorHAnsi"/>
          <w:sz w:val="24"/>
          <w:szCs w:val="24"/>
        </w:rPr>
        <w:t>vidence</w:t>
      </w:r>
      <w:r>
        <w:rPr>
          <w:rFonts w:cstheme="minorHAnsi"/>
          <w:sz w:val="24"/>
          <w:szCs w:val="24"/>
        </w:rPr>
        <w:t>; health technology assessment, target trial emulation; lower income European countries</w:t>
      </w:r>
    </w:p>
    <w:p w14:paraId="3ED66950" w14:textId="0215DE55" w:rsidR="00EF323C" w:rsidRPr="005A2B57" w:rsidRDefault="00EF323C" w:rsidP="00EF323C">
      <w:pPr>
        <w:tabs>
          <w:tab w:val="left" w:pos="1530"/>
        </w:tabs>
        <w:spacing w:line="240" w:lineRule="auto"/>
        <w:jc w:val="both"/>
        <w:rPr>
          <w:rFonts w:cstheme="minorHAnsi"/>
          <w:sz w:val="24"/>
          <w:szCs w:val="24"/>
          <w:lang w:val="en-US"/>
        </w:rPr>
      </w:pPr>
    </w:p>
    <w:p w14:paraId="42309D3F" w14:textId="77777777" w:rsidR="00EF323C" w:rsidRDefault="00EF323C">
      <w:pPr>
        <w:rPr>
          <w:rFonts w:cstheme="minorHAnsi"/>
          <w:b/>
          <w:bCs/>
          <w:sz w:val="24"/>
          <w:szCs w:val="24"/>
        </w:rPr>
      </w:pPr>
      <w:r>
        <w:rPr>
          <w:rFonts w:cstheme="minorHAnsi"/>
          <w:b/>
          <w:bCs/>
          <w:sz w:val="24"/>
          <w:szCs w:val="24"/>
        </w:rPr>
        <w:br w:type="page"/>
      </w:r>
    </w:p>
    <w:p w14:paraId="74DBC89A" w14:textId="7F643420" w:rsidR="00D42378" w:rsidRPr="00C83273" w:rsidRDefault="00D42378" w:rsidP="00C83273">
      <w:pPr>
        <w:spacing w:line="240" w:lineRule="auto"/>
        <w:ind w:left="50"/>
        <w:jc w:val="both"/>
        <w:rPr>
          <w:rFonts w:cstheme="minorHAnsi"/>
          <w:b/>
          <w:bCs/>
          <w:sz w:val="24"/>
          <w:szCs w:val="24"/>
        </w:rPr>
      </w:pPr>
      <w:r w:rsidRPr="00C83273">
        <w:rPr>
          <w:rFonts w:cstheme="minorHAnsi"/>
          <w:b/>
          <w:bCs/>
          <w:sz w:val="24"/>
          <w:szCs w:val="24"/>
        </w:rPr>
        <w:t>Introduction</w:t>
      </w:r>
    </w:p>
    <w:p w14:paraId="06E1FDE0" w14:textId="03BCB1E5" w:rsidR="0000157A" w:rsidRPr="0000157A" w:rsidRDefault="0000157A" w:rsidP="0000157A">
      <w:pPr>
        <w:spacing w:line="240" w:lineRule="auto"/>
        <w:ind w:left="50"/>
        <w:jc w:val="both"/>
        <w:rPr>
          <w:rFonts w:cstheme="minorHAnsi"/>
          <w:sz w:val="24"/>
          <w:szCs w:val="24"/>
        </w:rPr>
      </w:pPr>
      <w:r w:rsidRPr="0000157A">
        <w:rPr>
          <w:rFonts w:cstheme="minorHAnsi"/>
          <w:sz w:val="24"/>
          <w:szCs w:val="24"/>
        </w:rPr>
        <w:t>The importance of health technology assessment (HTA) in policy decisions on high-cost technologies has been growing in recent years, which contributed to the development of a new legislative framework aimed at facilitating the harmoni</w:t>
      </w:r>
      <w:r>
        <w:rPr>
          <w:rFonts w:cstheme="minorHAnsi"/>
          <w:sz w:val="24"/>
          <w:szCs w:val="24"/>
        </w:rPr>
        <w:t>s</w:t>
      </w:r>
      <w:r w:rsidRPr="0000157A">
        <w:rPr>
          <w:rFonts w:cstheme="minorHAnsi"/>
          <w:sz w:val="24"/>
          <w:szCs w:val="24"/>
        </w:rPr>
        <w:t>ation of HTA within the European Union (EU). [1] As HTA is adopted in an increasing number of countries both within and outside Europe, its methodology has also evolved. Drivers of these methodological changes include the availability of real-world data</w:t>
      </w:r>
      <w:r w:rsidR="008051A2">
        <w:rPr>
          <w:rFonts w:cstheme="minorHAnsi"/>
          <w:sz w:val="24"/>
          <w:szCs w:val="24"/>
        </w:rPr>
        <w:t xml:space="preserve"> (RWD)</w:t>
      </w:r>
      <w:r w:rsidRPr="0000157A">
        <w:rPr>
          <w:rFonts w:cstheme="minorHAnsi"/>
          <w:sz w:val="24"/>
          <w:szCs w:val="24"/>
        </w:rPr>
        <w:t xml:space="preserve"> </w:t>
      </w:r>
      <w:r>
        <w:rPr>
          <w:rFonts w:cstheme="minorHAnsi"/>
          <w:sz w:val="24"/>
          <w:szCs w:val="24"/>
        </w:rPr>
        <w:t>and</w:t>
      </w:r>
      <w:r w:rsidRPr="0000157A">
        <w:rPr>
          <w:rFonts w:cstheme="minorHAnsi"/>
          <w:sz w:val="24"/>
          <w:szCs w:val="24"/>
        </w:rPr>
        <w:t xml:space="preserve"> artificial intelligence </w:t>
      </w:r>
      <w:r w:rsidR="008051A2">
        <w:rPr>
          <w:rFonts w:cstheme="minorHAnsi"/>
          <w:sz w:val="24"/>
          <w:szCs w:val="24"/>
        </w:rPr>
        <w:t xml:space="preserve">(AI) </w:t>
      </w:r>
      <w:r w:rsidRPr="0000157A">
        <w:rPr>
          <w:rFonts w:cstheme="minorHAnsi"/>
          <w:sz w:val="24"/>
          <w:szCs w:val="24"/>
        </w:rPr>
        <w:t>tools.</w:t>
      </w:r>
    </w:p>
    <w:p w14:paraId="26D52BC1" w14:textId="1DC0463C" w:rsidR="0000157A" w:rsidRDefault="0000157A" w:rsidP="0000157A">
      <w:pPr>
        <w:spacing w:line="240" w:lineRule="auto"/>
        <w:ind w:left="50"/>
        <w:jc w:val="both"/>
        <w:rPr>
          <w:rFonts w:cstheme="minorHAnsi"/>
          <w:sz w:val="24"/>
          <w:szCs w:val="24"/>
        </w:rPr>
      </w:pPr>
      <w:r w:rsidRPr="0000157A">
        <w:rPr>
          <w:rFonts w:cstheme="minorHAnsi"/>
          <w:sz w:val="24"/>
          <w:szCs w:val="24"/>
        </w:rPr>
        <w:t xml:space="preserve">The European Commission supports the improvement of HTA methodologies through large-scale research projects, such as ADVANCE-HTA, INTEGRATE-HTA, </w:t>
      </w:r>
      <w:proofErr w:type="spellStart"/>
      <w:r w:rsidRPr="0000157A">
        <w:rPr>
          <w:rFonts w:cstheme="minorHAnsi"/>
          <w:sz w:val="24"/>
          <w:szCs w:val="24"/>
        </w:rPr>
        <w:t>MedtecHTA</w:t>
      </w:r>
      <w:proofErr w:type="spellEnd"/>
      <w:r w:rsidRPr="0000157A">
        <w:rPr>
          <w:rFonts w:cstheme="minorHAnsi"/>
          <w:sz w:val="24"/>
          <w:szCs w:val="24"/>
        </w:rPr>
        <w:t xml:space="preserve">, </w:t>
      </w:r>
      <w:proofErr w:type="spellStart"/>
      <w:r w:rsidRPr="0000157A">
        <w:rPr>
          <w:rFonts w:cstheme="minorHAnsi"/>
          <w:sz w:val="24"/>
          <w:szCs w:val="24"/>
        </w:rPr>
        <w:t>AdHopHTA</w:t>
      </w:r>
      <w:proofErr w:type="spellEnd"/>
      <w:r w:rsidRPr="0000157A">
        <w:rPr>
          <w:rFonts w:cstheme="minorHAnsi"/>
          <w:sz w:val="24"/>
          <w:szCs w:val="24"/>
        </w:rPr>
        <w:t xml:space="preserve">, Impact HTA and </w:t>
      </w:r>
      <w:proofErr w:type="spellStart"/>
      <w:r w:rsidRPr="0000157A">
        <w:rPr>
          <w:rFonts w:cstheme="minorHAnsi"/>
          <w:sz w:val="24"/>
          <w:szCs w:val="24"/>
        </w:rPr>
        <w:t>EDiHTA</w:t>
      </w:r>
      <w:proofErr w:type="spellEnd"/>
      <w:r w:rsidRPr="0000157A">
        <w:rPr>
          <w:rFonts w:cstheme="minorHAnsi"/>
          <w:sz w:val="24"/>
          <w:szCs w:val="24"/>
        </w:rPr>
        <w:t>. However, lower-income EU member states, primarily in Eastern Europe, are underrepresented in these EU-funded collaborative projects.[2] As a consequence, novel HTA methods developed through these projects are more likely t</w:t>
      </w:r>
      <w:r>
        <w:rPr>
          <w:rFonts w:cstheme="minorHAnsi"/>
          <w:sz w:val="24"/>
          <w:szCs w:val="24"/>
        </w:rPr>
        <w:t>a</w:t>
      </w:r>
      <w:r w:rsidRPr="0000157A">
        <w:rPr>
          <w:rFonts w:cstheme="minorHAnsi"/>
          <w:sz w:val="24"/>
          <w:szCs w:val="24"/>
        </w:rPr>
        <w:t xml:space="preserve">ilored to the needs of higher-income European countries, which tend to be more advanced in their implementation of HTA. This disparity implies that some deliverables of these projects may be less transferable to lower-income European countries (LIECs). In this case, paradoxically, EU-funded projects which aim to advance HTA methodologies may inadvertently widen the gap between forerunner and late-adopter countries in HTA implementation.[3] </w:t>
      </w:r>
    </w:p>
    <w:p w14:paraId="2EB73A81" w14:textId="0B2AAFAB" w:rsidR="00A170CE" w:rsidRPr="0000157A" w:rsidRDefault="00A170CE" w:rsidP="00647154">
      <w:pPr>
        <w:spacing w:line="240" w:lineRule="auto"/>
        <w:ind w:left="50"/>
        <w:jc w:val="both"/>
        <w:rPr>
          <w:rFonts w:cstheme="minorHAnsi"/>
          <w:sz w:val="24"/>
          <w:szCs w:val="24"/>
        </w:rPr>
      </w:pPr>
      <w:r>
        <w:rPr>
          <w:rFonts w:cstheme="minorHAnsi"/>
          <w:sz w:val="24"/>
          <w:szCs w:val="24"/>
        </w:rPr>
        <w:t>A previous p</w:t>
      </w:r>
      <w:r w:rsidR="00890997">
        <w:rPr>
          <w:rFonts w:cstheme="minorHAnsi"/>
          <w:sz w:val="24"/>
          <w:szCs w:val="24"/>
        </w:rPr>
        <w:t>aper</w:t>
      </w:r>
      <w:r w:rsidR="006603C5">
        <w:rPr>
          <w:rFonts w:cstheme="minorHAnsi"/>
          <w:sz w:val="24"/>
          <w:szCs w:val="24"/>
        </w:rPr>
        <w:t xml:space="preserve"> [4]</w:t>
      </w:r>
      <w:r w:rsidR="00890997">
        <w:rPr>
          <w:rFonts w:cstheme="minorHAnsi"/>
          <w:sz w:val="24"/>
          <w:szCs w:val="24"/>
        </w:rPr>
        <w:t xml:space="preserve"> indicated </w:t>
      </w:r>
      <w:r w:rsidR="00890997" w:rsidRPr="00890997">
        <w:rPr>
          <w:rFonts w:cstheme="minorHAnsi"/>
          <w:sz w:val="24"/>
          <w:szCs w:val="24"/>
        </w:rPr>
        <w:t xml:space="preserve">five contextual factors </w:t>
      </w:r>
      <w:r w:rsidR="002F5695">
        <w:rPr>
          <w:rFonts w:cstheme="minorHAnsi"/>
          <w:sz w:val="24"/>
          <w:szCs w:val="24"/>
        </w:rPr>
        <w:t xml:space="preserve">to </w:t>
      </w:r>
      <w:r w:rsidR="00890997" w:rsidRPr="00890997">
        <w:rPr>
          <w:rFonts w:cstheme="minorHAnsi"/>
          <w:sz w:val="24"/>
          <w:szCs w:val="24"/>
        </w:rPr>
        <w:t>influence HTA development and the associated decision‐making process</w:t>
      </w:r>
      <w:r w:rsidR="002F5695">
        <w:rPr>
          <w:rFonts w:cstheme="minorHAnsi"/>
          <w:sz w:val="24"/>
          <w:szCs w:val="24"/>
        </w:rPr>
        <w:t xml:space="preserve"> in LIECs</w:t>
      </w:r>
      <w:r w:rsidR="008D251D">
        <w:rPr>
          <w:rFonts w:cstheme="minorHAnsi"/>
          <w:sz w:val="24"/>
          <w:szCs w:val="24"/>
        </w:rPr>
        <w:t xml:space="preserve"> compared to HIECs</w:t>
      </w:r>
      <w:r w:rsidR="002F5695">
        <w:rPr>
          <w:rFonts w:cstheme="minorHAnsi"/>
          <w:sz w:val="24"/>
          <w:szCs w:val="24"/>
        </w:rPr>
        <w:t xml:space="preserve">, including </w:t>
      </w:r>
      <w:proofErr w:type="spellStart"/>
      <w:r w:rsidR="00A103EA">
        <w:rPr>
          <w:rFonts w:cstheme="minorHAnsi"/>
          <w:sz w:val="24"/>
          <w:szCs w:val="24"/>
        </w:rPr>
        <w:t>i</w:t>
      </w:r>
      <w:proofErr w:type="spellEnd"/>
      <w:r w:rsidR="00A103EA">
        <w:rPr>
          <w:rFonts w:cstheme="minorHAnsi"/>
          <w:sz w:val="24"/>
          <w:szCs w:val="24"/>
        </w:rPr>
        <w:t>) the limitation f</w:t>
      </w:r>
      <w:r w:rsidR="00890997" w:rsidRPr="00890997">
        <w:rPr>
          <w:rFonts w:cstheme="minorHAnsi"/>
          <w:sz w:val="24"/>
          <w:szCs w:val="24"/>
        </w:rPr>
        <w:t>inancial resources for improving health through innovative and expensive technologies; (</w:t>
      </w:r>
      <w:r w:rsidR="007065A8">
        <w:rPr>
          <w:rFonts w:cstheme="minorHAnsi"/>
          <w:sz w:val="24"/>
          <w:szCs w:val="24"/>
        </w:rPr>
        <w:t>ii</w:t>
      </w:r>
      <w:r w:rsidR="00890997" w:rsidRPr="00890997">
        <w:rPr>
          <w:rFonts w:cstheme="minorHAnsi"/>
          <w:sz w:val="24"/>
          <w:szCs w:val="24"/>
        </w:rPr>
        <w:t xml:space="preserve">) </w:t>
      </w:r>
      <w:r w:rsidR="007065A8">
        <w:rPr>
          <w:rFonts w:cstheme="minorHAnsi"/>
          <w:sz w:val="24"/>
          <w:szCs w:val="24"/>
        </w:rPr>
        <w:t xml:space="preserve">the worse population </w:t>
      </w:r>
      <w:r w:rsidR="00890997" w:rsidRPr="00890997">
        <w:rPr>
          <w:rFonts w:cstheme="minorHAnsi"/>
          <w:sz w:val="24"/>
          <w:szCs w:val="24"/>
        </w:rPr>
        <w:t>health status</w:t>
      </w:r>
      <w:r w:rsidR="007065A8">
        <w:rPr>
          <w:rFonts w:cstheme="minorHAnsi"/>
          <w:sz w:val="24"/>
          <w:szCs w:val="24"/>
        </w:rPr>
        <w:t xml:space="preserve"> and </w:t>
      </w:r>
      <w:r w:rsidR="008D251D">
        <w:rPr>
          <w:rFonts w:cstheme="minorHAnsi"/>
          <w:sz w:val="24"/>
          <w:szCs w:val="24"/>
        </w:rPr>
        <w:t xml:space="preserve">consequently </w:t>
      </w:r>
      <w:r w:rsidR="00890997" w:rsidRPr="00890997">
        <w:rPr>
          <w:rFonts w:cstheme="minorHAnsi"/>
          <w:sz w:val="24"/>
          <w:szCs w:val="24"/>
        </w:rPr>
        <w:t xml:space="preserve">the </w:t>
      </w:r>
      <w:r w:rsidR="008D251D">
        <w:rPr>
          <w:rFonts w:cstheme="minorHAnsi"/>
          <w:sz w:val="24"/>
          <w:szCs w:val="24"/>
        </w:rPr>
        <w:t xml:space="preserve">higher </w:t>
      </w:r>
      <w:r w:rsidR="00890997" w:rsidRPr="00890997">
        <w:rPr>
          <w:rFonts w:cstheme="minorHAnsi"/>
          <w:sz w:val="24"/>
          <w:szCs w:val="24"/>
        </w:rPr>
        <w:t>needs for effective medical technologies; (</w:t>
      </w:r>
      <w:r w:rsidR="00703F2F">
        <w:rPr>
          <w:rFonts w:cstheme="minorHAnsi"/>
          <w:sz w:val="24"/>
          <w:szCs w:val="24"/>
        </w:rPr>
        <w:t>iii</w:t>
      </w:r>
      <w:r w:rsidR="00890997" w:rsidRPr="00890997">
        <w:rPr>
          <w:rFonts w:cstheme="minorHAnsi"/>
          <w:sz w:val="24"/>
          <w:szCs w:val="24"/>
        </w:rPr>
        <w:t xml:space="preserve">) </w:t>
      </w:r>
      <w:r w:rsidR="00703F2F">
        <w:rPr>
          <w:rFonts w:cstheme="minorHAnsi"/>
          <w:sz w:val="24"/>
          <w:szCs w:val="24"/>
        </w:rPr>
        <w:t>t</w:t>
      </w:r>
      <w:r w:rsidR="00890997" w:rsidRPr="00890997">
        <w:rPr>
          <w:rFonts w:cstheme="minorHAnsi"/>
          <w:sz w:val="24"/>
          <w:szCs w:val="24"/>
        </w:rPr>
        <w:t xml:space="preserve">he </w:t>
      </w:r>
      <w:r w:rsidR="00703F2F">
        <w:rPr>
          <w:rFonts w:cstheme="minorHAnsi"/>
          <w:sz w:val="24"/>
          <w:szCs w:val="24"/>
        </w:rPr>
        <w:t>h</w:t>
      </w:r>
      <w:r w:rsidR="009F50FC">
        <w:rPr>
          <w:rFonts w:cstheme="minorHAnsi"/>
          <w:sz w:val="24"/>
          <w:szCs w:val="24"/>
        </w:rPr>
        <w:t xml:space="preserve">istorical </w:t>
      </w:r>
      <w:r w:rsidR="00890997" w:rsidRPr="00890997">
        <w:rPr>
          <w:rFonts w:cstheme="minorHAnsi"/>
          <w:sz w:val="24"/>
          <w:szCs w:val="24"/>
        </w:rPr>
        <w:t>reliance on public financing and provision of health care</w:t>
      </w:r>
      <w:r w:rsidR="009F50FC">
        <w:rPr>
          <w:rFonts w:cstheme="minorHAnsi"/>
          <w:sz w:val="24"/>
          <w:szCs w:val="24"/>
        </w:rPr>
        <w:t xml:space="preserve">, which </w:t>
      </w:r>
      <w:r w:rsidR="00264500">
        <w:rPr>
          <w:rFonts w:cstheme="minorHAnsi"/>
          <w:sz w:val="24"/>
          <w:szCs w:val="24"/>
        </w:rPr>
        <w:t xml:space="preserve">makes </w:t>
      </w:r>
      <w:r w:rsidR="00890997" w:rsidRPr="00890997">
        <w:rPr>
          <w:rFonts w:cstheme="minorHAnsi"/>
          <w:sz w:val="24"/>
          <w:szCs w:val="24"/>
        </w:rPr>
        <w:t>free and easy access to healthcare technologies a sensitive issue; (</w:t>
      </w:r>
      <w:r w:rsidR="00C06EE6">
        <w:rPr>
          <w:rFonts w:cstheme="minorHAnsi"/>
          <w:sz w:val="24"/>
          <w:szCs w:val="24"/>
        </w:rPr>
        <w:t>iv</w:t>
      </w:r>
      <w:r w:rsidR="00890997" w:rsidRPr="00890997">
        <w:rPr>
          <w:rFonts w:cstheme="minorHAnsi"/>
          <w:sz w:val="24"/>
          <w:szCs w:val="24"/>
        </w:rPr>
        <w:t xml:space="preserve">) </w:t>
      </w:r>
      <w:r w:rsidR="00C06EE6">
        <w:rPr>
          <w:rFonts w:cstheme="minorHAnsi"/>
          <w:sz w:val="24"/>
          <w:szCs w:val="24"/>
        </w:rPr>
        <w:t>t</w:t>
      </w:r>
      <w:r w:rsidR="00890997" w:rsidRPr="00890997">
        <w:rPr>
          <w:rFonts w:cstheme="minorHAnsi"/>
          <w:sz w:val="24"/>
          <w:szCs w:val="24"/>
        </w:rPr>
        <w:t xml:space="preserve">he </w:t>
      </w:r>
      <w:r w:rsidR="00C06EE6">
        <w:rPr>
          <w:rFonts w:cstheme="minorHAnsi"/>
          <w:sz w:val="24"/>
          <w:szCs w:val="24"/>
        </w:rPr>
        <w:t>i</w:t>
      </w:r>
      <w:r w:rsidR="00647154">
        <w:rPr>
          <w:rFonts w:cstheme="minorHAnsi"/>
          <w:sz w:val="24"/>
          <w:szCs w:val="24"/>
        </w:rPr>
        <w:t xml:space="preserve">gnorance of </w:t>
      </w:r>
      <w:r w:rsidR="00647154" w:rsidRPr="00890997">
        <w:rPr>
          <w:rFonts w:cstheme="minorHAnsi"/>
          <w:sz w:val="24"/>
          <w:szCs w:val="24"/>
        </w:rPr>
        <w:t xml:space="preserve">requirements and needs </w:t>
      </w:r>
      <w:r w:rsidR="00522365">
        <w:rPr>
          <w:rFonts w:cstheme="minorHAnsi"/>
          <w:sz w:val="24"/>
          <w:szCs w:val="24"/>
        </w:rPr>
        <w:t xml:space="preserve">of LIECs for </w:t>
      </w:r>
      <w:r w:rsidR="00890997" w:rsidRPr="00890997">
        <w:rPr>
          <w:rFonts w:cstheme="minorHAnsi"/>
          <w:sz w:val="24"/>
          <w:szCs w:val="24"/>
        </w:rPr>
        <w:t xml:space="preserve">pricing rationale of new healthcare technologies </w:t>
      </w:r>
      <w:r w:rsidR="00522365">
        <w:rPr>
          <w:rFonts w:cstheme="minorHAnsi"/>
          <w:sz w:val="24"/>
          <w:szCs w:val="24"/>
        </w:rPr>
        <w:t xml:space="preserve">by pharmaceutical companies </w:t>
      </w:r>
      <w:r w:rsidR="00890997" w:rsidRPr="00890997">
        <w:rPr>
          <w:rFonts w:cstheme="minorHAnsi"/>
          <w:sz w:val="24"/>
          <w:szCs w:val="24"/>
        </w:rPr>
        <w:t>and (</w:t>
      </w:r>
      <w:r w:rsidR="00522365">
        <w:rPr>
          <w:rFonts w:cstheme="minorHAnsi"/>
          <w:sz w:val="24"/>
          <w:szCs w:val="24"/>
        </w:rPr>
        <w:t>v</w:t>
      </w:r>
      <w:r w:rsidR="00890997" w:rsidRPr="00890997">
        <w:rPr>
          <w:rFonts w:cstheme="minorHAnsi"/>
          <w:sz w:val="24"/>
          <w:szCs w:val="24"/>
        </w:rPr>
        <w:t xml:space="preserve">) </w:t>
      </w:r>
      <w:r w:rsidR="00522365">
        <w:rPr>
          <w:rFonts w:cstheme="minorHAnsi"/>
          <w:sz w:val="24"/>
          <w:szCs w:val="24"/>
        </w:rPr>
        <w:t xml:space="preserve">finally limited </w:t>
      </w:r>
      <w:r w:rsidR="00C43E4B">
        <w:rPr>
          <w:rFonts w:cstheme="minorHAnsi"/>
          <w:sz w:val="24"/>
          <w:szCs w:val="24"/>
        </w:rPr>
        <w:t>human and financial c</w:t>
      </w:r>
      <w:r w:rsidR="00890997" w:rsidRPr="00890997">
        <w:rPr>
          <w:rFonts w:cstheme="minorHAnsi"/>
          <w:sz w:val="24"/>
          <w:szCs w:val="24"/>
        </w:rPr>
        <w:t>apacit</w:t>
      </w:r>
      <w:r w:rsidR="00C43E4B">
        <w:rPr>
          <w:rFonts w:cstheme="minorHAnsi"/>
          <w:sz w:val="24"/>
          <w:szCs w:val="24"/>
        </w:rPr>
        <w:t>ies</w:t>
      </w:r>
      <w:r w:rsidR="00890997" w:rsidRPr="00890997">
        <w:rPr>
          <w:rFonts w:cstheme="minorHAnsi"/>
          <w:sz w:val="24"/>
          <w:szCs w:val="24"/>
        </w:rPr>
        <w:t xml:space="preserve"> for HTA</w:t>
      </w:r>
      <w:r w:rsidR="00C43E4B">
        <w:rPr>
          <w:rFonts w:cstheme="minorHAnsi"/>
          <w:sz w:val="24"/>
          <w:szCs w:val="24"/>
        </w:rPr>
        <w:t xml:space="preserve">. </w:t>
      </w:r>
      <w:r w:rsidR="008A1A9A">
        <w:rPr>
          <w:rFonts w:cstheme="minorHAnsi"/>
          <w:sz w:val="24"/>
          <w:szCs w:val="24"/>
        </w:rPr>
        <w:t xml:space="preserve">These factors </w:t>
      </w:r>
      <w:r w:rsidR="00572D28">
        <w:rPr>
          <w:rFonts w:cstheme="minorHAnsi"/>
          <w:sz w:val="24"/>
          <w:szCs w:val="24"/>
        </w:rPr>
        <w:t xml:space="preserve">indicate that the opportunity costs of inappropriate policy decisions </w:t>
      </w:r>
      <w:proofErr w:type="gramStart"/>
      <w:r w:rsidR="00572D28">
        <w:rPr>
          <w:rFonts w:cstheme="minorHAnsi"/>
          <w:sz w:val="24"/>
          <w:szCs w:val="24"/>
        </w:rPr>
        <w:t>is</w:t>
      </w:r>
      <w:proofErr w:type="gramEnd"/>
      <w:r w:rsidR="00572D28">
        <w:rPr>
          <w:rFonts w:cstheme="minorHAnsi"/>
          <w:sz w:val="24"/>
          <w:szCs w:val="24"/>
        </w:rPr>
        <w:t xml:space="preserve"> greater in LIECs</w:t>
      </w:r>
      <w:r w:rsidR="00064D24">
        <w:rPr>
          <w:rFonts w:cstheme="minorHAnsi"/>
          <w:sz w:val="24"/>
          <w:szCs w:val="24"/>
        </w:rPr>
        <w:t xml:space="preserve"> than in HIECs, and therefore, the </w:t>
      </w:r>
      <w:r w:rsidR="00141897">
        <w:rPr>
          <w:rFonts w:cstheme="minorHAnsi"/>
          <w:sz w:val="24"/>
          <w:szCs w:val="24"/>
        </w:rPr>
        <w:t>added value of HTA</w:t>
      </w:r>
      <w:r w:rsidR="005E339A">
        <w:rPr>
          <w:rFonts w:cstheme="minorHAnsi"/>
          <w:sz w:val="24"/>
          <w:szCs w:val="24"/>
        </w:rPr>
        <w:t xml:space="preserve"> may be more </w:t>
      </w:r>
      <w:r w:rsidR="00AC7AA9">
        <w:rPr>
          <w:rFonts w:cstheme="minorHAnsi"/>
          <w:sz w:val="24"/>
          <w:szCs w:val="24"/>
        </w:rPr>
        <w:t xml:space="preserve">substantial. </w:t>
      </w:r>
      <w:r w:rsidR="00601219">
        <w:rPr>
          <w:rFonts w:cstheme="minorHAnsi"/>
          <w:sz w:val="24"/>
          <w:szCs w:val="24"/>
        </w:rPr>
        <w:t xml:space="preserve">Still, </w:t>
      </w:r>
      <w:r w:rsidR="00F70ACE">
        <w:rPr>
          <w:rFonts w:cstheme="minorHAnsi"/>
          <w:sz w:val="24"/>
          <w:szCs w:val="24"/>
        </w:rPr>
        <w:t>LIECs have been lagging behind HIECs in the implementation of HTA</w:t>
      </w:r>
      <w:r w:rsidR="00AC4B28">
        <w:rPr>
          <w:rFonts w:cstheme="minorHAnsi"/>
          <w:sz w:val="24"/>
          <w:szCs w:val="24"/>
        </w:rPr>
        <w:t xml:space="preserve"> </w:t>
      </w:r>
      <w:r w:rsidR="009A65F3">
        <w:rPr>
          <w:rFonts w:cstheme="minorHAnsi"/>
          <w:sz w:val="24"/>
          <w:szCs w:val="24"/>
        </w:rPr>
        <w:t>[</w:t>
      </w:r>
      <w:r w:rsidR="00523FDD">
        <w:rPr>
          <w:rFonts w:cstheme="minorHAnsi"/>
          <w:sz w:val="24"/>
          <w:szCs w:val="24"/>
        </w:rPr>
        <w:t>4</w:t>
      </w:r>
      <w:r w:rsidR="009A65F3">
        <w:rPr>
          <w:rFonts w:cstheme="minorHAnsi"/>
          <w:sz w:val="24"/>
          <w:szCs w:val="24"/>
        </w:rPr>
        <w:t>]</w:t>
      </w:r>
      <w:r w:rsidR="00F70ACE">
        <w:rPr>
          <w:rFonts w:cstheme="minorHAnsi"/>
          <w:sz w:val="24"/>
          <w:szCs w:val="24"/>
        </w:rPr>
        <w:t xml:space="preserve">. </w:t>
      </w:r>
    </w:p>
    <w:p w14:paraId="24FA31A1" w14:textId="0156FEF6" w:rsidR="003E1862" w:rsidRPr="00C83273" w:rsidRDefault="0000157A" w:rsidP="00C83273">
      <w:pPr>
        <w:spacing w:line="240" w:lineRule="auto"/>
        <w:ind w:left="50"/>
        <w:jc w:val="both"/>
        <w:rPr>
          <w:rFonts w:cstheme="minorHAnsi"/>
          <w:sz w:val="24"/>
          <w:szCs w:val="24"/>
        </w:rPr>
      </w:pPr>
      <w:proofErr w:type="spellStart"/>
      <w:r w:rsidRPr="0000157A">
        <w:rPr>
          <w:rFonts w:cstheme="minorHAnsi"/>
          <w:sz w:val="24"/>
          <w:szCs w:val="24"/>
        </w:rPr>
        <w:t>HTx</w:t>
      </w:r>
      <w:proofErr w:type="spellEnd"/>
      <w:r w:rsidRPr="0000157A">
        <w:rPr>
          <w:rFonts w:cstheme="minorHAnsi"/>
          <w:sz w:val="24"/>
          <w:szCs w:val="24"/>
        </w:rPr>
        <w:t xml:space="preserve"> is a Horizon 2020 project supported by the EU, conducted between 2019 and 2024. The main aim of </w:t>
      </w:r>
      <w:proofErr w:type="spellStart"/>
      <w:r w:rsidRPr="0000157A">
        <w:rPr>
          <w:rFonts w:cstheme="minorHAnsi"/>
          <w:sz w:val="24"/>
          <w:szCs w:val="24"/>
        </w:rPr>
        <w:t>HTx</w:t>
      </w:r>
      <w:proofErr w:type="spellEnd"/>
      <w:r w:rsidRPr="0000157A">
        <w:rPr>
          <w:rFonts w:cstheme="minorHAnsi"/>
          <w:sz w:val="24"/>
          <w:szCs w:val="24"/>
        </w:rPr>
        <w:t xml:space="preserve"> was to create a framework for the “</w:t>
      </w:r>
      <w:r w:rsidR="00296C9A">
        <w:rPr>
          <w:rFonts w:cstheme="minorHAnsi"/>
          <w:sz w:val="24"/>
          <w:szCs w:val="24"/>
        </w:rPr>
        <w:t>n</w:t>
      </w:r>
      <w:r w:rsidRPr="0000157A">
        <w:rPr>
          <w:rFonts w:cstheme="minorHAnsi"/>
          <w:sz w:val="24"/>
          <w:szCs w:val="24"/>
        </w:rPr>
        <w:t xml:space="preserve">ext </w:t>
      </w:r>
      <w:r w:rsidR="00296C9A">
        <w:rPr>
          <w:rFonts w:cstheme="minorHAnsi"/>
          <w:sz w:val="24"/>
          <w:szCs w:val="24"/>
        </w:rPr>
        <w:t>g</w:t>
      </w:r>
      <w:r w:rsidRPr="0000157A">
        <w:rPr>
          <w:rFonts w:cstheme="minorHAnsi"/>
          <w:sz w:val="24"/>
          <w:szCs w:val="24"/>
        </w:rPr>
        <w:t xml:space="preserve">eneration </w:t>
      </w:r>
      <w:r w:rsidR="008051A2">
        <w:rPr>
          <w:rFonts w:cstheme="minorHAnsi"/>
          <w:sz w:val="24"/>
          <w:szCs w:val="24"/>
        </w:rPr>
        <w:t xml:space="preserve">of </w:t>
      </w:r>
      <w:r w:rsidR="00296C9A">
        <w:rPr>
          <w:rFonts w:cstheme="minorHAnsi"/>
          <w:sz w:val="24"/>
          <w:szCs w:val="24"/>
        </w:rPr>
        <w:t>h</w:t>
      </w:r>
      <w:r w:rsidRPr="0000157A">
        <w:rPr>
          <w:rFonts w:cstheme="minorHAnsi"/>
          <w:sz w:val="24"/>
          <w:szCs w:val="24"/>
        </w:rPr>
        <w:t xml:space="preserve">ealth </w:t>
      </w:r>
      <w:r w:rsidR="00296C9A">
        <w:rPr>
          <w:rFonts w:cstheme="minorHAnsi"/>
          <w:sz w:val="24"/>
          <w:szCs w:val="24"/>
        </w:rPr>
        <w:t>t</w:t>
      </w:r>
      <w:r w:rsidRPr="0000157A">
        <w:rPr>
          <w:rFonts w:cstheme="minorHAnsi"/>
          <w:sz w:val="24"/>
          <w:szCs w:val="24"/>
        </w:rPr>
        <w:t xml:space="preserve">echnology </w:t>
      </w:r>
      <w:r w:rsidR="00296C9A">
        <w:rPr>
          <w:rFonts w:cstheme="minorHAnsi"/>
          <w:sz w:val="24"/>
          <w:szCs w:val="24"/>
        </w:rPr>
        <w:t>a</w:t>
      </w:r>
      <w:r w:rsidRPr="0000157A">
        <w:rPr>
          <w:rFonts w:cstheme="minorHAnsi"/>
          <w:sz w:val="24"/>
          <w:szCs w:val="24"/>
        </w:rPr>
        <w:t>ssessment to support patient-</w:t>
      </w:r>
      <w:proofErr w:type="spellStart"/>
      <w:r w:rsidRPr="0000157A">
        <w:rPr>
          <w:rFonts w:cstheme="minorHAnsi"/>
          <w:sz w:val="24"/>
          <w:szCs w:val="24"/>
        </w:rPr>
        <w:t>centered</w:t>
      </w:r>
      <w:proofErr w:type="spellEnd"/>
      <w:r w:rsidRPr="0000157A">
        <w:rPr>
          <w:rFonts w:cstheme="minorHAnsi"/>
          <w:sz w:val="24"/>
          <w:szCs w:val="24"/>
        </w:rPr>
        <w:t xml:space="preserve">, societally oriented, real-time decision-making on access to and reimbursement for health technologies throughout Europe”. The </w:t>
      </w:r>
      <w:proofErr w:type="spellStart"/>
      <w:r w:rsidRPr="0000157A">
        <w:rPr>
          <w:rFonts w:cstheme="minorHAnsi"/>
          <w:sz w:val="24"/>
          <w:szCs w:val="24"/>
        </w:rPr>
        <w:t>HTx</w:t>
      </w:r>
      <w:proofErr w:type="spellEnd"/>
      <w:r w:rsidRPr="0000157A">
        <w:rPr>
          <w:rFonts w:cstheme="minorHAnsi"/>
          <w:sz w:val="24"/>
          <w:szCs w:val="24"/>
        </w:rPr>
        <w:t xml:space="preserve"> project puts special emphasis on the transferability of its deliverables in two </w:t>
      </w:r>
      <w:proofErr w:type="gramStart"/>
      <w:r w:rsidRPr="0000157A">
        <w:rPr>
          <w:rFonts w:cstheme="minorHAnsi"/>
          <w:sz w:val="24"/>
          <w:szCs w:val="24"/>
        </w:rPr>
        <w:t>key ways</w:t>
      </w:r>
      <w:proofErr w:type="gramEnd"/>
      <w:r w:rsidRPr="0000157A">
        <w:rPr>
          <w:rFonts w:cstheme="minorHAnsi"/>
          <w:sz w:val="24"/>
          <w:szCs w:val="24"/>
        </w:rPr>
        <w:t xml:space="preserve">: by ensuring reasonable representation of Eastern European researchers in the consortium and by including a dedicated </w:t>
      </w:r>
      <w:proofErr w:type="spellStart"/>
      <w:r w:rsidRPr="0000157A">
        <w:rPr>
          <w:rFonts w:cstheme="minorHAnsi"/>
          <w:sz w:val="24"/>
          <w:szCs w:val="24"/>
        </w:rPr>
        <w:t>workpackage</w:t>
      </w:r>
      <w:proofErr w:type="spellEnd"/>
      <w:r w:rsidRPr="0000157A">
        <w:rPr>
          <w:rFonts w:cstheme="minorHAnsi"/>
          <w:sz w:val="24"/>
          <w:szCs w:val="24"/>
        </w:rPr>
        <w:t xml:space="preserve"> to facilitate the transferability of newly developed tools and methods to LIECs. </w:t>
      </w:r>
      <w:bookmarkStart w:id="4" w:name="_Hlk169873590"/>
      <w:r w:rsidR="003E1862" w:rsidRPr="00C83273">
        <w:rPr>
          <w:rFonts w:cstheme="minorHAnsi"/>
          <w:sz w:val="24"/>
          <w:szCs w:val="24"/>
        </w:rPr>
        <w:t xml:space="preserve">One of the case studies in the </w:t>
      </w:r>
      <w:proofErr w:type="spellStart"/>
      <w:r w:rsidR="003E1862" w:rsidRPr="00C83273">
        <w:rPr>
          <w:rFonts w:cstheme="minorHAnsi"/>
          <w:sz w:val="24"/>
          <w:szCs w:val="24"/>
        </w:rPr>
        <w:t>HTx</w:t>
      </w:r>
      <w:proofErr w:type="spellEnd"/>
      <w:r w:rsidR="003E1862" w:rsidRPr="00C83273">
        <w:rPr>
          <w:rFonts w:cstheme="minorHAnsi"/>
          <w:sz w:val="24"/>
          <w:szCs w:val="24"/>
        </w:rPr>
        <w:t xml:space="preserve"> project </w:t>
      </w:r>
      <w:r w:rsidR="00BA1BC6" w:rsidRPr="00C83273">
        <w:rPr>
          <w:rFonts w:cstheme="minorHAnsi"/>
          <w:sz w:val="24"/>
          <w:szCs w:val="24"/>
        </w:rPr>
        <w:t xml:space="preserve">focuses on </w:t>
      </w:r>
      <w:bookmarkStart w:id="5" w:name="_Hlk178104060"/>
      <w:bookmarkStart w:id="6" w:name="_Hlk169870157"/>
      <w:r w:rsidR="003E1862" w:rsidRPr="00C83273">
        <w:rPr>
          <w:rFonts w:cstheme="minorHAnsi"/>
          <w:sz w:val="24"/>
          <w:szCs w:val="24"/>
        </w:rPr>
        <w:t>myelodysplastic syndrome</w:t>
      </w:r>
      <w:bookmarkEnd w:id="5"/>
      <w:r w:rsidR="003E1862" w:rsidRPr="00C83273">
        <w:rPr>
          <w:rFonts w:cstheme="minorHAnsi"/>
          <w:sz w:val="24"/>
          <w:szCs w:val="24"/>
        </w:rPr>
        <w:t xml:space="preserve"> </w:t>
      </w:r>
      <w:bookmarkEnd w:id="6"/>
      <w:r w:rsidR="003E1862" w:rsidRPr="00C83273">
        <w:rPr>
          <w:rFonts w:cstheme="minorHAnsi"/>
          <w:sz w:val="24"/>
          <w:szCs w:val="24"/>
        </w:rPr>
        <w:t xml:space="preserve">(MDS), </w:t>
      </w:r>
      <w:r w:rsidR="001A7147" w:rsidRPr="00C83273">
        <w:rPr>
          <w:rFonts w:cstheme="minorHAnsi"/>
          <w:sz w:val="24"/>
          <w:szCs w:val="24"/>
        </w:rPr>
        <w:t>a rare disease</w:t>
      </w:r>
      <w:r w:rsidR="001A7147">
        <w:rPr>
          <w:rFonts w:cstheme="minorHAnsi"/>
          <w:sz w:val="24"/>
          <w:szCs w:val="24"/>
        </w:rPr>
        <w:t>,</w:t>
      </w:r>
      <w:r w:rsidR="001A7147" w:rsidRPr="00C83273">
        <w:rPr>
          <w:rFonts w:cstheme="minorHAnsi"/>
          <w:sz w:val="24"/>
          <w:szCs w:val="24"/>
        </w:rPr>
        <w:t xml:space="preserve"> </w:t>
      </w:r>
      <w:r w:rsidR="001A7147">
        <w:rPr>
          <w:rFonts w:cstheme="minorHAnsi"/>
          <w:sz w:val="24"/>
          <w:szCs w:val="24"/>
        </w:rPr>
        <w:t xml:space="preserve">for which the existing randomised controlled trial </w:t>
      </w:r>
      <w:r w:rsidR="00BC15BA">
        <w:rPr>
          <w:rFonts w:cstheme="minorHAnsi"/>
          <w:sz w:val="24"/>
          <w:szCs w:val="24"/>
        </w:rPr>
        <w:t xml:space="preserve">(RCT) </w:t>
      </w:r>
      <w:r w:rsidR="001A7147">
        <w:rPr>
          <w:rFonts w:cstheme="minorHAnsi"/>
          <w:sz w:val="24"/>
          <w:szCs w:val="24"/>
        </w:rPr>
        <w:t xml:space="preserve">evidence poses considerable challenges to </w:t>
      </w:r>
      <w:r w:rsidR="002629C7">
        <w:rPr>
          <w:rFonts w:cstheme="minorHAnsi"/>
          <w:sz w:val="24"/>
          <w:szCs w:val="24"/>
        </w:rPr>
        <w:t>explore the value of health technologies</w:t>
      </w:r>
      <w:r w:rsidR="0053688F" w:rsidRPr="00C83273">
        <w:rPr>
          <w:rFonts w:cstheme="minorHAnsi"/>
          <w:sz w:val="24"/>
          <w:szCs w:val="24"/>
        </w:rPr>
        <w:t xml:space="preserve">. </w:t>
      </w:r>
      <w:bookmarkEnd w:id="4"/>
      <w:r w:rsidR="00BA1BC6" w:rsidRPr="00C83273">
        <w:rPr>
          <w:rFonts w:cstheme="minorHAnsi"/>
          <w:sz w:val="24"/>
          <w:szCs w:val="24"/>
        </w:rPr>
        <w:t xml:space="preserve">In patients with </w:t>
      </w:r>
      <w:r w:rsidR="0053688F" w:rsidRPr="00C83273">
        <w:rPr>
          <w:rFonts w:cstheme="minorHAnsi"/>
          <w:sz w:val="24"/>
          <w:szCs w:val="24"/>
        </w:rPr>
        <w:t>MDS</w:t>
      </w:r>
      <w:r w:rsidR="003E1862" w:rsidRPr="00C83273">
        <w:rPr>
          <w:rFonts w:cstheme="minorHAnsi"/>
          <w:sz w:val="24"/>
          <w:szCs w:val="24"/>
        </w:rPr>
        <w:t xml:space="preserve"> immature blood cells in the bone marrow do not mature </w:t>
      </w:r>
      <w:r w:rsidR="00BC15BA">
        <w:rPr>
          <w:rFonts w:cstheme="minorHAnsi"/>
          <w:sz w:val="24"/>
          <w:szCs w:val="24"/>
        </w:rPr>
        <w:t>to</w:t>
      </w:r>
      <w:r w:rsidR="003E1862" w:rsidRPr="00C83273">
        <w:rPr>
          <w:rFonts w:cstheme="minorHAnsi"/>
          <w:sz w:val="24"/>
          <w:szCs w:val="24"/>
        </w:rPr>
        <w:t xml:space="preserve"> healthy blood cells. The different types of MDS are diagnosed based on specific changes in blood cells or bone marrow</w:t>
      </w:r>
      <w:r w:rsidR="007A68FB" w:rsidRPr="00C83273">
        <w:rPr>
          <w:rFonts w:cstheme="minorHAnsi"/>
          <w:sz w:val="24"/>
          <w:szCs w:val="24"/>
        </w:rPr>
        <w:t xml:space="preserve"> using blood tests and biopsies</w:t>
      </w:r>
      <w:r w:rsidR="00B40003" w:rsidRPr="00C83273">
        <w:rPr>
          <w:rFonts w:cstheme="minorHAnsi"/>
          <w:sz w:val="24"/>
          <w:szCs w:val="24"/>
        </w:rPr>
        <w:t xml:space="preserve">. </w:t>
      </w:r>
      <w:r w:rsidR="00187225">
        <w:rPr>
          <w:rFonts w:cstheme="minorHAnsi"/>
          <w:sz w:val="24"/>
          <w:szCs w:val="24"/>
        </w:rPr>
        <w:t>Due to</w:t>
      </w:r>
      <w:r w:rsidR="00A74D58" w:rsidRPr="00C83273">
        <w:rPr>
          <w:rFonts w:cstheme="minorHAnsi"/>
          <w:sz w:val="24"/>
          <w:szCs w:val="24"/>
        </w:rPr>
        <w:t xml:space="preserve"> the heterogeneity of the disease, t</w:t>
      </w:r>
      <w:r w:rsidR="00B40003" w:rsidRPr="00C83273">
        <w:rPr>
          <w:rFonts w:cstheme="minorHAnsi"/>
          <w:sz w:val="24"/>
          <w:szCs w:val="24"/>
        </w:rPr>
        <w:t>he main s</w:t>
      </w:r>
      <w:r w:rsidR="00DD4327" w:rsidRPr="00C83273">
        <w:rPr>
          <w:rFonts w:cstheme="minorHAnsi"/>
          <w:sz w:val="24"/>
          <w:szCs w:val="24"/>
        </w:rPr>
        <w:t xml:space="preserve">ymptoms vary from </w:t>
      </w:r>
      <w:r w:rsidR="007718B9" w:rsidRPr="00C83273">
        <w:rPr>
          <w:rFonts w:cstheme="minorHAnsi"/>
          <w:sz w:val="24"/>
          <w:szCs w:val="24"/>
        </w:rPr>
        <w:t xml:space="preserve">patient </w:t>
      </w:r>
      <w:r w:rsidR="00DD4327" w:rsidRPr="00C83273">
        <w:rPr>
          <w:rFonts w:cstheme="minorHAnsi"/>
          <w:sz w:val="24"/>
          <w:szCs w:val="24"/>
        </w:rPr>
        <w:t>to p</w:t>
      </w:r>
      <w:r w:rsidR="007718B9" w:rsidRPr="00C83273">
        <w:rPr>
          <w:rFonts w:cstheme="minorHAnsi"/>
          <w:sz w:val="24"/>
          <w:szCs w:val="24"/>
        </w:rPr>
        <w:t>atient</w:t>
      </w:r>
      <w:r w:rsidR="00DD4327" w:rsidRPr="00C83273">
        <w:rPr>
          <w:rFonts w:cstheme="minorHAnsi"/>
          <w:sz w:val="24"/>
          <w:szCs w:val="24"/>
        </w:rPr>
        <w:t>, depending on which blood cell</w:t>
      </w:r>
      <w:r w:rsidR="00AD09D0" w:rsidRPr="00C83273">
        <w:rPr>
          <w:rFonts w:cstheme="minorHAnsi"/>
          <w:sz w:val="24"/>
          <w:szCs w:val="24"/>
        </w:rPr>
        <w:t xml:space="preserve"> lines</w:t>
      </w:r>
      <w:r w:rsidR="00DD4327" w:rsidRPr="00C83273">
        <w:rPr>
          <w:rFonts w:cstheme="minorHAnsi"/>
          <w:sz w:val="24"/>
          <w:szCs w:val="24"/>
        </w:rPr>
        <w:t xml:space="preserve"> are affected.</w:t>
      </w:r>
      <w:r w:rsidR="00B40003" w:rsidRPr="00C83273">
        <w:rPr>
          <w:rFonts w:cstheme="minorHAnsi"/>
          <w:sz w:val="24"/>
          <w:szCs w:val="24"/>
        </w:rPr>
        <w:t xml:space="preserve"> </w:t>
      </w:r>
      <w:r w:rsidR="00187225">
        <w:rPr>
          <w:rFonts w:cstheme="minorHAnsi"/>
          <w:sz w:val="24"/>
          <w:szCs w:val="24"/>
        </w:rPr>
        <w:t>Common s</w:t>
      </w:r>
      <w:r w:rsidR="00B40003" w:rsidRPr="00C83273">
        <w:rPr>
          <w:rFonts w:cstheme="minorHAnsi"/>
          <w:sz w:val="24"/>
          <w:szCs w:val="24"/>
        </w:rPr>
        <w:t xml:space="preserve">ymptoms include </w:t>
      </w:r>
      <w:r w:rsidR="00DD4327" w:rsidRPr="00C83273">
        <w:rPr>
          <w:rFonts w:cstheme="minorHAnsi"/>
          <w:sz w:val="24"/>
          <w:szCs w:val="24"/>
        </w:rPr>
        <w:t xml:space="preserve">anaemia </w:t>
      </w:r>
      <w:r w:rsidR="00082B6A" w:rsidRPr="00C83273">
        <w:rPr>
          <w:rFonts w:cstheme="minorHAnsi"/>
          <w:sz w:val="24"/>
          <w:szCs w:val="24"/>
        </w:rPr>
        <w:t>(</w:t>
      </w:r>
      <w:r w:rsidR="001B2A8A" w:rsidRPr="00C83273">
        <w:rPr>
          <w:rFonts w:cstheme="minorHAnsi"/>
          <w:sz w:val="24"/>
          <w:szCs w:val="24"/>
        </w:rPr>
        <w:t>fatigue, shortness of breath),</w:t>
      </w:r>
      <w:r w:rsidR="00215AB2" w:rsidRPr="00C83273">
        <w:rPr>
          <w:rFonts w:cstheme="minorHAnsi"/>
          <w:sz w:val="24"/>
          <w:szCs w:val="24"/>
        </w:rPr>
        <w:t xml:space="preserve"> bleeding disorders and </w:t>
      </w:r>
      <w:r w:rsidR="00DD4327" w:rsidRPr="00C83273">
        <w:rPr>
          <w:rFonts w:cstheme="minorHAnsi"/>
          <w:sz w:val="24"/>
          <w:szCs w:val="24"/>
        </w:rPr>
        <w:t>infections</w:t>
      </w:r>
      <w:r w:rsidR="00215AB2" w:rsidRPr="00C83273">
        <w:rPr>
          <w:rFonts w:cstheme="minorHAnsi"/>
          <w:sz w:val="24"/>
          <w:szCs w:val="24"/>
        </w:rPr>
        <w:t>.</w:t>
      </w:r>
      <w:r w:rsidR="00DD4327" w:rsidRPr="00C83273">
        <w:rPr>
          <w:rFonts w:cstheme="minorHAnsi"/>
          <w:sz w:val="24"/>
          <w:szCs w:val="24"/>
        </w:rPr>
        <w:t xml:space="preserve"> </w:t>
      </w:r>
      <w:r w:rsidR="003E1862" w:rsidRPr="00C83273">
        <w:rPr>
          <w:rFonts w:cstheme="minorHAnsi"/>
          <w:sz w:val="24"/>
          <w:szCs w:val="24"/>
        </w:rPr>
        <w:t xml:space="preserve">Treatment of MDS includes supportive care (relieving symptoms and improving quality of life), drug therapy (to </w:t>
      </w:r>
      <w:r w:rsidR="002C4027" w:rsidRPr="00C83273">
        <w:rPr>
          <w:rFonts w:cstheme="minorHAnsi"/>
          <w:sz w:val="24"/>
          <w:szCs w:val="24"/>
        </w:rPr>
        <w:t>delay transfusion dependency and alleviate an</w:t>
      </w:r>
      <w:r w:rsidR="007C707F" w:rsidRPr="00C83273">
        <w:rPr>
          <w:rFonts w:cstheme="minorHAnsi"/>
          <w:sz w:val="24"/>
          <w:szCs w:val="24"/>
        </w:rPr>
        <w:t>a</w:t>
      </w:r>
      <w:r w:rsidR="002C4027" w:rsidRPr="00C83273">
        <w:rPr>
          <w:rFonts w:cstheme="minorHAnsi"/>
          <w:sz w:val="24"/>
          <w:szCs w:val="24"/>
        </w:rPr>
        <w:t>emia symptoms</w:t>
      </w:r>
      <w:r w:rsidR="003E1862" w:rsidRPr="00C83273">
        <w:rPr>
          <w:rFonts w:cstheme="minorHAnsi"/>
          <w:sz w:val="24"/>
          <w:szCs w:val="24"/>
        </w:rPr>
        <w:t>), and chemotherapy with stem cell transplantation (curative).</w:t>
      </w:r>
      <w:r w:rsidR="00490450" w:rsidRPr="00C83273">
        <w:rPr>
          <w:rFonts w:cstheme="minorHAnsi"/>
          <w:sz w:val="24"/>
          <w:szCs w:val="24"/>
        </w:rPr>
        <w:t>[</w:t>
      </w:r>
      <w:r w:rsidR="00523FDD">
        <w:rPr>
          <w:rFonts w:cstheme="minorHAnsi"/>
          <w:sz w:val="24"/>
          <w:szCs w:val="24"/>
        </w:rPr>
        <w:t>5</w:t>
      </w:r>
      <w:r w:rsidR="00490450" w:rsidRPr="00C83273">
        <w:rPr>
          <w:rFonts w:cstheme="minorHAnsi"/>
          <w:sz w:val="24"/>
          <w:szCs w:val="24"/>
        </w:rPr>
        <w:t>]</w:t>
      </w:r>
      <w:r w:rsidR="003E1862" w:rsidRPr="00C83273">
        <w:rPr>
          <w:rFonts w:cstheme="minorHAnsi"/>
          <w:sz w:val="24"/>
          <w:szCs w:val="24"/>
        </w:rPr>
        <w:t xml:space="preserve">  </w:t>
      </w:r>
    </w:p>
    <w:p w14:paraId="1DF19748" w14:textId="1346B6A8" w:rsidR="003E1862" w:rsidRPr="00C83273" w:rsidRDefault="003E1862" w:rsidP="00C83273">
      <w:pPr>
        <w:spacing w:line="240" w:lineRule="auto"/>
        <w:ind w:left="50"/>
        <w:jc w:val="both"/>
        <w:rPr>
          <w:rFonts w:cstheme="minorHAnsi"/>
          <w:sz w:val="24"/>
          <w:szCs w:val="24"/>
        </w:rPr>
      </w:pPr>
      <w:bookmarkStart w:id="7" w:name="_Hlk161610574"/>
      <w:r w:rsidRPr="00C83273">
        <w:rPr>
          <w:rFonts w:cstheme="minorHAnsi"/>
          <w:sz w:val="24"/>
          <w:szCs w:val="24"/>
        </w:rPr>
        <w:t xml:space="preserve">MDS was chosen as a case study </w:t>
      </w:r>
      <w:r w:rsidR="00BA1BC6" w:rsidRPr="00C83273">
        <w:rPr>
          <w:rFonts w:cstheme="minorHAnsi"/>
          <w:sz w:val="24"/>
          <w:szCs w:val="24"/>
        </w:rPr>
        <w:t xml:space="preserve">in the </w:t>
      </w:r>
      <w:proofErr w:type="spellStart"/>
      <w:r w:rsidR="00BA1BC6" w:rsidRPr="00C83273">
        <w:rPr>
          <w:rFonts w:cstheme="minorHAnsi"/>
          <w:sz w:val="24"/>
          <w:szCs w:val="24"/>
        </w:rPr>
        <w:t>HTx</w:t>
      </w:r>
      <w:proofErr w:type="spellEnd"/>
      <w:r w:rsidR="00BA1BC6" w:rsidRPr="00C83273">
        <w:rPr>
          <w:rFonts w:cstheme="minorHAnsi"/>
          <w:sz w:val="24"/>
          <w:szCs w:val="24"/>
        </w:rPr>
        <w:t xml:space="preserve"> project, </w:t>
      </w:r>
      <w:r w:rsidRPr="00C83273">
        <w:rPr>
          <w:rFonts w:cstheme="minorHAnsi"/>
          <w:sz w:val="24"/>
          <w:szCs w:val="24"/>
        </w:rPr>
        <w:t xml:space="preserve">because it exemplifies a common challenge for HTA agencies, </w:t>
      </w:r>
      <w:bookmarkStart w:id="8" w:name="_Hlk161481330"/>
      <w:r w:rsidRPr="00C83273">
        <w:rPr>
          <w:rFonts w:cstheme="minorHAnsi"/>
          <w:sz w:val="24"/>
          <w:szCs w:val="24"/>
        </w:rPr>
        <w:t>being a rare disease with limited evidence base</w:t>
      </w:r>
      <w:bookmarkEnd w:id="8"/>
      <w:r w:rsidR="00F70917" w:rsidRPr="00C83273">
        <w:rPr>
          <w:rFonts w:cstheme="minorHAnsi"/>
          <w:sz w:val="24"/>
          <w:szCs w:val="24"/>
        </w:rPr>
        <w:t xml:space="preserve"> for </w:t>
      </w:r>
      <w:r w:rsidR="00187225">
        <w:rPr>
          <w:rFonts w:cstheme="minorHAnsi"/>
          <w:sz w:val="24"/>
          <w:szCs w:val="24"/>
        </w:rPr>
        <w:t>widely</w:t>
      </w:r>
      <w:r w:rsidR="00F70917" w:rsidRPr="00C83273">
        <w:rPr>
          <w:rFonts w:cstheme="minorHAnsi"/>
          <w:sz w:val="24"/>
          <w:szCs w:val="24"/>
        </w:rPr>
        <w:t xml:space="preserve"> accepted therapies such as erythropoiesis-stimulating agents (ESAs), which are often used as first-line therapy for newly diagnosed low to intermediate-1 risk MDS (LR-MDS) patients.</w:t>
      </w:r>
      <w:r w:rsidRPr="00C83273">
        <w:rPr>
          <w:rFonts w:cstheme="minorHAnsi"/>
          <w:sz w:val="24"/>
          <w:szCs w:val="24"/>
        </w:rPr>
        <w:t xml:space="preserve"> </w:t>
      </w:r>
      <w:r w:rsidR="00F70917" w:rsidRPr="00C83273">
        <w:rPr>
          <w:rFonts w:cstheme="minorHAnsi"/>
          <w:sz w:val="24"/>
          <w:szCs w:val="24"/>
        </w:rPr>
        <w:t xml:space="preserve">Defining optimal medical therapy for these patients </w:t>
      </w:r>
      <w:r w:rsidRPr="00C83273">
        <w:rPr>
          <w:rFonts w:cstheme="minorHAnsi"/>
          <w:sz w:val="24"/>
          <w:szCs w:val="24"/>
        </w:rPr>
        <w:t xml:space="preserve">is </w:t>
      </w:r>
      <w:r w:rsidR="001A2599" w:rsidRPr="00C83273">
        <w:rPr>
          <w:rFonts w:cstheme="minorHAnsi"/>
          <w:sz w:val="24"/>
          <w:szCs w:val="24"/>
        </w:rPr>
        <w:t>complicated</w:t>
      </w:r>
      <w:r w:rsidRPr="00C83273">
        <w:rPr>
          <w:rFonts w:cstheme="minorHAnsi"/>
          <w:sz w:val="24"/>
          <w:szCs w:val="24"/>
        </w:rPr>
        <w:t xml:space="preserve"> by the large variation </w:t>
      </w:r>
      <w:r w:rsidR="00F70917" w:rsidRPr="00C83273">
        <w:rPr>
          <w:rFonts w:cstheme="minorHAnsi"/>
          <w:sz w:val="24"/>
          <w:szCs w:val="24"/>
        </w:rPr>
        <w:t xml:space="preserve">that exists </w:t>
      </w:r>
      <w:r w:rsidRPr="00C83273">
        <w:rPr>
          <w:rFonts w:cstheme="minorHAnsi"/>
          <w:sz w:val="24"/>
          <w:szCs w:val="24"/>
        </w:rPr>
        <w:t xml:space="preserve">in specific types of MDS. </w:t>
      </w:r>
      <w:r w:rsidR="00F70917" w:rsidRPr="00C83273">
        <w:rPr>
          <w:rFonts w:cstheme="minorHAnsi"/>
          <w:sz w:val="24"/>
          <w:szCs w:val="24"/>
        </w:rPr>
        <w:t xml:space="preserve"> Diagnostic uncertainty</w:t>
      </w:r>
      <w:r w:rsidR="00B47BAC">
        <w:rPr>
          <w:rFonts w:cstheme="minorHAnsi"/>
          <w:sz w:val="24"/>
          <w:szCs w:val="24"/>
        </w:rPr>
        <w:t>, patient safety and ethical considerations</w:t>
      </w:r>
      <w:r w:rsidR="00F70917" w:rsidRPr="00C83273">
        <w:rPr>
          <w:rFonts w:cstheme="minorHAnsi"/>
          <w:sz w:val="24"/>
          <w:szCs w:val="24"/>
        </w:rPr>
        <w:t xml:space="preserve"> </w:t>
      </w:r>
      <w:r w:rsidR="00B47BAC">
        <w:rPr>
          <w:rFonts w:cstheme="minorHAnsi"/>
          <w:sz w:val="24"/>
          <w:szCs w:val="24"/>
        </w:rPr>
        <w:t xml:space="preserve">limit the viability of </w:t>
      </w:r>
      <w:r w:rsidRPr="00C83273">
        <w:rPr>
          <w:rFonts w:cstheme="minorHAnsi"/>
          <w:sz w:val="24"/>
          <w:szCs w:val="24"/>
        </w:rPr>
        <w:t xml:space="preserve">testing different treatment options in RCTs. </w:t>
      </w:r>
      <w:bookmarkEnd w:id="7"/>
      <w:r w:rsidR="00F70917" w:rsidRPr="00C83273">
        <w:rPr>
          <w:rFonts w:cstheme="minorHAnsi"/>
          <w:sz w:val="24"/>
          <w:szCs w:val="24"/>
        </w:rPr>
        <w:t xml:space="preserve"> </w:t>
      </w:r>
      <w:proofErr w:type="gramStart"/>
      <w:r w:rsidR="00F70917" w:rsidRPr="00C83273">
        <w:rPr>
          <w:rFonts w:cstheme="minorHAnsi"/>
          <w:sz w:val="24"/>
          <w:szCs w:val="24"/>
        </w:rPr>
        <w:t>Even</w:t>
      </w:r>
      <w:proofErr w:type="gramEnd"/>
      <w:r w:rsidR="00F70917" w:rsidRPr="00C83273">
        <w:rPr>
          <w:rFonts w:cstheme="minorHAnsi"/>
          <w:sz w:val="24"/>
          <w:szCs w:val="24"/>
        </w:rPr>
        <w:t xml:space="preserve"> when possible, the study sample </w:t>
      </w:r>
      <w:r w:rsidR="00187225">
        <w:rPr>
          <w:rFonts w:cstheme="minorHAnsi"/>
          <w:sz w:val="24"/>
          <w:szCs w:val="24"/>
        </w:rPr>
        <w:t>is</w:t>
      </w:r>
      <w:r w:rsidR="00F70917" w:rsidRPr="00C83273">
        <w:rPr>
          <w:rFonts w:cstheme="minorHAnsi"/>
          <w:sz w:val="24"/>
          <w:szCs w:val="24"/>
        </w:rPr>
        <w:t xml:space="preserve"> often highly select</w:t>
      </w:r>
      <w:r w:rsidR="007C707F" w:rsidRPr="00C83273">
        <w:rPr>
          <w:rFonts w:cstheme="minorHAnsi"/>
          <w:sz w:val="24"/>
          <w:szCs w:val="24"/>
        </w:rPr>
        <w:t>ive</w:t>
      </w:r>
      <w:r w:rsidR="00F70917" w:rsidRPr="00C83273">
        <w:rPr>
          <w:rFonts w:cstheme="minorHAnsi"/>
          <w:sz w:val="24"/>
          <w:szCs w:val="24"/>
        </w:rPr>
        <w:t xml:space="preserve"> and not representative of the patient population seen in clinical practice.</w:t>
      </w:r>
      <w:r w:rsidR="00490450" w:rsidRPr="00C83273">
        <w:rPr>
          <w:rFonts w:cstheme="minorHAnsi"/>
          <w:sz w:val="24"/>
          <w:szCs w:val="24"/>
        </w:rPr>
        <w:t>[</w:t>
      </w:r>
      <w:r w:rsidR="00523FDD">
        <w:rPr>
          <w:rFonts w:cstheme="minorHAnsi"/>
          <w:sz w:val="24"/>
          <w:szCs w:val="24"/>
        </w:rPr>
        <w:t>6</w:t>
      </w:r>
      <w:r w:rsidR="00490450" w:rsidRPr="00C83273">
        <w:rPr>
          <w:rFonts w:cstheme="minorHAnsi"/>
          <w:sz w:val="24"/>
          <w:szCs w:val="24"/>
        </w:rPr>
        <w:t>]</w:t>
      </w:r>
      <w:r w:rsidR="00F70917" w:rsidRPr="00C83273">
        <w:rPr>
          <w:rFonts w:cstheme="minorHAnsi"/>
          <w:sz w:val="24"/>
          <w:szCs w:val="24"/>
        </w:rPr>
        <w:t xml:space="preserve"> </w:t>
      </w:r>
      <w:r w:rsidRPr="00C83273">
        <w:rPr>
          <w:rFonts w:cstheme="minorHAnsi"/>
          <w:sz w:val="24"/>
          <w:szCs w:val="24"/>
        </w:rPr>
        <w:t>D</w:t>
      </w:r>
      <w:r w:rsidR="008051A2">
        <w:rPr>
          <w:rFonts w:cstheme="minorHAnsi"/>
          <w:sz w:val="24"/>
          <w:szCs w:val="24"/>
        </w:rPr>
        <w:t>ata from the real-world</w:t>
      </w:r>
      <w:r w:rsidRPr="00C83273">
        <w:rPr>
          <w:rFonts w:cstheme="minorHAnsi"/>
          <w:sz w:val="24"/>
          <w:szCs w:val="24"/>
        </w:rPr>
        <w:t xml:space="preserve"> can be used to analyse wh</w:t>
      </w:r>
      <w:r w:rsidR="00EC4859" w:rsidRPr="00C83273">
        <w:rPr>
          <w:rFonts w:cstheme="minorHAnsi"/>
          <w:sz w:val="24"/>
          <w:szCs w:val="24"/>
        </w:rPr>
        <w:t>ich treatments</w:t>
      </w:r>
      <w:r w:rsidRPr="00C83273">
        <w:rPr>
          <w:rFonts w:cstheme="minorHAnsi"/>
          <w:sz w:val="24"/>
          <w:szCs w:val="24"/>
        </w:rPr>
        <w:t xml:space="preserve"> work for which types of patients in which combination or order, provided that these RWD contain enough observations </w:t>
      </w:r>
      <w:r w:rsidR="0053688F" w:rsidRPr="00C83273">
        <w:rPr>
          <w:rFonts w:cstheme="minorHAnsi"/>
          <w:sz w:val="24"/>
          <w:szCs w:val="24"/>
        </w:rPr>
        <w:t>a</w:t>
      </w:r>
      <w:r w:rsidRPr="00C83273">
        <w:rPr>
          <w:rFonts w:cstheme="minorHAnsi"/>
          <w:sz w:val="24"/>
          <w:szCs w:val="24"/>
        </w:rPr>
        <w:t xml:space="preserve">nd </w:t>
      </w:r>
      <w:r w:rsidR="007C707F" w:rsidRPr="00C83273">
        <w:rPr>
          <w:rFonts w:cstheme="minorHAnsi"/>
          <w:sz w:val="24"/>
          <w:szCs w:val="24"/>
        </w:rPr>
        <w:t>bias</w:t>
      </w:r>
      <w:r w:rsidR="00187225">
        <w:rPr>
          <w:rFonts w:cstheme="minorHAnsi"/>
          <w:sz w:val="24"/>
          <w:szCs w:val="24"/>
        </w:rPr>
        <w:t>es</w:t>
      </w:r>
      <w:r w:rsidR="007C707F" w:rsidRPr="00C83273">
        <w:rPr>
          <w:rFonts w:cstheme="minorHAnsi"/>
          <w:sz w:val="24"/>
          <w:szCs w:val="24"/>
        </w:rPr>
        <w:t xml:space="preserve"> can be mitigated. For that reason, it is important that RWD sets </w:t>
      </w:r>
      <w:r w:rsidRPr="00C83273">
        <w:rPr>
          <w:rFonts w:cstheme="minorHAnsi"/>
          <w:sz w:val="24"/>
          <w:szCs w:val="24"/>
        </w:rPr>
        <w:t xml:space="preserve">offer detailed information about </w:t>
      </w:r>
      <w:r w:rsidR="00C5081B" w:rsidRPr="00C83273">
        <w:rPr>
          <w:rFonts w:cstheme="minorHAnsi"/>
          <w:sz w:val="24"/>
          <w:szCs w:val="24"/>
        </w:rPr>
        <w:t xml:space="preserve">the </w:t>
      </w:r>
      <w:r w:rsidRPr="00C83273">
        <w:rPr>
          <w:rFonts w:cstheme="minorHAnsi"/>
          <w:sz w:val="24"/>
          <w:szCs w:val="24"/>
        </w:rPr>
        <w:t>characteristics of patients, the disease, and the treatment provided. For MDS such a data source is available in the form of the European Myelodysplastic Syndromes Registry (EUMDS).</w:t>
      </w:r>
      <w:r w:rsidR="00490450" w:rsidRPr="00C83273">
        <w:rPr>
          <w:rFonts w:cstheme="minorHAnsi"/>
          <w:sz w:val="24"/>
          <w:szCs w:val="24"/>
        </w:rPr>
        <w:t>[</w:t>
      </w:r>
      <w:r w:rsidR="00523FDD">
        <w:rPr>
          <w:rFonts w:cstheme="minorHAnsi"/>
          <w:sz w:val="24"/>
          <w:szCs w:val="24"/>
        </w:rPr>
        <w:t>7</w:t>
      </w:r>
      <w:r w:rsidR="00490450" w:rsidRPr="00C83273">
        <w:rPr>
          <w:rFonts w:cstheme="minorHAnsi"/>
          <w:sz w:val="24"/>
          <w:szCs w:val="24"/>
        </w:rPr>
        <w:t>]</w:t>
      </w:r>
      <w:r w:rsidRPr="00C83273">
        <w:rPr>
          <w:rFonts w:cstheme="minorHAnsi"/>
          <w:sz w:val="24"/>
          <w:szCs w:val="24"/>
        </w:rPr>
        <w:t xml:space="preserve"> This database covers 18 countries and registers clinical outcomes as well as quality of life and costs</w:t>
      </w:r>
      <w:r w:rsidR="00772A03">
        <w:rPr>
          <w:rFonts w:cstheme="minorHAnsi"/>
          <w:sz w:val="24"/>
          <w:szCs w:val="24"/>
        </w:rPr>
        <w:t xml:space="preserve">, however, </w:t>
      </w:r>
      <w:r w:rsidR="00F94292">
        <w:rPr>
          <w:rFonts w:cstheme="minorHAnsi"/>
          <w:sz w:val="24"/>
          <w:szCs w:val="24"/>
        </w:rPr>
        <w:t>the registry does not include any LIECs</w:t>
      </w:r>
      <w:r w:rsidRPr="00C83273">
        <w:rPr>
          <w:rFonts w:cstheme="minorHAnsi"/>
          <w:sz w:val="24"/>
          <w:szCs w:val="24"/>
        </w:rPr>
        <w:t xml:space="preserve">. </w:t>
      </w:r>
      <w:r w:rsidR="00187225">
        <w:rPr>
          <w:rFonts w:cstheme="minorHAnsi"/>
          <w:sz w:val="24"/>
          <w:szCs w:val="24"/>
        </w:rPr>
        <w:t>While a</w:t>
      </w:r>
      <w:r w:rsidR="001739AF" w:rsidRPr="00C83273">
        <w:rPr>
          <w:rFonts w:cstheme="minorHAnsi"/>
          <w:sz w:val="24"/>
          <w:szCs w:val="24"/>
        </w:rPr>
        <w:t xml:space="preserve"> few </w:t>
      </w:r>
      <w:r w:rsidRPr="00C83273">
        <w:rPr>
          <w:rFonts w:cstheme="minorHAnsi"/>
          <w:sz w:val="24"/>
          <w:szCs w:val="24"/>
        </w:rPr>
        <w:t xml:space="preserve">small RCTs in selected populations </w:t>
      </w:r>
      <w:r w:rsidR="001A7147">
        <w:rPr>
          <w:rFonts w:cstheme="minorHAnsi"/>
          <w:sz w:val="24"/>
          <w:szCs w:val="24"/>
        </w:rPr>
        <w:t>with short follow</w:t>
      </w:r>
      <w:r w:rsidR="00BC15BA">
        <w:rPr>
          <w:rFonts w:cstheme="minorHAnsi"/>
          <w:sz w:val="24"/>
          <w:szCs w:val="24"/>
        </w:rPr>
        <w:t>-</w:t>
      </w:r>
      <w:r w:rsidR="001A7147">
        <w:rPr>
          <w:rFonts w:cstheme="minorHAnsi"/>
          <w:sz w:val="24"/>
          <w:szCs w:val="24"/>
        </w:rPr>
        <w:t>up</w:t>
      </w:r>
      <w:r w:rsidR="00BC15BA">
        <w:rPr>
          <w:rFonts w:cstheme="minorHAnsi"/>
          <w:sz w:val="24"/>
          <w:szCs w:val="24"/>
        </w:rPr>
        <w:t xml:space="preserve"> period</w:t>
      </w:r>
      <w:r w:rsidR="001A7147">
        <w:rPr>
          <w:rFonts w:cstheme="minorHAnsi"/>
          <w:sz w:val="24"/>
          <w:szCs w:val="24"/>
        </w:rPr>
        <w:t xml:space="preserve"> </w:t>
      </w:r>
      <w:r w:rsidRPr="00C83273">
        <w:rPr>
          <w:rFonts w:cstheme="minorHAnsi"/>
          <w:sz w:val="24"/>
          <w:szCs w:val="24"/>
        </w:rPr>
        <w:t xml:space="preserve">have been </w:t>
      </w:r>
      <w:r w:rsidR="001739AF" w:rsidRPr="00C83273">
        <w:rPr>
          <w:rFonts w:cstheme="minorHAnsi"/>
          <w:sz w:val="24"/>
          <w:szCs w:val="24"/>
        </w:rPr>
        <w:t>conducted</w:t>
      </w:r>
      <w:r w:rsidR="00E532CB" w:rsidRPr="00C83273">
        <w:rPr>
          <w:rFonts w:cstheme="minorHAnsi"/>
          <w:sz w:val="24"/>
          <w:szCs w:val="24"/>
        </w:rPr>
        <w:t>, d</w:t>
      </w:r>
      <w:r w:rsidRPr="00C83273">
        <w:rPr>
          <w:rFonts w:cstheme="minorHAnsi"/>
          <w:sz w:val="24"/>
          <w:szCs w:val="24"/>
        </w:rPr>
        <w:t xml:space="preserve">ata from these RCTs are not accessible. </w:t>
      </w:r>
    </w:p>
    <w:p w14:paraId="7896B11B" w14:textId="1ADA1566" w:rsidR="00EC4859" w:rsidRPr="00C83273" w:rsidRDefault="0053688F" w:rsidP="00C83273">
      <w:pPr>
        <w:spacing w:line="240" w:lineRule="auto"/>
        <w:ind w:left="50"/>
        <w:jc w:val="both"/>
        <w:rPr>
          <w:rFonts w:cstheme="minorHAnsi"/>
          <w:sz w:val="24"/>
          <w:szCs w:val="24"/>
        </w:rPr>
      </w:pPr>
      <w:bookmarkStart w:id="9" w:name="_Hlk161330864"/>
      <w:r w:rsidRPr="00C83273">
        <w:rPr>
          <w:rFonts w:cstheme="minorHAnsi"/>
          <w:sz w:val="24"/>
          <w:szCs w:val="24"/>
        </w:rPr>
        <w:t xml:space="preserve">The </w:t>
      </w:r>
      <w:r w:rsidR="00BA1BC6" w:rsidRPr="00C83273">
        <w:rPr>
          <w:rFonts w:cstheme="minorHAnsi"/>
          <w:sz w:val="24"/>
          <w:szCs w:val="24"/>
        </w:rPr>
        <w:t>MDS</w:t>
      </w:r>
      <w:r w:rsidRPr="00C83273">
        <w:rPr>
          <w:rFonts w:cstheme="minorHAnsi"/>
          <w:sz w:val="24"/>
          <w:szCs w:val="24"/>
        </w:rPr>
        <w:t xml:space="preserve"> c</w:t>
      </w:r>
      <w:r w:rsidR="003E1862" w:rsidRPr="00C83273">
        <w:rPr>
          <w:rFonts w:cstheme="minorHAnsi"/>
          <w:sz w:val="24"/>
          <w:szCs w:val="24"/>
        </w:rPr>
        <w:t>ase stud</w:t>
      </w:r>
      <w:r w:rsidRPr="00C83273">
        <w:rPr>
          <w:rFonts w:cstheme="minorHAnsi"/>
          <w:sz w:val="24"/>
          <w:szCs w:val="24"/>
        </w:rPr>
        <w:t>y</w:t>
      </w:r>
      <w:r w:rsidR="003E1862" w:rsidRPr="00C83273">
        <w:rPr>
          <w:rFonts w:cstheme="minorHAnsi"/>
          <w:sz w:val="24"/>
          <w:szCs w:val="24"/>
        </w:rPr>
        <w:t xml:space="preserve"> </w:t>
      </w:r>
      <w:bookmarkEnd w:id="9"/>
      <w:r w:rsidR="00B706AA" w:rsidRPr="00C83273">
        <w:rPr>
          <w:rFonts w:cstheme="minorHAnsi"/>
          <w:sz w:val="24"/>
          <w:szCs w:val="24"/>
        </w:rPr>
        <w:t>aimed to emulate a target trial (i.e. target trial emulation, TTE)</w:t>
      </w:r>
      <w:r w:rsidR="0051471E">
        <w:rPr>
          <w:rFonts w:cstheme="minorHAnsi"/>
          <w:sz w:val="24"/>
          <w:szCs w:val="24"/>
        </w:rPr>
        <w:t xml:space="preserve"> </w:t>
      </w:r>
      <w:r w:rsidR="001A7147">
        <w:rPr>
          <w:rFonts w:cstheme="minorHAnsi"/>
          <w:sz w:val="24"/>
          <w:szCs w:val="24"/>
        </w:rPr>
        <w:t xml:space="preserve">in a population reflecting routine clinical practice </w:t>
      </w:r>
      <w:r w:rsidR="00CB67EC" w:rsidRPr="00C83273">
        <w:rPr>
          <w:rFonts w:cstheme="minorHAnsi"/>
          <w:sz w:val="24"/>
          <w:szCs w:val="24"/>
        </w:rPr>
        <w:t>[</w:t>
      </w:r>
      <w:r w:rsidR="00523FDD">
        <w:rPr>
          <w:rFonts w:cstheme="minorHAnsi"/>
          <w:sz w:val="24"/>
          <w:szCs w:val="24"/>
        </w:rPr>
        <w:t>8</w:t>
      </w:r>
      <w:r w:rsidR="00CB67EC" w:rsidRPr="00C83273">
        <w:rPr>
          <w:rFonts w:cstheme="minorHAnsi"/>
          <w:sz w:val="24"/>
          <w:szCs w:val="24"/>
        </w:rPr>
        <w:t>]</w:t>
      </w:r>
      <w:r w:rsidR="00B706AA" w:rsidRPr="00C83273">
        <w:rPr>
          <w:rFonts w:cstheme="minorHAnsi"/>
          <w:sz w:val="24"/>
          <w:szCs w:val="24"/>
        </w:rPr>
        <w:t xml:space="preserve"> </w:t>
      </w:r>
      <w:r w:rsidR="003E1862" w:rsidRPr="00C83273">
        <w:rPr>
          <w:rFonts w:cstheme="minorHAnsi"/>
          <w:sz w:val="24"/>
          <w:szCs w:val="24"/>
        </w:rPr>
        <w:t xml:space="preserve">to estimate </w:t>
      </w:r>
      <w:r w:rsidR="00B706AA" w:rsidRPr="00C83273">
        <w:rPr>
          <w:rFonts w:cstheme="minorHAnsi"/>
          <w:sz w:val="24"/>
          <w:szCs w:val="24"/>
        </w:rPr>
        <w:t xml:space="preserve">the </w:t>
      </w:r>
      <w:r w:rsidR="00F70917" w:rsidRPr="00C83273">
        <w:rPr>
          <w:rFonts w:cstheme="minorHAnsi"/>
          <w:sz w:val="24"/>
          <w:szCs w:val="24"/>
        </w:rPr>
        <w:t>causal</w:t>
      </w:r>
      <w:r w:rsidR="003E1862" w:rsidRPr="00C83273">
        <w:rPr>
          <w:rFonts w:cstheme="minorHAnsi"/>
          <w:sz w:val="24"/>
          <w:szCs w:val="24"/>
        </w:rPr>
        <w:t xml:space="preserve"> </w:t>
      </w:r>
      <w:r w:rsidR="00F70917" w:rsidRPr="00C83273">
        <w:rPr>
          <w:rFonts w:cstheme="minorHAnsi"/>
          <w:sz w:val="24"/>
          <w:szCs w:val="24"/>
        </w:rPr>
        <w:t xml:space="preserve">average </w:t>
      </w:r>
      <w:r w:rsidR="003E1862" w:rsidRPr="00C83273">
        <w:rPr>
          <w:rFonts w:cstheme="minorHAnsi"/>
          <w:sz w:val="24"/>
          <w:szCs w:val="24"/>
        </w:rPr>
        <w:t>treatment effect</w:t>
      </w:r>
      <w:r w:rsidR="00F70917" w:rsidRPr="00C83273">
        <w:rPr>
          <w:rFonts w:cstheme="minorHAnsi"/>
          <w:sz w:val="24"/>
          <w:szCs w:val="24"/>
        </w:rPr>
        <w:t xml:space="preserve"> of </w:t>
      </w:r>
      <w:r w:rsidR="00B706AA" w:rsidRPr="00C83273">
        <w:rPr>
          <w:rFonts w:cstheme="minorHAnsi"/>
          <w:sz w:val="24"/>
          <w:szCs w:val="24"/>
        </w:rPr>
        <w:t xml:space="preserve">using </w:t>
      </w:r>
      <w:r w:rsidR="00F70917" w:rsidRPr="00C83273">
        <w:rPr>
          <w:rFonts w:cstheme="minorHAnsi"/>
          <w:sz w:val="24"/>
          <w:szCs w:val="24"/>
        </w:rPr>
        <w:t>ESAs (versus no ESAs)</w:t>
      </w:r>
      <w:r w:rsidR="003E1862" w:rsidRPr="00C83273">
        <w:rPr>
          <w:rFonts w:cstheme="minorHAnsi"/>
          <w:sz w:val="24"/>
          <w:szCs w:val="24"/>
        </w:rPr>
        <w:t xml:space="preserve"> </w:t>
      </w:r>
      <w:r w:rsidR="00B706AA" w:rsidRPr="00C83273">
        <w:rPr>
          <w:rFonts w:cstheme="minorHAnsi"/>
          <w:sz w:val="24"/>
          <w:szCs w:val="24"/>
        </w:rPr>
        <w:t xml:space="preserve">in LR-MDS patients </w:t>
      </w:r>
      <w:r w:rsidR="003E1862" w:rsidRPr="00C83273">
        <w:rPr>
          <w:rFonts w:cstheme="minorHAnsi"/>
          <w:sz w:val="24"/>
          <w:szCs w:val="24"/>
        </w:rPr>
        <w:t xml:space="preserve">using </w:t>
      </w:r>
      <w:r w:rsidR="001A7147">
        <w:rPr>
          <w:rFonts w:cstheme="minorHAnsi"/>
          <w:sz w:val="24"/>
          <w:szCs w:val="24"/>
        </w:rPr>
        <w:t xml:space="preserve">longitudinal observational </w:t>
      </w:r>
      <w:r w:rsidR="003E1862" w:rsidRPr="00C83273">
        <w:rPr>
          <w:rFonts w:cstheme="minorHAnsi"/>
          <w:sz w:val="24"/>
          <w:szCs w:val="24"/>
        </w:rPr>
        <w:t>data</w:t>
      </w:r>
      <w:r w:rsidR="00F70917" w:rsidRPr="00C83273">
        <w:rPr>
          <w:rFonts w:cstheme="minorHAnsi"/>
          <w:sz w:val="24"/>
          <w:szCs w:val="24"/>
        </w:rPr>
        <w:t xml:space="preserve"> from the EUMDS registry</w:t>
      </w:r>
      <w:r w:rsidR="00B706AA" w:rsidRPr="00C83273">
        <w:rPr>
          <w:rFonts w:cstheme="minorHAnsi"/>
          <w:sz w:val="24"/>
          <w:szCs w:val="24"/>
        </w:rPr>
        <w:t xml:space="preserve">. </w:t>
      </w:r>
      <w:bookmarkStart w:id="10" w:name="_Hlk197419349"/>
      <w:r w:rsidR="00B706AA" w:rsidRPr="00C83273">
        <w:rPr>
          <w:rFonts w:cstheme="minorHAnsi"/>
          <w:sz w:val="24"/>
          <w:szCs w:val="24"/>
        </w:rPr>
        <w:t xml:space="preserve">The </w:t>
      </w:r>
      <w:r w:rsidR="00BC15BA">
        <w:rPr>
          <w:rFonts w:cstheme="minorHAnsi"/>
          <w:sz w:val="24"/>
          <w:szCs w:val="24"/>
        </w:rPr>
        <w:t xml:space="preserve">emulated </w:t>
      </w:r>
      <w:r w:rsidR="00B706AA" w:rsidRPr="00C83273">
        <w:rPr>
          <w:rFonts w:cstheme="minorHAnsi"/>
          <w:sz w:val="24"/>
          <w:szCs w:val="24"/>
        </w:rPr>
        <w:t xml:space="preserve">target trial is the RCT </w:t>
      </w:r>
      <w:r w:rsidR="00187225">
        <w:rPr>
          <w:rFonts w:cstheme="minorHAnsi"/>
          <w:sz w:val="24"/>
          <w:szCs w:val="24"/>
        </w:rPr>
        <w:t xml:space="preserve">that </w:t>
      </w:r>
      <w:r w:rsidR="00B706AA" w:rsidRPr="00C83273">
        <w:rPr>
          <w:rFonts w:cstheme="minorHAnsi"/>
          <w:sz w:val="24"/>
          <w:szCs w:val="24"/>
        </w:rPr>
        <w:t xml:space="preserve">would have </w:t>
      </w:r>
      <w:r w:rsidR="00187225">
        <w:rPr>
          <w:rFonts w:cstheme="minorHAnsi"/>
          <w:sz w:val="24"/>
          <w:szCs w:val="24"/>
        </w:rPr>
        <w:t>been</w:t>
      </w:r>
      <w:r w:rsidR="00B706AA" w:rsidRPr="00C83273">
        <w:rPr>
          <w:rFonts w:cstheme="minorHAnsi"/>
          <w:sz w:val="24"/>
          <w:szCs w:val="24"/>
        </w:rPr>
        <w:t xml:space="preserve"> conduct</w:t>
      </w:r>
      <w:r w:rsidR="00187225">
        <w:rPr>
          <w:rFonts w:cstheme="minorHAnsi"/>
          <w:sz w:val="24"/>
          <w:szCs w:val="24"/>
        </w:rPr>
        <w:t>ed</w:t>
      </w:r>
      <w:r w:rsidR="00B706AA" w:rsidRPr="00C83273">
        <w:rPr>
          <w:rFonts w:cstheme="minorHAnsi"/>
          <w:sz w:val="24"/>
          <w:szCs w:val="24"/>
        </w:rPr>
        <w:t xml:space="preserve"> in an ideal </w:t>
      </w:r>
      <w:proofErr w:type="gramStart"/>
      <w:r w:rsidR="00B706AA" w:rsidRPr="00C83273">
        <w:rPr>
          <w:rFonts w:cstheme="minorHAnsi"/>
          <w:sz w:val="24"/>
          <w:szCs w:val="24"/>
        </w:rPr>
        <w:t>world, but</w:t>
      </w:r>
      <w:proofErr w:type="gramEnd"/>
      <w:r w:rsidR="00B706AA" w:rsidRPr="00C83273">
        <w:rPr>
          <w:rFonts w:cstheme="minorHAnsi"/>
          <w:sz w:val="24"/>
          <w:szCs w:val="24"/>
        </w:rPr>
        <w:t xml:space="preserve"> </w:t>
      </w:r>
      <w:r w:rsidR="00187225">
        <w:rPr>
          <w:rFonts w:cstheme="minorHAnsi"/>
          <w:sz w:val="24"/>
          <w:szCs w:val="24"/>
        </w:rPr>
        <w:t>was</w:t>
      </w:r>
      <w:r w:rsidR="00B706AA" w:rsidRPr="00C83273">
        <w:rPr>
          <w:rFonts w:cstheme="minorHAnsi"/>
          <w:sz w:val="24"/>
          <w:szCs w:val="24"/>
        </w:rPr>
        <w:t xml:space="preserve"> not</w:t>
      </w:r>
      <w:r w:rsidR="00187225">
        <w:rPr>
          <w:rFonts w:cstheme="minorHAnsi"/>
          <w:sz w:val="24"/>
          <w:szCs w:val="24"/>
        </w:rPr>
        <w:t xml:space="preserve"> feasible</w:t>
      </w:r>
      <w:r w:rsidR="00B706AA" w:rsidRPr="00C83273">
        <w:rPr>
          <w:rFonts w:cstheme="minorHAnsi"/>
          <w:sz w:val="24"/>
          <w:szCs w:val="24"/>
        </w:rPr>
        <w:t xml:space="preserve">. </w:t>
      </w:r>
      <w:r w:rsidR="00523FDD">
        <w:rPr>
          <w:rFonts w:cstheme="minorHAnsi"/>
          <w:sz w:val="24"/>
          <w:szCs w:val="24"/>
        </w:rPr>
        <w:t xml:space="preserve">The use of TTE has been increasing because </w:t>
      </w:r>
      <w:r w:rsidR="00024C67">
        <w:rPr>
          <w:rFonts w:cstheme="minorHAnsi"/>
          <w:sz w:val="24"/>
          <w:szCs w:val="24"/>
        </w:rPr>
        <w:t>i</w:t>
      </w:r>
      <w:r w:rsidR="00024C67" w:rsidRPr="00024C67">
        <w:rPr>
          <w:rFonts w:cstheme="minorHAnsi"/>
          <w:sz w:val="24"/>
          <w:szCs w:val="24"/>
        </w:rPr>
        <w:t xml:space="preserve">n the absence of RCT evidence database studies can </w:t>
      </w:r>
      <w:r w:rsidR="00024C67">
        <w:rPr>
          <w:rFonts w:cstheme="minorHAnsi"/>
          <w:sz w:val="24"/>
          <w:szCs w:val="24"/>
        </w:rPr>
        <w:t xml:space="preserve">improve the </w:t>
      </w:r>
      <w:r w:rsidR="00024C67" w:rsidRPr="00024C67">
        <w:rPr>
          <w:rFonts w:cstheme="minorHAnsi"/>
          <w:sz w:val="24"/>
          <w:szCs w:val="24"/>
        </w:rPr>
        <w:t xml:space="preserve">understanding </w:t>
      </w:r>
      <w:r w:rsidR="00024C67">
        <w:rPr>
          <w:rFonts w:cstheme="minorHAnsi"/>
          <w:sz w:val="24"/>
          <w:szCs w:val="24"/>
        </w:rPr>
        <w:t xml:space="preserve">decision-makers </w:t>
      </w:r>
      <w:r w:rsidR="00024C67" w:rsidRPr="00024C67">
        <w:rPr>
          <w:rFonts w:cstheme="minorHAnsi"/>
          <w:sz w:val="24"/>
          <w:szCs w:val="24"/>
        </w:rPr>
        <w:t xml:space="preserve">of how </w:t>
      </w:r>
      <w:r w:rsidR="00024C67">
        <w:rPr>
          <w:rFonts w:cstheme="minorHAnsi"/>
          <w:sz w:val="24"/>
          <w:szCs w:val="24"/>
        </w:rPr>
        <w:t>health technologies</w:t>
      </w:r>
      <w:r w:rsidR="00024C67" w:rsidRPr="00024C67">
        <w:rPr>
          <w:rFonts w:cstheme="minorHAnsi"/>
          <w:sz w:val="24"/>
          <w:szCs w:val="24"/>
        </w:rPr>
        <w:t xml:space="preserve"> work in clinical practice.</w:t>
      </w:r>
      <w:r w:rsidR="00024C67">
        <w:rPr>
          <w:rFonts w:cstheme="minorHAnsi"/>
          <w:sz w:val="24"/>
          <w:szCs w:val="24"/>
        </w:rPr>
        <w:t xml:space="preserve"> </w:t>
      </w:r>
      <w:r w:rsidR="00523FDD">
        <w:rPr>
          <w:rFonts w:cstheme="minorHAnsi"/>
          <w:sz w:val="24"/>
          <w:szCs w:val="24"/>
        </w:rPr>
        <w:t xml:space="preserve">RWE </w:t>
      </w:r>
      <w:r w:rsidR="00523FDD" w:rsidRPr="00523FDD">
        <w:rPr>
          <w:rFonts w:cstheme="minorHAnsi"/>
          <w:sz w:val="24"/>
          <w:szCs w:val="24"/>
        </w:rPr>
        <w:t>studies can reach similar conclusions as RCTs when design and measurements can be c</w:t>
      </w:r>
      <w:r w:rsidR="00024C67">
        <w:rPr>
          <w:rFonts w:cstheme="minorHAnsi"/>
          <w:sz w:val="24"/>
          <w:szCs w:val="24"/>
        </w:rPr>
        <w:t xml:space="preserve">arefully </w:t>
      </w:r>
      <w:r w:rsidR="00523FDD" w:rsidRPr="00523FDD">
        <w:rPr>
          <w:rFonts w:cstheme="minorHAnsi"/>
          <w:sz w:val="24"/>
          <w:szCs w:val="24"/>
        </w:rPr>
        <w:t>emulated, but this may be difficult to achieve</w:t>
      </w:r>
      <w:bookmarkEnd w:id="10"/>
      <w:r w:rsidR="00523FDD" w:rsidRPr="00523FDD">
        <w:rPr>
          <w:rFonts w:cstheme="minorHAnsi"/>
          <w:sz w:val="24"/>
          <w:szCs w:val="24"/>
        </w:rPr>
        <w:t xml:space="preserve"> </w:t>
      </w:r>
      <w:r w:rsidR="00523FDD">
        <w:rPr>
          <w:rFonts w:cstheme="minorHAnsi"/>
          <w:sz w:val="24"/>
          <w:szCs w:val="24"/>
        </w:rPr>
        <w:t>[9]</w:t>
      </w:r>
      <w:r w:rsidR="00B706AA" w:rsidRPr="00C83273">
        <w:rPr>
          <w:rFonts w:cstheme="minorHAnsi"/>
          <w:sz w:val="24"/>
          <w:szCs w:val="24"/>
        </w:rPr>
        <w:t xml:space="preserve"> Since one has to resolve to use observational longitudinal data, estimati</w:t>
      </w:r>
      <w:r w:rsidR="00187225">
        <w:rPr>
          <w:rFonts w:cstheme="minorHAnsi"/>
          <w:sz w:val="24"/>
          <w:szCs w:val="24"/>
        </w:rPr>
        <w:t>ng</w:t>
      </w:r>
      <w:r w:rsidR="00B706AA" w:rsidRPr="00C83273">
        <w:rPr>
          <w:rFonts w:cstheme="minorHAnsi"/>
          <w:sz w:val="24"/>
          <w:szCs w:val="24"/>
        </w:rPr>
        <w:t xml:space="preserve"> the causal average treatment effect requires special consideration for the role played by (and adjustment </w:t>
      </w:r>
      <w:r w:rsidR="003E1862" w:rsidRPr="00C83273">
        <w:rPr>
          <w:rFonts w:cstheme="minorHAnsi"/>
          <w:sz w:val="24"/>
          <w:szCs w:val="24"/>
        </w:rPr>
        <w:t>for potential</w:t>
      </w:r>
      <w:r w:rsidR="00B706AA" w:rsidRPr="00C83273">
        <w:rPr>
          <w:rFonts w:cstheme="minorHAnsi"/>
          <w:sz w:val="24"/>
          <w:szCs w:val="24"/>
        </w:rPr>
        <w:t>, often</w:t>
      </w:r>
      <w:r w:rsidR="003E1862" w:rsidRPr="00C83273">
        <w:rPr>
          <w:rFonts w:cstheme="minorHAnsi"/>
          <w:sz w:val="24"/>
          <w:szCs w:val="24"/>
        </w:rPr>
        <w:t xml:space="preserve"> time-varying</w:t>
      </w:r>
      <w:r w:rsidR="00B706AA" w:rsidRPr="00C83273">
        <w:rPr>
          <w:rFonts w:cstheme="minorHAnsi"/>
          <w:sz w:val="24"/>
          <w:szCs w:val="24"/>
        </w:rPr>
        <w:t>)</w:t>
      </w:r>
      <w:r w:rsidR="003E1862" w:rsidRPr="00C83273">
        <w:rPr>
          <w:rFonts w:cstheme="minorHAnsi"/>
          <w:sz w:val="24"/>
          <w:szCs w:val="24"/>
        </w:rPr>
        <w:t xml:space="preserve"> confounding </w:t>
      </w:r>
      <w:r w:rsidR="00F70917" w:rsidRPr="00C83273">
        <w:rPr>
          <w:rFonts w:cstheme="minorHAnsi"/>
          <w:sz w:val="24"/>
          <w:szCs w:val="24"/>
        </w:rPr>
        <w:t>and other potential sources of bias</w:t>
      </w:r>
      <w:r w:rsidR="00B706AA" w:rsidRPr="00C83273">
        <w:rPr>
          <w:rFonts w:cstheme="minorHAnsi"/>
          <w:sz w:val="24"/>
          <w:szCs w:val="24"/>
        </w:rPr>
        <w:t xml:space="preserve"> (e.g. immortal time)</w:t>
      </w:r>
      <w:r w:rsidR="00F70917" w:rsidRPr="00C83273">
        <w:rPr>
          <w:rFonts w:cstheme="minorHAnsi"/>
          <w:sz w:val="24"/>
          <w:szCs w:val="24"/>
        </w:rPr>
        <w:t xml:space="preserve"> </w:t>
      </w:r>
      <w:r w:rsidR="003E1862" w:rsidRPr="00C83273">
        <w:rPr>
          <w:rFonts w:cstheme="minorHAnsi"/>
          <w:sz w:val="24"/>
          <w:szCs w:val="24"/>
        </w:rPr>
        <w:t xml:space="preserve">to support </w:t>
      </w:r>
      <w:r w:rsidR="00310921" w:rsidRPr="00C83273">
        <w:rPr>
          <w:rFonts w:cstheme="minorHAnsi"/>
          <w:sz w:val="24"/>
          <w:szCs w:val="24"/>
        </w:rPr>
        <w:t xml:space="preserve">the </w:t>
      </w:r>
      <w:r w:rsidR="003E1862" w:rsidRPr="00C83273">
        <w:rPr>
          <w:rFonts w:cstheme="minorHAnsi"/>
          <w:sz w:val="24"/>
          <w:szCs w:val="24"/>
        </w:rPr>
        <w:t xml:space="preserve">selection of </w:t>
      </w:r>
      <w:r w:rsidR="00B706AA" w:rsidRPr="00C83273">
        <w:rPr>
          <w:rFonts w:cstheme="minorHAnsi"/>
          <w:sz w:val="24"/>
          <w:szCs w:val="24"/>
        </w:rPr>
        <w:t xml:space="preserve">the optimal </w:t>
      </w:r>
      <w:r w:rsidR="003E1862" w:rsidRPr="00C83273">
        <w:rPr>
          <w:rFonts w:cstheme="minorHAnsi"/>
          <w:sz w:val="24"/>
          <w:szCs w:val="24"/>
        </w:rPr>
        <w:t>treatment strategies</w:t>
      </w:r>
      <w:r w:rsidR="00B706AA" w:rsidRPr="00C83273">
        <w:rPr>
          <w:rFonts w:cstheme="minorHAnsi"/>
          <w:sz w:val="24"/>
          <w:szCs w:val="24"/>
        </w:rPr>
        <w:t>.</w:t>
      </w:r>
      <w:r w:rsidR="003E1862" w:rsidRPr="00C83273">
        <w:rPr>
          <w:rFonts w:cstheme="minorHAnsi"/>
          <w:sz w:val="24"/>
          <w:szCs w:val="24"/>
        </w:rPr>
        <w:t xml:space="preserve"> </w:t>
      </w:r>
    </w:p>
    <w:p w14:paraId="4484CD22" w14:textId="7D217AC9" w:rsidR="00CF1FA8" w:rsidRPr="00C83273" w:rsidRDefault="00CF1FA8" w:rsidP="00C83273">
      <w:pPr>
        <w:spacing w:line="240" w:lineRule="auto"/>
        <w:ind w:left="50"/>
        <w:jc w:val="both"/>
        <w:rPr>
          <w:rFonts w:cstheme="minorHAnsi"/>
          <w:sz w:val="24"/>
          <w:szCs w:val="24"/>
        </w:rPr>
      </w:pPr>
      <w:r w:rsidRPr="00C83273">
        <w:rPr>
          <w:rFonts w:cstheme="minorHAnsi"/>
          <w:sz w:val="24"/>
          <w:szCs w:val="24"/>
        </w:rPr>
        <w:t xml:space="preserve">The </w:t>
      </w:r>
      <w:r w:rsidR="00643808" w:rsidRPr="00C83273">
        <w:rPr>
          <w:rFonts w:cstheme="minorHAnsi"/>
          <w:sz w:val="24"/>
          <w:szCs w:val="24"/>
        </w:rPr>
        <w:t>TTE</w:t>
      </w:r>
      <w:r w:rsidRPr="00C83273">
        <w:rPr>
          <w:rFonts w:cstheme="minorHAnsi"/>
          <w:sz w:val="24"/>
          <w:szCs w:val="24"/>
        </w:rPr>
        <w:t xml:space="preserve"> framework </w:t>
      </w:r>
      <w:r w:rsidR="00B47BAC">
        <w:rPr>
          <w:rFonts w:cstheme="minorHAnsi"/>
          <w:sz w:val="24"/>
          <w:szCs w:val="24"/>
        </w:rPr>
        <w:t>is</w:t>
      </w:r>
      <w:r w:rsidR="00643808" w:rsidRPr="00C83273">
        <w:rPr>
          <w:rFonts w:cstheme="minorHAnsi"/>
          <w:sz w:val="24"/>
          <w:szCs w:val="24"/>
        </w:rPr>
        <w:t xml:space="preserve"> designed</w:t>
      </w:r>
      <w:r w:rsidRPr="00C83273">
        <w:rPr>
          <w:rFonts w:cstheme="minorHAnsi"/>
          <w:sz w:val="24"/>
          <w:szCs w:val="24"/>
        </w:rPr>
        <w:t xml:space="preserve"> to evaluate causal questions </w:t>
      </w:r>
      <w:r w:rsidR="001A7147">
        <w:rPr>
          <w:rFonts w:cstheme="minorHAnsi"/>
          <w:sz w:val="24"/>
          <w:szCs w:val="24"/>
        </w:rPr>
        <w:t>through</w:t>
      </w:r>
      <w:r w:rsidR="001A7147" w:rsidRPr="00C83273">
        <w:rPr>
          <w:rFonts w:cstheme="minorHAnsi"/>
          <w:sz w:val="24"/>
          <w:szCs w:val="24"/>
        </w:rPr>
        <w:t xml:space="preserve"> </w:t>
      </w:r>
      <w:r w:rsidRPr="00C83273">
        <w:rPr>
          <w:rFonts w:cstheme="minorHAnsi"/>
          <w:sz w:val="24"/>
          <w:szCs w:val="24"/>
        </w:rPr>
        <w:t xml:space="preserve">the </w:t>
      </w:r>
      <w:r w:rsidR="001A7147">
        <w:rPr>
          <w:rFonts w:cstheme="minorHAnsi"/>
          <w:sz w:val="24"/>
          <w:szCs w:val="24"/>
        </w:rPr>
        <w:t xml:space="preserve">analysis </w:t>
      </w:r>
      <w:r w:rsidRPr="00C83273">
        <w:rPr>
          <w:rFonts w:cstheme="minorHAnsi"/>
          <w:sz w:val="24"/>
          <w:szCs w:val="24"/>
        </w:rPr>
        <w:t>of observational data. It mimic</w:t>
      </w:r>
      <w:r w:rsidR="00187225">
        <w:rPr>
          <w:rFonts w:cstheme="minorHAnsi"/>
          <w:sz w:val="24"/>
          <w:szCs w:val="24"/>
        </w:rPr>
        <w:t>s</w:t>
      </w:r>
      <w:r w:rsidRPr="00C83273">
        <w:rPr>
          <w:rFonts w:cstheme="minorHAnsi"/>
          <w:sz w:val="24"/>
          <w:szCs w:val="24"/>
        </w:rPr>
        <w:t xml:space="preserve"> a</w:t>
      </w:r>
      <w:r w:rsidR="00A87AC4" w:rsidRPr="00C83273">
        <w:rPr>
          <w:rFonts w:cstheme="minorHAnsi"/>
          <w:sz w:val="24"/>
          <w:szCs w:val="24"/>
        </w:rPr>
        <w:t>n</w:t>
      </w:r>
      <w:r w:rsidRPr="00C83273">
        <w:rPr>
          <w:rFonts w:cstheme="minorHAnsi"/>
          <w:sz w:val="24"/>
          <w:szCs w:val="24"/>
        </w:rPr>
        <w:t xml:space="preserve"> RCT</w:t>
      </w:r>
      <w:r w:rsidR="00187225">
        <w:rPr>
          <w:rFonts w:cstheme="minorHAnsi"/>
          <w:sz w:val="24"/>
          <w:szCs w:val="24"/>
        </w:rPr>
        <w:t xml:space="preserve"> by</w:t>
      </w:r>
      <w:r w:rsidR="001A7147">
        <w:rPr>
          <w:rFonts w:cstheme="minorHAnsi"/>
          <w:sz w:val="24"/>
          <w:szCs w:val="24"/>
        </w:rPr>
        <w:t xml:space="preserve"> starting </w:t>
      </w:r>
      <w:r w:rsidR="00187225">
        <w:rPr>
          <w:rFonts w:cstheme="minorHAnsi"/>
          <w:sz w:val="24"/>
          <w:szCs w:val="24"/>
        </w:rPr>
        <w:t>with</w:t>
      </w:r>
      <w:r w:rsidR="001A7147">
        <w:rPr>
          <w:rFonts w:cstheme="minorHAnsi"/>
          <w:sz w:val="24"/>
          <w:szCs w:val="24"/>
        </w:rPr>
        <w:t xml:space="preserve"> its protocol</w:t>
      </w:r>
      <w:r w:rsidR="00643808" w:rsidRPr="00C83273">
        <w:rPr>
          <w:rFonts w:cstheme="minorHAnsi"/>
          <w:sz w:val="24"/>
          <w:szCs w:val="24"/>
        </w:rPr>
        <w:t xml:space="preserve">. </w:t>
      </w:r>
      <w:r w:rsidR="00187225">
        <w:rPr>
          <w:rFonts w:cstheme="minorHAnsi"/>
          <w:sz w:val="24"/>
          <w:szCs w:val="24"/>
        </w:rPr>
        <w:t>T</w:t>
      </w:r>
      <w:r w:rsidR="001A7147">
        <w:rPr>
          <w:rFonts w:cstheme="minorHAnsi"/>
          <w:sz w:val="24"/>
          <w:szCs w:val="24"/>
        </w:rPr>
        <w:t xml:space="preserve">his </w:t>
      </w:r>
      <w:r w:rsidR="00187225">
        <w:rPr>
          <w:rFonts w:cstheme="minorHAnsi"/>
          <w:sz w:val="24"/>
          <w:szCs w:val="24"/>
        </w:rPr>
        <w:t xml:space="preserve">involves </w:t>
      </w:r>
      <w:r w:rsidR="00B706AA" w:rsidRPr="00C83273">
        <w:rPr>
          <w:rFonts w:cstheme="minorHAnsi"/>
          <w:sz w:val="24"/>
          <w:szCs w:val="24"/>
        </w:rPr>
        <w:t xml:space="preserve">an iterative process </w:t>
      </w:r>
      <w:r w:rsidR="00187225">
        <w:rPr>
          <w:rFonts w:cstheme="minorHAnsi"/>
          <w:sz w:val="24"/>
          <w:szCs w:val="24"/>
        </w:rPr>
        <w:t xml:space="preserve">that </w:t>
      </w:r>
      <w:r w:rsidRPr="00C83273">
        <w:rPr>
          <w:rFonts w:cstheme="minorHAnsi"/>
          <w:sz w:val="24"/>
          <w:szCs w:val="24"/>
        </w:rPr>
        <w:t>in</w:t>
      </w:r>
      <w:r w:rsidR="00187225">
        <w:rPr>
          <w:rFonts w:cstheme="minorHAnsi"/>
          <w:sz w:val="24"/>
          <w:szCs w:val="24"/>
        </w:rPr>
        <w:t>cludes</w:t>
      </w:r>
      <w:r w:rsidRPr="00C83273">
        <w:rPr>
          <w:rFonts w:cstheme="minorHAnsi"/>
          <w:sz w:val="24"/>
          <w:szCs w:val="24"/>
        </w:rPr>
        <w:t xml:space="preserve"> </w:t>
      </w:r>
      <w:r w:rsidR="00B706AA" w:rsidRPr="00C83273">
        <w:rPr>
          <w:rFonts w:cstheme="minorHAnsi"/>
          <w:sz w:val="24"/>
          <w:szCs w:val="24"/>
        </w:rPr>
        <w:t xml:space="preserve">the </w:t>
      </w:r>
      <w:r w:rsidRPr="00C83273">
        <w:rPr>
          <w:rFonts w:cstheme="minorHAnsi"/>
          <w:sz w:val="24"/>
          <w:szCs w:val="24"/>
        </w:rPr>
        <w:t>precise specifi</w:t>
      </w:r>
      <w:r w:rsidR="00B706AA" w:rsidRPr="00C83273">
        <w:rPr>
          <w:rFonts w:cstheme="minorHAnsi"/>
          <w:sz w:val="24"/>
          <w:szCs w:val="24"/>
        </w:rPr>
        <w:t>cation</w:t>
      </w:r>
      <w:r w:rsidRPr="00C83273">
        <w:rPr>
          <w:rFonts w:cstheme="minorHAnsi"/>
          <w:sz w:val="24"/>
          <w:szCs w:val="24"/>
        </w:rPr>
        <w:t xml:space="preserve"> </w:t>
      </w:r>
      <w:r w:rsidR="00B706AA" w:rsidRPr="00C83273">
        <w:rPr>
          <w:rFonts w:cstheme="minorHAnsi"/>
          <w:sz w:val="24"/>
          <w:szCs w:val="24"/>
        </w:rPr>
        <w:t xml:space="preserve">of </w:t>
      </w:r>
      <w:r w:rsidRPr="00C83273">
        <w:rPr>
          <w:rFonts w:cstheme="minorHAnsi"/>
          <w:sz w:val="24"/>
          <w:szCs w:val="24"/>
        </w:rPr>
        <w:t>the target trial's eligibility criteria, treatment strategies, treatment assignment, follow-up period, outcome, causal contrast, and statistical analysis</w:t>
      </w:r>
      <w:r w:rsidR="00643808" w:rsidRPr="00C83273">
        <w:rPr>
          <w:rFonts w:cstheme="minorHAnsi"/>
          <w:sz w:val="24"/>
          <w:szCs w:val="24"/>
        </w:rPr>
        <w:t xml:space="preserve">. </w:t>
      </w:r>
      <w:r w:rsidRPr="00C83273">
        <w:rPr>
          <w:rFonts w:cstheme="minorHAnsi"/>
          <w:sz w:val="24"/>
          <w:szCs w:val="24"/>
        </w:rPr>
        <w:t xml:space="preserve">A novel aspect of target trial methodology is that, for purposes of data analysis, each subject in the observational study </w:t>
      </w:r>
      <w:r w:rsidR="00B47BAC">
        <w:rPr>
          <w:rFonts w:cstheme="minorHAnsi"/>
          <w:sz w:val="24"/>
          <w:szCs w:val="24"/>
        </w:rPr>
        <w:t>can be</w:t>
      </w:r>
      <w:r w:rsidRPr="00C83273">
        <w:rPr>
          <w:rFonts w:cstheme="minorHAnsi"/>
          <w:sz w:val="24"/>
          <w:szCs w:val="24"/>
        </w:rPr>
        <w:t xml:space="preserve"> enrolled in all target trials for which the subject is eligible, instead of a single trial</w:t>
      </w:r>
      <w:r w:rsidR="00643808" w:rsidRPr="00C83273">
        <w:rPr>
          <w:rFonts w:cstheme="minorHAnsi"/>
          <w:sz w:val="24"/>
          <w:szCs w:val="24"/>
        </w:rPr>
        <w:t>.</w:t>
      </w:r>
      <w:r w:rsidRPr="00C83273">
        <w:rPr>
          <w:rFonts w:cstheme="minorHAnsi"/>
          <w:sz w:val="24"/>
          <w:szCs w:val="24"/>
        </w:rPr>
        <w:t> </w:t>
      </w:r>
      <w:r w:rsidR="00643808" w:rsidRPr="00C83273">
        <w:rPr>
          <w:rFonts w:cstheme="minorHAnsi"/>
          <w:sz w:val="24"/>
          <w:szCs w:val="24"/>
        </w:rPr>
        <w:t xml:space="preserve">  </w:t>
      </w:r>
    </w:p>
    <w:p w14:paraId="416CD133" w14:textId="0CB29487" w:rsidR="00837341" w:rsidRPr="00C83273" w:rsidRDefault="00837341" w:rsidP="00C83273">
      <w:pPr>
        <w:spacing w:line="240" w:lineRule="auto"/>
        <w:jc w:val="both"/>
        <w:rPr>
          <w:rFonts w:cstheme="minorHAnsi"/>
          <w:sz w:val="24"/>
          <w:szCs w:val="24"/>
        </w:rPr>
      </w:pPr>
      <w:r w:rsidRPr="00C83273">
        <w:rPr>
          <w:rFonts w:cstheme="minorHAnsi"/>
          <w:sz w:val="24"/>
          <w:szCs w:val="24"/>
        </w:rPr>
        <w:t xml:space="preserve">Within the TTE framework, </w:t>
      </w:r>
      <w:r w:rsidR="006A564B">
        <w:rPr>
          <w:rFonts w:cstheme="minorHAnsi"/>
          <w:sz w:val="24"/>
          <w:szCs w:val="24"/>
        </w:rPr>
        <w:t>a range of causal inference methods</w:t>
      </w:r>
      <w:r w:rsidR="00187225">
        <w:rPr>
          <w:rFonts w:cstheme="minorHAnsi"/>
          <w:sz w:val="24"/>
          <w:szCs w:val="24"/>
        </w:rPr>
        <w:t xml:space="preserve"> can be used</w:t>
      </w:r>
      <w:r w:rsidR="006A564B">
        <w:rPr>
          <w:rFonts w:cstheme="minorHAnsi"/>
          <w:sz w:val="24"/>
          <w:szCs w:val="24"/>
        </w:rPr>
        <w:t xml:space="preserve">, depending on the analytical </w:t>
      </w:r>
      <w:r w:rsidR="0045128C">
        <w:rPr>
          <w:rFonts w:cstheme="minorHAnsi"/>
          <w:sz w:val="24"/>
          <w:szCs w:val="24"/>
        </w:rPr>
        <w:t>challenges</w:t>
      </w:r>
      <w:r w:rsidR="006A564B">
        <w:rPr>
          <w:rFonts w:cstheme="minorHAnsi"/>
          <w:sz w:val="24"/>
          <w:szCs w:val="24"/>
        </w:rPr>
        <w:t xml:space="preserve"> that must be addressed in the pursuit of estimating a causal treatment effect.  The LR-MDS case study in </w:t>
      </w:r>
      <w:proofErr w:type="spellStart"/>
      <w:r w:rsidR="006A564B">
        <w:rPr>
          <w:rFonts w:cstheme="minorHAnsi"/>
          <w:sz w:val="24"/>
          <w:szCs w:val="24"/>
        </w:rPr>
        <w:t>HTx</w:t>
      </w:r>
      <w:proofErr w:type="spellEnd"/>
      <w:r w:rsidR="006A564B">
        <w:rPr>
          <w:rFonts w:cstheme="minorHAnsi"/>
          <w:sz w:val="24"/>
          <w:szCs w:val="24"/>
        </w:rPr>
        <w:t xml:space="preserve"> used two approaches: marginal structural modelling in combination with time-varying inverse probability weights (MSM+IPW) and </w:t>
      </w:r>
      <w:r w:rsidRPr="00C83273">
        <w:rPr>
          <w:rFonts w:cstheme="minorHAnsi"/>
          <w:sz w:val="24"/>
          <w:szCs w:val="24"/>
        </w:rPr>
        <w:t xml:space="preserve">targeted minimum loss-based </w:t>
      </w:r>
      <w:r w:rsidR="00EC4834">
        <w:rPr>
          <w:rFonts w:cstheme="minorHAnsi"/>
          <w:sz w:val="24"/>
          <w:szCs w:val="24"/>
        </w:rPr>
        <w:t>e</w:t>
      </w:r>
      <w:r w:rsidRPr="00C83273">
        <w:rPr>
          <w:rFonts w:cstheme="minorHAnsi"/>
          <w:sz w:val="24"/>
          <w:szCs w:val="24"/>
        </w:rPr>
        <w:t>stimation (TMLE)</w:t>
      </w:r>
      <w:r w:rsidR="003A3E29">
        <w:rPr>
          <w:rFonts w:cstheme="minorHAnsi"/>
          <w:sz w:val="24"/>
          <w:szCs w:val="24"/>
        </w:rPr>
        <w:t xml:space="preserve"> [</w:t>
      </w:r>
      <w:r w:rsidR="00523FDD">
        <w:rPr>
          <w:rFonts w:cstheme="minorHAnsi"/>
          <w:sz w:val="24"/>
          <w:szCs w:val="24"/>
        </w:rPr>
        <w:t>10</w:t>
      </w:r>
      <w:r w:rsidR="003A3E29">
        <w:rPr>
          <w:rFonts w:cstheme="minorHAnsi"/>
          <w:sz w:val="24"/>
          <w:szCs w:val="24"/>
        </w:rPr>
        <w:t>]</w:t>
      </w:r>
      <w:r w:rsidR="006A564B">
        <w:rPr>
          <w:rFonts w:cstheme="minorHAnsi"/>
          <w:sz w:val="24"/>
          <w:szCs w:val="24"/>
        </w:rPr>
        <w:t>.</w:t>
      </w:r>
      <w:r w:rsidR="006A564B" w:rsidRPr="00C83273">
        <w:rPr>
          <w:rFonts w:cstheme="minorHAnsi"/>
          <w:sz w:val="24"/>
          <w:szCs w:val="24"/>
        </w:rPr>
        <w:t xml:space="preserve"> </w:t>
      </w:r>
      <w:r w:rsidR="006A564B">
        <w:rPr>
          <w:rFonts w:cstheme="minorHAnsi"/>
          <w:sz w:val="24"/>
          <w:szCs w:val="24"/>
        </w:rPr>
        <w:t xml:space="preserve">Both </w:t>
      </w:r>
      <w:r w:rsidR="0045128C">
        <w:rPr>
          <w:rFonts w:cstheme="minorHAnsi"/>
          <w:sz w:val="24"/>
          <w:szCs w:val="24"/>
        </w:rPr>
        <w:t xml:space="preserve">methods </w:t>
      </w:r>
      <w:r w:rsidR="006A564B">
        <w:rPr>
          <w:rFonts w:cstheme="minorHAnsi"/>
          <w:sz w:val="24"/>
          <w:szCs w:val="24"/>
        </w:rPr>
        <w:t xml:space="preserve">can </w:t>
      </w:r>
      <w:r w:rsidR="004B1813" w:rsidRPr="00C83273">
        <w:rPr>
          <w:rFonts w:cstheme="minorHAnsi"/>
          <w:sz w:val="24"/>
          <w:szCs w:val="24"/>
        </w:rPr>
        <w:t>quantify</w:t>
      </w:r>
      <w:r w:rsidRPr="00C83273">
        <w:rPr>
          <w:rFonts w:cstheme="minorHAnsi"/>
          <w:sz w:val="24"/>
          <w:szCs w:val="24"/>
        </w:rPr>
        <w:t xml:space="preserve"> various </w:t>
      </w:r>
      <w:r w:rsidR="0045128C">
        <w:rPr>
          <w:rFonts w:cstheme="minorHAnsi"/>
          <w:sz w:val="24"/>
          <w:szCs w:val="24"/>
        </w:rPr>
        <w:t xml:space="preserve">statistical </w:t>
      </w:r>
      <w:proofErr w:type="spellStart"/>
      <w:r w:rsidR="0045128C">
        <w:rPr>
          <w:rFonts w:cstheme="minorHAnsi"/>
          <w:sz w:val="24"/>
          <w:szCs w:val="24"/>
        </w:rPr>
        <w:t>estimands</w:t>
      </w:r>
      <w:proofErr w:type="spellEnd"/>
      <w:r w:rsidR="0045128C">
        <w:rPr>
          <w:rFonts w:cstheme="minorHAnsi"/>
          <w:sz w:val="24"/>
          <w:szCs w:val="24"/>
        </w:rPr>
        <w:t>, such as</w:t>
      </w:r>
      <w:r w:rsidR="004B1813" w:rsidRPr="00C83273">
        <w:rPr>
          <w:rFonts w:cstheme="minorHAnsi"/>
          <w:sz w:val="24"/>
          <w:szCs w:val="24"/>
        </w:rPr>
        <w:t xml:space="preserve"> </w:t>
      </w:r>
      <w:r w:rsidRPr="00C83273">
        <w:rPr>
          <w:rFonts w:cstheme="minorHAnsi"/>
          <w:sz w:val="24"/>
          <w:szCs w:val="24"/>
        </w:rPr>
        <w:t>odds ratio, risk ratio, average treatment effect</w:t>
      </w:r>
      <w:r w:rsidR="0045128C">
        <w:rPr>
          <w:rFonts w:cstheme="minorHAnsi"/>
          <w:sz w:val="24"/>
          <w:szCs w:val="24"/>
        </w:rPr>
        <w:t>s</w:t>
      </w:r>
      <w:r w:rsidR="00BE140B">
        <w:rPr>
          <w:rFonts w:cstheme="minorHAnsi"/>
          <w:sz w:val="24"/>
          <w:szCs w:val="24"/>
        </w:rPr>
        <w:t xml:space="preserve"> after </w:t>
      </w:r>
      <w:r w:rsidR="00BE140B" w:rsidRPr="00C83273">
        <w:rPr>
          <w:rFonts w:cstheme="minorHAnsi"/>
          <w:sz w:val="24"/>
          <w:szCs w:val="24"/>
        </w:rPr>
        <w:t>adjusting for confounders and meeting causal assumptions</w:t>
      </w:r>
      <w:r w:rsidR="00BE140B">
        <w:rPr>
          <w:rFonts w:cstheme="minorHAnsi"/>
          <w:sz w:val="24"/>
          <w:szCs w:val="24"/>
        </w:rPr>
        <w:t xml:space="preserve"> </w:t>
      </w:r>
      <w:r w:rsidR="00BE140B" w:rsidRPr="00C83273">
        <w:rPr>
          <w:rFonts w:cstheme="minorHAnsi"/>
          <w:sz w:val="24"/>
          <w:szCs w:val="24"/>
        </w:rPr>
        <w:t>[</w:t>
      </w:r>
      <w:r w:rsidR="00523FDD">
        <w:rPr>
          <w:rFonts w:cstheme="minorHAnsi"/>
          <w:sz w:val="24"/>
          <w:szCs w:val="24"/>
        </w:rPr>
        <w:t>11</w:t>
      </w:r>
      <w:r w:rsidR="003A3E29">
        <w:rPr>
          <w:rFonts w:cstheme="minorHAnsi"/>
          <w:sz w:val="24"/>
          <w:szCs w:val="24"/>
        </w:rPr>
        <w:t>,1</w:t>
      </w:r>
      <w:r w:rsidR="00523FDD">
        <w:rPr>
          <w:rFonts w:cstheme="minorHAnsi"/>
          <w:sz w:val="24"/>
          <w:szCs w:val="24"/>
        </w:rPr>
        <w:t>2</w:t>
      </w:r>
      <w:r w:rsidR="00BE140B" w:rsidRPr="00C83273">
        <w:rPr>
          <w:rFonts w:cstheme="minorHAnsi"/>
          <w:sz w:val="24"/>
          <w:szCs w:val="24"/>
        </w:rPr>
        <w:t xml:space="preserve">]. </w:t>
      </w:r>
      <w:r w:rsidR="00BE140B">
        <w:rPr>
          <w:rFonts w:cstheme="minorHAnsi"/>
          <w:sz w:val="24"/>
          <w:szCs w:val="24"/>
        </w:rPr>
        <w:t>Specifically, b</w:t>
      </w:r>
      <w:r w:rsidR="006A564B">
        <w:rPr>
          <w:rFonts w:cstheme="minorHAnsi"/>
          <w:sz w:val="24"/>
          <w:szCs w:val="24"/>
        </w:rPr>
        <w:t xml:space="preserve">oth approaches </w:t>
      </w:r>
      <w:r w:rsidRPr="00C83273">
        <w:rPr>
          <w:rFonts w:cstheme="minorHAnsi"/>
          <w:sz w:val="24"/>
          <w:szCs w:val="24"/>
        </w:rPr>
        <w:t>can handle time-varying confounding</w:t>
      </w:r>
      <w:r w:rsidR="00BE140B">
        <w:rPr>
          <w:rFonts w:cstheme="minorHAnsi"/>
          <w:sz w:val="24"/>
          <w:szCs w:val="24"/>
        </w:rPr>
        <w:t xml:space="preserve">. MSM+IPW relies on the correctly capturing the treatment </w:t>
      </w:r>
      <w:proofErr w:type="gramStart"/>
      <w:r w:rsidR="00BE140B">
        <w:rPr>
          <w:rFonts w:cstheme="minorHAnsi"/>
          <w:sz w:val="24"/>
          <w:szCs w:val="24"/>
        </w:rPr>
        <w:t xml:space="preserve">mechanism </w:t>
      </w:r>
      <w:r w:rsidR="00BE140B" w:rsidRPr="00C83273">
        <w:rPr>
          <w:rFonts w:cstheme="minorHAnsi"/>
          <w:sz w:val="24"/>
          <w:szCs w:val="24"/>
        </w:rPr>
        <w:t>[1</w:t>
      </w:r>
      <w:r w:rsidR="00523FDD">
        <w:rPr>
          <w:rFonts w:cstheme="minorHAnsi"/>
          <w:sz w:val="24"/>
          <w:szCs w:val="24"/>
        </w:rPr>
        <w:t>3</w:t>
      </w:r>
      <w:r w:rsidR="00BE140B">
        <w:rPr>
          <w:rFonts w:cstheme="minorHAnsi"/>
          <w:sz w:val="24"/>
          <w:szCs w:val="24"/>
        </w:rPr>
        <w:t>], and</w:t>
      </w:r>
      <w:proofErr w:type="gramEnd"/>
      <w:r w:rsidR="00BE140B">
        <w:rPr>
          <w:rFonts w:cstheme="minorHAnsi"/>
          <w:sz w:val="24"/>
          <w:szCs w:val="24"/>
        </w:rPr>
        <w:t xml:space="preserve"> can result in bias if this model is </w:t>
      </w:r>
      <w:proofErr w:type="spellStart"/>
      <w:r w:rsidR="00BE140B">
        <w:rPr>
          <w:rFonts w:cstheme="minorHAnsi"/>
          <w:sz w:val="24"/>
          <w:szCs w:val="24"/>
        </w:rPr>
        <w:t>misspecified</w:t>
      </w:r>
      <w:proofErr w:type="spellEnd"/>
      <w:r w:rsidR="00BE140B">
        <w:rPr>
          <w:rFonts w:cstheme="minorHAnsi"/>
          <w:sz w:val="24"/>
          <w:szCs w:val="24"/>
        </w:rPr>
        <w:t>. In contrast, LTMLE is double-robust, meaning that it uses two models: outcome regression and treatment mechanism, and gives unbiased results if either one is correct [</w:t>
      </w:r>
      <w:r w:rsidR="00F526CE">
        <w:rPr>
          <w:rFonts w:cstheme="minorHAnsi"/>
          <w:sz w:val="24"/>
          <w:szCs w:val="24"/>
        </w:rPr>
        <w:t>1</w:t>
      </w:r>
      <w:r w:rsidR="00523FDD">
        <w:rPr>
          <w:rFonts w:cstheme="minorHAnsi"/>
          <w:sz w:val="24"/>
          <w:szCs w:val="24"/>
        </w:rPr>
        <w:t>4</w:t>
      </w:r>
      <w:r w:rsidR="00BE140B">
        <w:rPr>
          <w:rFonts w:cstheme="minorHAnsi"/>
          <w:sz w:val="24"/>
          <w:szCs w:val="24"/>
        </w:rPr>
        <w:t xml:space="preserve">].  </w:t>
      </w:r>
      <w:r w:rsidR="006A564B">
        <w:rPr>
          <w:rFonts w:cstheme="minorHAnsi"/>
          <w:sz w:val="24"/>
          <w:szCs w:val="24"/>
        </w:rPr>
        <w:t>An</w:t>
      </w:r>
      <w:r w:rsidR="006A564B" w:rsidRPr="00C83273">
        <w:rPr>
          <w:rFonts w:cstheme="minorHAnsi"/>
          <w:sz w:val="24"/>
          <w:szCs w:val="24"/>
        </w:rPr>
        <w:t xml:space="preserve">other advantage of the LTMLE method is that it can </w:t>
      </w:r>
      <w:r w:rsidR="006A564B">
        <w:rPr>
          <w:rFonts w:cstheme="minorHAnsi"/>
          <w:sz w:val="24"/>
          <w:szCs w:val="24"/>
        </w:rPr>
        <w:t>use</w:t>
      </w:r>
      <w:r w:rsidR="006A564B" w:rsidRPr="00C83273">
        <w:rPr>
          <w:rFonts w:cstheme="minorHAnsi"/>
          <w:sz w:val="24"/>
          <w:szCs w:val="24"/>
        </w:rPr>
        <w:t xml:space="preserve"> machine learning to improve </w:t>
      </w:r>
      <w:r w:rsidR="006A564B">
        <w:rPr>
          <w:rFonts w:cstheme="minorHAnsi"/>
          <w:sz w:val="24"/>
          <w:szCs w:val="24"/>
        </w:rPr>
        <w:t xml:space="preserve">the estimation.  The </w:t>
      </w:r>
      <w:r w:rsidR="0045128C">
        <w:rPr>
          <w:rFonts w:cstheme="minorHAnsi"/>
          <w:sz w:val="24"/>
          <w:szCs w:val="24"/>
        </w:rPr>
        <w:t xml:space="preserve">TTE </w:t>
      </w:r>
      <w:r w:rsidR="006A564B">
        <w:rPr>
          <w:rFonts w:cstheme="minorHAnsi"/>
          <w:sz w:val="24"/>
          <w:szCs w:val="24"/>
        </w:rPr>
        <w:t xml:space="preserve">framework is </w:t>
      </w:r>
      <w:r w:rsidR="0045128C">
        <w:rPr>
          <w:rFonts w:cstheme="minorHAnsi"/>
          <w:sz w:val="24"/>
          <w:szCs w:val="24"/>
        </w:rPr>
        <w:t>highly</w:t>
      </w:r>
      <w:r w:rsidR="006A564B">
        <w:rPr>
          <w:rFonts w:cstheme="minorHAnsi"/>
          <w:sz w:val="24"/>
          <w:szCs w:val="24"/>
        </w:rPr>
        <w:t xml:space="preserve"> flexible and </w:t>
      </w:r>
      <w:r w:rsidR="007209BC" w:rsidRPr="007209BC">
        <w:rPr>
          <w:rFonts w:cstheme="minorHAnsi"/>
          <w:sz w:val="24"/>
          <w:szCs w:val="24"/>
        </w:rPr>
        <w:t xml:space="preserve">can </w:t>
      </w:r>
      <w:r w:rsidR="00AE3106">
        <w:rPr>
          <w:rFonts w:cstheme="minorHAnsi"/>
          <w:sz w:val="24"/>
          <w:szCs w:val="24"/>
        </w:rPr>
        <w:t xml:space="preserve">be </w:t>
      </w:r>
      <w:r w:rsidR="0045128C">
        <w:rPr>
          <w:rFonts w:cstheme="minorHAnsi"/>
          <w:sz w:val="24"/>
          <w:szCs w:val="24"/>
        </w:rPr>
        <w:t>applied</w:t>
      </w:r>
      <w:r w:rsidR="007209BC" w:rsidRPr="007209BC">
        <w:rPr>
          <w:rFonts w:cstheme="minorHAnsi"/>
          <w:sz w:val="24"/>
          <w:szCs w:val="24"/>
        </w:rPr>
        <w:t xml:space="preserve"> </w:t>
      </w:r>
      <w:r w:rsidR="0045128C">
        <w:rPr>
          <w:rFonts w:cstheme="minorHAnsi"/>
          <w:sz w:val="24"/>
          <w:szCs w:val="24"/>
        </w:rPr>
        <w:t>to</w:t>
      </w:r>
      <w:r w:rsidR="006A564B">
        <w:rPr>
          <w:rFonts w:cstheme="minorHAnsi"/>
          <w:sz w:val="24"/>
          <w:szCs w:val="24"/>
        </w:rPr>
        <w:t xml:space="preserve"> </w:t>
      </w:r>
      <w:r w:rsidR="0045128C">
        <w:rPr>
          <w:rFonts w:cstheme="minorHAnsi"/>
          <w:sz w:val="24"/>
          <w:szCs w:val="24"/>
        </w:rPr>
        <w:t xml:space="preserve">various </w:t>
      </w:r>
      <w:r w:rsidR="006A564B">
        <w:rPr>
          <w:rFonts w:cstheme="minorHAnsi"/>
          <w:sz w:val="24"/>
          <w:szCs w:val="24"/>
        </w:rPr>
        <w:t xml:space="preserve">data scenarios, including </w:t>
      </w:r>
      <w:r w:rsidR="007209BC" w:rsidRPr="007209BC">
        <w:rPr>
          <w:rFonts w:cstheme="minorHAnsi"/>
          <w:sz w:val="24"/>
          <w:szCs w:val="24"/>
        </w:rPr>
        <w:t xml:space="preserve">the simpler case </w:t>
      </w:r>
      <w:r w:rsidR="006A564B">
        <w:rPr>
          <w:rFonts w:cstheme="minorHAnsi"/>
          <w:sz w:val="24"/>
          <w:szCs w:val="24"/>
        </w:rPr>
        <w:t xml:space="preserve">of </w:t>
      </w:r>
      <w:r w:rsidR="007209BC" w:rsidRPr="007209BC">
        <w:rPr>
          <w:rFonts w:cstheme="minorHAnsi"/>
          <w:sz w:val="24"/>
          <w:szCs w:val="24"/>
        </w:rPr>
        <w:t xml:space="preserve">baseline confounding </w:t>
      </w:r>
      <w:r w:rsidR="00DE7E0C">
        <w:rPr>
          <w:rFonts w:cstheme="minorHAnsi"/>
          <w:sz w:val="24"/>
          <w:szCs w:val="24"/>
        </w:rPr>
        <w:t>due to</w:t>
      </w:r>
      <w:r w:rsidR="007209BC" w:rsidRPr="007209BC">
        <w:rPr>
          <w:rFonts w:cstheme="minorHAnsi"/>
          <w:sz w:val="24"/>
          <w:szCs w:val="24"/>
        </w:rPr>
        <w:t xml:space="preserve"> observables, as well as </w:t>
      </w:r>
      <w:r w:rsidR="006A564B">
        <w:rPr>
          <w:rFonts w:cstheme="minorHAnsi"/>
          <w:sz w:val="24"/>
          <w:szCs w:val="24"/>
        </w:rPr>
        <w:t>confounding</w:t>
      </w:r>
      <w:r w:rsidR="007209BC" w:rsidRPr="007209BC">
        <w:rPr>
          <w:rFonts w:cstheme="minorHAnsi"/>
          <w:sz w:val="24"/>
          <w:szCs w:val="24"/>
        </w:rPr>
        <w:t xml:space="preserve"> on </w:t>
      </w:r>
      <w:proofErr w:type="spellStart"/>
      <w:r w:rsidR="007209BC" w:rsidRPr="007209BC">
        <w:rPr>
          <w:rFonts w:cstheme="minorHAnsi"/>
          <w:sz w:val="24"/>
          <w:szCs w:val="24"/>
        </w:rPr>
        <w:t>unobservables</w:t>
      </w:r>
      <w:proofErr w:type="spellEnd"/>
      <w:r w:rsidR="007209BC" w:rsidRPr="007209BC">
        <w:rPr>
          <w:rFonts w:cstheme="minorHAnsi"/>
          <w:sz w:val="24"/>
          <w:szCs w:val="24"/>
        </w:rPr>
        <w:t xml:space="preserve"> where instead of using </w:t>
      </w:r>
      <w:r w:rsidR="00A37416">
        <w:rPr>
          <w:rFonts w:cstheme="minorHAnsi"/>
          <w:sz w:val="24"/>
          <w:szCs w:val="24"/>
        </w:rPr>
        <w:t xml:space="preserve">propensity </w:t>
      </w:r>
      <w:proofErr w:type="gramStart"/>
      <w:r w:rsidR="00A37416">
        <w:rPr>
          <w:rFonts w:cstheme="minorHAnsi"/>
          <w:sz w:val="24"/>
          <w:szCs w:val="24"/>
        </w:rPr>
        <w:t>score</w:t>
      </w:r>
      <w:r w:rsidR="00CD24C6">
        <w:rPr>
          <w:rFonts w:cstheme="minorHAnsi"/>
          <w:sz w:val="24"/>
          <w:szCs w:val="24"/>
        </w:rPr>
        <w:t xml:space="preserve"> </w:t>
      </w:r>
      <w:r w:rsidR="007209BC" w:rsidRPr="007209BC">
        <w:rPr>
          <w:rFonts w:cstheme="minorHAnsi"/>
          <w:sz w:val="24"/>
          <w:szCs w:val="24"/>
        </w:rPr>
        <w:t>based</w:t>
      </w:r>
      <w:proofErr w:type="gramEnd"/>
      <w:r w:rsidR="007209BC" w:rsidRPr="007209BC">
        <w:rPr>
          <w:rFonts w:cstheme="minorHAnsi"/>
          <w:sz w:val="24"/>
          <w:szCs w:val="24"/>
        </w:rPr>
        <w:t xml:space="preserve"> methods </w:t>
      </w:r>
      <w:r w:rsidR="006A564B">
        <w:rPr>
          <w:rFonts w:cstheme="minorHAnsi"/>
          <w:sz w:val="24"/>
          <w:szCs w:val="24"/>
        </w:rPr>
        <w:t xml:space="preserve">one would use techniques such as, for instance, </w:t>
      </w:r>
      <w:r w:rsidR="007209BC" w:rsidRPr="007209BC">
        <w:rPr>
          <w:rFonts w:cstheme="minorHAnsi"/>
          <w:sz w:val="24"/>
          <w:szCs w:val="24"/>
        </w:rPr>
        <w:t>instrumental variables</w:t>
      </w:r>
      <w:r w:rsidR="00AB6942">
        <w:rPr>
          <w:rFonts w:cstheme="minorHAnsi"/>
          <w:sz w:val="24"/>
          <w:szCs w:val="24"/>
        </w:rPr>
        <w:t xml:space="preserve"> </w:t>
      </w:r>
      <w:r w:rsidR="006A564B">
        <w:rPr>
          <w:rFonts w:cstheme="minorHAnsi"/>
          <w:sz w:val="24"/>
          <w:szCs w:val="24"/>
        </w:rPr>
        <w:t>or</w:t>
      </w:r>
      <w:r w:rsidR="007209BC" w:rsidRPr="007209BC">
        <w:rPr>
          <w:rFonts w:cstheme="minorHAnsi"/>
          <w:sz w:val="24"/>
          <w:szCs w:val="24"/>
        </w:rPr>
        <w:t xml:space="preserve"> difference-in-differences</w:t>
      </w:r>
      <w:r w:rsidR="00AB6942">
        <w:rPr>
          <w:rFonts w:cstheme="minorHAnsi"/>
          <w:sz w:val="24"/>
          <w:szCs w:val="24"/>
        </w:rPr>
        <w:t xml:space="preserve"> </w:t>
      </w:r>
      <w:r w:rsidR="006A564B">
        <w:rPr>
          <w:rFonts w:cstheme="minorHAnsi"/>
          <w:sz w:val="24"/>
          <w:szCs w:val="24"/>
        </w:rPr>
        <w:t xml:space="preserve">which </w:t>
      </w:r>
      <w:r w:rsidR="00AB6942">
        <w:rPr>
          <w:rFonts w:cstheme="minorHAnsi"/>
          <w:sz w:val="24"/>
          <w:szCs w:val="24"/>
        </w:rPr>
        <w:t>are</w:t>
      </w:r>
      <w:r w:rsidR="007209BC" w:rsidRPr="007209BC">
        <w:rPr>
          <w:rFonts w:cstheme="minorHAnsi"/>
          <w:sz w:val="24"/>
          <w:szCs w:val="24"/>
        </w:rPr>
        <w:t xml:space="preserve"> designed to deal with </w:t>
      </w:r>
      <w:r w:rsidR="00D754DC">
        <w:rPr>
          <w:rFonts w:cstheme="minorHAnsi"/>
          <w:sz w:val="24"/>
          <w:szCs w:val="24"/>
        </w:rPr>
        <w:t>unmeasured confounders</w:t>
      </w:r>
      <w:r w:rsidR="007209BC" w:rsidRPr="007209BC">
        <w:rPr>
          <w:rFonts w:cstheme="minorHAnsi"/>
          <w:sz w:val="24"/>
          <w:szCs w:val="24"/>
        </w:rPr>
        <w:t xml:space="preserve">. </w:t>
      </w:r>
      <w:proofErr w:type="gramStart"/>
      <w:r w:rsidR="0045128C">
        <w:rPr>
          <w:rFonts w:cstheme="minorHAnsi"/>
          <w:sz w:val="24"/>
          <w:szCs w:val="24"/>
        </w:rPr>
        <w:t>Overall</w:t>
      </w:r>
      <w:proofErr w:type="gramEnd"/>
      <w:r w:rsidR="00BA24C8">
        <w:rPr>
          <w:rFonts w:cstheme="minorHAnsi"/>
          <w:sz w:val="24"/>
          <w:szCs w:val="24"/>
        </w:rPr>
        <w:t xml:space="preserve"> the TTE</w:t>
      </w:r>
      <w:r w:rsidR="007209BC" w:rsidRPr="007209BC">
        <w:rPr>
          <w:rFonts w:cstheme="minorHAnsi"/>
          <w:sz w:val="24"/>
          <w:szCs w:val="24"/>
        </w:rPr>
        <w:t xml:space="preserve"> framework </w:t>
      </w:r>
      <w:r w:rsidR="0045128C">
        <w:rPr>
          <w:rFonts w:cstheme="minorHAnsi"/>
          <w:sz w:val="24"/>
          <w:szCs w:val="24"/>
        </w:rPr>
        <w:t>provides</w:t>
      </w:r>
      <w:r w:rsidR="007209BC" w:rsidRPr="007209BC">
        <w:rPr>
          <w:rFonts w:cstheme="minorHAnsi"/>
          <w:sz w:val="24"/>
          <w:szCs w:val="24"/>
        </w:rPr>
        <w:t xml:space="preserve"> a unifying approach to analysi</w:t>
      </w:r>
      <w:r w:rsidR="0045128C">
        <w:rPr>
          <w:rFonts w:cstheme="minorHAnsi"/>
          <w:sz w:val="24"/>
          <w:szCs w:val="24"/>
        </w:rPr>
        <w:t>ng</w:t>
      </w:r>
      <w:r w:rsidR="007209BC" w:rsidRPr="007209BC">
        <w:rPr>
          <w:rFonts w:cstheme="minorHAnsi"/>
          <w:sz w:val="24"/>
          <w:szCs w:val="24"/>
        </w:rPr>
        <w:t xml:space="preserve"> non-randomised data for </w:t>
      </w:r>
      <w:r w:rsidR="0045128C">
        <w:rPr>
          <w:rFonts w:cstheme="minorHAnsi"/>
          <w:sz w:val="24"/>
          <w:szCs w:val="24"/>
        </w:rPr>
        <w:t>determin</w:t>
      </w:r>
      <w:r w:rsidR="007209BC" w:rsidRPr="007209BC">
        <w:rPr>
          <w:rFonts w:cstheme="minorHAnsi"/>
          <w:sz w:val="24"/>
          <w:szCs w:val="24"/>
        </w:rPr>
        <w:t xml:space="preserve">ing what work best, for whom, and under what circumstances.  </w:t>
      </w:r>
      <w:r w:rsidRPr="00C83273">
        <w:rPr>
          <w:rFonts w:cstheme="minorHAnsi"/>
          <w:sz w:val="24"/>
          <w:szCs w:val="24"/>
        </w:rPr>
        <w:t xml:space="preserve"> </w:t>
      </w:r>
    </w:p>
    <w:p w14:paraId="3E24E4DA" w14:textId="39F8B7C4" w:rsidR="002C4027" w:rsidRPr="00C83273" w:rsidRDefault="00837341" w:rsidP="00C83273">
      <w:pPr>
        <w:spacing w:line="240" w:lineRule="auto"/>
        <w:ind w:left="50"/>
        <w:jc w:val="both"/>
        <w:rPr>
          <w:rFonts w:cstheme="minorHAnsi"/>
          <w:sz w:val="24"/>
          <w:szCs w:val="24"/>
        </w:rPr>
      </w:pPr>
      <w:r w:rsidRPr="00C83273">
        <w:rPr>
          <w:rFonts w:cstheme="minorHAnsi"/>
          <w:sz w:val="24"/>
          <w:szCs w:val="24"/>
        </w:rPr>
        <w:t xml:space="preserve">Within the MDS case study, we have applied the </w:t>
      </w:r>
      <w:r w:rsidR="006A564B">
        <w:rPr>
          <w:rFonts w:cstheme="minorHAnsi"/>
          <w:sz w:val="24"/>
          <w:szCs w:val="24"/>
        </w:rPr>
        <w:t xml:space="preserve">MSM+IPW and the </w:t>
      </w:r>
      <w:r w:rsidRPr="00C83273">
        <w:rPr>
          <w:rFonts w:cstheme="minorHAnsi"/>
          <w:sz w:val="24"/>
          <w:szCs w:val="24"/>
        </w:rPr>
        <w:t>LTMLE method</w:t>
      </w:r>
      <w:r w:rsidR="006A564B">
        <w:rPr>
          <w:rFonts w:cstheme="minorHAnsi"/>
          <w:sz w:val="24"/>
          <w:szCs w:val="24"/>
        </w:rPr>
        <w:t>s</w:t>
      </w:r>
      <w:r w:rsidRPr="00C83273">
        <w:rPr>
          <w:rFonts w:cstheme="minorHAnsi"/>
          <w:sz w:val="24"/>
          <w:szCs w:val="24"/>
        </w:rPr>
        <w:t xml:space="preserve"> </w:t>
      </w:r>
      <w:r w:rsidR="006A564B">
        <w:rPr>
          <w:rFonts w:cstheme="minorHAnsi"/>
          <w:sz w:val="24"/>
          <w:szCs w:val="24"/>
        </w:rPr>
        <w:t>to</w:t>
      </w:r>
      <w:r w:rsidR="006A564B" w:rsidRPr="00C83273">
        <w:rPr>
          <w:rFonts w:cstheme="minorHAnsi"/>
          <w:sz w:val="24"/>
          <w:szCs w:val="24"/>
        </w:rPr>
        <w:t xml:space="preserve"> </w:t>
      </w:r>
      <w:r w:rsidRPr="00C83273">
        <w:rPr>
          <w:rFonts w:cstheme="minorHAnsi"/>
          <w:sz w:val="24"/>
          <w:szCs w:val="24"/>
        </w:rPr>
        <w:t xml:space="preserve">EUMDS </w:t>
      </w:r>
      <w:r w:rsidR="00A41444">
        <w:rPr>
          <w:rFonts w:cstheme="minorHAnsi"/>
          <w:sz w:val="24"/>
          <w:szCs w:val="24"/>
        </w:rPr>
        <w:t xml:space="preserve">registry </w:t>
      </w:r>
      <w:r w:rsidRPr="00C83273">
        <w:rPr>
          <w:rFonts w:cstheme="minorHAnsi"/>
          <w:sz w:val="24"/>
          <w:szCs w:val="24"/>
        </w:rPr>
        <w:t xml:space="preserve">data to compare dynamic treatment protocols involving the use of ESA drug treatment for MDS patients. </w:t>
      </w:r>
      <w:r w:rsidR="006F0684">
        <w:rPr>
          <w:rFonts w:cstheme="minorHAnsi"/>
          <w:sz w:val="24"/>
          <w:szCs w:val="24"/>
        </w:rPr>
        <w:t>T</w:t>
      </w:r>
      <w:r w:rsidRPr="00C83273">
        <w:rPr>
          <w:rFonts w:cstheme="minorHAnsi"/>
          <w:sz w:val="24"/>
          <w:szCs w:val="24"/>
        </w:rPr>
        <w:t>he</w:t>
      </w:r>
      <w:r w:rsidR="0045128C">
        <w:rPr>
          <w:rFonts w:cstheme="minorHAnsi"/>
          <w:sz w:val="24"/>
          <w:szCs w:val="24"/>
        </w:rPr>
        <w:t>se</w:t>
      </w:r>
      <w:r w:rsidRPr="00C83273">
        <w:rPr>
          <w:rFonts w:cstheme="minorHAnsi"/>
          <w:sz w:val="24"/>
          <w:szCs w:val="24"/>
        </w:rPr>
        <w:t xml:space="preserve"> dynamic treatment protocols allow decisions to initiate, continue or discontinue ESA over time </w:t>
      </w:r>
      <w:r w:rsidR="0045128C">
        <w:rPr>
          <w:rFonts w:cstheme="minorHAnsi"/>
          <w:sz w:val="24"/>
          <w:szCs w:val="24"/>
        </w:rPr>
        <w:t>based</w:t>
      </w:r>
      <w:r w:rsidRPr="00C83273">
        <w:rPr>
          <w:rFonts w:cstheme="minorHAnsi"/>
          <w:sz w:val="24"/>
          <w:szCs w:val="24"/>
        </w:rPr>
        <w:t xml:space="preserve"> on changing patient characteristics, including response to treatment</w:t>
      </w:r>
      <w:r w:rsidR="000E4E59" w:rsidRPr="00C83273">
        <w:rPr>
          <w:rFonts w:cstheme="minorHAnsi"/>
          <w:sz w:val="24"/>
          <w:szCs w:val="24"/>
        </w:rPr>
        <w:t>.</w:t>
      </w:r>
      <w:r w:rsidR="0051471E">
        <w:rPr>
          <w:rFonts w:cstheme="minorHAnsi"/>
          <w:sz w:val="24"/>
          <w:szCs w:val="24"/>
        </w:rPr>
        <w:t xml:space="preserve"> </w:t>
      </w:r>
      <w:r w:rsidR="000E4E59" w:rsidRPr="00C83273">
        <w:rPr>
          <w:rFonts w:cstheme="minorHAnsi"/>
          <w:sz w:val="24"/>
          <w:szCs w:val="24"/>
        </w:rPr>
        <w:t>[1</w:t>
      </w:r>
      <w:r w:rsidR="00523FDD">
        <w:rPr>
          <w:rFonts w:cstheme="minorHAnsi"/>
          <w:sz w:val="24"/>
          <w:szCs w:val="24"/>
        </w:rPr>
        <w:t>5</w:t>
      </w:r>
      <w:r w:rsidR="000E4E59" w:rsidRPr="00C83273">
        <w:rPr>
          <w:rFonts w:cstheme="minorHAnsi"/>
          <w:sz w:val="24"/>
          <w:szCs w:val="24"/>
        </w:rPr>
        <w:t xml:space="preserve">] </w:t>
      </w:r>
      <w:r w:rsidRPr="00C83273">
        <w:rPr>
          <w:rFonts w:cstheme="minorHAnsi"/>
          <w:sz w:val="24"/>
          <w:szCs w:val="24"/>
        </w:rPr>
        <w:t xml:space="preserve">We compared </w:t>
      </w:r>
      <w:r w:rsidR="006F0684">
        <w:rPr>
          <w:rFonts w:cstheme="minorHAnsi"/>
          <w:sz w:val="24"/>
          <w:szCs w:val="24"/>
        </w:rPr>
        <w:t>various dynamic</w:t>
      </w:r>
      <w:r w:rsidRPr="00C83273">
        <w:rPr>
          <w:rFonts w:cstheme="minorHAnsi"/>
          <w:sz w:val="24"/>
          <w:szCs w:val="24"/>
        </w:rPr>
        <w:t xml:space="preserve"> protocols by studying the differences </w:t>
      </w:r>
      <w:r w:rsidR="0045128C">
        <w:rPr>
          <w:rFonts w:cstheme="minorHAnsi"/>
          <w:sz w:val="24"/>
          <w:szCs w:val="24"/>
        </w:rPr>
        <w:t>in</w:t>
      </w:r>
      <w:r w:rsidRPr="00C83273">
        <w:rPr>
          <w:rFonts w:cstheme="minorHAnsi"/>
          <w:sz w:val="24"/>
          <w:szCs w:val="24"/>
        </w:rPr>
        <w:t xml:space="preserve"> their estimated patient outcomes</w:t>
      </w:r>
      <w:r w:rsidR="0045128C">
        <w:rPr>
          <w:rFonts w:cstheme="minorHAnsi"/>
          <w:sz w:val="24"/>
          <w:szCs w:val="24"/>
        </w:rPr>
        <w:t>,</w:t>
      </w:r>
      <w:r w:rsidRPr="00C83273">
        <w:rPr>
          <w:rFonts w:cstheme="minorHAnsi"/>
          <w:sz w:val="24"/>
          <w:szCs w:val="24"/>
        </w:rPr>
        <w:t xml:space="preserve"> including survival and quality of life at each time point.  </w:t>
      </w:r>
    </w:p>
    <w:p w14:paraId="03C68BC2" w14:textId="389D8C5C" w:rsidR="003E1862" w:rsidRPr="00C83273" w:rsidRDefault="0053688F" w:rsidP="00C83273">
      <w:pPr>
        <w:spacing w:line="240" w:lineRule="auto"/>
        <w:ind w:left="50"/>
        <w:jc w:val="both"/>
        <w:rPr>
          <w:rFonts w:cstheme="minorHAnsi"/>
          <w:sz w:val="24"/>
          <w:szCs w:val="24"/>
        </w:rPr>
      </w:pPr>
      <w:r w:rsidRPr="00C83273">
        <w:rPr>
          <w:rFonts w:cstheme="minorHAnsi"/>
          <w:sz w:val="24"/>
          <w:szCs w:val="24"/>
        </w:rPr>
        <w:t xml:space="preserve">The lessons learned from </w:t>
      </w:r>
      <w:r w:rsidR="00BA1BC6" w:rsidRPr="00C83273">
        <w:rPr>
          <w:rFonts w:cstheme="minorHAnsi"/>
          <w:sz w:val="24"/>
          <w:szCs w:val="24"/>
        </w:rPr>
        <w:t xml:space="preserve">the </w:t>
      </w:r>
      <w:r w:rsidRPr="00C83273">
        <w:rPr>
          <w:rFonts w:cstheme="minorHAnsi"/>
          <w:sz w:val="24"/>
          <w:szCs w:val="24"/>
        </w:rPr>
        <w:t xml:space="preserve">case study are potentially threefold: (1) results </w:t>
      </w:r>
      <w:r w:rsidR="004344ED" w:rsidRPr="00C83273">
        <w:rPr>
          <w:rFonts w:cstheme="minorHAnsi"/>
          <w:sz w:val="24"/>
          <w:szCs w:val="24"/>
        </w:rPr>
        <w:t xml:space="preserve">from these studies </w:t>
      </w:r>
      <w:r w:rsidRPr="00C83273">
        <w:rPr>
          <w:rFonts w:cstheme="minorHAnsi"/>
          <w:sz w:val="24"/>
          <w:szCs w:val="24"/>
        </w:rPr>
        <w:t xml:space="preserve">can be used to further specify recommendations regarding </w:t>
      </w:r>
      <w:r w:rsidR="004344ED" w:rsidRPr="00C83273">
        <w:rPr>
          <w:rFonts w:cstheme="minorHAnsi"/>
          <w:sz w:val="24"/>
          <w:szCs w:val="24"/>
        </w:rPr>
        <w:t xml:space="preserve">the </w:t>
      </w:r>
      <w:r w:rsidRPr="00C83273">
        <w:rPr>
          <w:rFonts w:cstheme="minorHAnsi"/>
          <w:sz w:val="24"/>
          <w:szCs w:val="24"/>
        </w:rPr>
        <w:t xml:space="preserve">optimal treatment of </w:t>
      </w:r>
      <w:r w:rsidR="004344ED" w:rsidRPr="00C83273">
        <w:rPr>
          <w:rFonts w:cstheme="minorHAnsi"/>
          <w:sz w:val="24"/>
          <w:szCs w:val="24"/>
        </w:rPr>
        <w:t>LR-</w:t>
      </w:r>
      <w:r w:rsidRPr="00C83273">
        <w:rPr>
          <w:rFonts w:cstheme="minorHAnsi"/>
          <w:sz w:val="24"/>
          <w:szCs w:val="24"/>
        </w:rPr>
        <w:t>MDS</w:t>
      </w:r>
      <w:r w:rsidR="004344ED" w:rsidRPr="00C83273">
        <w:rPr>
          <w:rFonts w:cstheme="minorHAnsi"/>
          <w:sz w:val="24"/>
          <w:szCs w:val="24"/>
        </w:rPr>
        <w:t xml:space="preserve"> patients</w:t>
      </w:r>
      <w:r w:rsidRPr="00C83273">
        <w:rPr>
          <w:rFonts w:cstheme="minorHAnsi"/>
          <w:sz w:val="24"/>
          <w:szCs w:val="24"/>
        </w:rPr>
        <w:t xml:space="preserve">, provided that these recommendations are </w:t>
      </w:r>
      <w:r w:rsidR="008304CF" w:rsidRPr="00C83273">
        <w:rPr>
          <w:rFonts w:cstheme="minorHAnsi"/>
          <w:sz w:val="24"/>
          <w:szCs w:val="24"/>
        </w:rPr>
        <w:t>transferable</w:t>
      </w:r>
      <w:r w:rsidRPr="00C83273">
        <w:rPr>
          <w:rFonts w:cstheme="minorHAnsi"/>
          <w:sz w:val="24"/>
          <w:szCs w:val="24"/>
        </w:rPr>
        <w:t xml:space="preserve"> to countries not participating in EUMDS</w:t>
      </w:r>
      <w:r w:rsidR="00013B5F" w:rsidRPr="00C83273">
        <w:rPr>
          <w:rFonts w:cstheme="minorHAnsi"/>
          <w:sz w:val="24"/>
          <w:szCs w:val="24"/>
        </w:rPr>
        <w:t xml:space="preserve"> patient registry</w:t>
      </w:r>
      <w:r w:rsidRPr="00C83273">
        <w:rPr>
          <w:rFonts w:cstheme="minorHAnsi"/>
          <w:sz w:val="24"/>
          <w:szCs w:val="24"/>
        </w:rPr>
        <w:t xml:space="preserve">; (2) methods </w:t>
      </w:r>
      <w:r w:rsidR="0045128C">
        <w:rPr>
          <w:rFonts w:cstheme="minorHAnsi"/>
          <w:sz w:val="24"/>
          <w:szCs w:val="24"/>
        </w:rPr>
        <w:t xml:space="preserve">used in this study </w:t>
      </w:r>
      <w:r w:rsidRPr="00C83273">
        <w:rPr>
          <w:rFonts w:cstheme="minorHAnsi"/>
          <w:sz w:val="24"/>
          <w:szCs w:val="24"/>
        </w:rPr>
        <w:t xml:space="preserve">can be </w:t>
      </w:r>
      <w:r w:rsidR="008304CF" w:rsidRPr="00C83273">
        <w:rPr>
          <w:rFonts w:cstheme="minorHAnsi"/>
          <w:sz w:val="24"/>
          <w:szCs w:val="24"/>
        </w:rPr>
        <w:t>generalis</w:t>
      </w:r>
      <w:r w:rsidR="006F5D07">
        <w:rPr>
          <w:rFonts w:cstheme="minorHAnsi"/>
          <w:sz w:val="24"/>
          <w:szCs w:val="24"/>
        </w:rPr>
        <w:t>ed</w:t>
      </w:r>
      <w:r w:rsidRPr="00C83273">
        <w:rPr>
          <w:rFonts w:cstheme="minorHAnsi"/>
          <w:sz w:val="24"/>
          <w:szCs w:val="24"/>
        </w:rPr>
        <w:t xml:space="preserve"> to other (rare) diseases, provided that similar types</w:t>
      </w:r>
      <w:r w:rsidR="00BC3E88" w:rsidRPr="00C83273">
        <w:rPr>
          <w:rFonts w:cstheme="minorHAnsi"/>
          <w:sz w:val="24"/>
          <w:szCs w:val="24"/>
        </w:rPr>
        <w:t xml:space="preserve"> and quality</w:t>
      </w:r>
      <w:r w:rsidRPr="00C83273">
        <w:rPr>
          <w:rFonts w:cstheme="minorHAnsi"/>
          <w:sz w:val="24"/>
          <w:szCs w:val="24"/>
        </w:rPr>
        <w:t xml:space="preserve"> of RWD sets are available; (3) the process followed in MDS case study to get access to RWD provides </w:t>
      </w:r>
      <w:r w:rsidR="006F5D07">
        <w:rPr>
          <w:rFonts w:cstheme="minorHAnsi"/>
          <w:sz w:val="24"/>
          <w:szCs w:val="24"/>
        </w:rPr>
        <w:t xml:space="preserve">a model </w:t>
      </w:r>
      <w:r w:rsidRPr="00C83273">
        <w:rPr>
          <w:rFonts w:cstheme="minorHAnsi"/>
          <w:sz w:val="24"/>
          <w:szCs w:val="24"/>
        </w:rPr>
        <w:t>f</w:t>
      </w:r>
      <w:r w:rsidR="006F5D07">
        <w:rPr>
          <w:rFonts w:cstheme="minorHAnsi"/>
          <w:sz w:val="24"/>
          <w:szCs w:val="24"/>
        </w:rPr>
        <w:t>or</w:t>
      </w:r>
      <w:r w:rsidRPr="00C83273">
        <w:rPr>
          <w:rFonts w:cstheme="minorHAnsi"/>
          <w:sz w:val="24"/>
          <w:szCs w:val="24"/>
        </w:rPr>
        <w:t xml:space="preserve"> the steps that are necessary to obtain data, and enable HTA agencies to anticipate how much time and resources are required</w:t>
      </w:r>
      <w:r w:rsidR="00FF2BE8" w:rsidRPr="00C83273">
        <w:rPr>
          <w:rFonts w:cstheme="minorHAnsi"/>
          <w:sz w:val="24"/>
          <w:szCs w:val="24"/>
        </w:rPr>
        <w:t xml:space="preserve"> for similar data</w:t>
      </w:r>
      <w:r w:rsidR="00AF06B2" w:rsidRPr="00C83273">
        <w:rPr>
          <w:rFonts w:cstheme="minorHAnsi"/>
          <w:sz w:val="24"/>
          <w:szCs w:val="24"/>
        </w:rPr>
        <w:t xml:space="preserve"> acquisition </w:t>
      </w:r>
      <w:r w:rsidR="00FF2BE8" w:rsidRPr="00C83273">
        <w:rPr>
          <w:rFonts w:cstheme="minorHAnsi"/>
          <w:sz w:val="24"/>
          <w:szCs w:val="24"/>
        </w:rPr>
        <w:t>processes</w:t>
      </w:r>
      <w:r w:rsidR="004344ED" w:rsidRPr="00C83273">
        <w:rPr>
          <w:rFonts w:cstheme="minorHAnsi"/>
          <w:sz w:val="24"/>
          <w:szCs w:val="24"/>
        </w:rPr>
        <w:t>.</w:t>
      </w:r>
    </w:p>
    <w:p w14:paraId="381DA85B" w14:textId="1C7E679F" w:rsidR="004634EB" w:rsidRPr="00C83273" w:rsidRDefault="003E1862" w:rsidP="00C83273">
      <w:pPr>
        <w:spacing w:line="240" w:lineRule="auto"/>
        <w:ind w:left="50"/>
        <w:jc w:val="both"/>
        <w:rPr>
          <w:rFonts w:cstheme="minorHAnsi"/>
          <w:sz w:val="24"/>
          <w:szCs w:val="24"/>
        </w:rPr>
      </w:pPr>
      <w:r w:rsidRPr="00C83273">
        <w:rPr>
          <w:rFonts w:cstheme="minorHAnsi"/>
          <w:sz w:val="24"/>
          <w:szCs w:val="24"/>
        </w:rPr>
        <w:t xml:space="preserve">This manuscript </w:t>
      </w:r>
      <w:r w:rsidR="00013B5F" w:rsidRPr="00C83273">
        <w:rPr>
          <w:rFonts w:cstheme="minorHAnsi"/>
          <w:sz w:val="24"/>
          <w:szCs w:val="24"/>
        </w:rPr>
        <w:t xml:space="preserve">summarizes </w:t>
      </w:r>
      <w:r w:rsidR="00BA1BC6" w:rsidRPr="00C83273">
        <w:rPr>
          <w:rFonts w:cstheme="minorHAnsi"/>
          <w:sz w:val="24"/>
          <w:szCs w:val="24"/>
        </w:rPr>
        <w:t>the</w:t>
      </w:r>
      <w:r w:rsidR="0053688F" w:rsidRPr="00C83273">
        <w:rPr>
          <w:rFonts w:cstheme="minorHAnsi"/>
          <w:sz w:val="24"/>
          <w:szCs w:val="24"/>
        </w:rPr>
        <w:t xml:space="preserve"> </w:t>
      </w:r>
      <w:bookmarkStart w:id="11" w:name="_Hlk178105519"/>
      <w:r w:rsidR="00D24901">
        <w:rPr>
          <w:rFonts w:cstheme="minorHAnsi"/>
          <w:sz w:val="24"/>
          <w:szCs w:val="24"/>
        </w:rPr>
        <w:t>response</w:t>
      </w:r>
      <w:r w:rsidR="0053688F" w:rsidRPr="00C83273">
        <w:rPr>
          <w:rFonts w:cstheme="minorHAnsi"/>
          <w:sz w:val="24"/>
          <w:szCs w:val="24"/>
        </w:rPr>
        <w:t xml:space="preserve"> </w:t>
      </w:r>
      <w:r w:rsidR="00BA1BC6" w:rsidRPr="00C83273">
        <w:rPr>
          <w:rFonts w:cstheme="minorHAnsi"/>
          <w:sz w:val="24"/>
          <w:szCs w:val="24"/>
        </w:rPr>
        <w:t xml:space="preserve">of authors to </w:t>
      </w:r>
      <w:r w:rsidR="0053688F" w:rsidRPr="00C83273">
        <w:rPr>
          <w:rFonts w:cstheme="minorHAnsi"/>
          <w:sz w:val="24"/>
          <w:szCs w:val="24"/>
        </w:rPr>
        <w:t xml:space="preserve">the question </w:t>
      </w:r>
      <w:r w:rsidR="00EE3803" w:rsidRPr="004634EB">
        <w:rPr>
          <w:rFonts w:cstheme="minorHAnsi"/>
          <w:sz w:val="24"/>
          <w:szCs w:val="24"/>
        </w:rPr>
        <w:t xml:space="preserve">how treatment recommendations </w:t>
      </w:r>
      <w:r w:rsidR="00EE3803">
        <w:rPr>
          <w:rFonts w:cstheme="minorHAnsi"/>
          <w:sz w:val="24"/>
          <w:szCs w:val="24"/>
        </w:rPr>
        <w:t xml:space="preserve">for LR-MDS patients </w:t>
      </w:r>
      <w:r w:rsidR="00EE3803" w:rsidRPr="004634EB">
        <w:rPr>
          <w:rFonts w:cstheme="minorHAnsi"/>
          <w:sz w:val="24"/>
          <w:szCs w:val="24"/>
        </w:rPr>
        <w:t xml:space="preserve">based on </w:t>
      </w:r>
      <w:r w:rsidR="00EE3803">
        <w:rPr>
          <w:rFonts w:cstheme="minorHAnsi"/>
          <w:sz w:val="24"/>
          <w:szCs w:val="24"/>
        </w:rPr>
        <w:t xml:space="preserve">RWE generated by </w:t>
      </w:r>
      <w:r w:rsidR="00EE3803" w:rsidRPr="004634EB">
        <w:rPr>
          <w:rFonts w:cstheme="minorHAnsi"/>
          <w:sz w:val="24"/>
          <w:szCs w:val="24"/>
        </w:rPr>
        <w:t xml:space="preserve">TTE </w:t>
      </w:r>
      <w:r w:rsidR="00EE3803">
        <w:rPr>
          <w:rFonts w:cstheme="minorHAnsi"/>
          <w:sz w:val="24"/>
          <w:szCs w:val="24"/>
        </w:rPr>
        <w:t xml:space="preserve">method </w:t>
      </w:r>
      <w:r w:rsidR="0053688F" w:rsidRPr="00C83273">
        <w:rPr>
          <w:rFonts w:cstheme="minorHAnsi"/>
          <w:sz w:val="24"/>
          <w:szCs w:val="24"/>
        </w:rPr>
        <w:t xml:space="preserve">can be transferred to </w:t>
      </w:r>
      <w:r w:rsidR="00F348E7" w:rsidRPr="00C83273">
        <w:rPr>
          <w:rFonts w:cstheme="minorHAnsi"/>
          <w:sz w:val="24"/>
          <w:szCs w:val="24"/>
        </w:rPr>
        <w:t>LIECs</w:t>
      </w:r>
      <w:r w:rsidR="0053688F" w:rsidRPr="00C83273">
        <w:rPr>
          <w:rFonts w:cstheme="minorHAnsi"/>
          <w:sz w:val="24"/>
          <w:szCs w:val="24"/>
        </w:rPr>
        <w:t xml:space="preserve">, which </w:t>
      </w:r>
      <w:r w:rsidR="00F348E7" w:rsidRPr="00C83273">
        <w:rPr>
          <w:rFonts w:cstheme="minorHAnsi"/>
          <w:sz w:val="24"/>
          <w:szCs w:val="24"/>
        </w:rPr>
        <w:t>t</w:t>
      </w:r>
      <w:r w:rsidR="0053688F" w:rsidRPr="00C83273">
        <w:rPr>
          <w:rFonts w:cstheme="minorHAnsi"/>
          <w:sz w:val="24"/>
          <w:szCs w:val="24"/>
        </w:rPr>
        <w:t>ypically adopt</w:t>
      </w:r>
      <w:r w:rsidR="00F348E7" w:rsidRPr="00C83273">
        <w:rPr>
          <w:rFonts w:cstheme="minorHAnsi"/>
          <w:sz w:val="24"/>
          <w:szCs w:val="24"/>
        </w:rPr>
        <w:t xml:space="preserve"> new health technologies </w:t>
      </w:r>
      <w:r w:rsidR="00C57B1E" w:rsidRPr="00C83273">
        <w:rPr>
          <w:rFonts w:cstheme="minorHAnsi"/>
          <w:sz w:val="24"/>
          <w:szCs w:val="24"/>
        </w:rPr>
        <w:t xml:space="preserve">with significant delay compared with </w:t>
      </w:r>
      <w:r w:rsidR="006A564B" w:rsidRPr="00C83273">
        <w:rPr>
          <w:rFonts w:cstheme="minorHAnsi"/>
          <w:sz w:val="24"/>
          <w:szCs w:val="24"/>
        </w:rPr>
        <w:t>higher</w:t>
      </w:r>
      <w:r w:rsidR="006A564B">
        <w:rPr>
          <w:rFonts w:cstheme="minorHAnsi"/>
          <w:sz w:val="24"/>
          <w:szCs w:val="24"/>
        </w:rPr>
        <w:t>-</w:t>
      </w:r>
      <w:r w:rsidR="00F348E7" w:rsidRPr="00C83273">
        <w:rPr>
          <w:rFonts w:cstheme="minorHAnsi"/>
          <w:sz w:val="24"/>
          <w:szCs w:val="24"/>
        </w:rPr>
        <w:t>income</w:t>
      </w:r>
      <w:r w:rsidR="0053688F" w:rsidRPr="00C83273">
        <w:rPr>
          <w:rFonts w:cstheme="minorHAnsi"/>
          <w:sz w:val="24"/>
          <w:szCs w:val="24"/>
        </w:rPr>
        <w:t xml:space="preserve"> countries. </w:t>
      </w:r>
    </w:p>
    <w:bookmarkEnd w:id="11"/>
    <w:p w14:paraId="09449ED6" w14:textId="41159731" w:rsidR="00D42378" w:rsidRPr="00C83273" w:rsidRDefault="00756310" w:rsidP="00C83273">
      <w:pPr>
        <w:spacing w:line="240" w:lineRule="auto"/>
        <w:ind w:left="50"/>
        <w:jc w:val="both"/>
        <w:rPr>
          <w:rFonts w:cstheme="minorHAnsi"/>
          <w:sz w:val="24"/>
          <w:szCs w:val="24"/>
        </w:rPr>
      </w:pPr>
      <w:r w:rsidRPr="00C83273">
        <w:rPr>
          <w:rFonts w:cstheme="minorHAnsi"/>
          <w:b/>
          <w:bCs/>
          <w:sz w:val="24"/>
          <w:szCs w:val="24"/>
        </w:rPr>
        <w:t>Method</w:t>
      </w:r>
      <w:r w:rsidR="004344ED" w:rsidRPr="00C83273">
        <w:rPr>
          <w:rFonts w:cstheme="minorHAnsi"/>
          <w:b/>
          <w:bCs/>
          <w:sz w:val="24"/>
          <w:szCs w:val="24"/>
        </w:rPr>
        <w:t>s</w:t>
      </w:r>
      <w:r w:rsidR="007B58A9" w:rsidRPr="00C83273">
        <w:rPr>
          <w:rFonts w:cstheme="minorHAnsi"/>
          <w:sz w:val="24"/>
          <w:szCs w:val="24"/>
        </w:rPr>
        <w:t xml:space="preserve"> </w:t>
      </w:r>
    </w:p>
    <w:p w14:paraId="7D75B354" w14:textId="7D50E471" w:rsidR="00756310" w:rsidRDefault="00756310" w:rsidP="00C83273">
      <w:pPr>
        <w:spacing w:line="240" w:lineRule="auto"/>
        <w:ind w:left="50"/>
        <w:jc w:val="both"/>
        <w:rPr>
          <w:rFonts w:cstheme="minorHAnsi"/>
          <w:sz w:val="24"/>
          <w:szCs w:val="24"/>
        </w:rPr>
      </w:pPr>
      <w:r w:rsidRPr="00C83273">
        <w:rPr>
          <w:rFonts w:cstheme="minorHAnsi"/>
          <w:sz w:val="24"/>
          <w:szCs w:val="24"/>
        </w:rPr>
        <w:t xml:space="preserve">The </w:t>
      </w:r>
      <w:proofErr w:type="spellStart"/>
      <w:r w:rsidRPr="00C83273">
        <w:rPr>
          <w:rFonts w:cstheme="minorHAnsi"/>
          <w:sz w:val="24"/>
          <w:szCs w:val="24"/>
        </w:rPr>
        <w:t>HTx</w:t>
      </w:r>
      <w:proofErr w:type="spellEnd"/>
      <w:r w:rsidRPr="00C83273">
        <w:rPr>
          <w:rFonts w:cstheme="minorHAnsi"/>
          <w:sz w:val="24"/>
          <w:szCs w:val="24"/>
        </w:rPr>
        <w:t xml:space="preserve"> project was implemented over a period of 5</w:t>
      </w:r>
      <w:r w:rsidR="001D5795" w:rsidRPr="00C83273">
        <w:rPr>
          <w:rFonts w:cstheme="minorHAnsi"/>
          <w:sz w:val="24"/>
          <w:szCs w:val="24"/>
        </w:rPr>
        <w:t>.5</w:t>
      </w:r>
      <w:r w:rsidRPr="00C83273">
        <w:rPr>
          <w:rFonts w:cstheme="minorHAnsi"/>
          <w:sz w:val="24"/>
          <w:szCs w:val="24"/>
        </w:rPr>
        <w:t xml:space="preserve"> years. </w:t>
      </w:r>
      <w:bookmarkStart w:id="12" w:name="_Hlk170159249"/>
      <w:r w:rsidRPr="00C83273">
        <w:rPr>
          <w:rFonts w:cstheme="minorHAnsi"/>
          <w:sz w:val="24"/>
          <w:szCs w:val="24"/>
        </w:rPr>
        <w:t xml:space="preserve">Transferability aspects were considered from the </w:t>
      </w:r>
      <w:r w:rsidR="006F5D07">
        <w:rPr>
          <w:rFonts w:cstheme="minorHAnsi"/>
          <w:sz w:val="24"/>
          <w:szCs w:val="24"/>
        </w:rPr>
        <w:t>outset</w:t>
      </w:r>
      <w:bookmarkEnd w:id="12"/>
      <w:r w:rsidR="006F5D07">
        <w:rPr>
          <w:rFonts w:cstheme="minorHAnsi"/>
          <w:sz w:val="24"/>
          <w:szCs w:val="24"/>
        </w:rPr>
        <w:t>,</w:t>
      </w:r>
      <w:r w:rsidRPr="00C83273">
        <w:rPr>
          <w:rFonts w:cstheme="minorHAnsi"/>
          <w:sz w:val="24"/>
          <w:szCs w:val="24"/>
        </w:rPr>
        <w:t xml:space="preserve"> in parallel with the development of new HTA methodologies</w:t>
      </w:r>
      <w:r w:rsidR="00187EE7" w:rsidRPr="00C83273">
        <w:rPr>
          <w:rFonts w:cstheme="minorHAnsi"/>
          <w:sz w:val="24"/>
          <w:szCs w:val="24"/>
        </w:rPr>
        <w:t xml:space="preserve">, as described </w:t>
      </w:r>
      <w:r w:rsidR="004344ED" w:rsidRPr="00C83273">
        <w:rPr>
          <w:rFonts w:cstheme="minorHAnsi"/>
          <w:sz w:val="24"/>
          <w:szCs w:val="24"/>
        </w:rPr>
        <w:t>i</w:t>
      </w:r>
      <w:r w:rsidR="00187EE7" w:rsidRPr="00C83273">
        <w:rPr>
          <w:rFonts w:cstheme="minorHAnsi"/>
          <w:sz w:val="24"/>
          <w:szCs w:val="24"/>
        </w:rPr>
        <w:t>n Figure 1</w:t>
      </w:r>
      <w:r w:rsidRPr="00C83273">
        <w:rPr>
          <w:rFonts w:cstheme="minorHAnsi"/>
          <w:sz w:val="24"/>
          <w:szCs w:val="24"/>
        </w:rPr>
        <w:t xml:space="preserve">. At </w:t>
      </w:r>
      <w:r w:rsidR="00447C0D" w:rsidRPr="00C83273">
        <w:rPr>
          <w:rFonts w:cstheme="minorHAnsi"/>
          <w:sz w:val="24"/>
          <w:szCs w:val="24"/>
        </w:rPr>
        <w:t xml:space="preserve">the </w:t>
      </w:r>
      <w:r w:rsidRPr="00C83273">
        <w:rPr>
          <w:rFonts w:cstheme="minorHAnsi"/>
          <w:sz w:val="24"/>
          <w:szCs w:val="24"/>
        </w:rPr>
        <w:t xml:space="preserve">project start the </w:t>
      </w:r>
      <w:r w:rsidR="00BA1BC6" w:rsidRPr="00C83273">
        <w:rPr>
          <w:rFonts w:cstheme="minorHAnsi"/>
          <w:sz w:val="24"/>
          <w:szCs w:val="24"/>
        </w:rPr>
        <w:t xml:space="preserve">leadership </w:t>
      </w:r>
      <w:r w:rsidRPr="00C83273">
        <w:rPr>
          <w:rFonts w:cstheme="minorHAnsi"/>
          <w:sz w:val="24"/>
          <w:szCs w:val="24"/>
        </w:rPr>
        <w:t xml:space="preserve">team of the transferability </w:t>
      </w:r>
      <w:proofErr w:type="spellStart"/>
      <w:r w:rsidRPr="00C83273">
        <w:rPr>
          <w:rFonts w:cstheme="minorHAnsi"/>
          <w:sz w:val="24"/>
          <w:szCs w:val="24"/>
        </w:rPr>
        <w:t>workpackage</w:t>
      </w:r>
      <w:proofErr w:type="spellEnd"/>
      <w:r w:rsidRPr="00C83273">
        <w:rPr>
          <w:rFonts w:cstheme="minorHAnsi"/>
          <w:sz w:val="24"/>
          <w:szCs w:val="24"/>
        </w:rPr>
        <w:t xml:space="preserve"> </w:t>
      </w:r>
      <w:r w:rsidR="006F5D07">
        <w:rPr>
          <w:rFonts w:cstheme="minorHAnsi"/>
          <w:sz w:val="24"/>
          <w:szCs w:val="24"/>
        </w:rPr>
        <w:t xml:space="preserve">engaged in </w:t>
      </w:r>
      <w:r w:rsidRPr="00C83273">
        <w:rPr>
          <w:rFonts w:cstheme="minorHAnsi"/>
          <w:sz w:val="24"/>
          <w:szCs w:val="24"/>
        </w:rPr>
        <w:t>thorough discussion</w:t>
      </w:r>
      <w:r w:rsidR="006F5D07">
        <w:rPr>
          <w:rFonts w:cstheme="minorHAnsi"/>
          <w:sz w:val="24"/>
          <w:szCs w:val="24"/>
        </w:rPr>
        <w:t>s</w:t>
      </w:r>
      <w:r w:rsidRPr="00C83273">
        <w:rPr>
          <w:rFonts w:cstheme="minorHAnsi"/>
          <w:sz w:val="24"/>
          <w:szCs w:val="24"/>
        </w:rPr>
        <w:t xml:space="preserve"> with the MDS case study team to</w:t>
      </w:r>
      <w:r w:rsidR="006F5D07">
        <w:rPr>
          <w:rFonts w:cstheme="minorHAnsi"/>
          <w:sz w:val="24"/>
          <w:szCs w:val="24"/>
        </w:rPr>
        <w:t xml:space="preserve"> address </w:t>
      </w:r>
      <w:r w:rsidR="00BA1BC6" w:rsidRPr="00C83273">
        <w:rPr>
          <w:rFonts w:cstheme="minorHAnsi"/>
          <w:sz w:val="24"/>
          <w:szCs w:val="24"/>
        </w:rPr>
        <w:t>transferability</w:t>
      </w:r>
      <w:r w:rsidRPr="00C83273">
        <w:rPr>
          <w:rFonts w:cstheme="minorHAnsi"/>
          <w:sz w:val="24"/>
          <w:szCs w:val="24"/>
        </w:rPr>
        <w:t xml:space="preserve"> aspects upfront, and then </w:t>
      </w:r>
      <w:r w:rsidR="007F550B" w:rsidRPr="00C83273">
        <w:rPr>
          <w:rFonts w:cstheme="minorHAnsi"/>
          <w:sz w:val="24"/>
          <w:szCs w:val="24"/>
        </w:rPr>
        <w:t>over time they</w:t>
      </w:r>
      <w:r w:rsidRPr="00C83273">
        <w:rPr>
          <w:rFonts w:cstheme="minorHAnsi"/>
          <w:sz w:val="24"/>
          <w:szCs w:val="24"/>
        </w:rPr>
        <w:t xml:space="preserve"> carefully followed the progress of </w:t>
      </w:r>
      <w:r w:rsidR="004344ED" w:rsidRPr="00C83273">
        <w:rPr>
          <w:rFonts w:cstheme="minorHAnsi"/>
          <w:sz w:val="24"/>
          <w:szCs w:val="24"/>
        </w:rPr>
        <w:t xml:space="preserve">applying the </w:t>
      </w:r>
      <w:r w:rsidRPr="00C83273">
        <w:rPr>
          <w:rFonts w:cstheme="minorHAnsi"/>
          <w:sz w:val="24"/>
          <w:szCs w:val="24"/>
        </w:rPr>
        <w:t>TTE methodology</w:t>
      </w:r>
      <w:r w:rsidR="004344ED" w:rsidRPr="00C83273">
        <w:rPr>
          <w:rFonts w:cstheme="minorHAnsi"/>
          <w:sz w:val="24"/>
          <w:szCs w:val="24"/>
        </w:rPr>
        <w:t xml:space="preserve"> and us</w:t>
      </w:r>
      <w:r w:rsidR="006F5D07">
        <w:rPr>
          <w:rFonts w:cstheme="minorHAnsi"/>
          <w:sz w:val="24"/>
          <w:szCs w:val="24"/>
        </w:rPr>
        <w:t>ed</w:t>
      </w:r>
      <w:r w:rsidR="004344ED" w:rsidRPr="00C83273">
        <w:rPr>
          <w:rFonts w:cstheme="minorHAnsi"/>
          <w:sz w:val="24"/>
          <w:szCs w:val="24"/>
        </w:rPr>
        <w:t xml:space="preserve"> the results to inform effectiveness, quality of life and cost-effectiveness considerations</w:t>
      </w:r>
      <w:r w:rsidRPr="00C83273">
        <w:rPr>
          <w:rFonts w:cstheme="minorHAnsi"/>
          <w:sz w:val="24"/>
          <w:szCs w:val="24"/>
        </w:rPr>
        <w:t xml:space="preserve">. </w:t>
      </w:r>
    </w:p>
    <w:p w14:paraId="4706D825" w14:textId="12893185" w:rsidR="004B438A" w:rsidRPr="00C83273" w:rsidRDefault="004B438A" w:rsidP="004B438A">
      <w:pPr>
        <w:spacing w:line="240" w:lineRule="auto"/>
        <w:ind w:left="50"/>
        <w:jc w:val="center"/>
        <w:rPr>
          <w:rFonts w:cstheme="minorHAnsi"/>
          <w:sz w:val="24"/>
          <w:szCs w:val="24"/>
        </w:rPr>
      </w:pPr>
      <w:r>
        <w:rPr>
          <w:rFonts w:cstheme="minorHAnsi"/>
          <w:sz w:val="24"/>
          <w:szCs w:val="24"/>
        </w:rPr>
        <w:t>- INSERT FIGURE 1 HERE -</w:t>
      </w:r>
    </w:p>
    <w:p w14:paraId="119FECEE" w14:textId="2C87C780" w:rsidR="00AE687C" w:rsidRPr="00C83273" w:rsidRDefault="008A0AA8" w:rsidP="00C83273">
      <w:pPr>
        <w:spacing w:line="240" w:lineRule="auto"/>
        <w:ind w:left="50"/>
        <w:jc w:val="both"/>
        <w:rPr>
          <w:rFonts w:cstheme="minorHAnsi"/>
          <w:sz w:val="24"/>
          <w:szCs w:val="24"/>
        </w:rPr>
      </w:pPr>
      <w:r w:rsidRPr="00C83273">
        <w:rPr>
          <w:rFonts w:cstheme="minorHAnsi"/>
          <w:sz w:val="24"/>
          <w:szCs w:val="24"/>
        </w:rPr>
        <w:t xml:space="preserve">Three HTA agencies are partners in the </w:t>
      </w:r>
      <w:proofErr w:type="spellStart"/>
      <w:r w:rsidRPr="00C83273">
        <w:rPr>
          <w:rFonts w:cstheme="minorHAnsi"/>
          <w:sz w:val="24"/>
          <w:szCs w:val="24"/>
        </w:rPr>
        <w:t>HTx</w:t>
      </w:r>
      <w:proofErr w:type="spellEnd"/>
      <w:r w:rsidRPr="00C83273">
        <w:rPr>
          <w:rFonts w:cstheme="minorHAnsi"/>
          <w:sz w:val="24"/>
          <w:szCs w:val="24"/>
        </w:rPr>
        <w:t xml:space="preserve"> consortium: the National Institute for Health and Care Excellence (NICE) from </w:t>
      </w:r>
      <w:r w:rsidR="007C707F" w:rsidRPr="00C83273">
        <w:rPr>
          <w:rFonts w:cstheme="minorHAnsi"/>
          <w:sz w:val="24"/>
          <w:szCs w:val="24"/>
        </w:rPr>
        <w:t>England</w:t>
      </w:r>
      <w:r w:rsidRPr="00C83273">
        <w:rPr>
          <w:rFonts w:cstheme="minorHAnsi"/>
          <w:sz w:val="24"/>
          <w:szCs w:val="24"/>
        </w:rPr>
        <w:t>, the Swedish Dental and Pharmaceutical Benefits Agency (</w:t>
      </w:r>
      <w:proofErr w:type="spellStart"/>
      <w:r w:rsidRPr="00C83273">
        <w:rPr>
          <w:rFonts w:cstheme="minorHAnsi"/>
          <w:sz w:val="24"/>
          <w:szCs w:val="24"/>
        </w:rPr>
        <w:t>Tandvårds</w:t>
      </w:r>
      <w:proofErr w:type="spellEnd"/>
      <w:r w:rsidRPr="00C83273">
        <w:rPr>
          <w:rFonts w:cstheme="minorHAnsi"/>
          <w:sz w:val="24"/>
          <w:szCs w:val="24"/>
        </w:rPr>
        <w:t xml:space="preserve">- </w:t>
      </w:r>
      <w:proofErr w:type="spellStart"/>
      <w:r w:rsidRPr="00C83273">
        <w:rPr>
          <w:rFonts w:cstheme="minorHAnsi"/>
          <w:sz w:val="24"/>
          <w:szCs w:val="24"/>
        </w:rPr>
        <w:t>och</w:t>
      </w:r>
      <w:proofErr w:type="spellEnd"/>
      <w:r w:rsidRPr="00C83273">
        <w:rPr>
          <w:rFonts w:cstheme="minorHAnsi"/>
          <w:sz w:val="24"/>
          <w:szCs w:val="24"/>
        </w:rPr>
        <w:t xml:space="preserve"> </w:t>
      </w:r>
      <w:proofErr w:type="spellStart"/>
      <w:r w:rsidRPr="00C83273">
        <w:rPr>
          <w:rFonts w:cstheme="minorHAnsi"/>
          <w:sz w:val="24"/>
          <w:szCs w:val="24"/>
        </w:rPr>
        <w:t>läkemedelsförmånsverket</w:t>
      </w:r>
      <w:proofErr w:type="spellEnd"/>
      <w:r w:rsidRPr="00C83273">
        <w:rPr>
          <w:rFonts w:cstheme="minorHAnsi"/>
          <w:sz w:val="24"/>
          <w:szCs w:val="24"/>
        </w:rPr>
        <w:t xml:space="preserve">, TLV), and The National Health Care Institute (Zorginstituut Nederland, ZIN) from the Netherlands. </w:t>
      </w:r>
      <w:r w:rsidR="006A6D3C" w:rsidRPr="00C83273">
        <w:rPr>
          <w:rFonts w:cstheme="minorHAnsi"/>
          <w:sz w:val="24"/>
          <w:szCs w:val="24"/>
        </w:rPr>
        <w:t>In June 2022</w:t>
      </w:r>
      <w:r w:rsidR="00756310" w:rsidRPr="00C83273">
        <w:rPr>
          <w:rFonts w:cstheme="minorHAnsi"/>
          <w:sz w:val="24"/>
          <w:szCs w:val="24"/>
        </w:rPr>
        <w:t xml:space="preserve"> </w:t>
      </w:r>
      <w:r w:rsidRPr="00C83273">
        <w:rPr>
          <w:rFonts w:cstheme="minorHAnsi"/>
          <w:sz w:val="24"/>
          <w:szCs w:val="24"/>
        </w:rPr>
        <w:t xml:space="preserve">these three </w:t>
      </w:r>
      <w:r w:rsidR="004B3699" w:rsidRPr="00C83273">
        <w:rPr>
          <w:rFonts w:cstheme="minorHAnsi"/>
          <w:sz w:val="24"/>
          <w:szCs w:val="24"/>
        </w:rPr>
        <w:t xml:space="preserve">consortium </w:t>
      </w:r>
      <w:r w:rsidR="00756310" w:rsidRPr="00C83273">
        <w:rPr>
          <w:rFonts w:cstheme="minorHAnsi"/>
          <w:sz w:val="24"/>
          <w:szCs w:val="24"/>
        </w:rPr>
        <w:t xml:space="preserve">partners set expectations for the case study leaders through iterative </w:t>
      </w:r>
      <w:r w:rsidR="006A6D3C" w:rsidRPr="00C83273">
        <w:rPr>
          <w:rFonts w:cstheme="minorHAnsi"/>
          <w:sz w:val="24"/>
          <w:szCs w:val="24"/>
        </w:rPr>
        <w:t xml:space="preserve">online </w:t>
      </w:r>
      <w:r w:rsidR="00756310" w:rsidRPr="00C83273">
        <w:rPr>
          <w:rFonts w:cstheme="minorHAnsi"/>
          <w:sz w:val="24"/>
          <w:szCs w:val="24"/>
        </w:rPr>
        <w:t>discussions</w:t>
      </w:r>
      <w:r w:rsidR="006F5D07">
        <w:rPr>
          <w:rFonts w:cstheme="minorHAnsi"/>
          <w:sz w:val="24"/>
          <w:szCs w:val="24"/>
        </w:rPr>
        <w:t>, focusing</w:t>
      </w:r>
      <w:r w:rsidR="00756310" w:rsidRPr="00C83273">
        <w:rPr>
          <w:rFonts w:cstheme="minorHAnsi"/>
          <w:sz w:val="24"/>
          <w:szCs w:val="24"/>
        </w:rPr>
        <w:t xml:space="preserve"> on how to integrate the new methodology in</w:t>
      </w:r>
      <w:r w:rsidR="00CD6F50" w:rsidRPr="00C83273">
        <w:rPr>
          <w:rFonts w:cstheme="minorHAnsi"/>
          <w:sz w:val="24"/>
          <w:szCs w:val="24"/>
        </w:rPr>
        <w:t>to</w:t>
      </w:r>
      <w:r w:rsidR="00756310" w:rsidRPr="00C83273">
        <w:rPr>
          <w:rFonts w:cstheme="minorHAnsi"/>
          <w:sz w:val="24"/>
          <w:szCs w:val="24"/>
        </w:rPr>
        <w:t xml:space="preserve"> the routine work of HTA bodies. </w:t>
      </w:r>
    </w:p>
    <w:p w14:paraId="23D2F86D" w14:textId="2AAB13E7" w:rsidR="00CB2043" w:rsidRPr="00C83273" w:rsidRDefault="00AE687C" w:rsidP="00C83273">
      <w:pPr>
        <w:spacing w:line="240" w:lineRule="auto"/>
        <w:ind w:left="50"/>
        <w:jc w:val="both"/>
        <w:rPr>
          <w:rFonts w:cstheme="minorHAnsi"/>
          <w:sz w:val="24"/>
          <w:szCs w:val="24"/>
        </w:rPr>
      </w:pPr>
      <w:r w:rsidRPr="00C83273">
        <w:rPr>
          <w:rFonts w:cstheme="minorHAnsi"/>
          <w:sz w:val="24"/>
          <w:szCs w:val="24"/>
        </w:rPr>
        <w:t xml:space="preserve">In </w:t>
      </w:r>
      <w:r w:rsidR="006A6D3C" w:rsidRPr="00C83273">
        <w:rPr>
          <w:rFonts w:cstheme="minorHAnsi"/>
          <w:sz w:val="24"/>
          <w:szCs w:val="24"/>
        </w:rPr>
        <w:t>November 2022</w:t>
      </w:r>
      <w:r w:rsidRPr="00C83273">
        <w:rPr>
          <w:rFonts w:cstheme="minorHAnsi"/>
          <w:sz w:val="24"/>
          <w:szCs w:val="24"/>
        </w:rPr>
        <w:t xml:space="preserve"> t</w:t>
      </w:r>
      <w:r w:rsidR="006A6D3C" w:rsidRPr="00C83273">
        <w:rPr>
          <w:rFonts w:cstheme="minorHAnsi"/>
          <w:sz w:val="24"/>
          <w:szCs w:val="24"/>
        </w:rPr>
        <w:t xml:space="preserve">he MDS case study team </w:t>
      </w:r>
      <w:r w:rsidRPr="00C83273">
        <w:rPr>
          <w:rFonts w:cstheme="minorHAnsi"/>
          <w:sz w:val="24"/>
          <w:szCs w:val="24"/>
        </w:rPr>
        <w:t>organize</w:t>
      </w:r>
      <w:r w:rsidR="006A6D3C" w:rsidRPr="00C83273">
        <w:rPr>
          <w:rFonts w:cstheme="minorHAnsi"/>
          <w:sz w:val="24"/>
          <w:szCs w:val="24"/>
        </w:rPr>
        <w:t>d</w:t>
      </w:r>
      <w:r w:rsidRPr="00C83273">
        <w:rPr>
          <w:rFonts w:cstheme="minorHAnsi"/>
          <w:sz w:val="24"/>
          <w:szCs w:val="24"/>
        </w:rPr>
        <w:t xml:space="preserve"> a workshop </w:t>
      </w:r>
      <w:r w:rsidR="004344ED" w:rsidRPr="00C83273">
        <w:rPr>
          <w:rFonts w:cstheme="minorHAnsi"/>
          <w:sz w:val="24"/>
          <w:szCs w:val="24"/>
        </w:rPr>
        <w:t>in York</w:t>
      </w:r>
      <w:r w:rsidR="004344ED" w:rsidRPr="00C83273" w:rsidDel="004344ED">
        <w:rPr>
          <w:rFonts w:cstheme="minorHAnsi"/>
          <w:sz w:val="24"/>
          <w:szCs w:val="24"/>
        </w:rPr>
        <w:t xml:space="preserve"> </w:t>
      </w:r>
      <w:r w:rsidR="006F5D07">
        <w:rPr>
          <w:rFonts w:cstheme="minorHAnsi"/>
          <w:sz w:val="24"/>
          <w:szCs w:val="24"/>
        </w:rPr>
        <w:t xml:space="preserve">to </w:t>
      </w:r>
      <w:r w:rsidR="004344ED" w:rsidRPr="00C83273">
        <w:rPr>
          <w:rFonts w:cstheme="minorHAnsi"/>
          <w:sz w:val="24"/>
          <w:szCs w:val="24"/>
        </w:rPr>
        <w:t>present</w:t>
      </w:r>
      <w:r w:rsidR="006F5D07">
        <w:rPr>
          <w:rFonts w:cstheme="minorHAnsi"/>
          <w:sz w:val="24"/>
          <w:szCs w:val="24"/>
        </w:rPr>
        <w:t xml:space="preserve"> </w:t>
      </w:r>
      <w:r w:rsidR="004344ED" w:rsidRPr="00C83273">
        <w:rPr>
          <w:rFonts w:cstheme="minorHAnsi"/>
          <w:sz w:val="24"/>
          <w:szCs w:val="24"/>
        </w:rPr>
        <w:t xml:space="preserve">and </w:t>
      </w:r>
      <w:r w:rsidR="006F5D07">
        <w:rPr>
          <w:rFonts w:cstheme="minorHAnsi"/>
          <w:sz w:val="24"/>
          <w:szCs w:val="24"/>
        </w:rPr>
        <w:t>gather</w:t>
      </w:r>
      <w:r w:rsidR="004344ED" w:rsidRPr="00C83273">
        <w:rPr>
          <w:rFonts w:cstheme="minorHAnsi"/>
          <w:sz w:val="24"/>
          <w:szCs w:val="24"/>
        </w:rPr>
        <w:t xml:space="preserve"> feedback on their application of</w:t>
      </w:r>
      <w:r w:rsidRPr="00C83273">
        <w:rPr>
          <w:rFonts w:cstheme="minorHAnsi"/>
          <w:sz w:val="24"/>
          <w:szCs w:val="24"/>
        </w:rPr>
        <w:t xml:space="preserve"> the case study methodology</w:t>
      </w:r>
      <w:r w:rsidR="006A6D3C" w:rsidRPr="00C83273">
        <w:rPr>
          <w:rFonts w:cstheme="minorHAnsi"/>
          <w:sz w:val="24"/>
          <w:szCs w:val="24"/>
        </w:rPr>
        <w:t xml:space="preserve">. </w:t>
      </w:r>
      <w:r w:rsidR="009F152D" w:rsidRPr="00C83273">
        <w:rPr>
          <w:rFonts w:cstheme="minorHAnsi"/>
          <w:sz w:val="24"/>
          <w:szCs w:val="24"/>
        </w:rPr>
        <w:t xml:space="preserve"> </w:t>
      </w:r>
      <w:r w:rsidR="00CB2043" w:rsidRPr="00C83273">
        <w:rPr>
          <w:rFonts w:cstheme="minorHAnsi"/>
          <w:sz w:val="24"/>
          <w:szCs w:val="24"/>
        </w:rPr>
        <w:t xml:space="preserve">This was </w:t>
      </w:r>
      <w:r w:rsidRPr="00C83273">
        <w:rPr>
          <w:rFonts w:cstheme="minorHAnsi"/>
          <w:sz w:val="24"/>
          <w:szCs w:val="24"/>
        </w:rPr>
        <w:t xml:space="preserve">followed by </w:t>
      </w:r>
      <w:r w:rsidR="00AA5F9F" w:rsidRPr="00C83273">
        <w:rPr>
          <w:rFonts w:cstheme="minorHAnsi"/>
          <w:sz w:val="24"/>
          <w:szCs w:val="24"/>
        </w:rPr>
        <w:t xml:space="preserve">a </w:t>
      </w:r>
      <w:r w:rsidRPr="00C83273">
        <w:rPr>
          <w:rFonts w:cstheme="minorHAnsi"/>
          <w:sz w:val="24"/>
          <w:szCs w:val="24"/>
        </w:rPr>
        <w:t xml:space="preserve">transferability workshop </w:t>
      </w:r>
      <w:r w:rsidR="00CB2043" w:rsidRPr="00C83273">
        <w:rPr>
          <w:rFonts w:cstheme="minorHAnsi"/>
          <w:sz w:val="24"/>
          <w:szCs w:val="24"/>
        </w:rPr>
        <w:t xml:space="preserve">at the </w:t>
      </w:r>
      <w:proofErr w:type="spellStart"/>
      <w:r w:rsidR="00CB2043" w:rsidRPr="00C83273">
        <w:rPr>
          <w:rFonts w:cstheme="minorHAnsi"/>
          <w:sz w:val="24"/>
          <w:szCs w:val="24"/>
        </w:rPr>
        <w:t>HTx</w:t>
      </w:r>
      <w:proofErr w:type="spellEnd"/>
      <w:r w:rsidR="00CB2043" w:rsidRPr="00C83273">
        <w:rPr>
          <w:rFonts w:cstheme="minorHAnsi"/>
          <w:sz w:val="24"/>
          <w:szCs w:val="24"/>
        </w:rPr>
        <w:t xml:space="preserve"> General Assembly meeting in Madrid in May 2023</w:t>
      </w:r>
      <w:r w:rsidR="006F5D07">
        <w:rPr>
          <w:rFonts w:cstheme="minorHAnsi"/>
          <w:sz w:val="24"/>
          <w:szCs w:val="24"/>
        </w:rPr>
        <w:t>, where</w:t>
      </w:r>
      <w:r w:rsidR="00CB2043" w:rsidRPr="00C83273">
        <w:rPr>
          <w:rFonts w:cstheme="minorHAnsi"/>
          <w:sz w:val="24"/>
          <w:szCs w:val="24"/>
        </w:rPr>
        <w:t xml:space="preserve"> the scope of transferability recommendations for the MDS case study </w:t>
      </w:r>
      <w:r w:rsidR="006F5D07">
        <w:rPr>
          <w:rFonts w:cstheme="minorHAnsi"/>
          <w:sz w:val="24"/>
          <w:szCs w:val="24"/>
        </w:rPr>
        <w:t>was finalised</w:t>
      </w:r>
      <w:r w:rsidR="00CB2043" w:rsidRPr="00C83273">
        <w:rPr>
          <w:rFonts w:cstheme="minorHAnsi"/>
          <w:sz w:val="24"/>
          <w:szCs w:val="24"/>
        </w:rPr>
        <w:t xml:space="preserve">, </w:t>
      </w:r>
      <w:r w:rsidR="006F5D07">
        <w:rPr>
          <w:rFonts w:cstheme="minorHAnsi"/>
          <w:sz w:val="24"/>
          <w:szCs w:val="24"/>
        </w:rPr>
        <w:t>leading to the preparation of</w:t>
      </w:r>
      <w:r w:rsidR="00CB2043" w:rsidRPr="00C83273">
        <w:rPr>
          <w:rFonts w:cstheme="minorHAnsi"/>
          <w:sz w:val="24"/>
          <w:szCs w:val="24"/>
        </w:rPr>
        <w:t xml:space="preserve"> draft recommendations by the transferability research team. </w:t>
      </w:r>
    </w:p>
    <w:p w14:paraId="69B37B57" w14:textId="2A0EFD87" w:rsidR="001A0726" w:rsidRPr="00C83273" w:rsidRDefault="00D3438F" w:rsidP="00C83273">
      <w:pPr>
        <w:spacing w:line="240" w:lineRule="auto"/>
        <w:ind w:left="50"/>
        <w:jc w:val="both"/>
        <w:rPr>
          <w:rFonts w:cstheme="minorHAnsi"/>
          <w:sz w:val="24"/>
          <w:szCs w:val="24"/>
        </w:rPr>
      </w:pPr>
      <w:r w:rsidRPr="00C83273">
        <w:rPr>
          <w:rFonts w:cstheme="minorHAnsi"/>
          <w:sz w:val="24"/>
          <w:szCs w:val="24"/>
        </w:rPr>
        <w:t xml:space="preserve">In November 2023 a </w:t>
      </w:r>
      <w:r w:rsidR="006F5D07">
        <w:rPr>
          <w:rFonts w:cstheme="minorHAnsi"/>
          <w:sz w:val="24"/>
          <w:szCs w:val="24"/>
        </w:rPr>
        <w:t>two</w:t>
      </w:r>
      <w:r w:rsidRPr="00C83273">
        <w:rPr>
          <w:rFonts w:cstheme="minorHAnsi"/>
          <w:sz w:val="24"/>
          <w:szCs w:val="24"/>
        </w:rPr>
        <w:t>-day transferability workshop was organized in Sofia with</w:t>
      </w:r>
      <w:r w:rsidR="00CB2043" w:rsidRPr="00C83273">
        <w:rPr>
          <w:rFonts w:cstheme="minorHAnsi"/>
          <w:sz w:val="24"/>
          <w:szCs w:val="24"/>
        </w:rPr>
        <w:t xml:space="preserve"> </w:t>
      </w:r>
      <w:r w:rsidR="00147AF6" w:rsidRPr="00C83273">
        <w:rPr>
          <w:rFonts w:cstheme="minorHAnsi"/>
          <w:sz w:val="24"/>
          <w:szCs w:val="24"/>
        </w:rPr>
        <w:t>14</w:t>
      </w:r>
      <w:r w:rsidR="007C707F" w:rsidRPr="00C83273">
        <w:rPr>
          <w:rFonts w:cstheme="minorHAnsi"/>
          <w:sz w:val="24"/>
          <w:szCs w:val="24"/>
        </w:rPr>
        <w:t xml:space="preserve"> </w:t>
      </w:r>
      <w:r w:rsidR="00147AF6" w:rsidRPr="00C83273">
        <w:rPr>
          <w:rFonts w:cstheme="minorHAnsi"/>
          <w:sz w:val="24"/>
          <w:szCs w:val="24"/>
        </w:rPr>
        <w:t xml:space="preserve">external </w:t>
      </w:r>
      <w:r w:rsidR="00CB2043" w:rsidRPr="00C83273">
        <w:rPr>
          <w:rFonts w:cstheme="minorHAnsi"/>
          <w:sz w:val="24"/>
          <w:szCs w:val="24"/>
        </w:rPr>
        <w:t>HTA</w:t>
      </w:r>
      <w:r w:rsidR="00CD1957" w:rsidRPr="00C83273">
        <w:rPr>
          <w:rFonts w:cstheme="minorHAnsi"/>
          <w:sz w:val="24"/>
          <w:szCs w:val="24"/>
        </w:rPr>
        <w:t xml:space="preserve"> </w:t>
      </w:r>
      <w:r w:rsidR="00147AF6" w:rsidRPr="00C83273">
        <w:rPr>
          <w:rFonts w:cstheme="minorHAnsi"/>
          <w:sz w:val="24"/>
          <w:szCs w:val="24"/>
        </w:rPr>
        <w:t xml:space="preserve">experts (including </w:t>
      </w:r>
      <w:r w:rsidR="006F5D07">
        <w:rPr>
          <w:rFonts w:cstheme="minorHAnsi"/>
          <w:sz w:val="24"/>
          <w:szCs w:val="24"/>
        </w:rPr>
        <w:t>six</w:t>
      </w:r>
      <w:r w:rsidR="00147AF6" w:rsidRPr="00C83273">
        <w:rPr>
          <w:rFonts w:cstheme="minorHAnsi"/>
          <w:sz w:val="24"/>
          <w:szCs w:val="24"/>
        </w:rPr>
        <w:t xml:space="preserve"> current or former HTA </w:t>
      </w:r>
      <w:r w:rsidR="007C707F" w:rsidRPr="00C83273">
        <w:rPr>
          <w:rFonts w:cstheme="minorHAnsi"/>
          <w:sz w:val="24"/>
          <w:szCs w:val="24"/>
        </w:rPr>
        <w:t>body leaders</w:t>
      </w:r>
      <w:r w:rsidR="00147AF6" w:rsidRPr="00C83273">
        <w:rPr>
          <w:rFonts w:cstheme="minorHAnsi"/>
          <w:sz w:val="24"/>
          <w:szCs w:val="24"/>
        </w:rPr>
        <w:t xml:space="preserve">) </w:t>
      </w:r>
      <w:r w:rsidR="00CB2043" w:rsidRPr="00C83273">
        <w:rPr>
          <w:rFonts w:cstheme="minorHAnsi"/>
          <w:sz w:val="24"/>
          <w:szCs w:val="24"/>
        </w:rPr>
        <w:t xml:space="preserve">from </w:t>
      </w:r>
      <w:r w:rsidR="004E11BC" w:rsidRPr="00C83273">
        <w:rPr>
          <w:rFonts w:cstheme="minorHAnsi"/>
          <w:sz w:val="24"/>
          <w:szCs w:val="24"/>
        </w:rPr>
        <w:t xml:space="preserve">Bulgaria, </w:t>
      </w:r>
      <w:r w:rsidR="00147AF6" w:rsidRPr="00C83273">
        <w:rPr>
          <w:rFonts w:cstheme="minorHAnsi"/>
          <w:sz w:val="24"/>
          <w:szCs w:val="24"/>
        </w:rPr>
        <w:t xml:space="preserve">Czech Republic, </w:t>
      </w:r>
      <w:r w:rsidR="004E11BC" w:rsidRPr="00C83273">
        <w:rPr>
          <w:rFonts w:cstheme="minorHAnsi"/>
          <w:sz w:val="24"/>
          <w:szCs w:val="24"/>
        </w:rPr>
        <w:t>Croatia, Kazakhstan, Poland, Romania, Slovakia, Slovenia and Ukraine</w:t>
      </w:r>
      <w:r w:rsidR="00147AF6" w:rsidRPr="00C83273">
        <w:rPr>
          <w:rFonts w:cstheme="minorHAnsi"/>
          <w:sz w:val="24"/>
          <w:szCs w:val="24"/>
        </w:rPr>
        <w:t>,</w:t>
      </w:r>
      <w:r w:rsidR="00CB2043" w:rsidRPr="00C83273">
        <w:rPr>
          <w:rFonts w:cstheme="minorHAnsi"/>
          <w:sz w:val="24"/>
          <w:szCs w:val="24"/>
        </w:rPr>
        <w:t xml:space="preserve"> and</w:t>
      </w:r>
      <w:r w:rsidR="007F550B" w:rsidRPr="00C83273">
        <w:rPr>
          <w:rFonts w:cstheme="minorHAnsi"/>
          <w:sz w:val="24"/>
          <w:szCs w:val="24"/>
        </w:rPr>
        <w:t xml:space="preserve"> </w:t>
      </w:r>
      <w:r w:rsidR="006F5D07">
        <w:rPr>
          <w:rFonts w:cstheme="minorHAnsi"/>
          <w:sz w:val="24"/>
          <w:szCs w:val="24"/>
        </w:rPr>
        <w:t>five</w:t>
      </w:r>
      <w:r w:rsidR="00CB2043" w:rsidRPr="00C83273">
        <w:rPr>
          <w:rFonts w:cstheme="minorHAnsi"/>
          <w:sz w:val="24"/>
          <w:szCs w:val="24"/>
        </w:rPr>
        <w:t xml:space="preserve"> HTA </w:t>
      </w:r>
      <w:r w:rsidR="00BA1BC6" w:rsidRPr="00C83273">
        <w:rPr>
          <w:rFonts w:cstheme="minorHAnsi"/>
          <w:sz w:val="24"/>
          <w:szCs w:val="24"/>
        </w:rPr>
        <w:t>agency</w:t>
      </w:r>
      <w:r w:rsidR="00CB2043" w:rsidRPr="00C83273">
        <w:rPr>
          <w:rFonts w:cstheme="minorHAnsi"/>
          <w:sz w:val="24"/>
          <w:szCs w:val="24"/>
        </w:rPr>
        <w:t xml:space="preserve"> representatives of the </w:t>
      </w:r>
      <w:proofErr w:type="spellStart"/>
      <w:r w:rsidR="00CB2043" w:rsidRPr="00C83273">
        <w:rPr>
          <w:rFonts w:cstheme="minorHAnsi"/>
          <w:sz w:val="24"/>
          <w:szCs w:val="24"/>
        </w:rPr>
        <w:t>HTx</w:t>
      </w:r>
      <w:proofErr w:type="spellEnd"/>
      <w:r w:rsidR="00CB2043" w:rsidRPr="00C83273">
        <w:rPr>
          <w:rFonts w:cstheme="minorHAnsi"/>
          <w:sz w:val="24"/>
          <w:szCs w:val="24"/>
        </w:rPr>
        <w:t xml:space="preserve"> consortium. </w:t>
      </w:r>
      <w:r w:rsidR="006F5D07">
        <w:rPr>
          <w:rFonts w:cstheme="minorHAnsi"/>
          <w:sz w:val="24"/>
          <w:szCs w:val="24"/>
        </w:rPr>
        <w:t xml:space="preserve">The workshop began with </w:t>
      </w:r>
      <w:r w:rsidR="00BA1BC6" w:rsidRPr="00C83273">
        <w:rPr>
          <w:rFonts w:cstheme="minorHAnsi"/>
          <w:sz w:val="24"/>
          <w:szCs w:val="24"/>
        </w:rPr>
        <w:t>an in</w:t>
      </w:r>
      <w:r w:rsidR="00F870A8" w:rsidRPr="00C83273">
        <w:rPr>
          <w:rFonts w:cstheme="minorHAnsi"/>
          <w:sz w:val="24"/>
          <w:szCs w:val="24"/>
        </w:rPr>
        <w:t>troductory</w:t>
      </w:r>
      <w:r w:rsidR="00BA1BC6" w:rsidRPr="00C83273">
        <w:rPr>
          <w:rFonts w:cstheme="minorHAnsi"/>
          <w:sz w:val="24"/>
          <w:szCs w:val="24"/>
        </w:rPr>
        <w:t xml:space="preserve"> session </w:t>
      </w:r>
      <w:r w:rsidR="006F5D07">
        <w:rPr>
          <w:rFonts w:cstheme="minorHAnsi"/>
          <w:sz w:val="24"/>
          <w:szCs w:val="24"/>
        </w:rPr>
        <w:t xml:space="preserve">detailing </w:t>
      </w:r>
      <w:r w:rsidR="00BA1BC6" w:rsidRPr="00C83273">
        <w:rPr>
          <w:rFonts w:cstheme="minorHAnsi"/>
          <w:sz w:val="24"/>
          <w:szCs w:val="24"/>
        </w:rPr>
        <w:t>key information about the MDS case study</w:t>
      </w:r>
      <w:r w:rsidR="006F5D07">
        <w:rPr>
          <w:rFonts w:cstheme="minorHAnsi"/>
          <w:sz w:val="24"/>
          <w:szCs w:val="24"/>
        </w:rPr>
        <w:t>.</w:t>
      </w:r>
      <w:r w:rsidR="00BA1BC6" w:rsidRPr="00C83273">
        <w:rPr>
          <w:rFonts w:cstheme="minorHAnsi"/>
          <w:sz w:val="24"/>
          <w:szCs w:val="24"/>
        </w:rPr>
        <w:t xml:space="preserve"> </w:t>
      </w:r>
      <w:r w:rsidR="006F5D07">
        <w:rPr>
          <w:rFonts w:cstheme="minorHAnsi"/>
          <w:sz w:val="24"/>
          <w:szCs w:val="24"/>
        </w:rPr>
        <w:t>E</w:t>
      </w:r>
      <w:r w:rsidR="00147AF6" w:rsidRPr="00C83273">
        <w:rPr>
          <w:rFonts w:cstheme="minorHAnsi"/>
          <w:sz w:val="24"/>
          <w:szCs w:val="24"/>
        </w:rPr>
        <w:t xml:space="preserve">xternal experts </w:t>
      </w:r>
      <w:r w:rsidR="006F5D07">
        <w:rPr>
          <w:rFonts w:cstheme="minorHAnsi"/>
          <w:sz w:val="24"/>
          <w:szCs w:val="24"/>
        </w:rPr>
        <w:t>next participated in anonymous voting to answer</w:t>
      </w:r>
      <w:r w:rsidR="006742BC" w:rsidRPr="00C83273">
        <w:rPr>
          <w:rFonts w:cstheme="minorHAnsi"/>
          <w:sz w:val="24"/>
          <w:szCs w:val="24"/>
        </w:rPr>
        <w:t xml:space="preserve"> two questions</w:t>
      </w:r>
      <w:r w:rsidR="00E93736">
        <w:rPr>
          <w:rFonts w:cstheme="minorHAnsi"/>
          <w:sz w:val="24"/>
          <w:szCs w:val="24"/>
        </w:rPr>
        <w:t xml:space="preserve">: </w:t>
      </w:r>
      <w:r w:rsidR="00E93736" w:rsidRPr="00E93736">
        <w:rPr>
          <w:rFonts w:cstheme="minorHAnsi"/>
          <w:sz w:val="24"/>
          <w:szCs w:val="24"/>
        </w:rPr>
        <w:t xml:space="preserve">first, whether the TTE approach applied in the </w:t>
      </w:r>
      <w:proofErr w:type="spellStart"/>
      <w:r w:rsidR="00E93736" w:rsidRPr="00E93736">
        <w:rPr>
          <w:rFonts w:cstheme="minorHAnsi"/>
          <w:sz w:val="24"/>
          <w:szCs w:val="24"/>
        </w:rPr>
        <w:t>HTx</w:t>
      </w:r>
      <w:proofErr w:type="spellEnd"/>
      <w:r w:rsidR="00E93736" w:rsidRPr="00E93736">
        <w:rPr>
          <w:rFonts w:cstheme="minorHAnsi"/>
          <w:sz w:val="24"/>
          <w:szCs w:val="24"/>
        </w:rPr>
        <w:t xml:space="preserve"> project could be considered an improvement over current standard HTA methods; second, identifying the main challenges in transferring the TTE method to LIECs</w:t>
      </w:r>
      <w:r w:rsidR="00667FAB" w:rsidRPr="00C83273">
        <w:rPr>
          <w:rFonts w:cstheme="minorHAnsi"/>
          <w:sz w:val="24"/>
          <w:szCs w:val="24"/>
        </w:rPr>
        <w:t xml:space="preserve">. </w:t>
      </w:r>
      <w:r w:rsidR="00E93736" w:rsidRPr="00E93736">
        <w:rPr>
          <w:rFonts w:cstheme="minorHAnsi"/>
          <w:sz w:val="24"/>
          <w:szCs w:val="24"/>
        </w:rPr>
        <w:t>Participants ranked each challenge from 7 (most important) to 1 (least important), with a score of 0 indicating that a challenge was not considered relevant</w:t>
      </w:r>
      <w:r w:rsidR="00667FAB" w:rsidRPr="00C83273">
        <w:rPr>
          <w:rFonts w:cstheme="minorHAnsi"/>
          <w:sz w:val="24"/>
          <w:szCs w:val="24"/>
        </w:rPr>
        <w:t xml:space="preserve">. </w:t>
      </w:r>
      <w:r w:rsidR="00E93736" w:rsidRPr="00C83273">
        <w:rPr>
          <w:rFonts w:cstheme="minorHAnsi"/>
          <w:sz w:val="24"/>
          <w:szCs w:val="24"/>
        </w:rPr>
        <w:t>After presenting the ranking of main challenges, workshop participants</w:t>
      </w:r>
      <w:r w:rsidR="00E93736">
        <w:rPr>
          <w:rFonts w:cstheme="minorHAnsi"/>
          <w:sz w:val="24"/>
          <w:szCs w:val="24"/>
        </w:rPr>
        <w:t xml:space="preserve"> engaged in </w:t>
      </w:r>
      <w:r w:rsidR="00E93736" w:rsidRPr="00C83273">
        <w:rPr>
          <w:rFonts w:cstheme="minorHAnsi"/>
          <w:sz w:val="24"/>
          <w:szCs w:val="24"/>
        </w:rPr>
        <w:t xml:space="preserve">an open discussion </w:t>
      </w:r>
      <w:r w:rsidR="00E93736">
        <w:rPr>
          <w:rFonts w:cstheme="minorHAnsi"/>
          <w:sz w:val="24"/>
          <w:szCs w:val="24"/>
        </w:rPr>
        <w:t xml:space="preserve">to explore </w:t>
      </w:r>
      <w:r w:rsidR="00E93736" w:rsidRPr="00C83273">
        <w:rPr>
          <w:rFonts w:cstheme="minorHAnsi"/>
          <w:sz w:val="24"/>
          <w:szCs w:val="24"/>
        </w:rPr>
        <w:t>potential conclusions, in</w:t>
      </w:r>
      <w:r w:rsidR="00E93736">
        <w:rPr>
          <w:rFonts w:cstheme="minorHAnsi"/>
          <w:sz w:val="24"/>
          <w:szCs w:val="24"/>
        </w:rPr>
        <w:t>volving both</w:t>
      </w:r>
      <w:r w:rsidR="00E93736" w:rsidRPr="00C83273">
        <w:rPr>
          <w:rFonts w:cstheme="minorHAnsi"/>
          <w:sz w:val="24"/>
          <w:szCs w:val="24"/>
        </w:rPr>
        <w:t xml:space="preserve"> external experts and </w:t>
      </w:r>
      <w:proofErr w:type="spellStart"/>
      <w:r w:rsidR="00E93736" w:rsidRPr="00C83273">
        <w:rPr>
          <w:rFonts w:cstheme="minorHAnsi"/>
          <w:sz w:val="24"/>
          <w:szCs w:val="24"/>
        </w:rPr>
        <w:t>HTx</w:t>
      </w:r>
      <w:proofErr w:type="spellEnd"/>
      <w:r w:rsidR="00E93736" w:rsidRPr="00C83273">
        <w:rPr>
          <w:rFonts w:cstheme="minorHAnsi"/>
          <w:sz w:val="24"/>
          <w:szCs w:val="24"/>
        </w:rPr>
        <w:t xml:space="preserve"> consortium representatives</w:t>
      </w:r>
      <w:r w:rsidR="00E93736">
        <w:rPr>
          <w:rFonts w:cstheme="minorHAnsi"/>
          <w:sz w:val="24"/>
          <w:szCs w:val="24"/>
        </w:rPr>
        <w:t>.</w:t>
      </w:r>
    </w:p>
    <w:p w14:paraId="6082DEAD" w14:textId="7731295D" w:rsidR="00667FAB" w:rsidRPr="00C83273" w:rsidRDefault="001A0726" w:rsidP="00C83273">
      <w:pPr>
        <w:spacing w:line="240" w:lineRule="auto"/>
        <w:ind w:left="50"/>
        <w:jc w:val="both"/>
        <w:rPr>
          <w:rFonts w:cstheme="minorHAnsi"/>
          <w:sz w:val="24"/>
          <w:szCs w:val="24"/>
        </w:rPr>
      </w:pPr>
      <w:r w:rsidRPr="00C83273">
        <w:rPr>
          <w:rFonts w:cstheme="minorHAnsi"/>
          <w:sz w:val="24"/>
          <w:szCs w:val="24"/>
        </w:rPr>
        <w:t xml:space="preserve">Draft conclusions were circulated after the workshop to participants, who had the opportunity to comment and finalize the conclusions. </w:t>
      </w:r>
      <w:r w:rsidR="00667FAB" w:rsidRPr="00C83273">
        <w:rPr>
          <w:rFonts w:cstheme="minorHAnsi"/>
          <w:sz w:val="24"/>
          <w:szCs w:val="24"/>
        </w:rPr>
        <w:t xml:space="preserve"> </w:t>
      </w:r>
    </w:p>
    <w:p w14:paraId="19566B9B" w14:textId="0B193FB9" w:rsidR="00756310" w:rsidRPr="00C83273" w:rsidRDefault="00157D69" w:rsidP="00C83273">
      <w:pPr>
        <w:spacing w:line="240" w:lineRule="auto"/>
        <w:ind w:left="50"/>
        <w:jc w:val="both"/>
        <w:rPr>
          <w:rFonts w:cstheme="minorHAnsi"/>
          <w:b/>
          <w:bCs/>
          <w:sz w:val="24"/>
          <w:szCs w:val="24"/>
        </w:rPr>
      </w:pPr>
      <w:r w:rsidRPr="00C83273">
        <w:rPr>
          <w:rFonts w:cstheme="minorHAnsi"/>
          <w:b/>
          <w:bCs/>
          <w:sz w:val="24"/>
          <w:szCs w:val="24"/>
        </w:rPr>
        <w:t>Results</w:t>
      </w:r>
      <w:r w:rsidR="00756310" w:rsidRPr="00C83273">
        <w:rPr>
          <w:rFonts w:cstheme="minorHAnsi"/>
          <w:b/>
          <w:bCs/>
          <w:sz w:val="24"/>
          <w:szCs w:val="24"/>
        </w:rPr>
        <w:t xml:space="preserve"> </w:t>
      </w:r>
    </w:p>
    <w:p w14:paraId="3938632B" w14:textId="4CC1330F" w:rsidR="00E93736" w:rsidRPr="00E93736" w:rsidRDefault="00E93736" w:rsidP="00E93736">
      <w:pPr>
        <w:spacing w:line="240" w:lineRule="auto"/>
        <w:ind w:left="50"/>
        <w:jc w:val="both"/>
        <w:rPr>
          <w:rFonts w:cstheme="minorHAnsi"/>
          <w:sz w:val="24"/>
          <w:szCs w:val="24"/>
        </w:rPr>
      </w:pPr>
      <w:r w:rsidRPr="00E93736">
        <w:rPr>
          <w:rFonts w:cstheme="minorHAnsi"/>
          <w:sz w:val="24"/>
          <w:szCs w:val="24"/>
        </w:rPr>
        <w:t>At the transferability workshop in Sofia, 14 external experts participated in an anonymous</w:t>
      </w:r>
      <w:r w:rsidR="00F96ECA">
        <w:rPr>
          <w:rFonts w:cstheme="minorHAnsi"/>
          <w:sz w:val="24"/>
          <w:szCs w:val="24"/>
        </w:rPr>
        <w:t xml:space="preserve"> </w:t>
      </w:r>
      <w:proofErr w:type="spellStart"/>
      <w:r w:rsidR="00F96ECA">
        <w:rPr>
          <w:rFonts w:cstheme="minorHAnsi"/>
          <w:sz w:val="24"/>
          <w:szCs w:val="24"/>
        </w:rPr>
        <w:t>Mentimeter</w:t>
      </w:r>
      <w:proofErr w:type="spellEnd"/>
      <w:r w:rsidRPr="00E93736">
        <w:rPr>
          <w:rFonts w:cstheme="minorHAnsi"/>
          <w:sz w:val="24"/>
          <w:szCs w:val="24"/>
        </w:rPr>
        <w:t xml:space="preserve"> survey to assess the innovativeness and identify challenges of the TTE methodology</w:t>
      </w:r>
      <w:r w:rsidR="00281851">
        <w:rPr>
          <w:rFonts w:cstheme="minorHAnsi"/>
          <w:sz w:val="24"/>
          <w:szCs w:val="24"/>
        </w:rPr>
        <w:t xml:space="preserve"> (see </w:t>
      </w:r>
      <w:r w:rsidR="0052326A" w:rsidRPr="0052326A">
        <w:rPr>
          <w:rFonts w:cstheme="minorHAnsi"/>
          <w:sz w:val="24"/>
          <w:szCs w:val="24"/>
        </w:rPr>
        <w:t>Supplementary Table 1 and Supplementary Table 2</w:t>
      </w:r>
      <w:r w:rsidR="00423824">
        <w:rPr>
          <w:rFonts w:cstheme="minorHAnsi"/>
          <w:sz w:val="24"/>
          <w:szCs w:val="24"/>
        </w:rPr>
        <w:t>)</w:t>
      </w:r>
      <w:r w:rsidRPr="00E93736">
        <w:rPr>
          <w:rFonts w:cstheme="minorHAnsi"/>
          <w:sz w:val="24"/>
          <w:szCs w:val="24"/>
        </w:rPr>
        <w:t xml:space="preserve">. </w:t>
      </w:r>
      <w:r w:rsidR="002E6C35">
        <w:rPr>
          <w:rFonts w:cstheme="minorHAnsi"/>
          <w:sz w:val="24"/>
          <w:szCs w:val="24"/>
        </w:rPr>
        <w:t>Survey participants</w:t>
      </w:r>
      <w:r w:rsidR="006D4FD6">
        <w:rPr>
          <w:rFonts w:cstheme="minorHAnsi"/>
          <w:sz w:val="24"/>
          <w:szCs w:val="24"/>
        </w:rPr>
        <w:t xml:space="preserve"> (coauthors of this paper) </w:t>
      </w:r>
      <w:r w:rsidR="002E6C35">
        <w:rPr>
          <w:rFonts w:cstheme="minorHAnsi"/>
          <w:sz w:val="24"/>
          <w:szCs w:val="24"/>
        </w:rPr>
        <w:t xml:space="preserve">provided consent that their anonymous responses can be published in an aggregated format.  </w:t>
      </w:r>
    </w:p>
    <w:p w14:paraId="778E7143" w14:textId="286634B0" w:rsidR="00E93736" w:rsidRPr="00C83273" w:rsidRDefault="00E93736" w:rsidP="00E93736">
      <w:pPr>
        <w:spacing w:line="240" w:lineRule="auto"/>
        <w:ind w:left="50"/>
        <w:jc w:val="both"/>
        <w:rPr>
          <w:rFonts w:cstheme="minorHAnsi"/>
          <w:sz w:val="24"/>
          <w:szCs w:val="24"/>
        </w:rPr>
      </w:pPr>
      <w:r w:rsidRPr="00E93736">
        <w:rPr>
          <w:rFonts w:cstheme="minorHAnsi"/>
          <w:sz w:val="24"/>
          <w:szCs w:val="24"/>
        </w:rPr>
        <w:t xml:space="preserve">Of the </w:t>
      </w:r>
      <w:r>
        <w:rPr>
          <w:rFonts w:cstheme="minorHAnsi"/>
          <w:sz w:val="24"/>
          <w:szCs w:val="24"/>
        </w:rPr>
        <w:t xml:space="preserve">14 </w:t>
      </w:r>
      <w:r w:rsidRPr="00E93736">
        <w:rPr>
          <w:rFonts w:cstheme="minorHAnsi"/>
          <w:sz w:val="24"/>
          <w:szCs w:val="24"/>
        </w:rPr>
        <w:t>respondents 9 (64%) believed that the TTE approach represent</w:t>
      </w:r>
      <w:r>
        <w:rPr>
          <w:rFonts w:cstheme="minorHAnsi"/>
          <w:sz w:val="24"/>
          <w:szCs w:val="24"/>
        </w:rPr>
        <w:t>ed</w:t>
      </w:r>
      <w:r w:rsidRPr="00E93736">
        <w:rPr>
          <w:rFonts w:cstheme="minorHAnsi"/>
          <w:sz w:val="24"/>
          <w:szCs w:val="24"/>
        </w:rPr>
        <w:t xml:space="preserve"> a substantial or even radical improvement over current HTA methods (see Table 1). Others were unsure or considered the improvement to be minor. </w:t>
      </w:r>
    </w:p>
    <w:p w14:paraId="2F1860EA" w14:textId="7BC8B2E1" w:rsidR="00B14F47" w:rsidRPr="004B438A" w:rsidRDefault="004B438A" w:rsidP="004B438A">
      <w:pPr>
        <w:spacing w:line="240" w:lineRule="auto"/>
        <w:jc w:val="center"/>
        <w:rPr>
          <w:rFonts w:cstheme="minorHAnsi"/>
          <w:sz w:val="24"/>
          <w:szCs w:val="24"/>
        </w:rPr>
      </w:pPr>
      <w:r w:rsidRPr="004B438A">
        <w:rPr>
          <w:rFonts w:cstheme="minorHAnsi"/>
          <w:sz w:val="24"/>
          <w:szCs w:val="24"/>
        </w:rPr>
        <w:t xml:space="preserve">- INSERT TABLE 1 HERE - </w:t>
      </w:r>
    </w:p>
    <w:p w14:paraId="3B68547E" w14:textId="1528B342" w:rsidR="00516E92" w:rsidRDefault="00E93736" w:rsidP="00E93736">
      <w:pPr>
        <w:spacing w:line="240" w:lineRule="auto"/>
        <w:ind w:left="50"/>
        <w:jc w:val="both"/>
        <w:rPr>
          <w:rFonts w:cstheme="minorHAnsi"/>
          <w:sz w:val="24"/>
          <w:szCs w:val="24"/>
        </w:rPr>
      </w:pPr>
      <w:r>
        <w:rPr>
          <w:rFonts w:cstheme="minorHAnsi"/>
          <w:sz w:val="24"/>
          <w:szCs w:val="24"/>
        </w:rPr>
        <w:t>P</w:t>
      </w:r>
      <w:r w:rsidRPr="00C83273">
        <w:rPr>
          <w:rFonts w:cstheme="minorHAnsi"/>
          <w:sz w:val="24"/>
          <w:szCs w:val="24"/>
        </w:rPr>
        <w:t>articipants</w:t>
      </w:r>
      <w:r>
        <w:rPr>
          <w:rFonts w:cstheme="minorHAnsi"/>
          <w:sz w:val="24"/>
          <w:szCs w:val="24"/>
        </w:rPr>
        <w:t xml:space="preserve"> at the w</w:t>
      </w:r>
      <w:r w:rsidRPr="00C83273">
        <w:rPr>
          <w:rFonts w:cstheme="minorHAnsi"/>
          <w:sz w:val="24"/>
          <w:szCs w:val="24"/>
        </w:rPr>
        <w:t xml:space="preserve">orkshop </w:t>
      </w:r>
      <w:r>
        <w:rPr>
          <w:rFonts w:cstheme="minorHAnsi"/>
          <w:sz w:val="24"/>
          <w:szCs w:val="24"/>
        </w:rPr>
        <w:t>recognized</w:t>
      </w:r>
      <w:r w:rsidRPr="00C83273">
        <w:rPr>
          <w:rFonts w:cstheme="minorHAnsi"/>
          <w:sz w:val="24"/>
          <w:szCs w:val="24"/>
        </w:rPr>
        <w:t xml:space="preserve"> several challenges </w:t>
      </w:r>
      <w:r>
        <w:rPr>
          <w:rFonts w:cstheme="minorHAnsi"/>
          <w:sz w:val="24"/>
          <w:szCs w:val="24"/>
        </w:rPr>
        <w:t>hindering</w:t>
      </w:r>
      <w:r w:rsidRPr="00C83273">
        <w:rPr>
          <w:rFonts w:cstheme="minorHAnsi"/>
          <w:sz w:val="24"/>
          <w:szCs w:val="24"/>
        </w:rPr>
        <w:t xml:space="preserve"> the adaptation of the </w:t>
      </w:r>
      <w:r>
        <w:rPr>
          <w:rFonts w:cstheme="minorHAnsi"/>
          <w:sz w:val="24"/>
          <w:szCs w:val="24"/>
        </w:rPr>
        <w:t>TTE</w:t>
      </w:r>
      <w:r w:rsidRPr="00C83273">
        <w:rPr>
          <w:rFonts w:cstheme="minorHAnsi"/>
          <w:sz w:val="24"/>
          <w:szCs w:val="24"/>
        </w:rPr>
        <w:t xml:space="preserve"> methodology </w:t>
      </w:r>
      <w:r>
        <w:rPr>
          <w:rFonts w:cstheme="minorHAnsi"/>
          <w:sz w:val="24"/>
          <w:szCs w:val="24"/>
        </w:rPr>
        <w:t>in</w:t>
      </w:r>
      <w:r w:rsidRPr="00C83273">
        <w:rPr>
          <w:rFonts w:cstheme="minorHAnsi"/>
          <w:sz w:val="24"/>
          <w:szCs w:val="24"/>
        </w:rPr>
        <w:t xml:space="preserve"> LIECs (see Table 2). The most important challenge </w:t>
      </w:r>
      <w:r>
        <w:rPr>
          <w:rFonts w:cstheme="minorHAnsi"/>
          <w:sz w:val="24"/>
          <w:szCs w:val="24"/>
        </w:rPr>
        <w:t xml:space="preserve">identified </w:t>
      </w:r>
      <w:r w:rsidRPr="00C83273">
        <w:rPr>
          <w:rFonts w:cstheme="minorHAnsi"/>
          <w:sz w:val="24"/>
          <w:szCs w:val="24"/>
        </w:rPr>
        <w:t xml:space="preserve">was the lack of local RWD </w:t>
      </w:r>
      <w:r>
        <w:rPr>
          <w:rFonts w:cstheme="minorHAnsi"/>
          <w:sz w:val="24"/>
          <w:szCs w:val="24"/>
        </w:rPr>
        <w:t xml:space="preserve">available </w:t>
      </w:r>
      <w:r w:rsidRPr="00C83273">
        <w:rPr>
          <w:rFonts w:cstheme="minorHAnsi"/>
          <w:sz w:val="24"/>
          <w:szCs w:val="24"/>
        </w:rPr>
        <w:t xml:space="preserve">before </w:t>
      </w:r>
      <w:r>
        <w:rPr>
          <w:rFonts w:cstheme="minorHAnsi"/>
          <w:sz w:val="24"/>
          <w:szCs w:val="24"/>
        </w:rPr>
        <w:t xml:space="preserve">making </w:t>
      </w:r>
      <w:r w:rsidRPr="00C83273">
        <w:rPr>
          <w:rFonts w:cstheme="minorHAnsi"/>
          <w:sz w:val="24"/>
          <w:szCs w:val="24"/>
        </w:rPr>
        <w:t>reimbursement decision</w:t>
      </w:r>
      <w:r>
        <w:rPr>
          <w:rFonts w:cstheme="minorHAnsi"/>
          <w:sz w:val="24"/>
          <w:szCs w:val="24"/>
        </w:rPr>
        <w:t>s</w:t>
      </w:r>
      <w:r w:rsidRPr="00C83273">
        <w:rPr>
          <w:rFonts w:cstheme="minorHAnsi"/>
          <w:sz w:val="24"/>
          <w:szCs w:val="24"/>
        </w:rPr>
        <w:t xml:space="preserve">. </w:t>
      </w:r>
      <w:r>
        <w:rPr>
          <w:rFonts w:cstheme="minorHAnsi"/>
          <w:sz w:val="24"/>
          <w:szCs w:val="24"/>
        </w:rPr>
        <w:t xml:space="preserve">Additionally, </w:t>
      </w:r>
      <w:r w:rsidRPr="00C83273">
        <w:rPr>
          <w:rFonts w:cstheme="minorHAnsi"/>
          <w:sz w:val="24"/>
          <w:szCs w:val="24"/>
        </w:rPr>
        <w:t xml:space="preserve">differences in patient pathways </w:t>
      </w:r>
      <w:r>
        <w:rPr>
          <w:rFonts w:cstheme="minorHAnsi"/>
          <w:sz w:val="24"/>
          <w:szCs w:val="24"/>
        </w:rPr>
        <w:t>and</w:t>
      </w:r>
      <w:r w:rsidRPr="00C83273">
        <w:rPr>
          <w:rFonts w:cstheme="minorHAnsi"/>
          <w:sz w:val="24"/>
          <w:szCs w:val="24"/>
        </w:rPr>
        <w:t xml:space="preserve"> comparator technologies in LIECs</w:t>
      </w:r>
      <w:r>
        <w:rPr>
          <w:rFonts w:cstheme="minorHAnsi"/>
          <w:sz w:val="24"/>
          <w:szCs w:val="24"/>
        </w:rPr>
        <w:t>, as well as limited</w:t>
      </w:r>
      <w:r w:rsidRPr="00C83273">
        <w:rPr>
          <w:rFonts w:cstheme="minorHAnsi"/>
          <w:sz w:val="24"/>
          <w:szCs w:val="24"/>
        </w:rPr>
        <w:t xml:space="preserve"> HTA expert</w:t>
      </w:r>
      <w:r>
        <w:rPr>
          <w:rFonts w:cstheme="minorHAnsi"/>
          <w:sz w:val="24"/>
          <w:szCs w:val="24"/>
        </w:rPr>
        <w:t>i</w:t>
      </w:r>
      <w:r w:rsidRPr="00C83273">
        <w:rPr>
          <w:rFonts w:cstheme="minorHAnsi"/>
          <w:sz w:val="24"/>
          <w:szCs w:val="24"/>
        </w:rPr>
        <w:t>s</w:t>
      </w:r>
      <w:r>
        <w:rPr>
          <w:rFonts w:cstheme="minorHAnsi"/>
          <w:sz w:val="24"/>
          <w:szCs w:val="24"/>
        </w:rPr>
        <w:t>e</w:t>
      </w:r>
      <w:r w:rsidRPr="00C83273">
        <w:rPr>
          <w:rFonts w:cstheme="minorHAnsi"/>
          <w:sz w:val="24"/>
          <w:szCs w:val="24"/>
        </w:rPr>
        <w:t xml:space="preserve"> and financial resources for adapti</w:t>
      </w:r>
      <w:r>
        <w:rPr>
          <w:rFonts w:cstheme="minorHAnsi"/>
          <w:sz w:val="24"/>
          <w:szCs w:val="24"/>
        </w:rPr>
        <w:t>ng</w:t>
      </w:r>
      <w:r w:rsidRPr="00C83273">
        <w:rPr>
          <w:rFonts w:cstheme="minorHAnsi"/>
          <w:sz w:val="24"/>
          <w:szCs w:val="24"/>
        </w:rPr>
        <w:t xml:space="preserve"> international HTA methods</w:t>
      </w:r>
      <w:r>
        <w:rPr>
          <w:rFonts w:cstheme="minorHAnsi"/>
          <w:sz w:val="24"/>
          <w:szCs w:val="24"/>
        </w:rPr>
        <w:t>, were noted as significant barriers</w:t>
      </w:r>
      <w:r w:rsidRPr="00C83273">
        <w:rPr>
          <w:rFonts w:cstheme="minorHAnsi"/>
          <w:sz w:val="24"/>
          <w:szCs w:val="24"/>
        </w:rPr>
        <w:t xml:space="preserve">. HTA evidence </w:t>
      </w:r>
      <w:r>
        <w:rPr>
          <w:rFonts w:cstheme="minorHAnsi"/>
          <w:sz w:val="24"/>
          <w:szCs w:val="24"/>
        </w:rPr>
        <w:t>i</w:t>
      </w:r>
      <w:r w:rsidRPr="00C83273">
        <w:rPr>
          <w:rFonts w:cstheme="minorHAnsi"/>
          <w:sz w:val="24"/>
          <w:szCs w:val="24"/>
        </w:rPr>
        <w:t xml:space="preserve">s rarely used </w:t>
      </w:r>
      <w:r>
        <w:rPr>
          <w:rFonts w:cstheme="minorHAnsi"/>
          <w:sz w:val="24"/>
          <w:szCs w:val="24"/>
        </w:rPr>
        <w:t>i</w:t>
      </w:r>
      <w:r w:rsidRPr="00C83273">
        <w:rPr>
          <w:rFonts w:cstheme="minorHAnsi"/>
          <w:sz w:val="24"/>
          <w:szCs w:val="24"/>
        </w:rPr>
        <w:t>n LIECs to guide individualized treatment decisions</w:t>
      </w:r>
      <w:r w:rsidR="005C6E33" w:rsidRPr="00C83273">
        <w:rPr>
          <w:rFonts w:cstheme="minorHAnsi"/>
          <w:sz w:val="24"/>
          <w:szCs w:val="24"/>
        </w:rPr>
        <w:t>.</w:t>
      </w:r>
      <w:r w:rsidR="00516E92" w:rsidRPr="00C83273">
        <w:rPr>
          <w:rFonts w:cstheme="minorHAnsi"/>
          <w:sz w:val="24"/>
          <w:szCs w:val="24"/>
        </w:rPr>
        <w:t xml:space="preserve"> </w:t>
      </w:r>
    </w:p>
    <w:p w14:paraId="145CABC9" w14:textId="32F1E27F" w:rsidR="004B438A" w:rsidRPr="00C83273" w:rsidRDefault="004B438A" w:rsidP="004B438A">
      <w:pPr>
        <w:spacing w:line="240" w:lineRule="auto"/>
        <w:ind w:left="50"/>
        <w:jc w:val="center"/>
        <w:rPr>
          <w:rFonts w:cstheme="minorHAnsi"/>
          <w:sz w:val="24"/>
          <w:szCs w:val="24"/>
        </w:rPr>
      </w:pPr>
      <w:r>
        <w:rPr>
          <w:rFonts w:cstheme="minorHAnsi"/>
          <w:sz w:val="24"/>
          <w:szCs w:val="24"/>
        </w:rPr>
        <w:t>- INSERT TABLE 2 HERE -</w:t>
      </w:r>
    </w:p>
    <w:p w14:paraId="75D79AFB" w14:textId="05BE3873" w:rsidR="00157D69" w:rsidRPr="00C83273" w:rsidRDefault="00207D65" w:rsidP="00C83273">
      <w:pPr>
        <w:spacing w:line="240" w:lineRule="auto"/>
        <w:jc w:val="both"/>
        <w:rPr>
          <w:rFonts w:cstheme="minorHAnsi"/>
          <w:sz w:val="24"/>
          <w:szCs w:val="24"/>
        </w:rPr>
      </w:pPr>
      <w:r w:rsidRPr="00C83273">
        <w:rPr>
          <w:rFonts w:cstheme="minorHAnsi"/>
          <w:sz w:val="24"/>
          <w:szCs w:val="24"/>
        </w:rPr>
        <w:t>T</w:t>
      </w:r>
      <w:r w:rsidR="00157D69" w:rsidRPr="00C83273">
        <w:rPr>
          <w:rFonts w:cstheme="minorHAnsi"/>
          <w:sz w:val="24"/>
          <w:szCs w:val="24"/>
        </w:rPr>
        <w:t xml:space="preserve">he </w:t>
      </w:r>
      <w:r w:rsidRPr="00C83273">
        <w:rPr>
          <w:rFonts w:cstheme="minorHAnsi"/>
          <w:sz w:val="24"/>
          <w:szCs w:val="24"/>
        </w:rPr>
        <w:t xml:space="preserve">main </w:t>
      </w:r>
      <w:r w:rsidR="00157D69" w:rsidRPr="00C83273">
        <w:rPr>
          <w:rFonts w:cstheme="minorHAnsi"/>
          <w:sz w:val="24"/>
          <w:szCs w:val="24"/>
        </w:rPr>
        <w:t>conclusions on t</w:t>
      </w:r>
      <w:r w:rsidRPr="00C83273">
        <w:rPr>
          <w:rFonts w:cstheme="minorHAnsi"/>
          <w:sz w:val="24"/>
          <w:szCs w:val="24"/>
        </w:rPr>
        <w:t xml:space="preserve">ransferring </w:t>
      </w:r>
      <w:r w:rsidR="008A0AA8" w:rsidRPr="00C83273">
        <w:rPr>
          <w:rFonts w:cstheme="minorHAnsi"/>
          <w:sz w:val="24"/>
          <w:szCs w:val="24"/>
        </w:rPr>
        <w:t xml:space="preserve">RWE </w:t>
      </w:r>
      <w:r w:rsidRPr="00C83273">
        <w:rPr>
          <w:rFonts w:cstheme="minorHAnsi"/>
          <w:sz w:val="24"/>
          <w:szCs w:val="24"/>
        </w:rPr>
        <w:t xml:space="preserve">to LIECs from other countries based on </w:t>
      </w:r>
      <w:r w:rsidR="00157D69" w:rsidRPr="00C83273">
        <w:rPr>
          <w:rFonts w:cstheme="minorHAnsi"/>
          <w:sz w:val="24"/>
          <w:szCs w:val="24"/>
        </w:rPr>
        <w:t>the TTE methodology</w:t>
      </w:r>
      <w:r w:rsidRPr="00C83273">
        <w:rPr>
          <w:rFonts w:cstheme="minorHAnsi"/>
          <w:sz w:val="24"/>
          <w:szCs w:val="24"/>
        </w:rPr>
        <w:t xml:space="preserve"> are summarized below</w:t>
      </w:r>
      <w:r w:rsidR="00157D69" w:rsidRPr="00C83273">
        <w:rPr>
          <w:rFonts w:cstheme="minorHAnsi"/>
          <w:sz w:val="24"/>
          <w:szCs w:val="24"/>
        </w:rPr>
        <w:t>.</w:t>
      </w:r>
    </w:p>
    <w:p w14:paraId="46989BE0" w14:textId="2EDEC674" w:rsidR="00BD4F97" w:rsidRPr="00C83273" w:rsidRDefault="00BD4F97" w:rsidP="00C83273">
      <w:pPr>
        <w:spacing w:line="240" w:lineRule="auto"/>
        <w:jc w:val="both"/>
        <w:rPr>
          <w:rFonts w:cstheme="minorHAnsi"/>
          <w:b/>
          <w:bCs/>
          <w:sz w:val="24"/>
          <w:szCs w:val="24"/>
        </w:rPr>
      </w:pPr>
      <w:r w:rsidRPr="00C83273">
        <w:rPr>
          <w:rFonts w:cstheme="minorHAnsi"/>
          <w:b/>
          <w:bCs/>
          <w:sz w:val="24"/>
          <w:szCs w:val="24"/>
        </w:rPr>
        <w:t xml:space="preserve">Conclusion #1: The target trial emulation approach is an improvement to the current standard HTA methods. </w:t>
      </w:r>
    </w:p>
    <w:p w14:paraId="67A0C800" w14:textId="2E723F81" w:rsidR="00BD4F97" w:rsidRPr="00C83273" w:rsidRDefault="00DE5662" w:rsidP="00C83273">
      <w:pPr>
        <w:tabs>
          <w:tab w:val="num" w:pos="720"/>
        </w:tabs>
        <w:spacing w:line="240" w:lineRule="auto"/>
        <w:jc w:val="both"/>
        <w:rPr>
          <w:rFonts w:cstheme="minorHAnsi"/>
          <w:sz w:val="24"/>
          <w:szCs w:val="24"/>
        </w:rPr>
      </w:pPr>
      <w:r w:rsidRPr="00DE5662">
        <w:rPr>
          <w:rFonts w:cstheme="minorHAnsi"/>
          <w:sz w:val="24"/>
          <w:szCs w:val="24"/>
        </w:rPr>
        <w:t>The TTE allows the use of observational data to evaluate the effectiveness of alternative treatment strategies and ultimately obtain reliable results, provided that the underlying assumptions are met. Since the analysis typically uses population-based data, the results are more generalisable</w:t>
      </w:r>
      <w:r w:rsidR="00BD4F97" w:rsidRPr="00C83273">
        <w:rPr>
          <w:rFonts w:cstheme="minorHAnsi"/>
          <w:sz w:val="24"/>
          <w:szCs w:val="24"/>
        </w:rPr>
        <w:t xml:space="preserve">. The </w:t>
      </w:r>
      <w:r w:rsidR="003A3E29">
        <w:rPr>
          <w:rFonts w:cstheme="minorHAnsi"/>
          <w:sz w:val="24"/>
          <w:szCs w:val="24"/>
        </w:rPr>
        <w:t>LTMLE</w:t>
      </w:r>
      <w:r w:rsidR="00BD4F97" w:rsidRPr="00C83273">
        <w:rPr>
          <w:rFonts w:cstheme="minorHAnsi"/>
          <w:sz w:val="24"/>
          <w:szCs w:val="24"/>
        </w:rPr>
        <w:t xml:space="preserve"> approach applied in the MDS case study is </w:t>
      </w:r>
      <w:r w:rsidR="00AD3D2A" w:rsidRPr="00C83273">
        <w:rPr>
          <w:rFonts w:cstheme="minorHAnsi"/>
          <w:sz w:val="24"/>
          <w:szCs w:val="24"/>
        </w:rPr>
        <w:t xml:space="preserve">a </w:t>
      </w:r>
      <w:r w:rsidR="00BD4F97" w:rsidRPr="00C83273">
        <w:rPr>
          <w:rFonts w:cstheme="minorHAnsi"/>
          <w:sz w:val="24"/>
          <w:szCs w:val="24"/>
        </w:rPr>
        <w:t xml:space="preserve">double robust method, which is less likely to produce biased results compared </w:t>
      </w:r>
      <w:r w:rsidR="00E04FD2" w:rsidRPr="00C83273">
        <w:rPr>
          <w:rFonts w:cstheme="minorHAnsi"/>
          <w:sz w:val="24"/>
          <w:szCs w:val="24"/>
        </w:rPr>
        <w:t xml:space="preserve">to </w:t>
      </w:r>
      <w:r w:rsidR="00BD4F97" w:rsidRPr="00C83273">
        <w:rPr>
          <w:rFonts w:cstheme="minorHAnsi"/>
          <w:sz w:val="24"/>
          <w:szCs w:val="24"/>
        </w:rPr>
        <w:t>other standard approaches (e.g.</w:t>
      </w:r>
      <w:r w:rsidR="009F152D" w:rsidRPr="00C83273">
        <w:rPr>
          <w:rFonts w:cstheme="minorHAnsi"/>
          <w:sz w:val="24"/>
          <w:szCs w:val="24"/>
        </w:rPr>
        <w:t xml:space="preserve"> propensity score matching or</w:t>
      </w:r>
      <w:r w:rsidR="00BD4F97" w:rsidRPr="00C83273">
        <w:rPr>
          <w:rFonts w:cstheme="minorHAnsi"/>
          <w:sz w:val="24"/>
          <w:szCs w:val="24"/>
        </w:rPr>
        <w:t xml:space="preserve"> inverse probability weighting). </w:t>
      </w:r>
      <w:r>
        <w:rPr>
          <w:rFonts w:cstheme="minorHAnsi"/>
          <w:sz w:val="24"/>
          <w:szCs w:val="24"/>
        </w:rPr>
        <w:t>However, t</w:t>
      </w:r>
      <w:r w:rsidR="00BD4F97" w:rsidRPr="00C83273">
        <w:rPr>
          <w:rFonts w:cstheme="minorHAnsi"/>
          <w:sz w:val="24"/>
          <w:szCs w:val="24"/>
        </w:rPr>
        <w:t xml:space="preserve">he </w:t>
      </w:r>
      <w:r w:rsidRPr="00C83273">
        <w:rPr>
          <w:rFonts w:cstheme="minorHAnsi"/>
          <w:sz w:val="24"/>
          <w:szCs w:val="24"/>
        </w:rPr>
        <w:t xml:space="preserve">exclusive </w:t>
      </w:r>
      <w:r>
        <w:rPr>
          <w:rFonts w:cstheme="minorHAnsi"/>
          <w:sz w:val="24"/>
          <w:szCs w:val="24"/>
        </w:rPr>
        <w:t xml:space="preserve">reliance </w:t>
      </w:r>
      <w:r w:rsidRPr="00C83273">
        <w:rPr>
          <w:rFonts w:cstheme="minorHAnsi"/>
          <w:sz w:val="24"/>
          <w:szCs w:val="24"/>
        </w:rPr>
        <w:t xml:space="preserve">on RWD </w:t>
      </w:r>
      <w:r>
        <w:rPr>
          <w:rFonts w:cstheme="minorHAnsi"/>
          <w:sz w:val="24"/>
          <w:szCs w:val="24"/>
        </w:rPr>
        <w:t xml:space="preserve">necessitates </w:t>
      </w:r>
      <w:r w:rsidRPr="00C83273">
        <w:rPr>
          <w:rFonts w:cstheme="minorHAnsi"/>
          <w:sz w:val="24"/>
          <w:szCs w:val="24"/>
        </w:rPr>
        <w:t>appropriate adjust</w:t>
      </w:r>
      <w:r>
        <w:rPr>
          <w:rFonts w:cstheme="minorHAnsi"/>
          <w:sz w:val="24"/>
          <w:szCs w:val="24"/>
        </w:rPr>
        <w:t>ments</w:t>
      </w:r>
      <w:r w:rsidRPr="00C83273">
        <w:rPr>
          <w:rFonts w:cstheme="minorHAnsi"/>
          <w:sz w:val="24"/>
          <w:szCs w:val="24"/>
        </w:rPr>
        <w:t xml:space="preserve"> for time-varying confounding</w:t>
      </w:r>
      <w:r w:rsidR="00BD4F97" w:rsidRPr="00C83273">
        <w:rPr>
          <w:rFonts w:cstheme="minorHAnsi"/>
          <w:sz w:val="24"/>
          <w:szCs w:val="24"/>
        </w:rPr>
        <w:t xml:space="preserve">. </w:t>
      </w:r>
    </w:p>
    <w:p w14:paraId="1E2589DC" w14:textId="2FA77A3F" w:rsidR="00BD4F97" w:rsidRPr="00C83273" w:rsidRDefault="00BD4F97" w:rsidP="00C83273">
      <w:pPr>
        <w:tabs>
          <w:tab w:val="num" w:pos="720"/>
        </w:tabs>
        <w:spacing w:line="240" w:lineRule="auto"/>
        <w:jc w:val="both"/>
        <w:rPr>
          <w:rFonts w:cstheme="minorHAnsi"/>
          <w:sz w:val="24"/>
          <w:szCs w:val="24"/>
        </w:rPr>
      </w:pPr>
      <w:r w:rsidRPr="00C83273">
        <w:rPr>
          <w:rFonts w:cstheme="minorHAnsi"/>
          <w:sz w:val="24"/>
          <w:szCs w:val="24"/>
        </w:rPr>
        <w:t>The major benefit of this approach to HTA experts and policy-makers and LIECs is that - as opposed to ”one-size-fits-all” HTA conclusions (reimbursement to everyone</w:t>
      </w:r>
      <w:r w:rsidR="00481BFC" w:rsidRPr="00C83273">
        <w:rPr>
          <w:rFonts w:cstheme="minorHAnsi"/>
          <w:sz w:val="24"/>
          <w:szCs w:val="24"/>
        </w:rPr>
        <w:t xml:space="preserve"> or to no one</w:t>
      </w:r>
      <w:r w:rsidRPr="00C83273">
        <w:rPr>
          <w:rFonts w:cstheme="minorHAnsi"/>
          <w:sz w:val="24"/>
          <w:szCs w:val="24"/>
        </w:rPr>
        <w:t xml:space="preserve">) - it allows </w:t>
      </w:r>
      <w:r w:rsidR="009F152D" w:rsidRPr="00C83273">
        <w:rPr>
          <w:rFonts w:cstheme="minorHAnsi"/>
          <w:sz w:val="24"/>
          <w:szCs w:val="24"/>
        </w:rPr>
        <w:t xml:space="preserve">to study alternative treatment </w:t>
      </w:r>
      <w:r w:rsidRPr="00C83273">
        <w:rPr>
          <w:rFonts w:cstheme="minorHAnsi"/>
          <w:sz w:val="24"/>
          <w:szCs w:val="24"/>
        </w:rPr>
        <w:t xml:space="preserve">protocols and </w:t>
      </w:r>
      <w:r w:rsidR="009F152D" w:rsidRPr="00C83273">
        <w:rPr>
          <w:rFonts w:cstheme="minorHAnsi"/>
          <w:sz w:val="24"/>
          <w:szCs w:val="24"/>
        </w:rPr>
        <w:t xml:space="preserve">can inform </w:t>
      </w:r>
      <w:r w:rsidRPr="00C83273">
        <w:rPr>
          <w:rFonts w:cstheme="minorHAnsi"/>
          <w:sz w:val="24"/>
          <w:szCs w:val="24"/>
        </w:rPr>
        <w:t>clinical decisions to initiate, continue or discontinue treatment over time depend</w:t>
      </w:r>
      <w:r w:rsidR="009F152D" w:rsidRPr="00C83273">
        <w:rPr>
          <w:rFonts w:cstheme="minorHAnsi"/>
          <w:sz w:val="24"/>
          <w:szCs w:val="24"/>
        </w:rPr>
        <w:t>ing</w:t>
      </w:r>
      <w:r w:rsidRPr="00C83273">
        <w:rPr>
          <w:rFonts w:cstheme="minorHAnsi"/>
          <w:sz w:val="24"/>
          <w:szCs w:val="24"/>
        </w:rPr>
        <w:t xml:space="preserve"> </w:t>
      </w:r>
      <w:r w:rsidR="007701A0" w:rsidRPr="00C83273">
        <w:rPr>
          <w:rFonts w:cstheme="minorHAnsi"/>
          <w:sz w:val="24"/>
          <w:szCs w:val="24"/>
        </w:rPr>
        <w:t xml:space="preserve">on </w:t>
      </w:r>
      <w:r w:rsidR="00C33FF5" w:rsidRPr="00C83273">
        <w:rPr>
          <w:rFonts w:cstheme="minorHAnsi"/>
          <w:sz w:val="24"/>
          <w:szCs w:val="24"/>
        </w:rPr>
        <w:t xml:space="preserve">specific </w:t>
      </w:r>
      <w:r w:rsidR="00A82F09" w:rsidRPr="00C83273">
        <w:rPr>
          <w:rFonts w:cstheme="minorHAnsi"/>
          <w:sz w:val="24"/>
          <w:szCs w:val="24"/>
        </w:rPr>
        <w:t xml:space="preserve">criteria, including </w:t>
      </w:r>
      <w:r w:rsidR="007701A0" w:rsidRPr="00C83273">
        <w:rPr>
          <w:rFonts w:cstheme="minorHAnsi"/>
          <w:sz w:val="24"/>
          <w:szCs w:val="24"/>
        </w:rPr>
        <w:t xml:space="preserve">how </w:t>
      </w:r>
      <w:r w:rsidRPr="00C83273">
        <w:rPr>
          <w:rFonts w:cstheme="minorHAnsi"/>
          <w:sz w:val="24"/>
          <w:szCs w:val="24"/>
        </w:rPr>
        <w:t>patient</w:t>
      </w:r>
      <w:r w:rsidR="007701A0" w:rsidRPr="00C83273">
        <w:rPr>
          <w:rFonts w:cstheme="minorHAnsi"/>
          <w:sz w:val="24"/>
          <w:szCs w:val="24"/>
        </w:rPr>
        <w:t>s</w:t>
      </w:r>
      <w:r w:rsidRPr="00C83273">
        <w:rPr>
          <w:rFonts w:cstheme="minorHAnsi"/>
          <w:sz w:val="24"/>
          <w:szCs w:val="24"/>
        </w:rPr>
        <w:t xml:space="preserve"> </w:t>
      </w:r>
      <w:r w:rsidR="007701A0" w:rsidRPr="00C83273">
        <w:rPr>
          <w:rFonts w:cstheme="minorHAnsi"/>
          <w:sz w:val="24"/>
          <w:szCs w:val="24"/>
        </w:rPr>
        <w:t>respond to treatment.</w:t>
      </w:r>
    </w:p>
    <w:p w14:paraId="0E1CFA21" w14:textId="6ED4798F" w:rsidR="005E27D3" w:rsidRPr="00C83273" w:rsidRDefault="003E27C3" w:rsidP="00C83273">
      <w:pPr>
        <w:spacing w:line="240" w:lineRule="auto"/>
        <w:jc w:val="both"/>
        <w:rPr>
          <w:rFonts w:cstheme="minorHAnsi"/>
          <w:b/>
          <w:bCs/>
          <w:sz w:val="24"/>
          <w:szCs w:val="24"/>
        </w:rPr>
      </w:pPr>
      <w:r w:rsidRPr="00C83273">
        <w:rPr>
          <w:rFonts w:cstheme="minorHAnsi"/>
          <w:b/>
          <w:bCs/>
          <w:sz w:val="24"/>
          <w:szCs w:val="24"/>
        </w:rPr>
        <w:t>Conclusion #2: In LIECs with limited HTA capacities</w:t>
      </w:r>
      <w:r w:rsidR="00B210B4" w:rsidRPr="00C83273">
        <w:rPr>
          <w:rFonts w:cstheme="minorHAnsi"/>
          <w:b/>
          <w:bCs/>
          <w:sz w:val="24"/>
          <w:szCs w:val="24"/>
        </w:rPr>
        <w:t>,</w:t>
      </w:r>
      <w:r w:rsidRPr="00C83273">
        <w:rPr>
          <w:rFonts w:cstheme="minorHAnsi"/>
          <w:b/>
          <w:bCs/>
          <w:sz w:val="24"/>
          <w:szCs w:val="24"/>
        </w:rPr>
        <w:t xml:space="preserve"> joint clinical assessment provides an </w:t>
      </w:r>
      <w:r w:rsidR="005E27D3" w:rsidRPr="00C83273">
        <w:rPr>
          <w:rFonts w:cstheme="minorHAnsi"/>
          <w:b/>
          <w:bCs/>
          <w:sz w:val="24"/>
          <w:szCs w:val="24"/>
        </w:rPr>
        <w:t xml:space="preserve">unbiased judgement on the relative effectiveness of </w:t>
      </w:r>
      <w:r w:rsidR="00D009CD" w:rsidRPr="00C83273">
        <w:rPr>
          <w:rFonts w:cstheme="minorHAnsi"/>
          <w:b/>
          <w:bCs/>
          <w:sz w:val="24"/>
          <w:szCs w:val="24"/>
        </w:rPr>
        <w:t>orphan medicines</w:t>
      </w:r>
      <w:r w:rsidR="005E27D3" w:rsidRPr="00C83273">
        <w:rPr>
          <w:rFonts w:cstheme="minorHAnsi"/>
          <w:b/>
          <w:bCs/>
          <w:sz w:val="24"/>
          <w:szCs w:val="24"/>
        </w:rPr>
        <w:t>.</w:t>
      </w:r>
    </w:p>
    <w:p w14:paraId="0020D600" w14:textId="77777777" w:rsidR="00BE6C9B" w:rsidRDefault="00D009CD" w:rsidP="00C83273">
      <w:pPr>
        <w:spacing w:line="240" w:lineRule="auto"/>
        <w:jc w:val="both"/>
        <w:rPr>
          <w:rFonts w:cstheme="minorHAnsi"/>
          <w:sz w:val="24"/>
          <w:szCs w:val="24"/>
        </w:rPr>
      </w:pPr>
      <w:r w:rsidRPr="00C83273">
        <w:rPr>
          <w:rFonts w:cstheme="minorHAnsi"/>
          <w:sz w:val="24"/>
          <w:szCs w:val="24"/>
        </w:rPr>
        <w:t xml:space="preserve">The evidence base of </w:t>
      </w:r>
      <w:r w:rsidR="00A82F09" w:rsidRPr="00C83273">
        <w:rPr>
          <w:rFonts w:cstheme="minorHAnsi"/>
          <w:sz w:val="24"/>
          <w:szCs w:val="24"/>
        </w:rPr>
        <w:t xml:space="preserve">medicines used in </w:t>
      </w:r>
      <w:r w:rsidRPr="00C83273">
        <w:rPr>
          <w:rFonts w:cstheme="minorHAnsi"/>
          <w:sz w:val="24"/>
          <w:szCs w:val="24"/>
        </w:rPr>
        <w:t xml:space="preserve">orphan </w:t>
      </w:r>
      <w:r w:rsidR="00A82F09" w:rsidRPr="00C83273">
        <w:rPr>
          <w:rFonts w:cstheme="minorHAnsi"/>
          <w:sz w:val="24"/>
          <w:szCs w:val="24"/>
        </w:rPr>
        <w:t xml:space="preserve">diseases </w:t>
      </w:r>
      <w:r w:rsidRPr="00C83273">
        <w:rPr>
          <w:rFonts w:cstheme="minorHAnsi"/>
          <w:sz w:val="24"/>
          <w:szCs w:val="24"/>
        </w:rPr>
        <w:t>is more limited compared to medicines in more prevalent disease areas, and so judgement of the</w:t>
      </w:r>
      <w:r w:rsidR="00A82F09" w:rsidRPr="00C83273">
        <w:rPr>
          <w:rFonts w:cstheme="minorHAnsi"/>
          <w:sz w:val="24"/>
          <w:szCs w:val="24"/>
        </w:rPr>
        <w:t>ir</w:t>
      </w:r>
      <w:r w:rsidRPr="00C83273">
        <w:rPr>
          <w:rFonts w:cstheme="minorHAnsi"/>
          <w:sz w:val="24"/>
          <w:szCs w:val="24"/>
        </w:rPr>
        <w:t xml:space="preserve"> relative effectiveness requires special skills and methods. </w:t>
      </w:r>
      <w:r w:rsidR="005E27D3" w:rsidRPr="00C83273">
        <w:rPr>
          <w:rFonts w:cstheme="minorHAnsi"/>
          <w:sz w:val="24"/>
          <w:szCs w:val="24"/>
        </w:rPr>
        <w:t xml:space="preserve">The majority of LIECs – </w:t>
      </w:r>
      <w:proofErr w:type="gramStart"/>
      <w:r w:rsidR="005E27D3" w:rsidRPr="00C83273">
        <w:rPr>
          <w:rFonts w:cstheme="minorHAnsi"/>
          <w:sz w:val="24"/>
          <w:szCs w:val="24"/>
        </w:rPr>
        <w:t>with the exception of</w:t>
      </w:r>
      <w:proofErr w:type="gramEnd"/>
      <w:r w:rsidR="005E27D3" w:rsidRPr="00C83273">
        <w:rPr>
          <w:rFonts w:cstheme="minorHAnsi"/>
          <w:sz w:val="24"/>
          <w:szCs w:val="24"/>
        </w:rPr>
        <w:t xml:space="preserve"> Poland and Hungary – have no academic postgraduate courses in HTA</w:t>
      </w:r>
      <w:r w:rsidR="00BD263D" w:rsidRPr="00C83273">
        <w:rPr>
          <w:rFonts w:cstheme="minorHAnsi"/>
          <w:sz w:val="24"/>
          <w:szCs w:val="24"/>
        </w:rPr>
        <w:t xml:space="preserve">, and consequently the knowledge about </w:t>
      </w:r>
      <w:r w:rsidR="00DA4D06" w:rsidRPr="00C83273">
        <w:rPr>
          <w:rFonts w:cstheme="minorHAnsi"/>
          <w:sz w:val="24"/>
          <w:szCs w:val="24"/>
        </w:rPr>
        <w:t>advanced</w:t>
      </w:r>
      <w:r w:rsidR="00BD263D" w:rsidRPr="00C83273">
        <w:rPr>
          <w:rFonts w:cstheme="minorHAnsi"/>
          <w:sz w:val="24"/>
          <w:szCs w:val="24"/>
        </w:rPr>
        <w:t xml:space="preserve"> evidence generation methods, such as the TTE approach, is limited</w:t>
      </w:r>
      <w:r w:rsidR="005E27D3" w:rsidRPr="00C83273">
        <w:rPr>
          <w:rFonts w:cstheme="minorHAnsi"/>
          <w:sz w:val="24"/>
          <w:szCs w:val="24"/>
        </w:rPr>
        <w:t xml:space="preserve">. </w:t>
      </w:r>
      <w:r w:rsidR="00990C6D">
        <w:rPr>
          <w:rFonts w:cstheme="minorHAnsi"/>
          <w:sz w:val="24"/>
          <w:szCs w:val="24"/>
        </w:rPr>
        <w:t xml:space="preserve">LIECs should </w:t>
      </w:r>
      <w:r w:rsidR="00B466D1">
        <w:rPr>
          <w:rFonts w:cstheme="minorHAnsi"/>
          <w:sz w:val="24"/>
          <w:szCs w:val="24"/>
        </w:rPr>
        <w:t xml:space="preserve">establish more postgraduate trainings in HTA, </w:t>
      </w:r>
      <w:r w:rsidR="00804E80">
        <w:rPr>
          <w:rFonts w:cstheme="minorHAnsi"/>
          <w:sz w:val="24"/>
          <w:szCs w:val="24"/>
        </w:rPr>
        <w:t xml:space="preserve">however, it takes several years </w:t>
      </w:r>
      <w:r w:rsidR="008C1C33">
        <w:rPr>
          <w:rFonts w:cstheme="minorHAnsi"/>
          <w:sz w:val="24"/>
          <w:szCs w:val="24"/>
        </w:rPr>
        <w:t>set up such programs and t</w:t>
      </w:r>
      <w:r w:rsidR="00731055">
        <w:rPr>
          <w:rFonts w:cstheme="minorHAnsi"/>
          <w:sz w:val="24"/>
          <w:szCs w:val="24"/>
        </w:rPr>
        <w:t xml:space="preserve">rain </w:t>
      </w:r>
      <w:proofErr w:type="gramStart"/>
      <w:r w:rsidR="00731055">
        <w:rPr>
          <w:rFonts w:cstheme="minorHAnsi"/>
          <w:sz w:val="24"/>
          <w:szCs w:val="24"/>
        </w:rPr>
        <w:t>sufficient number of</w:t>
      </w:r>
      <w:proofErr w:type="gramEnd"/>
      <w:r w:rsidR="00731055">
        <w:rPr>
          <w:rFonts w:cstheme="minorHAnsi"/>
          <w:sz w:val="24"/>
          <w:szCs w:val="24"/>
        </w:rPr>
        <w:t xml:space="preserve"> HTA </w:t>
      </w:r>
      <w:r w:rsidR="008C1C33">
        <w:rPr>
          <w:rFonts w:cstheme="minorHAnsi"/>
          <w:sz w:val="24"/>
          <w:szCs w:val="24"/>
        </w:rPr>
        <w:t>professionals</w:t>
      </w:r>
      <w:r w:rsidR="00731055">
        <w:rPr>
          <w:rFonts w:cstheme="minorHAnsi"/>
          <w:sz w:val="24"/>
          <w:szCs w:val="24"/>
        </w:rPr>
        <w:t>.</w:t>
      </w:r>
      <w:r w:rsidR="00990C6D">
        <w:rPr>
          <w:rFonts w:cstheme="minorHAnsi"/>
          <w:sz w:val="24"/>
          <w:szCs w:val="24"/>
        </w:rPr>
        <w:t xml:space="preserve"> </w:t>
      </w:r>
    </w:p>
    <w:p w14:paraId="452EDA8A" w14:textId="15AEA0F0" w:rsidR="003E27C3" w:rsidRPr="00C83273" w:rsidRDefault="00BE6C9B" w:rsidP="00C83273">
      <w:pPr>
        <w:spacing w:line="240" w:lineRule="auto"/>
        <w:jc w:val="both"/>
        <w:rPr>
          <w:rFonts w:cstheme="minorHAnsi"/>
          <w:b/>
          <w:bCs/>
          <w:i/>
          <w:iCs/>
          <w:sz w:val="24"/>
          <w:szCs w:val="24"/>
        </w:rPr>
      </w:pPr>
      <w:r>
        <w:rPr>
          <w:rFonts w:cstheme="minorHAnsi"/>
          <w:sz w:val="24"/>
          <w:szCs w:val="24"/>
        </w:rPr>
        <w:t xml:space="preserve">On the other </w:t>
      </w:r>
      <w:proofErr w:type="gramStart"/>
      <w:r>
        <w:rPr>
          <w:rFonts w:cstheme="minorHAnsi"/>
          <w:sz w:val="24"/>
          <w:szCs w:val="24"/>
        </w:rPr>
        <w:t>hand</w:t>
      </w:r>
      <w:proofErr w:type="gramEnd"/>
      <w:r>
        <w:rPr>
          <w:rFonts w:cstheme="minorHAnsi"/>
          <w:sz w:val="24"/>
          <w:szCs w:val="24"/>
        </w:rPr>
        <w:t xml:space="preserve"> </w:t>
      </w:r>
      <w:r w:rsidR="00D009CD" w:rsidRPr="00C83273">
        <w:rPr>
          <w:rFonts w:cstheme="minorHAnsi"/>
          <w:sz w:val="24"/>
          <w:szCs w:val="24"/>
        </w:rPr>
        <w:t xml:space="preserve">shortages of local HTA expertise </w:t>
      </w:r>
      <w:r w:rsidR="00B9287B">
        <w:rPr>
          <w:rFonts w:cstheme="minorHAnsi"/>
          <w:sz w:val="24"/>
          <w:szCs w:val="24"/>
        </w:rPr>
        <w:t xml:space="preserve">in LIECs </w:t>
      </w:r>
      <w:r w:rsidR="00D009CD" w:rsidRPr="00C83273">
        <w:rPr>
          <w:rFonts w:cstheme="minorHAnsi"/>
          <w:sz w:val="24"/>
          <w:szCs w:val="24"/>
        </w:rPr>
        <w:t>can be alleviated by an unbiased judgement on the relative effectiveness in European joint clinical assessment, which will be mandatory for orphan medicines from 2028</w:t>
      </w:r>
      <w:r w:rsidR="001A0B88" w:rsidRPr="00C83273">
        <w:rPr>
          <w:rFonts w:cstheme="minorHAnsi"/>
          <w:sz w:val="24"/>
          <w:szCs w:val="24"/>
        </w:rPr>
        <w:t xml:space="preserve"> according to the EU HTA regulation</w:t>
      </w:r>
      <w:r w:rsidR="00D009CD" w:rsidRPr="00C83273">
        <w:rPr>
          <w:rFonts w:cstheme="minorHAnsi"/>
          <w:sz w:val="24"/>
          <w:szCs w:val="24"/>
        </w:rPr>
        <w:t xml:space="preserve">. </w:t>
      </w:r>
    </w:p>
    <w:p w14:paraId="0091A496" w14:textId="212A2057" w:rsidR="00E25FFF" w:rsidRPr="00C83273" w:rsidRDefault="00E25FFF" w:rsidP="00C83273">
      <w:pPr>
        <w:spacing w:line="240" w:lineRule="auto"/>
        <w:jc w:val="both"/>
        <w:rPr>
          <w:rFonts w:cstheme="minorHAnsi"/>
          <w:b/>
          <w:bCs/>
          <w:sz w:val="24"/>
          <w:szCs w:val="24"/>
        </w:rPr>
      </w:pPr>
      <w:r w:rsidRPr="00C83273">
        <w:rPr>
          <w:rFonts w:cstheme="minorHAnsi"/>
          <w:b/>
          <w:bCs/>
          <w:sz w:val="24"/>
          <w:szCs w:val="24"/>
        </w:rPr>
        <w:t>Conclusion #</w:t>
      </w:r>
      <w:r w:rsidR="00D009CD" w:rsidRPr="00C83273">
        <w:rPr>
          <w:rFonts w:cstheme="minorHAnsi"/>
          <w:b/>
          <w:bCs/>
          <w:sz w:val="24"/>
          <w:szCs w:val="24"/>
        </w:rPr>
        <w:t>3</w:t>
      </w:r>
      <w:r w:rsidRPr="00C83273">
        <w:rPr>
          <w:rFonts w:cstheme="minorHAnsi"/>
          <w:b/>
          <w:bCs/>
          <w:sz w:val="24"/>
          <w:szCs w:val="24"/>
        </w:rPr>
        <w:t xml:space="preserve">: In rare diseases with limited evidence base LIECs can benefit from real-world evidence </w:t>
      </w:r>
      <w:r w:rsidR="000D1A6D" w:rsidRPr="00C83273">
        <w:rPr>
          <w:rFonts w:cstheme="minorHAnsi"/>
          <w:b/>
          <w:bCs/>
          <w:sz w:val="24"/>
          <w:szCs w:val="24"/>
        </w:rPr>
        <w:t>from</w:t>
      </w:r>
      <w:r w:rsidRPr="00C83273">
        <w:rPr>
          <w:rFonts w:cstheme="minorHAnsi"/>
          <w:b/>
          <w:bCs/>
          <w:sz w:val="24"/>
          <w:szCs w:val="24"/>
        </w:rPr>
        <w:t xml:space="preserve"> other countries</w:t>
      </w:r>
      <w:r w:rsidR="000D1A6D" w:rsidRPr="00C83273">
        <w:rPr>
          <w:rFonts w:cstheme="minorHAnsi"/>
          <w:b/>
          <w:bCs/>
          <w:sz w:val="24"/>
          <w:szCs w:val="24"/>
        </w:rPr>
        <w:t xml:space="preserve"> generated by the </w:t>
      </w:r>
      <w:r w:rsidR="001A0B88" w:rsidRPr="00C83273">
        <w:rPr>
          <w:rFonts w:cstheme="minorHAnsi"/>
          <w:b/>
          <w:bCs/>
          <w:sz w:val="24"/>
          <w:szCs w:val="24"/>
        </w:rPr>
        <w:t xml:space="preserve">target trial emulation </w:t>
      </w:r>
      <w:r w:rsidR="000D1A6D" w:rsidRPr="00C83273">
        <w:rPr>
          <w:rFonts w:cstheme="minorHAnsi"/>
          <w:b/>
          <w:bCs/>
          <w:sz w:val="24"/>
          <w:szCs w:val="24"/>
        </w:rPr>
        <w:t>method</w:t>
      </w:r>
      <w:r w:rsidRPr="00C83273">
        <w:rPr>
          <w:rFonts w:cstheme="minorHAnsi"/>
          <w:b/>
          <w:bCs/>
          <w:sz w:val="24"/>
          <w:szCs w:val="24"/>
        </w:rPr>
        <w:t xml:space="preserve">.  </w:t>
      </w:r>
    </w:p>
    <w:p w14:paraId="6E63BB4C" w14:textId="6760DCA5" w:rsidR="00E25FFF" w:rsidRPr="00C83273" w:rsidRDefault="00E25FFF" w:rsidP="00C83273">
      <w:pPr>
        <w:spacing w:line="240" w:lineRule="auto"/>
        <w:jc w:val="both"/>
        <w:rPr>
          <w:rFonts w:cstheme="minorHAnsi"/>
          <w:sz w:val="24"/>
          <w:szCs w:val="24"/>
        </w:rPr>
      </w:pPr>
      <w:r w:rsidRPr="00C83273">
        <w:rPr>
          <w:rFonts w:cstheme="minorHAnsi"/>
          <w:sz w:val="24"/>
          <w:szCs w:val="24"/>
        </w:rPr>
        <w:t>Pharmaceutical companies usually launch orphan medicines in countries with greater market potential, typically in higher income countries with large populations. By the time LIECs need to make policy decisions about these high-cost technologies, RWE is already available from other countries. While several barriers limit the transferability of RWE</w:t>
      </w:r>
      <w:r w:rsidR="003A3E29">
        <w:rPr>
          <w:rFonts w:cstheme="minorHAnsi"/>
          <w:sz w:val="24"/>
          <w:szCs w:val="24"/>
        </w:rPr>
        <w:t xml:space="preserve"> </w:t>
      </w:r>
      <w:r w:rsidR="00BE1917" w:rsidRPr="00C83273">
        <w:rPr>
          <w:rFonts w:cstheme="minorHAnsi"/>
          <w:sz w:val="24"/>
          <w:szCs w:val="24"/>
        </w:rPr>
        <w:t>[1</w:t>
      </w:r>
      <w:r w:rsidR="00523FDD">
        <w:rPr>
          <w:rFonts w:cstheme="minorHAnsi"/>
          <w:sz w:val="24"/>
          <w:szCs w:val="24"/>
        </w:rPr>
        <w:t>6</w:t>
      </w:r>
      <w:r w:rsidR="00BE1917" w:rsidRPr="00C83273">
        <w:rPr>
          <w:rFonts w:cstheme="minorHAnsi"/>
          <w:sz w:val="24"/>
          <w:szCs w:val="24"/>
        </w:rPr>
        <w:t>]</w:t>
      </w:r>
      <w:r w:rsidR="003A3E29">
        <w:rPr>
          <w:rFonts w:cstheme="minorHAnsi"/>
          <w:sz w:val="24"/>
          <w:szCs w:val="24"/>
        </w:rPr>
        <w:t>,</w:t>
      </w:r>
      <w:r w:rsidRPr="00C83273">
        <w:rPr>
          <w:rFonts w:cstheme="minorHAnsi"/>
          <w:sz w:val="24"/>
          <w:szCs w:val="24"/>
        </w:rPr>
        <w:t xml:space="preserve"> late technology adopter countries are in </w:t>
      </w:r>
      <w:r w:rsidR="00B82DAB" w:rsidRPr="00C83273">
        <w:rPr>
          <w:rFonts w:cstheme="minorHAnsi"/>
          <w:sz w:val="24"/>
          <w:szCs w:val="24"/>
        </w:rPr>
        <w:t xml:space="preserve">a </w:t>
      </w:r>
      <w:r w:rsidRPr="00C83273">
        <w:rPr>
          <w:rFonts w:cstheme="minorHAnsi"/>
          <w:sz w:val="24"/>
          <w:szCs w:val="24"/>
        </w:rPr>
        <w:t>better position compared to early technology adopter countries to judge the clinical and economic value of orphan medicines</w:t>
      </w:r>
      <w:r w:rsidR="00481BFC" w:rsidRPr="00C83273">
        <w:rPr>
          <w:rFonts w:cstheme="minorHAnsi"/>
          <w:sz w:val="24"/>
          <w:szCs w:val="24"/>
        </w:rPr>
        <w:t xml:space="preserve"> in r</w:t>
      </w:r>
      <w:r w:rsidR="00DA4D06" w:rsidRPr="00C83273">
        <w:rPr>
          <w:rFonts w:cstheme="minorHAnsi"/>
          <w:sz w:val="24"/>
          <w:szCs w:val="24"/>
        </w:rPr>
        <w:t>eal</w:t>
      </w:r>
      <w:r w:rsidR="00481BFC" w:rsidRPr="00C83273">
        <w:rPr>
          <w:rFonts w:cstheme="minorHAnsi"/>
          <w:sz w:val="24"/>
          <w:szCs w:val="24"/>
        </w:rPr>
        <w:t xml:space="preserve"> clinical practice</w:t>
      </w:r>
      <w:r w:rsidRPr="00C83273">
        <w:rPr>
          <w:rFonts w:cstheme="minorHAnsi"/>
          <w:sz w:val="24"/>
          <w:szCs w:val="24"/>
        </w:rPr>
        <w:t xml:space="preserve">. </w:t>
      </w:r>
    </w:p>
    <w:p w14:paraId="03154448" w14:textId="09FD8E65" w:rsidR="00E25FFF" w:rsidRPr="00C83273" w:rsidRDefault="001A2599" w:rsidP="00C83273">
      <w:pPr>
        <w:spacing w:line="240" w:lineRule="auto"/>
        <w:jc w:val="both"/>
        <w:rPr>
          <w:rFonts w:cstheme="minorHAnsi"/>
          <w:sz w:val="24"/>
          <w:szCs w:val="24"/>
        </w:rPr>
      </w:pPr>
      <w:r w:rsidRPr="00C83273">
        <w:rPr>
          <w:rFonts w:cstheme="minorHAnsi"/>
          <w:sz w:val="24"/>
          <w:szCs w:val="24"/>
        </w:rPr>
        <w:t>I</w:t>
      </w:r>
      <w:r w:rsidR="00E25FFF" w:rsidRPr="00C83273">
        <w:rPr>
          <w:rFonts w:cstheme="minorHAnsi"/>
          <w:sz w:val="24"/>
          <w:szCs w:val="24"/>
        </w:rPr>
        <w:t xml:space="preserve">f HTA experts in LIECs understand how to use RWE </w:t>
      </w:r>
      <w:r w:rsidR="000D1A6D" w:rsidRPr="00C83273">
        <w:rPr>
          <w:rFonts w:cstheme="minorHAnsi"/>
          <w:sz w:val="24"/>
          <w:szCs w:val="24"/>
        </w:rPr>
        <w:t xml:space="preserve">from </w:t>
      </w:r>
      <w:r w:rsidR="00E25FFF" w:rsidRPr="00C83273">
        <w:rPr>
          <w:rFonts w:cstheme="minorHAnsi"/>
          <w:sz w:val="24"/>
          <w:szCs w:val="24"/>
        </w:rPr>
        <w:t>other jurisdictions</w:t>
      </w:r>
      <w:r w:rsidR="003A3E29">
        <w:rPr>
          <w:rFonts w:cstheme="minorHAnsi"/>
          <w:sz w:val="24"/>
          <w:szCs w:val="24"/>
        </w:rPr>
        <w:t xml:space="preserve"> </w:t>
      </w:r>
      <w:r w:rsidR="00BE1917" w:rsidRPr="00C83273">
        <w:rPr>
          <w:rFonts w:cstheme="minorHAnsi"/>
          <w:sz w:val="24"/>
          <w:szCs w:val="24"/>
        </w:rPr>
        <w:t>[1</w:t>
      </w:r>
      <w:r w:rsidR="00523FDD">
        <w:rPr>
          <w:rFonts w:cstheme="minorHAnsi"/>
          <w:sz w:val="24"/>
          <w:szCs w:val="24"/>
        </w:rPr>
        <w:t>7</w:t>
      </w:r>
      <w:r w:rsidR="00BE1917" w:rsidRPr="00C83273">
        <w:rPr>
          <w:rFonts w:cstheme="minorHAnsi"/>
          <w:sz w:val="24"/>
          <w:szCs w:val="24"/>
        </w:rPr>
        <w:t>]</w:t>
      </w:r>
      <w:r w:rsidR="003A3E29">
        <w:rPr>
          <w:rFonts w:cstheme="minorHAnsi"/>
          <w:sz w:val="24"/>
          <w:szCs w:val="24"/>
        </w:rPr>
        <w:t>,</w:t>
      </w:r>
      <w:r w:rsidR="00E25FFF" w:rsidRPr="00C83273">
        <w:rPr>
          <w:rFonts w:cstheme="minorHAnsi"/>
          <w:sz w:val="24"/>
          <w:szCs w:val="24"/>
        </w:rPr>
        <w:t xml:space="preserve"> they can benefit from </w:t>
      </w:r>
      <w:r w:rsidR="000D1A6D" w:rsidRPr="00C83273">
        <w:rPr>
          <w:rFonts w:cstheme="minorHAnsi"/>
          <w:sz w:val="24"/>
          <w:szCs w:val="24"/>
        </w:rPr>
        <w:t xml:space="preserve">the </w:t>
      </w:r>
      <w:r w:rsidR="00E25FFF" w:rsidRPr="00C83273">
        <w:rPr>
          <w:rFonts w:cstheme="minorHAnsi"/>
          <w:sz w:val="24"/>
          <w:szCs w:val="24"/>
        </w:rPr>
        <w:t xml:space="preserve">relative effectiveness data </w:t>
      </w:r>
      <w:r w:rsidR="000D1A6D" w:rsidRPr="00C83273">
        <w:rPr>
          <w:rFonts w:cstheme="minorHAnsi"/>
          <w:sz w:val="24"/>
          <w:szCs w:val="24"/>
        </w:rPr>
        <w:t>generated by the TTE method</w:t>
      </w:r>
      <w:r w:rsidR="00E25FFF" w:rsidRPr="00C83273">
        <w:rPr>
          <w:rFonts w:cstheme="minorHAnsi"/>
          <w:sz w:val="24"/>
          <w:szCs w:val="24"/>
        </w:rPr>
        <w:t xml:space="preserve">.  </w:t>
      </w:r>
    </w:p>
    <w:p w14:paraId="63FC92E0" w14:textId="0DA75486" w:rsidR="00F348E7" w:rsidRPr="00C83273" w:rsidRDefault="000827EB" w:rsidP="00C83273">
      <w:pPr>
        <w:spacing w:line="240" w:lineRule="auto"/>
        <w:jc w:val="both"/>
        <w:rPr>
          <w:rFonts w:cstheme="minorHAnsi"/>
          <w:b/>
          <w:bCs/>
          <w:sz w:val="24"/>
          <w:szCs w:val="24"/>
        </w:rPr>
      </w:pPr>
      <w:r w:rsidRPr="00C83273">
        <w:rPr>
          <w:rFonts w:cstheme="minorHAnsi"/>
          <w:b/>
          <w:bCs/>
          <w:sz w:val="24"/>
          <w:szCs w:val="24"/>
        </w:rPr>
        <w:t>Conclusion #</w:t>
      </w:r>
      <w:r w:rsidR="00D009CD" w:rsidRPr="00C83273">
        <w:rPr>
          <w:rFonts w:cstheme="minorHAnsi"/>
          <w:b/>
          <w:bCs/>
          <w:sz w:val="24"/>
          <w:szCs w:val="24"/>
        </w:rPr>
        <w:t>4</w:t>
      </w:r>
      <w:r w:rsidRPr="00C83273">
        <w:rPr>
          <w:rFonts w:cstheme="minorHAnsi"/>
          <w:b/>
          <w:bCs/>
          <w:sz w:val="24"/>
          <w:szCs w:val="24"/>
        </w:rPr>
        <w:t xml:space="preserve">. </w:t>
      </w:r>
      <w:r w:rsidR="005617FA" w:rsidRPr="00C83273">
        <w:rPr>
          <w:rFonts w:cstheme="minorHAnsi"/>
          <w:b/>
          <w:bCs/>
          <w:sz w:val="24"/>
          <w:szCs w:val="24"/>
        </w:rPr>
        <w:t xml:space="preserve">The </w:t>
      </w:r>
      <w:r w:rsidR="001A0B88" w:rsidRPr="00C83273">
        <w:rPr>
          <w:rFonts w:cstheme="minorHAnsi"/>
          <w:b/>
          <w:bCs/>
          <w:sz w:val="24"/>
          <w:szCs w:val="24"/>
        </w:rPr>
        <w:t>target trial emulation</w:t>
      </w:r>
      <w:r w:rsidR="005617FA" w:rsidRPr="00C83273">
        <w:rPr>
          <w:rFonts w:cstheme="minorHAnsi"/>
          <w:b/>
          <w:bCs/>
          <w:sz w:val="24"/>
          <w:szCs w:val="24"/>
        </w:rPr>
        <w:t xml:space="preserve"> method provides </w:t>
      </w:r>
      <w:r w:rsidR="00303711" w:rsidRPr="00C83273">
        <w:rPr>
          <w:rFonts w:cstheme="minorHAnsi"/>
          <w:b/>
          <w:bCs/>
          <w:sz w:val="24"/>
          <w:szCs w:val="24"/>
        </w:rPr>
        <w:t xml:space="preserve">an </w:t>
      </w:r>
      <w:r w:rsidR="005617FA" w:rsidRPr="00C83273">
        <w:rPr>
          <w:rFonts w:cstheme="minorHAnsi"/>
          <w:b/>
          <w:bCs/>
          <w:sz w:val="24"/>
          <w:szCs w:val="24"/>
        </w:rPr>
        <w:t>opportunity to l</w:t>
      </w:r>
      <w:r w:rsidR="00A12577" w:rsidRPr="00C83273">
        <w:rPr>
          <w:rFonts w:cstheme="minorHAnsi"/>
          <w:b/>
          <w:bCs/>
          <w:sz w:val="24"/>
          <w:szCs w:val="24"/>
        </w:rPr>
        <w:t xml:space="preserve">ower income </w:t>
      </w:r>
      <w:r w:rsidRPr="00C83273">
        <w:rPr>
          <w:rFonts w:cstheme="minorHAnsi"/>
          <w:b/>
          <w:bCs/>
          <w:sz w:val="24"/>
          <w:szCs w:val="24"/>
        </w:rPr>
        <w:t xml:space="preserve">European countries to judge </w:t>
      </w:r>
      <w:r w:rsidR="00303711" w:rsidRPr="00C83273">
        <w:rPr>
          <w:rFonts w:cstheme="minorHAnsi"/>
          <w:b/>
          <w:bCs/>
          <w:sz w:val="24"/>
          <w:szCs w:val="24"/>
        </w:rPr>
        <w:t xml:space="preserve">the </w:t>
      </w:r>
      <w:r w:rsidRPr="00C83273">
        <w:rPr>
          <w:rFonts w:cstheme="minorHAnsi"/>
          <w:b/>
          <w:bCs/>
          <w:sz w:val="24"/>
          <w:szCs w:val="24"/>
        </w:rPr>
        <w:t>value of high-cost technologies for different patient subgroups.</w:t>
      </w:r>
    </w:p>
    <w:p w14:paraId="054B3D1A" w14:textId="53CDFD87" w:rsidR="000D1A6D" w:rsidRPr="00C83273" w:rsidRDefault="00F348E7" w:rsidP="00C83273">
      <w:pPr>
        <w:spacing w:line="240" w:lineRule="auto"/>
        <w:jc w:val="both"/>
        <w:rPr>
          <w:rFonts w:cstheme="minorHAnsi"/>
          <w:sz w:val="24"/>
          <w:szCs w:val="24"/>
        </w:rPr>
      </w:pPr>
      <w:r w:rsidRPr="00C83273">
        <w:rPr>
          <w:rFonts w:cstheme="minorHAnsi"/>
          <w:sz w:val="24"/>
          <w:szCs w:val="24"/>
        </w:rPr>
        <w:t>Due to the system of external price referencing and parallel trade, pharmaceutical companies usually implement narrow European price corridor</w:t>
      </w:r>
      <w:r w:rsidR="00D03C6C" w:rsidRPr="00C83273">
        <w:rPr>
          <w:rFonts w:cstheme="minorHAnsi"/>
          <w:sz w:val="24"/>
          <w:szCs w:val="24"/>
        </w:rPr>
        <w:t>s</w:t>
      </w:r>
      <w:r w:rsidRPr="00C83273">
        <w:rPr>
          <w:rFonts w:cstheme="minorHAnsi"/>
          <w:sz w:val="24"/>
          <w:szCs w:val="24"/>
        </w:rPr>
        <w:t xml:space="preserve"> for their new technologies. </w:t>
      </w:r>
      <w:proofErr w:type="gramStart"/>
      <w:r w:rsidRPr="00C83273">
        <w:rPr>
          <w:rFonts w:cstheme="minorHAnsi"/>
          <w:sz w:val="24"/>
          <w:szCs w:val="24"/>
        </w:rPr>
        <w:t>As a consequence</w:t>
      </w:r>
      <w:proofErr w:type="gramEnd"/>
      <w:r w:rsidRPr="00C83273">
        <w:rPr>
          <w:rFonts w:cstheme="minorHAnsi"/>
          <w:sz w:val="24"/>
          <w:szCs w:val="24"/>
        </w:rPr>
        <w:t xml:space="preserve">, LIECs cannot afford to cover these technologies for all eligible patients. To maintain the sustainability of </w:t>
      </w:r>
      <w:r w:rsidR="00C57B1E" w:rsidRPr="00C83273">
        <w:rPr>
          <w:rFonts w:cstheme="minorHAnsi"/>
          <w:sz w:val="24"/>
          <w:szCs w:val="24"/>
        </w:rPr>
        <w:t xml:space="preserve">public </w:t>
      </w:r>
      <w:r w:rsidRPr="00C83273">
        <w:rPr>
          <w:rFonts w:cstheme="minorHAnsi"/>
          <w:sz w:val="24"/>
          <w:szCs w:val="24"/>
        </w:rPr>
        <w:t xml:space="preserve">health care </w:t>
      </w:r>
      <w:r w:rsidR="00C57B1E" w:rsidRPr="00C83273">
        <w:rPr>
          <w:rFonts w:cstheme="minorHAnsi"/>
          <w:sz w:val="24"/>
          <w:szCs w:val="24"/>
        </w:rPr>
        <w:t>financing</w:t>
      </w:r>
      <w:r w:rsidR="00A56AF2" w:rsidRPr="00C83273">
        <w:rPr>
          <w:rFonts w:cstheme="minorHAnsi"/>
          <w:sz w:val="24"/>
          <w:szCs w:val="24"/>
        </w:rPr>
        <w:t>,</w:t>
      </w:r>
      <w:r w:rsidR="00C57B1E" w:rsidRPr="00C83273">
        <w:rPr>
          <w:rFonts w:cstheme="minorHAnsi"/>
          <w:sz w:val="24"/>
          <w:szCs w:val="24"/>
        </w:rPr>
        <w:t xml:space="preserve"> </w:t>
      </w:r>
      <w:r w:rsidR="00A56AF2" w:rsidRPr="00C83273">
        <w:rPr>
          <w:rFonts w:cstheme="minorHAnsi"/>
          <w:sz w:val="24"/>
          <w:szCs w:val="24"/>
        </w:rPr>
        <w:t>LIECs</w:t>
      </w:r>
      <w:r w:rsidRPr="00C83273">
        <w:rPr>
          <w:rFonts w:cstheme="minorHAnsi"/>
          <w:sz w:val="24"/>
          <w:szCs w:val="24"/>
        </w:rPr>
        <w:t xml:space="preserve"> </w:t>
      </w:r>
      <w:r w:rsidR="00C57B1E" w:rsidRPr="00C83273">
        <w:rPr>
          <w:rFonts w:cstheme="minorHAnsi"/>
          <w:sz w:val="24"/>
          <w:szCs w:val="24"/>
        </w:rPr>
        <w:t>can provide</w:t>
      </w:r>
      <w:r w:rsidRPr="00C83273">
        <w:rPr>
          <w:rFonts w:cstheme="minorHAnsi"/>
          <w:sz w:val="24"/>
          <w:szCs w:val="24"/>
        </w:rPr>
        <w:t xml:space="preserve"> access to those subgroup</w:t>
      </w:r>
      <w:r w:rsidR="004351F7" w:rsidRPr="00C83273">
        <w:rPr>
          <w:rFonts w:cstheme="minorHAnsi"/>
          <w:sz w:val="24"/>
          <w:szCs w:val="24"/>
        </w:rPr>
        <w:t>s</w:t>
      </w:r>
      <w:r w:rsidRPr="00C83273">
        <w:rPr>
          <w:rFonts w:cstheme="minorHAnsi"/>
          <w:sz w:val="24"/>
          <w:szCs w:val="24"/>
        </w:rPr>
        <w:t xml:space="preserve"> of patients, who </w:t>
      </w:r>
      <w:r w:rsidR="00C57B1E" w:rsidRPr="00C83273">
        <w:rPr>
          <w:rFonts w:cstheme="minorHAnsi"/>
          <w:sz w:val="24"/>
          <w:szCs w:val="24"/>
        </w:rPr>
        <w:t xml:space="preserve">benefit </w:t>
      </w:r>
      <w:r w:rsidRPr="00C83273">
        <w:rPr>
          <w:rFonts w:cstheme="minorHAnsi"/>
          <w:sz w:val="24"/>
          <w:szCs w:val="24"/>
        </w:rPr>
        <w:t xml:space="preserve">the most </w:t>
      </w:r>
      <w:r w:rsidR="00C57B1E" w:rsidRPr="00C83273">
        <w:rPr>
          <w:rFonts w:cstheme="minorHAnsi"/>
          <w:sz w:val="24"/>
          <w:szCs w:val="24"/>
        </w:rPr>
        <w:t>from high-cost therapies</w:t>
      </w:r>
      <w:r w:rsidRPr="00C83273">
        <w:rPr>
          <w:rFonts w:cstheme="minorHAnsi"/>
          <w:sz w:val="24"/>
          <w:szCs w:val="24"/>
        </w:rPr>
        <w:t xml:space="preserve">. </w:t>
      </w:r>
      <w:r w:rsidR="00701CEA">
        <w:rPr>
          <w:rFonts w:cstheme="minorHAnsi"/>
          <w:sz w:val="24"/>
          <w:szCs w:val="24"/>
        </w:rPr>
        <w:t>Therefore</w:t>
      </w:r>
      <w:r w:rsidR="00BD4F97" w:rsidRPr="00C83273">
        <w:rPr>
          <w:rFonts w:cstheme="minorHAnsi"/>
          <w:sz w:val="24"/>
          <w:szCs w:val="24"/>
        </w:rPr>
        <w:t xml:space="preserve">, they need to </w:t>
      </w:r>
      <w:r w:rsidR="005C6E33" w:rsidRPr="00C83273">
        <w:rPr>
          <w:rFonts w:cstheme="minorHAnsi"/>
          <w:sz w:val="24"/>
          <w:szCs w:val="24"/>
        </w:rPr>
        <w:t xml:space="preserve">rely on </w:t>
      </w:r>
      <w:r w:rsidR="00DA4D06" w:rsidRPr="00C83273">
        <w:rPr>
          <w:rFonts w:cstheme="minorHAnsi"/>
          <w:sz w:val="24"/>
          <w:szCs w:val="24"/>
        </w:rPr>
        <w:t xml:space="preserve">advanced </w:t>
      </w:r>
      <w:r w:rsidR="005C6E33" w:rsidRPr="00C83273">
        <w:rPr>
          <w:rFonts w:cstheme="minorHAnsi"/>
          <w:sz w:val="24"/>
          <w:szCs w:val="24"/>
        </w:rPr>
        <w:t xml:space="preserve">HTA methods, such as TTE, which can estimate the added value based on generalisable patient characteristics. </w:t>
      </w:r>
    </w:p>
    <w:p w14:paraId="61C9F2C2" w14:textId="2584BD52" w:rsidR="005617FA" w:rsidRPr="00C83273" w:rsidRDefault="005617FA" w:rsidP="00C83273">
      <w:pPr>
        <w:tabs>
          <w:tab w:val="num" w:pos="720"/>
        </w:tabs>
        <w:spacing w:line="240" w:lineRule="auto"/>
        <w:jc w:val="both"/>
        <w:rPr>
          <w:rFonts w:cstheme="minorHAnsi"/>
          <w:b/>
          <w:bCs/>
          <w:sz w:val="24"/>
          <w:szCs w:val="24"/>
        </w:rPr>
      </w:pPr>
      <w:r w:rsidRPr="00C83273">
        <w:rPr>
          <w:rFonts w:cstheme="minorHAnsi"/>
          <w:b/>
          <w:bCs/>
          <w:sz w:val="24"/>
          <w:szCs w:val="24"/>
        </w:rPr>
        <w:t xml:space="preserve">Conclusion #5: HTA experts and </w:t>
      </w:r>
      <w:proofErr w:type="gramStart"/>
      <w:r w:rsidRPr="00C83273">
        <w:rPr>
          <w:rFonts w:cstheme="minorHAnsi"/>
          <w:b/>
          <w:bCs/>
          <w:sz w:val="24"/>
          <w:szCs w:val="24"/>
        </w:rPr>
        <w:t>policy-makers</w:t>
      </w:r>
      <w:proofErr w:type="gramEnd"/>
      <w:r w:rsidRPr="00C83273">
        <w:rPr>
          <w:rFonts w:cstheme="minorHAnsi"/>
          <w:b/>
          <w:bCs/>
          <w:sz w:val="24"/>
          <w:szCs w:val="24"/>
        </w:rPr>
        <w:t xml:space="preserve"> in LIECs need train</w:t>
      </w:r>
      <w:r w:rsidR="00826C79">
        <w:rPr>
          <w:rFonts w:cstheme="minorHAnsi"/>
          <w:b/>
          <w:bCs/>
          <w:sz w:val="24"/>
          <w:szCs w:val="24"/>
        </w:rPr>
        <w:t xml:space="preserve">ing </w:t>
      </w:r>
      <w:r w:rsidRPr="00C83273">
        <w:rPr>
          <w:rFonts w:cstheme="minorHAnsi"/>
          <w:b/>
          <w:bCs/>
          <w:sz w:val="24"/>
          <w:szCs w:val="24"/>
        </w:rPr>
        <w:t xml:space="preserve">to </w:t>
      </w:r>
      <w:r w:rsidR="00A41444">
        <w:rPr>
          <w:rFonts w:cstheme="minorHAnsi"/>
          <w:b/>
          <w:bCs/>
          <w:sz w:val="24"/>
          <w:szCs w:val="24"/>
        </w:rPr>
        <w:t xml:space="preserve">be aware and ready to </w:t>
      </w:r>
      <w:r w:rsidRPr="00C83273">
        <w:rPr>
          <w:rFonts w:cstheme="minorHAnsi"/>
          <w:b/>
          <w:bCs/>
          <w:sz w:val="24"/>
          <w:szCs w:val="24"/>
        </w:rPr>
        <w:t>a</w:t>
      </w:r>
      <w:r w:rsidR="00826C79">
        <w:rPr>
          <w:rFonts w:cstheme="minorHAnsi"/>
          <w:b/>
          <w:bCs/>
          <w:sz w:val="24"/>
          <w:szCs w:val="24"/>
        </w:rPr>
        <w:t>dopt</w:t>
      </w:r>
      <w:r w:rsidRPr="00C83273">
        <w:rPr>
          <w:rFonts w:cstheme="minorHAnsi"/>
          <w:b/>
          <w:bCs/>
          <w:sz w:val="24"/>
          <w:szCs w:val="24"/>
        </w:rPr>
        <w:t xml:space="preserve"> advanced HTA methodologies, such as the </w:t>
      </w:r>
      <w:r w:rsidR="001A0B88" w:rsidRPr="00C83273">
        <w:rPr>
          <w:rFonts w:cstheme="minorHAnsi"/>
          <w:b/>
          <w:bCs/>
          <w:sz w:val="24"/>
          <w:szCs w:val="24"/>
        </w:rPr>
        <w:t>target trial emulation.</w:t>
      </w:r>
    </w:p>
    <w:p w14:paraId="417337EF" w14:textId="73A2E7C3" w:rsidR="004351F7" w:rsidRPr="00C83273" w:rsidRDefault="005617FA" w:rsidP="00C83273">
      <w:pPr>
        <w:tabs>
          <w:tab w:val="num" w:pos="720"/>
        </w:tabs>
        <w:spacing w:line="240" w:lineRule="auto"/>
        <w:jc w:val="both"/>
        <w:rPr>
          <w:rFonts w:cstheme="minorHAnsi"/>
          <w:sz w:val="24"/>
          <w:szCs w:val="24"/>
        </w:rPr>
      </w:pPr>
      <w:r w:rsidRPr="00C83273">
        <w:rPr>
          <w:rFonts w:cstheme="minorHAnsi"/>
          <w:sz w:val="24"/>
          <w:szCs w:val="24"/>
        </w:rPr>
        <w:t>There is a general perception that observational studies are less reliable sources of evidence, although this perception is slowly changing</w:t>
      </w:r>
      <w:r w:rsidR="00583A34" w:rsidRPr="00C83273">
        <w:rPr>
          <w:rFonts w:cstheme="minorHAnsi"/>
          <w:sz w:val="24"/>
          <w:szCs w:val="24"/>
        </w:rPr>
        <w:t xml:space="preserve"> with more trustworthy methodologies on the horizon</w:t>
      </w:r>
      <w:r w:rsidRPr="00C83273">
        <w:rPr>
          <w:rFonts w:cstheme="minorHAnsi"/>
          <w:sz w:val="24"/>
          <w:szCs w:val="24"/>
        </w:rPr>
        <w:t xml:space="preserve">. To overcome this barrier HTA agencies in LIECs need to become aware that observational studies can be </w:t>
      </w:r>
      <w:r w:rsidR="00BD263D" w:rsidRPr="00C83273">
        <w:rPr>
          <w:rFonts w:cstheme="minorHAnsi"/>
          <w:sz w:val="24"/>
          <w:szCs w:val="24"/>
        </w:rPr>
        <w:t>complementary to</w:t>
      </w:r>
      <w:r w:rsidRPr="00C83273">
        <w:rPr>
          <w:rFonts w:cstheme="minorHAnsi"/>
          <w:sz w:val="24"/>
          <w:szCs w:val="24"/>
        </w:rPr>
        <w:t xml:space="preserve"> RCTs and </w:t>
      </w:r>
      <w:r w:rsidR="00BD263D" w:rsidRPr="00C83273">
        <w:rPr>
          <w:rFonts w:cstheme="minorHAnsi"/>
          <w:sz w:val="24"/>
          <w:szCs w:val="24"/>
        </w:rPr>
        <w:t xml:space="preserve">may </w:t>
      </w:r>
      <w:r w:rsidR="00CD1957" w:rsidRPr="00C83273">
        <w:rPr>
          <w:rFonts w:cstheme="minorHAnsi"/>
          <w:sz w:val="24"/>
          <w:szCs w:val="24"/>
        </w:rPr>
        <w:t xml:space="preserve">even </w:t>
      </w:r>
      <w:r w:rsidR="00BD263D" w:rsidRPr="00C83273">
        <w:rPr>
          <w:rFonts w:cstheme="minorHAnsi"/>
          <w:sz w:val="24"/>
          <w:szCs w:val="24"/>
        </w:rPr>
        <w:t xml:space="preserve">replace </w:t>
      </w:r>
      <w:r w:rsidR="00A87AC4" w:rsidRPr="00C83273">
        <w:rPr>
          <w:rFonts w:cstheme="minorHAnsi"/>
          <w:sz w:val="24"/>
          <w:szCs w:val="24"/>
        </w:rPr>
        <w:t>them</w:t>
      </w:r>
      <w:r w:rsidR="00BD263D" w:rsidRPr="00C83273">
        <w:rPr>
          <w:rFonts w:cstheme="minorHAnsi"/>
          <w:sz w:val="24"/>
          <w:szCs w:val="24"/>
        </w:rPr>
        <w:t xml:space="preserve"> in very specific settings</w:t>
      </w:r>
      <w:r w:rsidR="00A41444">
        <w:rPr>
          <w:rFonts w:cstheme="minorHAnsi"/>
          <w:sz w:val="24"/>
          <w:szCs w:val="24"/>
        </w:rPr>
        <w:t>, e.g. in rare diseases</w:t>
      </w:r>
      <w:r w:rsidR="00BD263D" w:rsidRPr="00C83273">
        <w:rPr>
          <w:rFonts w:cstheme="minorHAnsi"/>
          <w:sz w:val="24"/>
          <w:szCs w:val="24"/>
        </w:rPr>
        <w:t xml:space="preserve">. </w:t>
      </w:r>
      <w:r w:rsidR="00CD1957" w:rsidRPr="00C83273">
        <w:rPr>
          <w:rFonts w:cstheme="minorHAnsi"/>
          <w:sz w:val="24"/>
          <w:szCs w:val="24"/>
        </w:rPr>
        <w:t>However, HTA experts need</w:t>
      </w:r>
      <w:r w:rsidRPr="00C83273">
        <w:rPr>
          <w:rFonts w:cstheme="minorHAnsi"/>
          <w:sz w:val="24"/>
          <w:szCs w:val="24"/>
        </w:rPr>
        <w:t xml:space="preserve"> to be able to </w:t>
      </w:r>
      <w:r w:rsidR="00AD0651" w:rsidRPr="00C83273">
        <w:rPr>
          <w:rFonts w:cstheme="minorHAnsi"/>
          <w:sz w:val="24"/>
          <w:szCs w:val="24"/>
        </w:rPr>
        <w:t>di</w:t>
      </w:r>
      <w:r w:rsidR="00826C79">
        <w:rPr>
          <w:rFonts w:cstheme="minorHAnsi"/>
          <w:sz w:val="24"/>
          <w:szCs w:val="24"/>
        </w:rPr>
        <w:t>stinguish</w:t>
      </w:r>
      <w:r w:rsidRPr="00C83273">
        <w:rPr>
          <w:rFonts w:cstheme="minorHAnsi"/>
          <w:sz w:val="24"/>
          <w:szCs w:val="24"/>
        </w:rPr>
        <w:t xml:space="preserve"> </w:t>
      </w:r>
      <w:r w:rsidR="00826C79">
        <w:rPr>
          <w:rFonts w:cstheme="minorHAnsi"/>
          <w:sz w:val="24"/>
          <w:szCs w:val="24"/>
        </w:rPr>
        <w:t>between well and poorly designed</w:t>
      </w:r>
      <w:r w:rsidRPr="00C83273">
        <w:rPr>
          <w:rFonts w:cstheme="minorHAnsi"/>
          <w:sz w:val="24"/>
          <w:szCs w:val="24"/>
        </w:rPr>
        <w:t xml:space="preserve"> stud</w:t>
      </w:r>
      <w:r w:rsidR="00826C79">
        <w:rPr>
          <w:rFonts w:cstheme="minorHAnsi"/>
          <w:sz w:val="24"/>
          <w:szCs w:val="24"/>
        </w:rPr>
        <w:t>ies</w:t>
      </w:r>
      <w:r w:rsidRPr="00C83273">
        <w:rPr>
          <w:rFonts w:cstheme="minorHAnsi"/>
          <w:sz w:val="24"/>
          <w:szCs w:val="24"/>
        </w:rPr>
        <w:t>. Also,</w:t>
      </w:r>
      <w:r w:rsidR="004351F7" w:rsidRPr="00C83273">
        <w:rPr>
          <w:rFonts w:cstheme="minorHAnsi"/>
          <w:sz w:val="24"/>
          <w:szCs w:val="24"/>
        </w:rPr>
        <w:t xml:space="preserve"> </w:t>
      </w:r>
      <w:r w:rsidR="00A82F09" w:rsidRPr="00C83273">
        <w:rPr>
          <w:rFonts w:cstheme="minorHAnsi"/>
          <w:sz w:val="24"/>
          <w:szCs w:val="24"/>
        </w:rPr>
        <w:t xml:space="preserve">the correct application of </w:t>
      </w:r>
      <w:r w:rsidR="001A0B88" w:rsidRPr="00C83273">
        <w:rPr>
          <w:rFonts w:cstheme="minorHAnsi"/>
          <w:sz w:val="24"/>
          <w:szCs w:val="24"/>
        </w:rPr>
        <w:t xml:space="preserve">TTE </w:t>
      </w:r>
      <w:r w:rsidR="00A82F09" w:rsidRPr="00C83273">
        <w:rPr>
          <w:rFonts w:cstheme="minorHAnsi"/>
          <w:sz w:val="24"/>
          <w:szCs w:val="24"/>
        </w:rPr>
        <w:t>methods requires</w:t>
      </w:r>
      <w:r w:rsidR="001A0B88" w:rsidRPr="00C83273">
        <w:rPr>
          <w:rFonts w:cstheme="minorHAnsi"/>
          <w:sz w:val="24"/>
          <w:szCs w:val="24"/>
        </w:rPr>
        <w:t xml:space="preserve"> </w:t>
      </w:r>
      <w:r w:rsidR="00A82F09" w:rsidRPr="00C83273">
        <w:rPr>
          <w:rFonts w:cstheme="minorHAnsi"/>
          <w:sz w:val="24"/>
          <w:szCs w:val="24"/>
        </w:rPr>
        <w:t xml:space="preserve">advanced technical competence and highly developed communication skills </w:t>
      </w:r>
      <w:r w:rsidR="00826C79">
        <w:rPr>
          <w:rFonts w:cstheme="minorHAnsi"/>
          <w:sz w:val="24"/>
          <w:szCs w:val="24"/>
        </w:rPr>
        <w:t xml:space="preserve">for </w:t>
      </w:r>
      <w:r w:rsidR="00A82F09" w:rsidRPr="00C83273">
        <w:rPr>
          <w:rFonts w:cstheme="minorHAnsi"/>
          <w:sz w:val="24"/>
          <w:szCs w:val="24"/>
        </w:rPr>
        <w:t>knowledge translation and dissemination of the study results</w:t>
      </w:r>
      <w:r w:rsidR="00826C79">
        <w:rPr>
          <w:rFonts w:cstheme="minorHAnsi"/>
          <w:sz w:val="24"/>
          <w:szCs w:val="24"/>
        </w:rPr>
        <w:t>.</w:t>
      </w:r>
      <w:r w:rsidR="004351F7" w:rsidRPr="00C83273">
        <w:rPr>
          <w:rFonts w:cstheme="minorHAnsi"/>
          <w:sz w:val="24"/>
          <w:szCs w:val="24"/>
        </w:rPr>
        <w:t xml:space="preserve"> </w:t>
      </w:r>
      <w:r w:rsidR="00826C79">
        <w:rPr>
          <w:rFonts w:cstheme="minorHAnsi"/>
          <w:sz w:val="24"/>
          <w:szCs w:val="24"/>
        </w:rPr>
        <w:t xml:space="preserve">Thus, </w:t>
      </w:r>
      <w:r w:rsidR="004351F7" w:rsidRPr="00C83273">
        <w:rPr>
          <w:rFonts w:cstheme="minorHAnsi"/>
          <w:sz w:val="24"/>
          <w:szCs w:val="24"/>
        </w:rPr>
        <w:t xml:space="preserve">HTA experts and </w:t>
      </w:r>
      <w:proofErr w:type="gramStart"/>
      <w:r w:rsidR="004351F7" w:rsidRPr="00C83273">
        <w:rPr>
          <w:rFonts w:cstheme="minorHAnsi"/>
          <w:sz w:val="24"/>
          <w:szCs w:val="24"/>
        </w:rPr>
        <w:t>policy-makers</w:t>
      </w:r>
      <w:proofErr w:type="gramEnd"/>
      <w:r w:rsidR="004351F7" w:rsidRPr="00C83273">
        <w:rPr>
          <w:rFonts w:cstheme="minorHAnsi"/>
          <w:sz w:val="24"/>
          <w:szCs w:val="24"/>
        </w:rPr>
        <w:t xml:space="preserve"> need training to understand </w:t>
      </w:r>
      <w:r w:rsidR="001A0B88" w:rsidRPr="00C83273">
        <w:rPr>
          <w:rFonts w:cstheme="minorHAnsi"/>
          <w:sz w:val="24"/>
          <w:szCs w:val="24"/>
        </w:rPr>
        <w:t>the method</w:t>
      </w:r>
      <w:r w:rsidR="00DE5430" w:rsidRPr="00C83273">
        <w:rPr>
          <w:rFonts w:cstheme="minorHAnsi"/>
          <w:sz w:val="24"/>
          <w:szCs w:val="24"/>
        </w:rPr>
        <w:t>, its advantages and limitations</w:t>
      </w:r>
      <w:r w:rsidR="001A0B88" w:rsidRPr="00C83273">
        <w:rPr>
          <w:rFonts w:cstheme="minorHAnsi"/>
          <w:sz w:val="24"/>
          <w:szCs w:val="24"/>
        </w:rPr>
        <w:t xml:space="preserve"> </w:t>
      </w:r>
      <w:r w:rsidR="00DE5430" w:rsidRPr="00C83273">
        <w:rPr>
          <w:rFonts w:cstheme="minorHAnsi"/>
          <w:sz w:val="24"/>
          <w:szCs w:val="24"/>
        </w:rPr>
        <w:t xml:space="preserve">as well as </w:t>
      </w:r>
      <w:r w:rsidR="001A0B88" w:rsidRPr="00C83273">
        <w:rPr>
          <w:rFonts w:cstheme="minorHAnsi"/>
          <w:sz w:val="24"/>
          <w:szCs w:val="24"/>
        </w:rPr>
        <w:t>its applicability in policy</w:t>
      </w:r>
      <w:r w:rsidR="00043DAE" w:rsidRPr="00C83273">
        <w:rPr>
          <w:rFonts w:cstheme="minorHAnsi"/>
          <w:sz w:val="24"/>
          <w:szCs w:val="24"/>
        </w:rPr>
        <w:t xml:space="preserve"> </w:t>
      </w:r>
      <w:r w:rsidR="001A0B88" w:rsidRPr="00C83273">
        <w:rPr>
          <w:rFonts w:cstheme="minorHAnsi"/>
          <w:sz w:val="24"/>
          <w:szCs w:val="24"/>
        </w:rPr>
        <w:t xml:space="preserve">decisions. </w:t>
      </w:r>
      <w:r w:rsidR="004351F7" w:rsidRPr="00C83273">
        <w:rPr>
          <w:rFonts w:cstheme="minorHAnsi"/>
          <w:sz w:val="24"/>
          <w:szCs w:val="24"/>
        </w:rPr>
        <w:t xml:space="preserve"> </w:t>
      </w:r>
    </w:p>
    <w:p w14:paraId="7669C59B" w14:textId="1EB729B1" w:rsidR="005E421C" w:rsidRPr="00C83273" w:rsidRDefault="005E421C" w:rsidP="00C83273">
      <w:pPr>
        <w:spacing w:line="240" w:lineRule="auto"/>
        <w:ind w:left="50"/>
        <w:jc w:val="both"/>
        <w:rPr>
          <w:rFonts w:cstheme="minorHAnsi"/>
          <w:b/>
          <w:bCs/>
          <w:sz w:val="24"/>
          <w:szCs w:val="24"/>
        </w:rPr>
      </w:pPr>
      <w:r w:rsidRPr="00C83273">
        <w:rPr>
          <w:rFonts w:cstheme="minorHAnsi"/>
          <w:b/>
          <w:bCs/>
          <w:sz w:val="24"/>
          <w:szCs w:val="24"/>
        </w:rPr>
        <w:t>Discussion</w:t>
      </w:r>
    </w:p>
    <w:p w14:paraId="5F4B9135" w14:textId="4BA20ADE" w:rsidR="00E30CBB" w:rsidRPr="00C83273" w:rsidRDefault="00E30CBB" w:rsidP="00C83273">
      <w:pPr>
        <w:spacing w:line="240" w:lineRule="auto"/>
        <w:jc w:val="both"/>
        <w:rPr>
          <w:rFonts w:cstheme="minorHAnsi"/>
          <w:sz w:val="24"/>
          <w:szCs w:val="24"/>
        </w:rPr>
      </w:pPr>
      <w:bookmarkStart w:id="13" w:name="_Hlk178104188"/>
      <w:r w:rsidRPr="00C83273">
        <w:rPr>
          <w:rFonts w:cstheme="minorHAnsi"/>
          <w:sz w:val="24"/>
          <w:szCs w:val="24"/>
        </w:rPr>
        <w:t xml:space="preserve">To ensure the sustainability of health care financing LIECs may have to narrow down </w:t>
      </w:r>
      <w:r w:rsidR="009E7389" w:rsidRPr="00C83273">
        <w:rPr>
          <w:rFonts w:cstheme="minorHAnsi"/>
          <w:sz w:val="24"/>
          <w:szCs w:val="24"/>
        </w:rPr>
        <w:t xml:space="preserve">the reimbursement of expensive therapies </w:t>
      </w:r>
      <w:r w:rsidRPr="00C83273">
        <w:rPr>
          <w:rFonts w:cstheme="minorHAnsi"/>
          <w:sz w:val="24"/>
          <w:szCs w:val="24"/>
        </w:rPr>
        <w:t xml:space="preserve">by limiting access to specific subgroups sometimes even on a named patient basis. </w:t>
      </w:r>
      <w:r w:rsidR="009E7389" w:rsidRPr="00C83273">
        <w:rPr>
          <w:rFonts w:cstheme="minorHAnsi"/>
          <w:sz w:val="24"/>
          <w:szCs w:val="24"/>
        </w:rPr>
        <w:t xml:space="preserve">This means that LIECs need more detailed </w:t>
      </w:r>
      <w:r w:rsidR="0064596A" w:rsidRPr="00C83273">
        <w:rPr>
          <w:rFonts w:cstheme="minorHAnsi"/>
          <w:sz w:val="24"/>
          <w:szCs w:val="24"/>
        </w:rPr>
        <w:t>data</w:t>
      </w:r>
      <w:r w:rsidR="00B22890" w:rsidRPr="00C83273">
        <w:rPr>
          <w:rFonts w:cstheme="minorHAnsi"/>
          <w:sz w:val="24"/>
          <w:szCs w:val="24"/>
        </w:rPr>
        <w:t xml:space="preserve">, </w:t>
      </w:r>
      <w:r w:rsidR="009E7389" w:rsidRPr="00C83273">
        <w:rPr>
          <w:rFonts w:cstheme="minorHAnsi"/>
          <w:sz w:val="24"/>
          <w:szCs w:val="24"/>
        </w:rPr>
        <w:t xml:space="preserve">preferably </w:t>
      </w:r>
      <w:r w:rsidR="0064596A" w:rsidRPr="00C83273">
        <w:rPr>
          <w:rFonts w:cstheme="minorHAnsi"/>
          <w:sz w:val="24"/>
          <w:szCs w:val="24"/>
        </w:rPr>
        <w:t xml:space="preserve">from the </w:t>
      </w:r>
      <w:r w:rsidR="009E7389" w:rsidRPr="00C83273">
        <w:rPr>
          <w:rFonts w:cstheme="minorHAnsi"/>
          <w:sz w:val="24"/>
          <w:szCs w:val="24"/>
        </w:rPr>
        <w:t>real-world</w:t>
      </w:r>
      <w:r w:rsidR="00B22890" w:rsidRPr="00C83273">
        <w:rPr>
          <w:rFonts w:cstheme="minorHAnsi"/>
          <w:sz w:val="24"/>
          <w:szCs w:val="24"/>
        </w:rPr>
        <w:t>,</w:t>
      </w:r>
      <w:r w:rsidR="009E7389" w:rsidRPr="00C83273">
        <w:rPr>
          <w:rFonts w:cstheme="minorHAnsi"/>
          <w:sz w:val="24"/>
          <w:szCs w:val="24"/>
        </w:rPr>
        <w:t xml:space="preserve"> </w:t>
      </w:r>
      <w:r w:rsidR="00826C79">
        <w:rPr>
          <w:rFonts w:cstheme="minorHAnsi"/>
          <w:sz w:val="24"/>
          <w:szCs w:val="24"/>
        </w:rPr>
        <w:t>on</w:t>
      </w:r>
      <w:r w:rsidR="009E7389" w:rsidRPr="00C83273">
        <w:rPr>
          <w:rFonts w:cstheme="minorHAnsi"/>
          <w:sz w:val="24"/>
          <w:szCs w:val="24"/>
        </w:rPr>
        <w:t xml:space="preserve"> the comparative benefits of new health technologies for different subpopulations. </w:t>
      </w:r>
    </w:p>
    <w:bookmarkEnd w:id="13"/>
    <w:p w14:paraId="1BB3589A" w14:textId="3FD26DFE" w:rsidR="001E7CFB" w:rsidRPr="00C83273" w:rsidRDefault="005617FA" w:rsidP="00C83273">
      <w:pPr>
        <w:spacing w:line="240" w:lineRule="auto"/>
        <w:jc w:val="both"/>
        <w:rPr>
          <w:rFonts w:cstheme="minorHAnsi"/>
          <w:sz w:val="24"/>
          <w:szCs w:val="24"/>
        </w:rPr>
      </w:pPr>
      <w:r w:rsidRPr="00C83273">
        <w:rPr>
          <w:rFonts w:cstheme="minorHAnsi"/>
          <w:sz w:val="24"/>
          <w:szCs w:val="24"/>
        </w:rPr>
        <w:t xml:space="preserve">RWD </w:t>
      </w:r>
      <w:r w:rsidR="00826C79">
        <w:rPr>
          <w:rFonts w:cstheme="minorHAnsi"/>
          <w:sz w:val="24"/>
          <w:szCs w:val="24"/>
        </w:rPr>
        <w:t>on</w:t>
      </w:r>
      <w:r w:rsidR="00CD1957" w:rsidRPr="00C83273">
        <w:rPr>
          <w:rFonts w:cstheme="minorHAnsi"/>
          <w:sz w:val="24"/>
          <w:szCs w:val="24"/>
        </w:rPr>
        <w:t xml:space="preserve"> new health technologies </w:t>
      </w:r>
      <w:r w:rsidRPr="00C83273">
        <w:rPr>
          <w:rFonts w:cstheme="minorHAnsi"/>
          <w:sz w:val="24"/>
          <w:szCs w:val="24"/>
        </w:rPr>
        <w:t>can only be collected after the</w:t>
      </w:r>
      <w:r w:rsidR="00CD1957" w:rsidRPr="00C83273">
        <w:rPr>
          <w:rFonts w:cstheme="minorHAnsi"/>
          <w:sz w:val="24"/>
          <w:szCs w:val="24"/>
        </w:rPr>
        <w:t>ir</w:t>
      </w:r>
      <w:r w:rsidRPr="00C83273">
        <w:rPr>
          <w:rFonts w:cstheme="minorHAnsi"/>
          <w:sz w:val="24"/>
          <w:szCs w:val="24"/>
        </w:rPr>
        <w:t xml:space="preserve"> widespread </w:t>
      </w:r>
      <w:r w:rsidR="00DA4D06" w:rsidRPr="00C83273">
        <w:rPr>
          <w:rFonts w:cstheme="minorHAnsi"/>
          <w:sz w:val="24"/>
          <w:szCs w:val="24"/>
        </w:rPr>
        <w:t xml:space="preserve">clinical </w:t>
      </w:r>
      <w:r w:rsidRPr="00C83273">
        <w:rPr>
          <w:rFonts w:cstheme="minorHAnsi"/>
          <w:sz w:val="24"/>
          <w:szCs w:val="24"/>
        </w:rPr>
        <w:t>use</w:t>
      </w:r>
      <w:r w:rsidR="00E60641" w:rsidRPr="00C83273">
        <w:rPr>
          <w:rFonts w:cstheme="minorHAnsi"/>
          <w:sz w:val="24"/>
          <w:szCs w:val="24"/>
        </w:rPr>
        <w:t xml:space="preserve">. </w:t>
      </w:r>
      <w:r w:rsidR="00CD1957" w:rsidRPr="00C83273">
        <w:rPr>
          <w:rFonts w:cstheme="minorHAnsi"/>
          <w:sz w:val="24"/>
          <w:szCs w:val="24"/>
        </w:rPr>
        <w:t>While</w:t>
      </w:r>
      <w:r w:rsidRPr="00C83273">
        <w:rPr>
          <w:rFonts w:cstheme="minorHAnsi"/>
          <w:sz w:val="24"/>
          <w:szCs w:val="24"/>
        </w:rPr>
        <w:t xml:space="preserve"> RW</w:t>
      </w:r>
      <w:r w:rsidR="001A0B88" w:rsidRPr="00C83273">
        <w:rPr>
          <w:rFonts w:cstheme="minorHAnsi"/>
          <w:sz w:val="24"/>
          <w:szCs w:val="24"/>
        </w:rPr>
        <w:t>E</w:t>
      </w:r>
      <w:r w:rsidRPr="00C83273">
        <w:rPr>
          <w:rFonts w:cstheme="minorHAnsi"/>
          <w:sz w:val="24"/>
          <w:szCs w:val="24"/>
        </w:rPr>
        <w:t xml:space="preserve"> </w:t>
      </w:r>
      <w:r w:rsidR="00CB3AF7" w:rsidRPr="00C83273">
        <w:rPr>
          <w:rFonts w:cstheme="minorHAnsi"/>
          <w:sz w:val="24"/>
          <w:szCs w:val="24"/>
        </w:rPr>
        <w:t xml:space="preserve">for new technologies </w:t>
      </w:r>
      <w:r w:rsidR="00826C79">
        <w:rPr>
          <w:rFonts w:cstheme="minorHAnsi"/>
          <w:sz w:val="24"/>
          <w:szCs w:val="24"/>
        </w:rPr>
        <w:t>often arrives</w:t>
      </w:r>
      <w:r w:rsidRPr="00C83273">
        <w:rPr>
          <w:rFonts w:cstheme="minorHAnsi"/>
          <w:sz w:val="24"/>
          <w:szCs w:val="24"/>
        </w:rPr>
        <w:t xml:space="preserve"> comes too late for initial </w:t>
      </w:r>
      <w:r w:rsidR="00E60641" w:rsidRPr="00C83273">
        <w:rPr>
          <w:rFonts w:cstheme="minorHAnsi"/>
          <w:sz w:val="24"/>
          <w:szCs w:val="24"/>
        </w:rPr>
        <w:t xml:space="preserve">policy </w:t>
      </w:r>
      <w:r w:rsidRPr="00C83273">
        <w:rPr>
          <w:rFonts w:cstheme="minorHAnsi"/>
          <w:sz w:val="24"/>
          <w:szCs w:val="24"/>
        </w:rPr>
        <w:t>decision</w:t>
      </w:r>
      <w:r w:rsidR="00E60641" w:rsidRPr="00C83273">
        <w:rPr>
          <w:rFonts w:cstheme="minorHAnsi"/>
          <w:sz w:val="24"/>
          <w:szCs w:val="24"/>
        </w:rPr>
        <w:t>s</w:t>
      </w:r>
      <w:r w:rsidR="00CD1957" w:rsidRPr="00C83273">
        <w:rPr>
          <w:rFonts w:cstheme="minorHAnsi"/>
          <w:sz w:val="24"/>
          <w:szCs w:val="24"/>
        </w:rPr>
        <w:t>, information on historic</w:t>
      </w:r>
      <w:r w:rsidR="00826C79">
        <w:rPr>
          <w:rFonts w:cstheme="minorHAnsi"/>
          <w:sz w:val="24"/>
          <w:szCs w:val="24"/>
        </w:rPr>
        <w:t>al</w:t>
      </w:r>
      <w:r w:rsidR="00CD1957" w:rsidRPr="00C83273">
        <w:rPr>
          <w:rFonts w:cstheme="minorHAnsi"/>
          <w:sz w:val="24"/>
          <w:szCs w:val="24"/>
        </w:rPr>
        <w:t xml:space="preserve"> controls or comparative treatments c</w:t>
      </w:r>
      <w:r w:rsidR="00826C79">
        <w:rPr>
          <w:rFonts w:cstheme="minorHAnsi"/>
          <w:sz w:val="24"/>
          <w:szCs w:val="24"/>
        </w:rPr>
        <w:t>an</w:t>
      </w:r>
      <w:r w:rsidR="00CD1957" w:rsidRPr="00C83273">
        <w:rPr>
          <w:rFonts w:cstheme="minorHAnsi"/>
          <w:sz w:val="24"/>
          <w:szCs w:val="24"/>
        </w:rPr>
        <w:t xml:space="preserve"> be collected earlier</w:t>
      </w:r>
      <w:r w:rsidRPr="00C83273">
        <w:rPr>
          <w:rFonts w:cstheme="minorHAnsi"/>
          <w:sz w:val="24"/>
          <w:szCs w:val="24"/>
        </w:rPr>
        <w:t xml:space="preserve">. </w:t>
      </w:r>
      <w:r w:rsidR="0094347C" w:rsidRPr="00C83273">
        <w:rPr>
          <w:rFonts w:cstheme="minorHAnsi"/>
          <w:sz w:val="24"/>
          <w:szCs w:val="24"/>
        </w:rPr>
        <w:t>In addition, t</w:t>
      </w:r>
      <w:r w:rsidR="001E7CFB" w:rsidRPr="00C83273">
        <w:rPr>
          <w:rFonts w:cstheme="minorHAnsi"/>
          <w:sz w:val="24"/>
          <w:szCs w:val="24"/>
        </w:rPr>
        <w:t>he establishment of patient registries in rare diseases can help HTA bodies and payers review initial policy decisions and highlight the importance of health outcomes to clinicians and patients.</w:t>
      </w:r>
    </w:p>
    <w:p w14:paraId="64C21AA8" w14:textId="5F4C741C" w:rsidR="00CB3AF7" w:rsidRPr="00C83273" w:rsidRDefault="00E60641" w:rsidP="00C83273">
      <w:pPr>
        <w:spacing w:line="240" w:lineRule="auto"/>
        <w:jc w:val="both"/>
        <w:rPr>
          <w:rFonts w:cstheme="minorHAnsi"/>
          <w:sz w:val="24"/>
          <w:szCs w:val="24"/>
        </w:rPr>
      </w:pPr>
      <w:r w:rsidRPr="00C83273">
        <w:rPr>
          <w:rFonts w:cstheme="minorHAnsi"/>
          <w:sz w:val="24"/>
          <w:szCs w:val="24"/>
        </w:rPr>
        <w:t>In the future</w:t>
      </w:r>
      <w:r w:rsidR="00043DAE" w:rsidRPr="00C83273">
        <w:rPr>
          <w:rFonts w:cstheme="minorHAnsi"/>
          <w:sz w:val="24"/>
          <w:szCs w:val="24"/>
        </w:rPr>
        <w:t>,</w:t>
      </w:r>
      <w:r w:rsidRPr="00C83273">
        <w:rPr>
          <w:rFonts w:cstheme="minorHAnsi"/>
          <w:sz w:val="24"/>
          <w:szCs w:val="24"/>
        </w:rPr>
        <w:t xml:space="preserve"> broader use of conditional decisio</w:t>
      </w:r>
      <w:r w:rsidR="001A0B88" w:rsidRPr="00C83273">
        <w:rPr>
          <w:rFonts w:cstheme="minorHAnsi"/>
          <w:sz w:val="24"/>
          <w:szCs w:val="24"/>
        </w:rPr>
        <w:t>n frameworks</w:t>
      </w:r>
      <w:r w:rsidRPr="00C83273">
        <w:rPr>
          <w:rFonts w:cstheme="minorHAnsi"/>
          <w:sz w:val="24"/>
          <w:szCs w:val="24"/>
        </w:rPr>
        <w:t xml:space="preserve">, such as </w:t>
      </w:r>
      <w:r w:rsidR="001A0B88" w:rsidRPr="00C83273">
        <w:rPr>
          <w:rFonts w:cstheme="minorHAnsi"/>
          <w:sz w:val="24"/>
          <w:szCs w:val="24"/>
        </w:rPr>
        <w:t xml:space="preserve">the </w:t>
      </w:r>
      <w:r w:rsidRPr="00C83273">
        <w:rPr>
          <w:rFonts w:cstheme="minorHAnsi"/>
          <w:sz w:val="24"/>
          <w:szCs w:val="24"/>
        </w:rPr>
        <w:t xml:space="preserve">adaptive regulatory pathway </w:t>
      </w:r>
      <w:r w:rsidR="001A0B88" w:rsidRPr="00C83273">
        <w:rPr>
          <w:rFonts w:cstheme="minorHAnsi"/>
          <w:sz w:val="24"/>
          <w:szCs w:val="24"/>
        </w:rPr>
        <w:t xml:space="preserve">or </w:t>
      </w:r>
      <w:r w:rsidRPr="00C83273">
        <w:rPr>
          <w:rFonts w:cstheme="minorHAnsi"/>
          <w:sz w:val="24"/>
          <w:szCs w:val="24"/>
        </w:rPr>
        <w:t xml:space="preserve">coverage with evidence development schemes may be </w:t>
      </w:r>
      <w:r w:rsidR="009C3B7C" w:rsidRPr="00C83273">
        <w:rPr>
          <w:rFonts w:cstheme="minorHAnsi"/>
          <w:sz w:val="24"/>
          <w:szCs w:val="24"/>
        </w:rPr>
        <w:t>an alternative</w:t>
      </w:r>
      <w:r w:rsidR="00CD1957" w:rsidRPr="00C83273">
        <w:rPr>
          <w:rFonts w:cstheme="minorHAnsi"/>
          <w:sz w:val="24"/>
          <w:szCs w:val="24"/>
        </w:rPr>
        <w:t xml:space="preserve"> </w:t>
      </w:r>
      <w:r w:rsidRPr="00C83273">
        <w:rPr>
          <w:rFonts w:cstheme="minorHAnsi"/>
          <w:sz w:val="24"/>
          <w:szCs w:val="24"/>
        </w:rPr>
        <w:t>solution in rare diseases with heterogenous types of patients, such as MDS</w:t>
      </w:r>
      <w:r w:rsidR="00CB3AF7" w:rsidRPr="00C83273">
        <w:rPr>
          <w:rFonts w:cstheme="minorHAnsi"/>
          <w:sz w:val="24"/>
          <w:szCs w:val="24"/>
        </w:rPr>
        <w:t>, in which pharmaceutical companies often register their new medicines based on single-arm studies with historic</w:t>
      </w:r>
      <w:r w:rsidR="006A2143">
        <w:rPr>
          <w:rFonts w:cstheme="minorHAnsi"/>
          <w:sz w:val="24"/>
          <w:szCs w:val="24"/>
        </w:rPr>
        <w:t>al</w:t>
      </w:r>
      <w:r w:rsidR="00CB3AF7" w:rsidRPr="00C83273">
        <w:rPr>
          <w:rFonts w:cstheme="minorHAnsi"/>
          <w:sz w:val="24"/>
          <w:szCs w:val="24"/>
        </w:rPr>
        <w:t xml:space="preserve"> controls. </w:t>
      </w:r>
      <w:r w:rsidR="0064596A" w:rsidRPr="00C83273">
        <w:rPr>
          <w:rFonts w:cstheme="minorHAnsi"/>
          <w:sz w:val="24"/>
          <w:szCs w:val="24"/>
        </w:rPr>
        <w:t xml:space="preserve">In </w:t>
      </w:r>
      <w:r w:rsidR="0094347C" w:rsidRPr="00C83273">
        <w:rPr>
          <w:rFonts w:cstheme="minorHAnsi"/>
          <w:sz w:val="24"/>
          <w:szCs w:val="24"/>
        </w:rPr>
        <w:t>LIECs</w:t>
      </w:r>
      <w:r w:rsidR="0064596A" w:rsidRPr="00C83273">
        <w:rPr>
          <w:rFonts w:cstheme="minorHAnsi"/>
          <w:sz w:val="24"/>
          <w:szCs w:val="24"/>
        </w:rPr>
        <w:t xml:space="preserve"> outcome-based payment models may especially be useful to overcome uncertainty in the benefits of new health technologies for selected patient subgroups, however</w:t>
      </w:r>
      <w:r w:rsidR="006A2143">
        <w:rPr>
          <w:rFonts w:cstheme="minorHAnsi"/>
          <w:sz w:val="24"/>
          <w:szCs w:val="24"/>
        </w:rPr>
        <w:t>,</w:t>
      </w:r>
      <w:r w:rsidR="0064596A" w:rsidRPr="00C83273">
        <w:rPr>
          <w:rFonts w:cstheme="minorHAnsi"/>
          <w:sz w:val="24"/>
          <w:szCs w:val="24"/>
        </w:rPr>
        <w:t xml:space="preserve"> numerous barriers </w:t>
      </w:r>
      <w:r w:rsidR="006A2143">
        <w:rPr>
          <w:rFonts w:cstheme="minorHAnsi"/>
          <w:sz w:val="24"/>
          <w:szCs w:val="24"/>
        </w:rPr>
        <w:t xml:space="preserve">currently </w:t>
      </w:r>
      <w:r w:rsidR="0064596A" w:rsidRPr="00C83273">
        <w:rPr>
          <w:rFonts w:cstheme="minorHAnsi"/>
          <w:sz w:val="24"/>
          <w:szCs w:val="24"/>
        </w:rPr>
        <w:t>prevent the</w:t>
      </w:r>
      <w:r w:rsidR="006A2143">
        <w:rPr>
          <w:rFonts w:cstheme="minorHAnsi"/>
          <w:sz w:val="24"/>
          <w:szCs w:val="24"/>
        </w:rPr>
        <w:t>se models</w:t>
      </w:r>
      <w:r w:rsidR="0064596A" w:rsidRPr="00C83273">
        <w:rPr>
          <w:rFonts w:cstheme="minorHAnsi"/>
          <w:sz w:val="24"/>
          <w:szCs w:val="24"/>
        </w:rPr>
        <w:t xml:space="preserve"> from being used more widely</w:t>
      </w:r>
      <w:r w:rsidR="003A3E29">
        <w:rPr>
          <w:rFonts w:cstheme="minorHAnsi"/>
          <w:sz w:val="24"/>
          <w:szCs w:val="24"/>
        </w:rPr>
        <w:t xml:space="preserve"> </w:t>
      </w:r>
      <w:r w:rsidR="00BE1917" w:rsidRPr="00C83273">
        <w:rPr>
          <w:rFonts w:cstheme="minorHAnsi"/>
          <w:sz w:val="24"/>
          <w:szCs w:val="24"/>
        </w:rPr>
        <w:t>[1</w:t>
      </w:r>
      <w:r w:rsidR="00523FDD">
        <w:rPr>
          <w:rFonts w:cstheme="minorHAnsi"/>
          <w:sz w:val="24"/>
          <w:szCs w:val="24"/>
        </w:rPr>
        <w:t>8</w:t>
      </w:r>
      <w:r w:rsidR="00BE1917" w:rsidRPr="00C83273">
        <w:rPr>
          <w:rFonts w:cstheme="minorHAnsi"/>
          <w:sz w:val="24"/>
          <w:szCs w:val="24"/>
        </w:rPr>
        <w:t>]</w:t>
      </w:r>
      <w:r w:rsidR="003A3E29">
        <w:rPr>
          <w:rFonts w:cstheme="minorHAnsi"/>
          <w:sz w:val="24"/>
          <w:szCs w:val="24"/>
        </w:rPr>
        <w:t>.</w:t>
      </w:r>
    </w:p>
    <w:p w14:paraId="11615223" w14:textId="74964C4F" w:rsidR="00B22890" w:rsidRPr="00C83273" w:rsidRDefault="00B22890" w:rsidP="00C83273">
      <w:pPr>
        <w:spacing w:line="240" w:lineRule="auto"/>
        <w:jc w:val="both"/>
        <w:rPr>
          <w:rFonts w:cstheme="minorHAnsi"/>
          <w:sz w:val="24"/>
          <w:szCs w:val="24"/>
        </w:rPr>
      </w:pPr>
      <w:r w:rsidRPr="00C83273">
        <w:rPr>
          <w:rFonts w:cstheme="minorHAnsi"/>
          <w:sz w:val="24"/>
          <w:szCs w:val="24"/>
        </w:rPr>
        <w:t xml:space="preserve">As LIECs typically adopt new technologies </w:t>
      </w:r>
      <w:r w:rsidR="0094347C" w:rsidRPr="00C83273">
        <w:rPr>
          <w:rFonts w:cstheme="minorHAnsi"/>
          <w:sz w:val="24"/>
          <w:szCs w:val="24"/>
        </w:rPr>
        <w:t xml:space="preserve">relatively </w:t>
      </w:r>
      <w:r w:rsidRPr="00C83273">
        <w:rPr>
          <w:rFonts w:cstheme="minorHAnsi"/>
          <w:sz w:val="24"/>
          <w:szCs w:val="24"/>
        </w:rPr>
        <w:t xml:space="preserve">late, they may benefit from accessible RWD or published RWE from early technology adopter countries. Advanced methods for evidence generation, such as TTE, </w:t>
      </w:r>
      <w:r w:rsidR="006A2143">
        <w:rPr>
          <w:rFonts w:cstheme="minorHAnsi"/>
          <w:sz w:val="24"/>
          <w:szCs w:val="24"/>
        </w:rPr>
        <w:t xml:space="preserve">may </w:t>
      </w:r>
      <w:r w:rsidRPr="00C83273">
        <w:rPr>
          <w:rFonts w:cstheme="minorHAnsi"/>
          <w:sz w:val="24"/>
          <w:szCs w:val="24"/>
        </w:rPr>
        <w:t xml:space="preserve">not provide perfect local evidence to LIECs, </w:t>
      </w:r>
      <w:r w:rsidR="001E7CFB" w:rsidRPr="00C83273">
        <w:rPr>
          <w:rFonts w:cstheme="minorHAnsi"/>
          <w:sz w:val="24"/>
          <w:szCs w:val="24"/>
        </w:rPr>
        <w:t xml:space="preserve">but </w:t>
      </w:r>
      <w:r w:rsidRPr="00C83273">
        <w:rPr>
          <w:rFonts w:cstheme="minorHAnsi"/>
          <w:sz w:val="24"/>
          <w:szCs w:val="24"/>
        </w:rPr>
        <w:t>they</w:t>
      </w:r>
      <w:r w:rsidR="006A2143">
        <w:rPr>
          <w:rFonts w:cstheme="minorHAnsi"/>
          <w:sz w:val="24"/>
          <w:szCs w:val="24"/>
        </w:rPr>
        <w:t xml:space="preserve"> have the potential to</w:t>
      </w:r>
      <w:r w:rsidRPr="00C83273">
        <w:rPr>
          <w:rFonts w:cstheme="minorHAnsi"/>
          <w:sz w:val="24"/>
          <w:szCs w:val="24"/>
        </w:rPr>
        <w:t xml:space="preserve"> </w:t>
      </w:r>
      <w:r w:rsidR="00B17A67" w:rsidRPr="00C83273">
        <w:rPr>
          <w:rFonts w:cstheme="minorHAnsi"/>
          <w:sz w:val="24"/>
          <w:szCs w:val="24"/>
        </w:rPr>
        <w:t>deliver</w:t>
      </w:r>
      <w:r w:rsidRPr="00C83273">
        <w:rPr>
          <w:rFonts w:cstheme="minorHAnsi"/>
          <w:sz w:val="24"/>
          <w:szCs w:val="24"/>
        </w:rPr>
        <w:t xml:space="preserve"> the </w:t>
      </w:r>
      <w:r w:rsidR="001E7CFB" w:rsidRPr="00C83273">
        <w:rPr>
          <w:rFonts w:cstheme="minorHAnsi"/>
          <w:sz w:val="24"/>
          <w:szCs w:val="24"/>
        </w:rPr>
        <w:t xml:space="preserve">best available </w:t>
      </w:r>
      <w:r w:rsidRPr="00C83273">
        <w:rPr>
          <w:rFonts w:cstheme="minorHAnsi"/>
          <w:sz w:val="24"/>
          <w:szCs w:val="24"/>
        </w:rPr>
        <w:t xml:space="preserve">international data to support policy decisions. </w:t>
      </w:r>
    </w:p>
    <w:p w14:paraId="50916C3E" w14:textId="034857A6" w:rsidR="00CB3AF7" w:rsidRPr="00C83273" w:rsidRDefault="009C2427" w:rsidP="00C83273">
      <w:pPr>
        <w:spacing w:line="240" w:lineRule="auto"/>
        <w:jc w:val="both"/>
        <w:rPr>
          <w:rFonts w:cstheme="minorHAnsi"/>
          <w:sz w:val="24"/>
          <w:szCs w:val="24"/>
        </w:rPr>
      </w:pPr>
      <w:r w:rsidRPr="00C83273">
        <w:rPr>
          <w:rFonts w:cstheme="minorHAnsi"/>
          <w:sz w:val="24"/>
          <w:szCs w:val="24"/>
        </w:rPr>
        <w:t xml:space="preserve">However, </w:t>
      </w:r>
      <w:r w:rsidR="006A2143">
        <w:rPr>
          <w:rFonts w:cstheme="minorHAnsi"/>
          <w:sz w:val="24"/>
          <w:szCs w:val="24"/>
        </w:rPr>
        <w:t xml:space="preserve">the </w:t>
      </w:r>
      <w:r w:rsidRPr="00C83273">
        <w:rPr>
          <w:rFonts w:cstheme="minorHAnsi"/>
          <w:sz w:val="24"/>
          <w:szCs w:val="24"/>
        </w:rPr>
        <w:t xml:space="preserve">accessibility of existing RWD </w:t>
      </w:r>
      <w:r w:rsidR="006A2143">
        <w:rPr>
          <w:rFonts w:cstheme="minorHAnsi"/>
          <w:sz w:val="24"/>
          <w:szCs w:val="24"/>
        </w:rPr>
        <w:t>for</w:t>
      </w:r>
      <w:r w:rsidR="004C559B" w:rsidRPr="00C83273">
        <w:rPr>
          <w:rFonts w:cstheme="minorHAnsi"/>
          <w:sz w:val="24"/>
          <w:szCs w:val="24"/>
        </w:rPr>
        <w:t xml:space="preserve"> HTA </w:t>
      </w:r>
      <w:r w:rsidR="001A0B88" w:rsidRPr="00C83273">
        <w:rPr>
          <w:rFonts w:cstheme="minorHAnsi"/>
          <w:sz w:val="24"/>
          <w:szCs w:val="24"/>
        </w:rPr>
        <w:t>doers</w:t>
      </w:r>
      <w:r w:rsidR="004C559B" w:rsidRPr="00C83273">
        <w:rPr>
          <w:rFonts w:cstheme="minorHAnsi"/>
          <w:sz w:val="24"/>
          <w:szCs w:val="24"/>
        </w:rPr>
        <w:t xml:space="preserve"> </w:t>
      </w:r>
      <w:r w:rsidR="00A23CAC" w:rsidRPr="00C83273">
        <w:rPr>
          <w:rFonts w:cstheme="minorHAnsi"/>
          <w:sz w:val="24"/>
          <w:szCs w:val="24"/>
        </w:rPr>
        <w:t xml:space="preserve">from other jurisdictions </w:t>
      </w:r>
      <w:r w:rsidRPr="00C83273">
        <w:rPr>
          <w:rFonts w:cstheme="minorHAnsi"/>
          <w:sz w:val="24"/>
          <w:szCs w:val="24"/>
        </w:rPr>
        <w:t xml:space="preserve">is limited, </w:t>
      </w:r>
      <w:r w:rsidR="004C559B" w:rsidRPr="00C83273">
        <w:rPr>
          <w:rFonts w:cstheme="minorHAnsi"/>
          <w:sz w:val="24"/>
          <w:szCs w:val="24"/>
        </w:rPr>
        <w:t xml:space="preserve">and publication of RWE from </w:t>
      </w:r>
      <w:r w:rsidR="00A23CAC" w:rsidRPr="00C83273">
        <w:rPr>
          <w:rFonts w:cstheme="minorHAnsi"/>
          <w:sz w:val="24"/>
          <w:szCs w:val="24"/>
        </w:rPr>
        <w:t xml:space="preserve">patient registries or </w:t>
      </w:r>
      <w:r w:rsidR="004C559B" w:rsidRPr="00C83273">
        <w:rPr>
          <w:rFonts w:cstheme="minorHAnsi"/>
          <w:sz w:val="24"/>
          <w:szCs w:val="24"/>
        </w:rPr>
        <w:t xml:space="preserve">outcomes based managed entry agreements is not mandatory for </w:t>
      </w:r>
      <w:r w:rsidR="0094347C" w:rsidRPr="00C83273">
        <w:rPr>
          <w:rFonts w:cstheme="minorHAnsi"/>
          <w:sz w:val="24"/>
          <w:szCs w:val="24"/>
        </w:rPr>
        <w:t>database owners</w:t>
      </w:r>
      <w:r w:rsidR="004C559B" w:rsidRPr="00C83273">
        <w:rPr>
          <w:rFonts w:cstheme="minorHAnsi"/>
          <w:sz w:val="24"/>
          <w:szCs w:val="24"/>
        </w:rPr>
        <w:t xml:space="preserve">. Limited accessibility of RWD and </w:t>
      </w:r>
      <w:r w:rsidR="006A2143">
        <w:rPr>
          <w:rFonts w:cstheme="minorHAnsi"/>
          <w:sz w:val="24"/>
          <w:szCs w:val="24"/>
        </w:rPr>
        <w:t>stringent</w:t>
      </w:r>
      <w:r w:rsidR="004C559B" w:rsidRPr="00C83273">
        <w:rPr>
          <w:rFonts w:cstheme="minorHAnsi"/>
          <w:sz w:val="24"/>
          <w:szCs w:val="24"/>
        </w:rPr>
        <w:t xml:space="preserve"> database regulations create delay</w:t>
      </w:r>
      <w:r w:rsidR="00133B0C" w:rsidRPr="00C83273">
        <w:rPr>
          <w:rFonts w:cstheme="minorHAnsi"/>
          <w:sz w:val="24"/>
          <w:szCs w:val="24"/>
        </w:rPr>
        <w:t>s</w:t>
      </w:r>
      <w:r w:rsidR="004C559B" w:rsidRPr="00C83273">
        <w:rPr>
          <w:rFonts w:cstheme="minorHAnsi"/>
          <w:sz w:val="24"/>
          <w:szCs w:val="24"/>
        </w:rPr>
        <w:t xml:space="preserve"> in </w:t>
      </w:r>
      <w:r w:rsidR="001A0B88" w:rsidRPr="00C83273">
        <w:rPr>
          <w:rFonts w:cstheme="minorHAnsi"/>
          <w:sz w:val="24"/>
          <w:szCs w:val="24"/>
        </w:rPr>
        <w:t xml:space="preserve">the generation of </w:t>
      </w:r>
      <w:r w:rsidR="004C559B" w:rsidRPr="00C83273">
        <w:rPr>
          <w:rFonts w:cstheme="minorHAnsi"/>
          <w:sz w:val="24"/>
          <w:szCs w:val="24"/>
        </w:rPr>
        <w:t xml:space="preserve">RWE. </w:t>
      </w:r>
      <w:r w:rsidR="00CB3AF7" w:rsidRPr="00C83273">
        <w:rPr>
          <w:rFonts w:cstheme="minorHAnsi"/>
          <w:sz w:val="24"/>
          <w:szCs w:val="24"/>
        </w:rPr>
        <w:t>Often</w:t>
      </w:r>
      <w:r w:rsidR="006A2143">
        <w:rPr>
          <w:rFonts w:cstheme="minorHAnsi"/>
          <w:sz w:val="24"/>
          <w:szCs w:val="24"/>
        </w:rPr>
        <w:t>, a</w:t>
      </w:r>
      <w:r w:rsidR="00CB3AF7" w:rsidRPr="00C83273">
        <w:rPr>
          <w:rFonts w:cstheme="minorHAnsi"/>
          <w:sz w:val="24"/>
          <w:szCs w:val="24"/>
        </w:rPr>
        <w:t xml:space="preserve"> m</w:t>
      </w:r>
      <w:r w:rsidR="004C559B" w:rsidRPr="00C83273">
        <w:rPr>
          <w:rFonts w:cstheme="minorHAnsi"/>
          <w:sz w:val="24"/>
          <w:szCs w:val="24"/>
        </w:rPr>
        <w:t xml:space="preserve">onumental effort is </w:t>
      </w:r>
      <w:r w:rsidR="006A2143">
        <w:rPr>
          <w:rFonts w:cstheme="minorHAnsi"/>
          <w:sz w:val="24"/>
          <w:szCs w:val="24"/>
        </w:rPr>
        <w:t>required</w:t>
      </w:r>
      <w:r w:rsidR="004C559B" w:rsidRPr="00C83273">
        <w:rPr>
          <w:rFonts w:cstheme="minorHAnsi"/>
          <w:sz w:val="24"/>
          <w:szCs w:val="24"/>
        </w:rPr>
        <w:t xml:space="preserve"> from HTA </w:t>
      </w:r>
      <w:r w:rsidR="001A0B88" w:rsidRPr="00C83273">
        <w:rPr>
          <w:rFonts w:cstheme="minorHAnsi"/>
          <w:sz w:val="24"/>
          <w:szCs w:val="24"/>
        </w:rPr>
        <w:t xml:space="preserve">doers </w:t>
      </w:r>
      <w:r w:rsidR="004C559B" w:rsidRPr="00C83273">
        <w:rPr>
          <w:rFonts w:cstheme="minorHAnsi"/>
          <w:sz w:val="24"/>
          <w:szCs w:val="24"/>
        </w:rPr>
        <w:t xml:space="preserve">to bring a unified structure </w:t>
      </w:r>
      <w:r w:rsidR="00306A89" w:rsidRPr="00C83273">
        <w:rPr>
          <w:rFonts w:cstheme="minorHAnsi"/>
          <w:sz w:val="24"/>
          <w:szCs w:val="24"/>
        </w:rPr>
        <w:t xml:space="preserve">to </w:t>
      </w:r>
      <w:r w:rsidR="004C559B" w:rsidRPr="00C83273">
        <w:rPr>
          <w:rFonts w:cstheme="minorHAnsi"/>
          <w:sz w:val="24"/>
          <w:szCs w:val="24"/>
        </w:rPr>
        <w:t xml:space="preserve">the mosaic of existing datasets. A timely and flexible pan-European data collection structure </w:t>
      </w:r>
      <w:r w:rsidR="00CB3AF7" w:rsidRPr="00C83273">
        <w:rPr>
          <w:rFonts w:cstheme="minorHAnsi"/>
          <w:sz w:val="24"/>
          <w:szCs w:val="24"/>
        </w:rPr>
        <w:t xml:space="preserve">and accessible databases for HTA research purposes would be highly beneficial for patients and </w:t>
      </w:r>
      <w:proofErr w:type="gramStart"/>
      <w:r w:rsidR="00CB3AF7" w:rsidRPr="00C83273">
        <w:rPr>
          <w:rFonts w:cstheme="minorHAnsi"/>
          <w:sz w:val="24"/>
          <w:szCs w:val="24"/>
        </w:rPr>
        <w:t>policy-makers</w:t>
      </w:r>
      <w:proofErr w:type="gramEnd"/>
      <w:r w:rsidR="00CB3AF7" w:rsidRPr="00C83273">
        <w:rPr>
          <w:rFonts w:cstheme="minorHAnsi"/>
          <w:sz w:val="24"/>
          <w:szCs w:val="24"/>
        </w:rPr>
        <w:t xml:space="preserve"> </w:t>
      </w:r>
      <w:r w:rsidR="006A2143">
        <w:rPr>
          <w:rFonts w:cstheme="minorHAnsi"/>
          <w:sz w:val="24"/>
          <w:szCs w:val="24"/>
        </w:rPr>
        <w:t>across</w:t>
      </w:r>
      <w:r w:rsidR="00CB3AF7" w:rsidRPr="00C83273">
        <w:rPr>
          <w:rFonts w:cstheme="minorHAnsi"/>
          <w:sz w:val="24"/>
          <w:szCs w:val="24"/>
        </w:rPr>
        <w:t xml:space="preserve"> </w:t>
      </w:r>
      <w:r w:rsidR="004C559B" w:rsidRPr="00C83273">
        <w:rPr>
          <w:rFonts w:cstheme="minorHAnsi"/>
          <w:sz w:val="24"/>
          <w:szCs w:val="24"/>
        </w:rPr>
        <w:t>Europe</w:t>
      </w:r>
      <w:r w:rsidR="00BE1917" w:rsidRPr="00C83273">
        <w:rPr>
          <w:rFonts w:cstheme="minorHAnsi"/>
          <w:sz w:val="24"/>
          <w:szCs w:val="24"/>
        </w:rPr>
        <w:t>.</w:t>
      </w:r>
      <w:r w:rsidR="006B0D0C">
        <w:rPr>
          <w:rFonts w:cstheme="minorHAnsi"/>
          <w:sz w:val="24"/>
          <w:szCs w:val="24"/>
        </w:rPr>
        <w:t xml:space="preserve"> </w:t>
      </w:r>
      <w:r w:rsidR="00D04F1A">
        <w:rPr>
          <w:rFonts w:cstheme="minorHAnsi"/>
          <w:sz w:val="24"/>
          <w:szCs w:val="24"/>
        </w:rPr>
        <w:t xml:space="preserve">Hence, </w:t>
      </w:r>
      <w:r w:rsidR="006B0D0C">
        <w:rPr>
          <w:rFonts w:cstheme="minorHAnsi"/>
          <w:sz w:val="24"/>
          <w:szCs w:val="24"/>
        </w:rPr>
        <w:t xml:space="preserve">we recommend </w:t>
      </w:r>
      <w:r w:rsidR="00E61DFD">
        <w:rPr>
          <w:rFonts w:cstheme="minorHAnsi"/>
          <w:sz w:val="24"/>
          <w:szCs w:val="24"/>
        </w:rPr>
        <w:t>the</w:t>
      </w:r>
      <w:r w:rsidR="006B0D0C">
        <w:rPr>
          <w:rFonts w:cstheme="minorHAnsi"/>
          <w:sz w:val="24"/>
          <w:szCs w:val="24"/>
        </w:rPr>
        <w:t xml:space="preserve"> adoption of </w:t>
      </w:r>
      <w:r w:rsidR="0098538E">
        <w:rPr>
          <w:rFonts w:cstheme="minorHAnsi"/>
          <w:sz w:val="24"/>
          <w:szCs w:val="24"/>
        </w:rPr>
        <w:t xml:space="preserve">harmonised </w:t>
      </w:r>
      <w:r w:rsidR="006B0D0C">
        <w:rPr>
          <w:rFonts w:cstheme="minorHAnsi"/>
          <w:sz w:val="24"/>
          <w:szCs w:val="24"/>
        </w:rPr>
        <w:t xml:space="preserve">European guidelines </w:t>
      </w:r>
      <w:r w:rsidR="00BA04D9">
        <w:rPr>
          <w:rFonts w:cstheme="minorHAnsi"/>
          <w:sz w:val="24"/>
          <w:szCs w:val="24"/>
        </w:rPr>
        <w:t xml:space="preserve">or </w:t>
      </w:r>
      <w:r w:rsidR="006B0D0C">
        <w:rPr>
          <w:rFonts w:cstheme="minorHAnsi"/>
          <w:sz w:val="24"/>
          <w:szCs w:val="24"/>
        </w:rPr>
        <w:t>even regulation</w:t>
      </w:r>
      <w:r w:rsidR="006A2143">
        <w:rPr>
          <w:rFonts w:cstheme="minorHAnsi"/>
          <w:sz w:val="24"/>
          <w:szCs w:val="24"/>
        </w:rPr>
        <w:t>s</w:t>
      </w:r>
      <w:r w:rsidR="006B0D0C">
        <w:rPr>
          <w:rFonts w:cstheme="minorHAnsi"/>
          <w:sz w:val="24"/>
          <w:szCs w:val="24"/>
        </w:rPr>
        <w:t xml:space="preserve"> for colle</w:t>
      </w:r>
      <w:r w:rsidR="00E61DFD">
        <w:rPr>
          <w:rFonts w:cstheme="minorHAnsi"/>
          <w:sz w:val="24"/>
          <w:szCs w:val="24"/>
        </w:rPr>
        <w:t>c</w:t>
      </w:r>
      <w:r w:rsidR="006B0D0C">
        <w:rPr>
          <w:rFonts w:cstheme="minorHAnsi"/>
          <w:sz w:val="24"/>
          <w:szCs w:val="24"/>
        </w:rPr>
        <w:t xml:space="preserve">ting </w:t>
      </w:r>
      <w:r w:rsidR="00BA04D9">
        <w:rPr>
          <w:rFonts w:cstheme="minorHAnsi"/>
          <w:sz w:val="24"/>
          <w:szCs w:val="24"/>
        </w:rPr>
        <w:t xml:space="preserve">RWD </w:t>
      </w:r>
      <w:r w:rsidR="006B0D0C">
        <w:rPr>
          <w:rFonts w:cstheme="minorHAnsi"/>
          <w:sz w:val="24"/>
          <w:szCs w:val="24"/>
        </w:rPr>
        <w:t xml:space="preserve">and sharing </w:t>
      </w:r>
      <w:r w:rsidR="00BA04D9">
        <w:rPr>
          <w:rFonts w:cstheme="minorHAnsi"/>
          <w:sz w:val="24"/>
          <w:szCs w:val="24"/>
        </w:rPr>
        <w:t>RWE</w:t>
      </w:r>
      <w:r w:rsidR="006B0D0C">
        <w:rPr>
          <w:rFonts w:cstheme="minorHAnsi"/>
          <w:sz w:val="24"/>
          <w:szCs w:val="24"/>
        </w:rPr>
        <w:t xml:space="preserve">. </w:t>
      </w:r>
      <w:r w:rsidR="001A2EF5">
        <w:rPr>
          <w:rFonts w:cstheme="minorHAnsi"/>
          <w:sz w:val="24"/>
          <w:szCs w:val="24"/>
        </w:rPr>
        <w:t xml:space="preserve">For LIECs </w:t>
      </w:r>
      <w:r w:rsidR="002806F4">
        <w:rPr>
          <w:rFonts w:cstheme="minorHAnsi"/>
          <w:sz w:val="24"/>
          <w:szCs w:val="24"/>
        </w:rPr>
        <w:t xml:space="preserve">mandatory publication of RWE </w:t>
      </w:r>
      <w:r w:rsidR="00412C9C">
        <w:rPr>
          <w:rFonts w:cstheme="minorHAnsi"/>
          <w:sz w:val="24"/>
          <w:szCs w:val="24"/>
        </w:rPr>
        <w:t xml:space="preserve">generated </w:t>
      </w:r>
      <w:r w:rsidR="00E832AF">
        <w:rPr>
          <w:rFonts w:cstheme="minorHAnsi"/>
          <w:sz w:val="24"/>
          <w:szCs w:val="24"/>
        </w:rPr>
        <w:t>in early technology adopter countries would be essential to improve the evidence base</w:t>
      </w:r>
      <w:r w:rsidR="00412C9C">
        <w:rPr>
          <w:rFonts w:cstheme="minorHAnsi"/>
          <w:sz w:val="24"/>
          <w:szCs w:val="24"/>
        </w:rPr>
        <w:t xml:space="preserve"> of policy decisions. </w:t>
      </w:r>
      <w:r w:rsidR="00E832AF">
        <w:rPr>
          <w:rFonts w:cstheme="minorHAnsi"/>
          <w:sz w:val="24"/>
          <w:szCs w:val="24"/>
        </w:rPr>
        <w:t xml:space="preserve"> </w:t>
      </w:r>
      <w:r w:rsidR="002806F4">
        <w:rPr>
          <w:rFonts w:cstheme="minorHAnsi"/>
          <w:sz w:val="24"/>
          <w:szCs w:val="24"/>
        </w:rPr>
        <w:t xml:space="preserve"> </w:t>
      </w:r>
    </w:p>
    <w:p w14:paraId="7ED9C5F0" w14:textId="4B85EA42" w:rsidR="00DD0EDB" w:rsidRPr="00C83273" w:rsidRDefault="00B17A67" w:rsidP="00C83273">
      <w:pPr>
        <w:spacing w:line="240" w:lineRule="auto"/>
        <w:jc w:val="both"/>
        <w:rPr>
          <w:rFonts w:cstheme="minorHAnsi"/>
          <w:sz w:val="24"/>
          <w:szCs w:val="24"/>
        </w:rPr>
      </w:pPr>
      <w:r w:rsidRPr="00C83273">
        <w:rPr>
          <w:rFonts w:cstheme="minorHAnsi"/>
          <w:sz w:val="24"/>
          <w:szCs w:val="24"/>
        </w:rPr>
        <w:t xml:space="preserve">Finally, </w:t>
      </w:r>
      <w:r w:rsidR="006A2143" w:rsidRPr="00C83273">
        <w:rPr>
          <w:rFonts w:cstheme="minorHAnsi"/>
          <w:sz w:val="24"/>
          <w:szCs w:val="24"/>
        </w:rPr>
        <w:t>to</w:t>
      </w:r>
      <w:r w:rsidR="00207D65" w:rsidRPr="00C83273">
        <w:rPr>
          <w:rFonts w:cstheme="minorHAnsi"/>
          <w:sz w:val="24"/>
          <w:szCs w:val="24"/>
        </w:rPr>
        <w:t xml:space="preserve"> facilitate the appropriate transfer of RWE generated by advanced methods to LIECs, HTA bodies </w:t>
      </w:r>
      <w:r w:rsidR="00DD0EDB" w:rsidRPr="00C83273">
        <w:rPr>
          <w:rFonts w:cstheme="minorHAnsi"/>
          <w:sz w:val="24"/>
          <w:szCs w:val="24"/>
        </w:rPr>
        <w:t xml:space="preserve">will need training. The recently launched SUSTAIN-HTA project </w:t>
      </w:r>
      <w:r w:rsidR="00A23CAC" w:rsidRPr="00C83273">
        <w:rPr>
          <w:rFonts w:cstheme="minorHAnsi"/>
          <w:sz w:val="24"/>
          <w:szCs w:val="24"/>
        </w:rPr>
        <w:t>may</w:t>
      </w:r>
      <w:r w:rsidR="00DD0EDB" w:rsidRPr="00C83273">
        <w:rPr>
          <w:rFonts w:cstheme="minorHAnsi"/>
          <w:sz w:val="24"/>
          <w:szCs w:val="24"/>
        </w:rPr>
        <w:t xml:space="preserve"> provide a unique platform to </w:t>
      </w:r>
      <w:r w:rsidR="006A2143">
        <w:rPr>
          <w:rFonts w:cstheme="minorHAnsi"/>
          <w:sz w:val="24"/>
          <w:szCs w:val="24"/>
        </w:rPr>
        <w:t>bridge</w:t>
      </w:r>
      <w:r w:rsidR="00DD0EDB" w:rsidRPr="00C83273">
        <w:rPr>
          <w:rFonts w:cstheme="minorHAnsi"/>
          <w:sz w:val="24"/>
          <w:szCs w:val="24"/>
        </w:rPr>
        <w:t xml:space="preserve"> the knowledge gap about these advanced HTA methods across countries. </w:t>
      </w:r>
    </w:p>
    <w:p w14:paraId="664A85C1" w14:textId="13BF2681" w:rsidR="00DD0EDB" w:rsidRPr="00C83273" w:rsidRDefault="001701F8" w:rsidP="00C83273">
      <w:pPr>
        <w:spacing w:line="240" w:lineRule="auto"/>
        <w:ind w:left="50"/>
        <w:jc w:val="both"/>
        <w:rPr>
          <w:rFonts w:cstheme="minorHAnsi"/>
          <w:b/>
          <w:bCs/>
          <w:sz w:val="24"/>
          <w:szCs w:val="24"/>
        </w:rPr>
      </w:pPr>
      <w:r w:rsidRPr="001701F8">
        <w:rPr>
          <w:rFonts w:cstheme="minorHAnsi"/>
          <w:b/>
          <w:bCs/>
          <w:sz w:val="24"/>
          <w:szCs w:val="24"/>
        </w:rPr>
        <w:t>Study l</w:t>
      </w:r>
      <w:r w:rsidR="00DD0EDB" w:rsidRPr="00C83273">
        <w:rPr>
          <w:rFonts w:cstheme="minorHAnsi"/>
          <w:b/>
          <w:bCs/>
          <w:sz w:val="24"/>
          <w:szCs w:val="24"/>
        </w:rPr>
        <w:t>imitation</w:t>
      </w:r>
      <w:r w:rsidR="00A6022B" w:rsidRPr="001701F8">
        <w:rPr>
          <w:rFonts w:cstheme="minorHAnsi"/>
          <w:b/>
          <w:bCs/>
          <w:sz w:val="24"/>
          <w:szCs w:val="24"/>
        </w:rPr>
        <w:t>s</w:t>
      </w:r>
    </w:p>
    <w:p w14:paraId="1D2AE1E0" w14:textId="6B78C6B5" w:rsidR="00A6022B" w:rsidRPr="00C83273" w:rsidRDefault="00DD0EDB" w:rsidP="00C83273">
      <w:pPr>
        <w:spacing w:line="240" w:lineRule="auto"/>
        <w:jc w:val="both"/>
        <w:rPr>
          <w:rFonts w:cstheme="minorHAnsi"/>
          <w:sz w:val="24"/>
          <w:szCs w:val="24"/>
        </w:rPr>
      </w:pPr>
      <w:r w:rsidRPr="00C83273">
        <w:rPr>
          <w:rFonts w:cstheme="minorHAnsi"/>
          <w:sz w:val="24"/>
          <w:szCs w:val="24"/>
        </w:rPr>
        <w:t xml:space="preserve">The small number of participants at the transferability workshop may limit the generalisability of our conclusions. However, the participants - </w:t>
      </w:r>
      <w:r w:rsidR="006A2143">
        <w:rPr>
          <w:rFonts w:cstheme="minorHAnsi"/>
          <w:sz w:val="24"/>
          <w:szCs w:val="24"/>
        </w:rPr>
        <w:t>comprising</w:t>
      </w:r>
      <w:r w:rsidRPr="00C83273">
        <w:rPr>
          <w:rFonts w:cstheme="minorHAnsi"/>
          <w:sz w:val="24"/>
          <w:szCs w:val="24"/>
        </w:rPr>
        <w:t xml:space="preserve"> current and previous leaders of HTA bodies - were senior HTA experts with thorough knowledge and understanding </w:t>
      </w:r>
      <w:r w:rsidR="00860E4B" w:rsidRPr="00C83273">
        <w:rPr>
          <w:rFonts w:cstheme="minorHAnsi"/>
          <w:sz w:val="24"/>
          <w:szCs w:val="24"/>
        </w:rPr>
        <w:t xml:space="preserve">of </w:t>
      </w:r>
      <w:r w:rsidRPr="00C83273">
        <w:rPr>
          <w:rFonts w:cstheme="minorHAnsi"/>
          <w:sz w:val="24"/>
          <w:szCs w:val="24"/>
        </w:rPr>
        <w:t xml:space="preserve">the challenges of current HTA methods and </w:t>
      </w:r>
      <w:r w:rsidR="00860E4B" w:rsidRPr="00C83273">
        <w:rPr>
          <w:rFonts w:cstheme="minorHAnsi"/>
          <w:sz w:val="24"/>
          <w:szCs w:val="24"/>
        </w:rPr>
        <w:t xml:space="preserve">the </w:t>
      </w:r>
      <w:r w:rsidRPr="00C83273">
        <w:rPr>
          <w:rFonts w:cstheme="minorHAnsi"/>
          <w:sz w:val="24"/>
          <w:szCs w:val="24"/>
        </w:rPr>
        <w:t xml:space="preserve">potential benefits of future advanced HTA methods in LIECs.      </w:t>
      </w:r>
    </w:p>
    <w:p w14:paraId="5BDF1C4E" w14:textId="0F62DF09" w:rsidR="008629E9" w:rsidRPr="00C83273" w:rsidRDefault="00A6022B" w:rsidP="00C83273">
      <w:pPr>
        <w:spacing w:line="240" w:lineRule="auto"/>
        <w:jc w:val="both"/>
        <w:rPr>
          <w:rFonts w:cstheme="minorHAnsi"/>
          <w:b/>
          <w:bCs/>
          <w:sz w:val="24"/>
          <w:szCs w:val="24"/>
        </w:rPr>
      </w:pPr>
      <w:r w:rsidRPr="00C83273">
        <w:rPr>
          <w:rFonts w:cstheme="minorHAnsi"/>
          <w:b/>
          <w:bCs/>
          <w:sz w:val="24"/>
          <w:szCs w:val="24"/>
        </w:rPr>
        <w:t xml:space="preserve">Conclusion </w:t>
      </w:r>
      <w:r w:rsidR="00207D65" w:rsidRPr="00C83273">
        <w:rPr>
          <w:rFonts w:cstheme="minorHAnsi"/>
          <w:b/>
          <w:bCs/>
          <w:sz w:val="24"/>
          <w:szCs w:val="24"/>
        </w:rPr>
        <w:t xml:space="preserve"> </w:t>
      </w:r>
    </w:p>
    <w:p w14:paraId="0990FCDF" w14:textId="3CF240F3" w:rsidR="00D51E97" w:rsidRDefault="00BF31B4" w:rsidP="00A04EBD">
      <w:pPr>
        <w:spacing w:line="240" w:lineRule="auto"/>
        <w:jc w:val="both"/>
        <w:rPr>
          <w:rFonts w:cstheme="minorHAnsi"/>
          <w:sz w:val="24"/>
          <w:szCs w:val="24"/>
          <w:shd w:val="clear" w:color="auto" w:fill="FFFFFF"/>
        </w:rPr>
      </w:pPr>
      <w:r w:rsidRPr="00BF31B4">
        <w:rPr>
          <w:rFonts w:cstheme="minorHAnsi"/>
          <w:sz w:val="24"/>
          <w:szCs w:val="24"/>
          <w:shd w:val="clear" w:color="auto" w:fill="FFFFFF"/>
        </w:rPr>
        <w:t>T</w:t>
      </w:r>
      <w:r>
        <w:rPr>
          <w:rFonts w:cstheme="minorHAnsi"/>
          <w:sz w:val="24"/>
          <w:szCs w:val="24"/>
          <w:shd w:val="clear" w:color="auto" w:fill="FFFFFF"/>
        </w:rPr>
        <w:t>o our best knowledge t</w:t>
      </w:r>
      <w:r w:rsidRPr="00BF31B4">
        <w:rPr>
          <w:rFonts w:cstheme="minorHAnsi"/>
          <w:sz w:val="24"/>
          <w:szCs w:val="24"/>
          <w:shd w:val="clear" w:color="auto" w:fill="FFFFFF"/>
        </w:rPr>
        <w:t xml:space="preserve">his is the first study to </w:t>
      </w:r>
      <w:r w:rsidR="00F96ECA">
        <w:rPr>
          <w:rFonts w:cstheme="minorHAnsi"/>
          <w:sz w:val="24"/>
          <w:szCs w:val="24"/>
          <w:shd w:val="clear" w:color="auto" w:fill="FFFFFF"/>
        </w:rPr>
        <w:t>provide guidance on</w:t>
      </w:r>
      <w:r w:rsidRPr="00BF31B4">
        <w:rPr>
          <w:rFonts w:cstheme="minorHAnsi"/>
          <w:sz w:val="24"/>
          <w:szCs w:val="24"/>
          <w:shd w:val="clear" w:color="auto" w:fill="FFFFFF"/>
        </w:rPr>
        <w:t xml:space="preserve"> how RWE generated by the TTE method can be transferred to optimize treatment decisions of patients with a rare disease in late technology adopter countries with limited financial resources and HTA capacities</w:t>
      </w:r>
      <w:r>
        <w:rPr>
          <w:rFonts w:cstheme="minorHAnsi"/>
          <w:sz w:val="24"/>
          <w:szCs w:val="24"/>
          <w:shd w:val="clear" w:color="auto" w:fill="FFFFFF"/>
        </w:rPr>
        <w:t xml:space="preserve">. </w:t>
      </w:r>
      <w:r w:rsidR="00F96ECA">
        <w:rPr>
          <w:rFonts w:cstheme="minorHAnsi"/>
          <w:sz w:val="24"/>
          <w:szCs w:val="24"/>
          <w:shd w:val="clear" w:color="auto" w:fill="FFFFFF"/>
        </w:rPr>
        <w:t>Even if t</w:t>
      </w:r>
      <w:r w:rsidR="00DE6B69" w:rsidRPr="00C83273">
        <w:rPr>
          <w:rFonts w:cstheme="minorHAnsi"/>
          <w:sz w:val="24"/>
          <w:szCs w:val="24"/>
          <w:shd w:val="clear" w:color="auto" w:fill="FFFFFF"/>
        </w:rPr>
        <w:t xml:space="preserve">hroughout the </w:t>
      </w:r>
      <w:proofErr w:type="spellStart"/>
      <w:r w:rsidR="00DE6B69" w:rsidRPr="00C83273">
        <w:rPr>
          <w:rFonts w:cstheme="minorHAnsi"/>
          <w:sz w:val="24"/>
          <w:szCs w:val="24"/>
          <w:shd w:val="clear" w:color="auto" w:fill="FFFFFF"/>
        </w:rPr>
        <w:t>HTx</w:t>
      </w:r>
      <w:proofErr w:type="spellEnd"/>
      <w:r w:rsidR="00DE6B69" w:rsidRPr="00C83273">
        <w:rPr>
          <w:rFonts w:cstheme="minorHAnsi"/>
          <w:sz w:val="24"/>
          <w:szCs w:val="24"/>
          <w:shd w:val="clear" w:color="auto" w:fill="FFFFFF"/>
        </w:rPr>
        <w:t xml:space="preserve"> project the usefulness of the TTE method was </w:t>
      </w:r>
      <w:r w:rsidR="00020711">
        <w:rPr>
          <w:rFonts w:cstheme="minorHAnsi"/>
          <w:sz w:val="24"/>
          <w:szCs w:val="24"/>
          <w:shd w:val="clear" w:color="auto" w:fill="FFFFFF"/>
        </w:rPr>
        <w:t xml:space="preserve">discussed related to the </w:t>
      </w:r>
      <w:r w:rsidR="00E61165">
        <w:rPr>
          <w:rFonts w:cstheme="minorHAnsi"/>
          <w:sz w:val="24"/>
          <w:szCs w:val="24"/>
          <w:shd w:val="clear" w:color="auto" w:fill="FFFFFF"/>
        </w:rPr>
        <w:t>implementation of</w:t>
      </w:r>
      <w:r w:rsidR="00DE6B69" w:rsidRPr="00C83273">
        <w:rPr>
          <w:rFonts w:cstheme="minorHAnsi"/>
          <w:sz w:val="24"/>
          <w:szCs w:val="24"/>
          <w:shd w:val="clear" w:color="auto" w:fill="FFFFFF"/>
        </w:rPr>
        <w:t xml:space="preserve"> the MDS case study</w:t>
      </w:r>
      <w:r w:rsidR="00F96ECA">
        <w:rPr>
          <w:rFonts w:cstheme="minorHAnsi"/>
          <w:sz w:val="24"/>
          <w:szCs w:val="24"/>
          <w:shd w:val="clear" w:color="auto" w:fill="FFFFFF"/>
        </w:rPr>
        <w:t xml:space="preserve">, the guidance was developed </w:t>
      </w:r>
      <w:r w:rsidR="00F01299">
        <w:rPr>
          <w:rFonts w:cstheme="minorHAnsi"/>
          <w:sz w:val="24"/>
          <w:szCs w:val="24"/>
          <w:shd w:val="clear" w:color="auto" w:fill="FFFFFF"/>
        </w:rPr>
        <w:t xml:space="preserve">without utilizing </w:t>
      </w:r>
      <w:r w:rsidR="00D0498F">
        <w:rPr>
          <w:rFonts w:cstheme="minorHAnsi"/>
          <w:sz w:val="24"/>
          <w:szCs w:val="24"/>
          <w:shd w:val="clear" w:color="auto" w:fill="FFFFFF"/>
        </w:rPr>
        <w:t>any</w:t>
      </w:r>
      <w:r w:rsidR="00F96ECA">
        <w:rPr>
          <w:rFonts w:cstheme="minorHAnsi"/>
          <w:sz w:val="24"/>
          <w:szCs w:val="24"/>
          <w:shd w:val="clear" w:color="auto" w:fill="FFFFFF"/>
        </w:rPr>
        <w:t xml:space="preserve"> </w:t>
      </w:r>
      <w:r w:rsidR="00E61165">
        <w:rPr>
          <w:rFonts w:cstheme="minorHAnsi"/>
          <w:sz w:val="24"/>
          <w:szCs w:val="24"/>
          <w:shd w:val="clear" w:color="auto" w:fill="FFFFFF"/>
        </w:rPr>
        <w:t xml:space="preserve">primary or secondary </w:t>
      </w:r>
      <w:r w:rsidR="00F96ECA">
        <w:rPr>
          <w:rFonts w:cstheme="minorHAnsi"/>
          <w:sz w:val="24"/>
          <w:szCs w:val="24"/>
          <w:shd w:val="clear" w:color="auto" w:fill="FFFFFF"/>
        </w:rPr>
        <w:t xml:space="preserve">data </w:t>
      </w:r>
      <w:r w:rsidR="00731167">
        <w:rPr>
          <w:rFonts w:cstheme="minorHAnsi"/>
          <w:sz w:val="24"/>
          <w:szCs w:val="24"/>
          <w:shd w:val="clear" w:color="auto" w:fill="FFFFFF"/>
        </w:rPr>
        <w:t>from</w:t>
      </w:r>
      <w:r w:rsidR="00F96ECA">
        <w:rPr>
          <w:rFonts w:cstheme="minorHAnsi"/>
          <w:sz w:val="24"/>
          <w:szCs w:val="24"/>
          <w:shd w:val="clear" w:color="auto" w:fill="FFFFFF"/>
        </w:rPr>
        <w:t xml:space="preserve"> the case study</w:t>
      </w:r>
      <w:r w:rsidR="00DE6B69" w:rsidRPr="00C83273">
        <w:rPr>
          <w:rFonts w:cstheme="minorHAnsi"/>
          <w:sz w:val="24"/>
          <w:szCs w:val="24"/>
          <w:shd w:val="clear" w:color="auto" w:fill="FFFFFF"/>
        </w:rPr>
        <w:t xml:space="preserve">. </w:t>
      </w:r>
    </w:p>
    <w:p w14:paraId="4DC8979D" w14:textId="34B27D26" w:rsidR="008629E9" w:rsidRDefault="00DE6B69" w:rsidP="00A04EBD">
      <w:pPr>
        <w:spacing w:line="240" w:lineRule="auto"/>
        <w:jc w:val="both"/>
        <w:rPr>
          <w:rFonts w:cstheme="minorHAnsi"/>
        </w:rPr>
      </w:pPr>
      <w:r w:rsidRPr="00C83273">
        <w:rPr>
          <w:rFonts w:cstheme="minorHAnsi"/>
          <w:sz w:val="24"/>
          <w:szCs w:val="24"/>
          <w:shd w:val="clear" w:color="auto" w:fill="FFFFFF"/>
        </w:rPr>
        <w:t>The transferability of the TTE method to LIECs w</w:t>
      </w:r>
      <w:r w:rsidR="00A41444">
        <w:rPr>
          <w:rFonts w:cstheme="minorHAnsi"/>
          <w:sz w:val="24"/>
          <w:szCs w:val="24"/>
          <w:shd w:val="clear" w:color="auto" w:fill="FFFFFF"/>
        </w:rPr>
        <w:t>as</w:t>
      </w:r>
      <w:r w:rsidRPr="00C83273">
        <w:rPr>
          <w:rFonts w:cstheme="minorHAnsi"/>
          <w:sz w:val="24"/>
          <w:szCs w:val="24"/>
          <w:shd w:val="clear" w:color="auto" w:fill="FFFFFF"/>
        </w:rPr>
        <w:t xml:space="preserve"> </w:t>
      </w:r>
      <w:r w:rsidR="00731167">
        <w:rPr>
          <w:rFonts w:cstheme="minorHAnsi"/>
          <w:sz w:val="24"/>
          <w:szCs w:val="24"/>
          <w:shd w:val="clear" w:color="auto" w:fill="FFFFFF"/>
        </w:rPr>
        <w:t>explored</w:t>
      </w:r>
      <w:r w:rsidRPr="00C83273">
        <w:rPr>
          <w:rFonts w:cstheme="minorHAnsi"/>
          <w:sz w:val="24"/>
          <w:szCs w:val="24"/>
          <w:shd w:val="clear" w:color="auto" w:fill="FFFFFF"/>
        </w:rPr>
        <w:t xml:space="preserve"> through a series of workshops</w:t>
      </w:r>
      <w:r w:rsidR="00D51E97">
        <w:rPr>
          <w:rFonts w:cstheme="minorHAnsi"/>
          <w:sz w:val="24"/>
          <w:szCs w:val="24"/>
          <w:shd w:val="clear" w:color="auto" w:fill="FFFFFF"/>
        </w:rPr>
        <w:t xml:space="preserve"> with HTA doers and users</w:t>
      </w:r>
      <w:r w:rsidRPr="00C83273">
        <w:rPr>
          <w:rFonts w:cstheme="minorHAnsi"/>
          <w:sz w:val="24"/>
          <w:szCs w:val="24"/>
          <w:shd w:val="clear" w:color="auto" w:fill="FFFFFF"/>
        </w:rPr>
        <w:t>. Based on the final workshop</w:t>
      </w:r>
      <w:bookmarkStart w:id="14" w:name="_Hlk178104273"/>
      <w:r w:rsidRPr="00C83273">
        <w:rPr>
          <w:rFonts w:cstheme="minorHAnsi"/>
          <w:sz w:val="24"/>
          <w:szCs w:val="24"/>
          <w:shd w:val="clear" w:color="auto" w:fill="FFFFFF"/>
        </w:rPr>
        <w:t xml:space="preserve">, the main challenges of transferring the TTE method to LIECs were identified and ranked by importance. Five concluding statements were </w:t>
      </w:r>
      <w:r w:rsidR="00D816F8">
        <w:rPr>
          <w:rFonts w:cstheme="minorHAnsi"/>
          <w:sz w:val="24"/>
          <w:szCs w:val="24"/>
          <w:shd w:val="clear" w:color="auto" w:fill="FFFFFF"/>
        </w:rPr>
        <w:t>made</w:t>
      </w:r>
      <w:r w:rsidRPr="00C83273">
        <w:rPr>
          <w:rFonts w:cstheme="minorHAnsi"/>
          <w:sz w:val="24"/>
          <w:szCs w:val="24"/>
          <w:shd w:val="clear" w:color="auto" w:fill="FFFFFF"/>
        </w:rPr>
        <w:t xml:space="preserve">, one on the </w:t>
      </w:r>
      <w:r w:rsidR="001B48D2">
        <w:rPr>
          <w:rFonts w:cstheme="minorHAnsi"/>
          <w:sz w:val="24"/>
          <w:szCs w:val="24"/>
          <w:shd w:val="clear" w:color="auto" w:fill="FFFFFF"/>
        </w:rPr>
        <w:t xml:space="preserve">novelty </w:t>
      </w:r>
      <w:r w:rsidRPr="00C83273">
        <w:rPr>
          <w:rFonts w:cstheme="minorHAnsi"/>
          <w:sz w:val="24"/>
          <w:szCs w:val="24"/>
          <w:shd w:val="clear" w:color="auto" w:fill="FFFFFF"/>
        </w:rPr>
        <w:t>of the TTE method itself, and four to help overcome these main challenges.</w:t>
      </w:r>
      <w:r w:rsidR="008629E9">
        <w:rPr>
          <w:rFonts w:cstheme="minorHAnsi"/>
        </w:rPr>
        <w:br w:type="page"/>
      </w:r>
    </w:p>
    <w:bookmarkEnd w:id="14"/>
    <w:p w14:paraId="5D5B5A64" w14:textId="77777777" w:rsidR="00962596" w:rsidRPr="00C83273" w:rsidRDefault="00962596" w:rsidP="00962596">
      <w:pPr>
        <w:spacing w:line="240" w:lineRule="auto"/>
        <w:ind w:left="50"/>
        <w:jc w:val="both"/>
        <w:rPr>
          <w:rFonts w:cstheme="minorHAnsi"/>
          <w:sz w:val="24"/>
          <w:szCs w:val="24"/>
        </w:rPr>
      </w:pPr>
      <w:r w:rsidRPr="00C83273">
        <w:rPr>
          <w:rFonts w:cstheme="minorHAnsi"/>
          <w:noProof/>
          <w:sz w:val="24"/>
          <w:szCs w:val="24"/>
        </w:rPr>
        <w:drawing>
          <wp:inline distT="0" distB="0" distL="0" distR="0" wp14:anchorId="7E9A97B0" wp14:editId="5A41D677">
            <wp:extent cx="5671820" cy="2398616"/>
            <wp:effectExtent l="0" t="0" r="5080" b="1905"/>
            <wp:docPr id="108740747"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0747" name="Picture 1" descr="A screenshot of a cell phone&#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86328" cy="2404752"/>
                    </a:xfrm>
                    <a:prstGeom prst="rect">
                      <a:avLst/>
                    </a:prstGeom>
                    <a:noFill/>
                  </pic:spPr>
                </pic:pic>
              </a:graphicData>
            </a:graphic>
          </wp:inline>
        </w:drawing>
      </w:r>
    </w:p>
    <w:p w14:paraId="14A7A611" w14:textId="77777777" w:rsidR="00962596" w:rsidRPr="00C83273" w:rsidRDefault="00962596" w:rsidP="00962596">
      <w:pPr>
        <w:spacing w:line="240" w:lineRule="auto"/>
        <w:ind w:left="50"/>
        <w:jc w:val="both"/>
        <w:rPr>
          <w:rFonts w:cstheme="minorHAnsi"/>
          <w:sz w:val="24"/>
          <w:szCs w:val="24"/>
        </w:rPr>
      </w:pPr>
      <w:r w:rsidRPr="00C83273">
        <w:rPr>
          <w:rFonts w:cstheme="minorHAnsi"/>
          <w:b/>
          <w:bCs/>
          <w:sz w:val="24"/>
          <w:szCs w:val="24"/>
        </w:rPr>
        <w:t>Figure 1.</w:t>
      </w:r>
      <w:r w:rsidRPr="00C83273">
        <w:rPr>
          <w:rFonts w:cstheme="minorHAnsi"/>
          <w:sz w:val="24"/>
          <w:szCs w:val="24"/>
        </w:rPr>
        <w:t xml:space="preserve"> Process of developing transferability recommendations for the </w:t>
      </w:r>
      <w:r>
        <w:rPr>
          <w:rFonts w:cstheme="minorHAnsi"/>
          <w:sz w:val="24"/>
          <w:szCs w:val="24"/>
        </w:rPr>
        <w:t>t</w:t>
      </w:r>
      <w:r w:rsidRPr="00C83273">
        <w:rPr>
          <w:rFonts w:cstheme="minorHAnsi"/>
          <w:sz w:val="24"/>
          <w:szCs w:val="24"/>
        </w:rPr>
        <w:t xml:space="preserve">arget </w:t>
      </w:r>
      <w:r>
        <w:rPr>
          <w:rFonts w:cstheme="minorHAnsi"/>
          <w:sz w:val="24"/>
          <w:szCs w:val="24"/>
        </w:rPr>
        <w:t>t</w:t>
      </w:r>
      <w:r w:rsidRPr="00C83273">
        <w:rPr>
          <w:rFonts w:cstheme="minorHAnsi"/>
          <w:sz w:val="24"/>
          <w:szCs w:val="24"/>
        </w:rPr>
        <w:t xml:space="preserve">rial </w:t>
      </w:r>
      <w:r>
        <w:rPr>
          <w:rFonts w:cstheme="minorHAnsi"/>
          <w:sz w:val="24"/>
          <w:szCs w:val="24"/>
        </w:rPr>
        <w:t>e</w:t>
      </w:r>
      <w:r w:rsidRPr="00C83273">
        <w:rPr>
          <w:rFonts w:cstheme="minorHAnsi"/>
          <w:sz w:val="24"/>
          <w:szCs w:val="24"/>
        </w:rPr>
        <w:t xml:space="preserve">mulation </w:t>
      </w:r>
      <w:r>
        <w:rPr>
          <w:rFonts w:cstheme="minorHAnsi"/>
          <w:sz w:val="24"/>
          <w:szCs w:val="24"/>
        </w:rPr>
        <w:t>a</w:t>
      </w:r>
      <w:r w:rsidRPr="00C83273">
        <w:rPr>
          <w:rFonts w:cstheme="minorHAnsi"/>
          <w:sz w:val="24"/>
          <w:szCs w:val="24"/>
        </w:rPr>
        <w:t xml:space="preserve">pproach to HTA Systems in </w:t>
      </w:r>
      <w:r>
        <w:rPr>
          <w:rFonts w:cstheme="minorHAnsi"/>
          <w:sz w:val="24"/>
          <w:szCs w:val="24"/>
        </w:rPr>
        <w:t>l</w:t>
      </w:r>
      <w:r w:rsidRPr="00C83273">
        <w:rPr>
          <w:rFonts w:cstheme="minorHAnsi"/>
          <w:sz w:val="24"/>
          <w:szCs w:val="24"/>
        </w:rPr>
        <w:t xml:space="preserve">ower </w:t>
      </w:r>
      <w:r>
        <w:rPr>
          <w:rFonts w:cstheme="minorHAnsi"/>
          <w:sz w:val="24"/>
          <w:szCs w:val="24"/>
        </w:rPr>
        <w:t>i</w:t>
      </w:r>
      <w:r w:rsidRPr="00C83273">
        <w:rPr>
          <w:rFonts w:cstheme="minorHAnsi"/>
          <w:sz w:val="24"/>
          <w:szCs w:val="24"/>
        </w:rPr>
        <w:t xml:space="preserve">ncome European </w:t>
      </w:r>
      <w:r>
        <w:rPr>
          <w:rFonts w:cstheme="minorHAnsi"/>
          <w:sz w:val="24"/>
          <w:szCs w:val="24"/>
        </w:rPr>
        <w:t>c</w:t>
      </w:r>
      <w:r w:rsidRPr="00C83273">
        <w:rPr>
          <w:rFonts w:cstheme="minorHAnsi"/>
          <w:sz w:val="24"/>
          <w:szCs w:val="24"/>
        </w:rPr>
        <w:t>ountries.</w:t>
      </w:r>
    </w:p>
    <w:p w14:paraId="274B2CCA" w14:textId="77777777" w:rsidR="00962596" w:rsidRDefault="00962596">
      <w:pPr>
        <w:rPr>
          <w:rFonts w:cstheme="minorHAnsi"/>
          <w:b/>
          <w:bCs/>
          <w:sz w:val="24"/>
          <w:szCs w:val="24"/>
        </w:rPr>
      </w:pPr>
      <w:r>
        <w:rPr>
          <w:rFonts w:cstheme="minorHAnsi"/>
          <w:b/>
          <w:bCs/>
          <w:sz w:val="24"/>
          <w:szCs w:val="24"/>
        </w:rPr>
        <w:br w:type="page"/>
      </w:r>
    </w:p>
    <w:p w14:paraId="5661A0A0" w14:textId="203F8498" w:rsidR="00962596" w:rsidRPr="00C83273" w:rsidRDefault="00962596" w:rsidP="00962596">
      <w:pPr>
        <w:spacing w:line="240" w:lineRule="auto"/>
        <w:ind w:left="50"/>
        <w:rPr>
          <w:rFonts w:cstheme="minorHAnsi"/>
          <w:sz w:val="24"/>
          <w:szCs w:val="24"/>
        </w:rPr>
      </w:pPr>
      <w:r w:rsidRPr="00C83273">
        <w:rPr>
          <w:rFonts w:cstheme="minorHAnsi"/>
          <w:b/>
          <w:bCs/>
          <w:sz w:val="24"/>
          <w:szCs w:val="24"/>
        </w:rPr>
        <w:t>Table 1.</w:t>
      </w:r>
      <w:r w:rsidRPr="00C83273">
        <w:rPr>
          <w:rFonts w:cstheme="minorHAnsi"/>
          <w:sz w:val="24"/>
          <w:szCs w:val="24"/>
        </w:rPr>
        <w:t xml:space="preserve"> Participants' opinion on whether the target trial emulation approach applied in the </w:t>
      </w:r>
      <w:proofErr w:type="spellStart"/>
      <w:r w:rsidRPr="00C83273">
        <w:rPr>
          <w:rFonts w:cstheme="minorHAnsi"/>
          <w:sz w:val="24"/>
          <w:szCs w:val="24"/>
        </w:rPr>
        <w:t>HTx</w:t>
      </w:r>
      <w:proofErr w:type="spellEnd"/>
      <w:r w:rsidRPr="00C83273">
        <w:rPr>
          <w:rFonts w:cstheme="minorHAnsi"/>
          <w:sz w:val="24"/>
          <w:szCs w:val="24"/>
        </w:rPr>
        <w:t xml:space="preserve"> project is an improvement to current standard HTA methods.</w:t>
      </w:r>
    </w:p>
    <w:tbl>
      <w:tblPr>
        <w:tblStyle w:val="TableGrid"/>
        <w:tblW w:w="0" w:type="auto"/>
        <w:tblLook w:val="04A0" w:firstRow="1" w:lastRow="0" w:firstColumn="1" w:lastColumn="0" w:noHBand="0" w:noVBand="1"/>
      </w:tblPr>
      <w:tblGrid>
        <w:gridCol w:w="7933"/>
        <w:gridCol w:w="1083"/>
      </w:tblGrid>
      <w:tr w:rsidR="00962596" w:rsidRPr="001701F8" w14:paraId="7C0D636D" w14:textId="77777777" w:rsidTr="00BD00DB">
        <w:trPr>
          <w:trHeight w:val="280"/>
        </w:trPr>
        <w:tc>
          <w:tcPr>
            <w:tcW w:w="7933" w:type="dxa"/>
            <w:noWrap/>
            <w:vAlign w:val="center"/>
          </w:tcPr>
          <w:p w14:paraId="7A5BF396" w14:textId="2AD0A66F" w:rsidR="00962596" w:rsidRPr="00C83273" w:rsidRDefault="00962596" w:rsidP="00BD00DB">
            <w:pPr>
              <w:spacing w:before="60" w:after="60"/>
              <w:ind w:left="51"/>
              <w:rPr>
                <w:rFonts w:cstheme="minorHAnsi"/>
                <w:b/>
                <w:bCs/>
                <w:sz w:val="24"/>
                <w:szCs w:val="24"/>
              </w:rPr>
            </w:pPr>
            <w:r w:rsidRPr="00C83273">
              <w:rPr>
                <w:rFonts w:cstheme="minorHAnsi"/>
                <w:b/>
                <w:bCs/>
                <w:sz w:val="24"/>
                <w:szCs w:val="24"/>
              </w:rPr>
              <w:t xml:space="preserve">Innovativeness of the </w:t>
            </w:r>
            <w:r w:rsidR="0052326A">
              <w:rPr>
                <w:rFonts w:cstheme="minorHAnsi"/>
                <w:b/>
                <w:bCs/>
                <w:sz w:val="24"/>
                <w:szCs w:val="24"/>
              </w:rPr>
              <w:t>target trial emulation</w:t>
            </w:r>
            <w:r w:rsidRPr="00C83273">
              <w:rPr>
                <w:rFonts w:cstheme="minorHAnsi"/>
                <w:b/>
                <w:bCs/>
                <w:sz w:val="24"/>
                <w:szCs w:val="24"/>
              </w:rPr>
              <w:t xml:space="preserve"> method compared with current standard HTA methods</w:t>
            </w:r>
          </w:p>
        </w:tc>
        <w:tc>
          <w:tcPr>
            <w:tcW w:w="1083" w:type="dxa"/>
            <w:noWrap/>
            <w:vAlign w:val="center"/>
          </w:tcPr>
          <w:p w14:paraId="349CBD0D" w14:textId="77777777" w:rsidR="00962596" w:rsidRPr="00C83273" w:rsidRDefault="00962596" w:rsidP="00BD00DB">
            <w:pPr>
              <w:spacing w:before="60" w:after="60"/>
              <w:ind w:hanging="10"/>
              <w:jc w:val="center"/>
              <w:rPr>
                <w:rFonts w:cstheme="minorHAnsi"/>
                <w:b/>
                <w:bCs/>
                <w:sz w:val="24"/>
                <w:szCs w:val="24"/>
              </w:rPr>
            </w:pPr>
            <w:r w:rsidRPr="00C83273">
              <w:rPr>
                <w:rFonts w:cstheme="minorHAnsi"/>
                <w:b/>
                <w:bCs/>
                <w:sz w:val="24"/>
                <w:szCs w:val="24"/>
              </w:rPr>
              <w:t>Answers N=14</w:t>
            </w:r>
          </w:p>
        </w:tc>
      </w:tr>
      <w:tr w:rsidR="00962596" w:rsidRPr="001701F8" w14:paraId="4DD53658" w14:textId="77777777" w:rsidTr="00BD00DB">
        <w:trPr>
          <w:trHeight w:val="280"/>
        </w:trPr>
        <w:tc>
          <w:tcPr>
            <w:tcW w:w="7933" w:type="dxa"/>
            <w:noWrap/>
            <w:hideMark/>
          </w:tcPr>
          <w:p w14:paraId="28AC4648" w14:textId="77777777" w:rsidR="00962596" w:rsidRPr="00C83273" w:rsidRDefault="00962596" w:rsidP="00BD00DB">
            <w:pPr>
              <w:spacing w:before="60" w:after="60"/>
              <w:ind w:left="51"/>
              <w:jc w:val="both"/>
              <w:rPr>
                <w:rFonts w:cstheme="minorHAnsi"/>
                <w:sz w:val="24"/>
                <w:szCs w:val="24"/>
              </w:rPr>
            </w:pPr>
            <w:r w:rsidRPr="00C83273">
              <w:rPr>
                <w:rFonts w:cstheme="minorHAnsi"/>
                <w:sz w:val="24"/>
                <w:szCs w:val="24"/>
              </w:rPr>
              <w:t>NO, the methodology has already been described and applied routinely</w:t>
            </w:r>
          </w:p>
        </w:tc>
        <w:tc>
          <w:tcPr>
            <w:tcW w:w="1083" w:type="dxa"/>
            <w:noWrap/>
            <w:vAlign w:val="center"/>
            <w:hideMark/>
          </w:tcPr>
          <w:p w14:paraId="74111165" w14:textId="77777777" w:rsidR="00962596" w:rsidRPr="00C83273" w:rsidRDefault="00962596" w:rsidP="00BD00DB">
            <w:pPr>
              <w:spacing w:before="60" w:after="60"/>
              <w:ind w:hanging="10"/>
              <w:jc w:val="center"/>
              <w:rPr>
                <w:rFonts w:cstheme="minorHAnsi"/>
                <w:sz w:val="24"/>
                <w:szCs w:val="24"/>
              </w:rPr>
            </w:pPr>
            <w:r w:rsidRPr="00C83273">
              <w:rPr>
                <w:rFonts w:cstheme="minorHAnsi"/>
                <w:sz w:val="24"/>
                <w:szCs w:val="24"/>
              </w:rPr>
              <w:t>0</w:t>
            </w:r>
          </w:p>
        </w:tc>
      </w:tr>
      <w:tr w:rsidR="00962596" w:rsidRPr="001701F8" w14:paraId="0F67B1B7" w14:textId="77777777" w:rsidTr="00BD00DB">
        <w:trPr>
          <w:trHeight w:val="280"/>
        </w:trPr>
        <w:tc>
          <w:tcPr>
            <w:tcW w:w="7933" w:type="dxa"/>
            <w:noWrap/>
            <w:hideMark/>
          </w:tcPr>
          <w:p w14:paraId="0792A21E" w14:textId="77777777" w:rsidR="00962596" w:rsidRPr="00C83273" w:rsidRDefault="00962596" w:rsidP="00BD00DB">
            <w:pPr>
              <w:spacing w:before="60" w:after="60"/>
              <w:ind w:left="51"/>
              <w:jc w:val="both"/>
              <w:rPr>
                <w:rFonts w:cstheme="minorHAnsi"/>
                <w:sz w:val="24"/>
                <w:szCs w:val="24"/>
              </w:rPr>
            </w:pPr>
            <w:r w:rsidRPr="00C83273">
              <w:rPr>
                <w:rFonts w:cstheme="minorHAnsi"/>
                <w:sz w:val="24"/>
                <w:szCs w:val="24"/>
              </w:rPr>
              <w:t xml:space="preserve">YES, the approach applied in the </w:t>
            </w:r>
            <w:proofErr w:type="spellStart"/>
            <w:r w:rsidRPr="00C83273">
              <w:rPr>
                <w:rFonts w:cstheme="minorHAnsi"/>
                <w:sz w:val="24"/>
                <w:szCs w:val="24"/>
              </w:rPr>
              <w:t>HTx</w:t>
            </w:r>
            <w:proofErr w:type="spellEnd"/>
            <w:r w:rsidRPr="00C83273">
              <w:rPr>
                <w:rFonts w:cstheme="minorHAnsi"/>
                <w:sz w:val="24"/>
                <w:szCs w:val="24"/>
              </w:rPr>
              <w:t xml:space="preserve"> project is a minor improvement to an existing standard approach</w:t>
            </w:r>
          </w:p>
        </w:tc>
        <w:tc>
          <w:tcPr>
            <w:tcW w:w="1083" w:type="dxa"/>
            <w:noWrap/>
            <w:vAlign w:val="center"/>
            <w:hideMark/>
          </w:tcPr>
          <w:p w14:paraId="1F620BB4" w14:textId="77777777" w:rsidR="00962596" w:rsidRPr="00C83273" w:rsidRDefault="00962596" w:rsidP="00BD00DB">
            <w:pPr>
              <w:spacing w:before="60" w:after="60"/>
              <w:ind w:hanging="10"/>
              <w:jc w:val="center"/>
              <w:rPr>
                <w:rFonts w:cstheme="minorHAnsi"/>
                <w:sz w:val="24"/>
                <w:szCs w:val="24"/>
              </w:rPr>
            </w:pPr>
            <w:r w:rsidRPr="00C83273">
              <w:rPr>
                <w:rFonts w:cstheme="minorHAnsi"/>
                <w:sz w:val="24"/>
                <w:szCs w:val="24"/>
              </w:rPr>
              <w:t>2</w:t>
            </w:r>
          </w:p>
        </w:tc>
      </w:tr>
      <w:tr w:rsidR="00962596" w:rsidRPr="001701F8" w14:paraId="32B376C1" w14:textId="77777777" w:rsidTr="00BD00DB">
        <w:trPr>
          <w:trHeight w:val="280"/>
        </w:trPr>
        <w:tc>
          <w:tcPr>
            <w:tcW w:w="7933" w:type="dxa"/>
            <w:noWrap/>
            <w:hideMark/>
          </w:tcPr>
          <w:p w14:paraId="18196B3C" w14:textId="77777777" w:rsidR="00962596" w:rsidRPr="00C83273" w:rsidRDefault="00962596" w:rsidP="00BD00DB">
            <w:pPr>
              <w:spacing w:before="60" w:after="60"/>
              <w:ind w:left="51"/>
              <w:jc w:val="both"/>
              <w:rPr>
                <w:rFonts w:cstheme="minorHAnsi"/>
                <w:sz w:val="24"/>
                <w:szCs w:val="24"/>
              </w:rPr>
            </w:pPr>
            <w:r w:rsidRPr="00C83273">
              <w:rPr>
                <w:rFonts w:cstheme="minorHAnsi"/>
                <w:sz w:val="24"/>
                <w:szCs w:val="24"/>
              </w:rPr>
              <w:t xml:space="preserve">YES, the approach applied in the </w:t>
            </w:r>
            <w:proofErr w:type="spellStart"/>
            <w:r w:rsidRPr="00C83273">
              <w:rPr>
                <w:rFonts w:cstheme="minorHAnsi"/>
                <w:sz w:val="24"/>
                <w:szCs w:val="24"/>
              </w:rPr>
              <w:t>HTx</w:t>
            </w:r>
            <w:proofErr w:type="spellEnd"/>
            <w:r w:rsidRPr="00C83273">
              <w:rPr>
                <w:rFonts w:cstheme="minorHAnsi"/>
                <w:sz w:val="24"/>
                <w:szCs w:val="24"/>
              </w:rPr>
              <w:t xml:space="preserve"> project is a major improvement to an existing standard HTA approach</w:t>
            </w:r>
          </w:p>
        </w:tc>
        <w:tc>
          <w:tcPr>
            <w:tcW w:w="1083" w:type="dxa"/>
            <w:noWrap/>
            <w:vAlign w:val="center"/>
            <w:hideMark/>
          </w:tcPr>
          <w:p w14:paraId="2233A7A7" w14:textId="77777777" w:rsidR="00962596" w:rsidRPr="00C83273" w:rsidRDefault="00962596" w:rsidP="00BD00DB">
            <w:pPr>
              <w:spacing w:before="60" w:after="60"/>
              <w:ind w:hanging="10"/>
              <w:jc w:val="center"/>
              <w:rPr>
                <w:rFonts w:cstheme="minorHAnsi"/>
                <w:sz w:val="24"/>
                <w:szCs w:val="24"/>
              </w:rPr>
            </w:pPr>
            <w:r w:rsidRPr="00C83273">
              <w:rPr>
                <w:rFonts w:cstheme="minorHAnsi"/>
                <w:sz w:val="24"/>
                <w:szCs w:val="24"/>
              </w:rPr>
              <w:t>8</w:t>
            </w:r>
          </w:p>
        </w:tc>
      </w:tr>
      <w:tr w:rsidR="00962596" w:rsidRPr="001701F8" w14:paraId="1B3FBCFA" w14:textId="77777777" w:rsidTr="00BD00DB">
        <w:trPr>
          <w:trHeight w:val="280"/>
        </w:trPr>
        <w:tc>
          <w:tcPr>
            <w:tcW w:w="7933" w:type="dxa"/>
            <w:noWrap/>
            <w:hideMark/>
          </w:tcPr>
          <w:p w14:paraId="29DF8FB9" w14:textId="77777777" w:rsidR="00962596" w:rsidRPr="00C83273" w:rsidRDefault="00962596" w:rsidP="00BD00DB">
            <w:pPr>
              <w:spacing w:before="60" w:after="60"/>
              <w:ind w:left="51"/>
              <w:jc w:val="both"/>
              <w:rPr>
                <w:rFonts w:cstheme="minorHAnsi"/>
                <w:sz w:val="24"/>
                <w:szCs w:val="24"/>
              </w:rPr>
            </w:pPr>
            <w:r w:rsidRPr="00C83273">
              <w:rPr>
                <w:rFonts w:cstheme="minorHAnsi"/>
                <w:sz w:val="24"/>
                <w:szCs w:val="24"/>
              </w:rPr>
              <w:t xml:space="preserve">YES, the approach applied in the </w:t>
            </w:r>
            <w:proofErr w:type="spellStart"/>
            <w:r w:rsidRPr="00C83273">
              <w:rPr>
                <w:rFonts w:cstheme="minorHAnsi"/>
                <w:sz w:val="24"/>
                <w:szCs w:val="24"/>
              </w:rPr>
              <w:t>HTx</w:t>
            </w:r>
            <w:proofErr w:type="spellEnd"/>
            <w:r w:rsidRPr="00C83273">
              <w:rPr>
                <w:rFonts w:cstheme="minorHAnsi"/>
                <w:sz w:val="24"/>
                <w:szCs w:val="24"/>
              </w:rPr>
              <w:t xml:space="preserve"> project will radically change how similar technologies should be evaluated in the future</w:t>
            </w:r>
          </w:p>
        </w:tc>
        <w:tc>
          <w:tcPr>
            <w:tcW w:w="1083" w:type="dxa"/>
            <w:noWrap/>
            <w:vAlign w:val="center"/>
            <w:hideMark/>
          </w:tcPr>
          <w:p w14:paraId="00997C3C" w14:textId="77777777" w:rsidR="00962596" w:rsidRPr="00C83273" w:rsidRDefault="00962596" w:rsidP="00BD00DB">
            <w:pPr>
              <w:spacing w:before="60" w:after="60"/>
              <w:ind w:hanging="10"/>
              <w:jc w:val="center"/>
              <w:rPr>
                <w:rFonts w:cstheme="minorHAnsi"/>
                <w:sz w:val="24"/>
                <w:szCs w:val="24"/>
              </w:rPr>
            </w:pPr>
            <w:r w:rsidRPr="00C83273">
              <w:rPr>
                <w:rFonts w:cstheme="minorHAnsi"/>
                <w:sz w:val="24"/>
                <w:szCs w:val="24"/>
              </w:rPr>
              <w:t>1</w:t>
            </w:r>
          </w:p>
        </w:tc>
      </w:tr>
      <w:tr w:rsidR="00962596" w:rsidRPr="001701F8" w14:paraId="6784996A" w14:textId="77777777" w:rsidTr="00BD00DB">
        <w:trPr>
          <w:trHeight w:val="280"/>
        </w:trPr>
        <w:tc>
          <w:tcPr>
            <w:tcW w:w="7933" w:type="dxa"/>
            <w:noWrap/>
            <w:hideMark/>
          </w:tcPr>
          <w:p w14:paraId="7741789E" w14:textId="77777777" w:rsidR="00962596" w:rsidRPr="00C83273" w:rsidRDefault="00962596" w:rsidP="00BD00DB">
            <w:pPr>
              <w:spacing w:before="60" w:after="60"/>
              <w:ind w:left="51"/>
              <w:jc w:val="both"/>
              <w:rPr>
                <w:rFonts w:cstheme="minorHAnsi"/>
                <w:sz w:val="24"/>
                <w:szCs w:val="24"/>
              </w:rPr>
            </w:pPr>
            <w:r w:rsidRPr="00C83273">
              <w:rPr>
                <w:rFonts w:cstheme="minorHAnsi"/>
                <w:sz w:val="24"/>
                <w:szCs w:val="24"/>
              </w:rPr>
              <w:t>Based on what I have heard today I cannot judge</w:t>
            </w:r>
          </w:p>
        </w:tc>
        <w:tc>
          <w:tcPr>
            <w:tcW w:w="1083" w:type="dxa"/>
            <w:noWrap/>
            <w:vAlign w:val="center"/>
            <w:hideMark/>
          </w:tcPr>
          <w:p w14:paraId="25BD3AC7" w14:textId="77777777" w:rsidR="00962596" w:rsidRPr="00C83273" w:rsidRDefault="00962596" w:rsidP="00BD00DB">
            <w:pPr>
              <w:spacing w:before="60" w:after="60"/>
              <w:ind w:hanging="10"/>
              <w:jc w:val="center"/>
              <w:rPr>
                <w:rFonts w:cstheme="minorHAnsi"/>
                <w:sz w:val="24"/>
                <w:szCs w:val="24"/>
              </w:rPr>
            </w:pPr>
            <w:r w:rsidRPr="00C83273">
              <w:rPr>
                <w:rFonts w:cstheme="minorHAnsi"/>
                <w:sz w:val="24"/>
                <w:szCs w:val="24"/>
              </w:rPr>
              <w:t>3</w:t>
            </w:r>
          </w:p>
        </w:tc>
      </w:tr>
    </w:tbl>
    <w:p w14:paraId="2E837416" w14:textId="77777777" w:rsidR="00962596" w:rsidRDefault="00962596" w:rsidP="00C83273">
      <w:pPr>
        <w:spacing w:line="240" w:lineRule="auto"/>
        <w:rPr>
          <w:rFonts w:cstheme="minorHAnsi"/>
          <w:b/>
          <w:bCs/>
          <w:sz w:val="24"/>
          <w:szCs w:val="24"/>
        </w:rPr>
      </w:pPr>
    </w:p>
    <w:p w14:paraId="70CFFFAA" w14:textId="77777777" w:rsidR="00962596" w:rsidRDefault="00962596">
      <w:pPr>
        <w:rPr>
          <w:rFonts w:cstheme="minorHAnsi"/>
          <w:b/>
          <w:bCs/>
          <w:sz w:val="24"/>
          <w:szCs w:val="24"/>
        </w:rPr>
      </w:pPr>
      <w:r>
        <w:rPr>
          <w:rFonts w:cstheme="minorHAnsi"/>
          <w:b/>
          <w:bCs/>
          <w:sz w:val="24"/>
          <w:szCs w:val="24"/>
        </w:rPr>
        <w:br w:type="page"/>
      </w:r>
    </w:p>
    <w:p w14:paraId="5B138DB2" w14:textId="6056A1FD" w:rsidR="00962596" w:rsidRPr="00C83273" w:rsidRDefault="00962596" w:rsidP="00962596">
      <w:pPr>
        <w:spacing w:line="240" w:lineRule="auto"/>
        <w:rPr>
          <w:rFonts w:cstheme="minorHAnsi"/>
          <w:sz w:val="24"/>
          <w:szCs w:val="24"/>
        </w:rPr>
      </w:pPr>
      <w:r w:rsidRPr="00C83273">
        <w:rPr>
          <w:rFonts w:cstheme="minorHAnsi"/>
          <w:b/>
          <w:bCs/>
          <w:sz w:val="24"/>
          <w:szCs w:val="24"/>
        </w:rPr>
        <w:t>Table 2.</w:t>
      </w:r>
      <w:r w:rsidRPr="00C83273">
        <w:rPr>
          <w:rFonts w:cstheme="minorHAnsi"/>
          <w:sz w:val="24"/>
          <w:szCs w:val="24"/>
        </w:rPr>
        <w:t xml:space="preserve"> Ranking of main challenges of transferring target trial emulation method to </w:t>
      </w:r>
      <w:r w:rsidR="0052326A">
        <w:rPr>
          <w:rFonts w:cstheme="minorHAnsi"/>
          <w:sz w:val="24"/>
          <w:szCs w:val="24"/>
        </w:rPr>
        <w:t>lower income European countries (</w:t>
      </w:r>
      <w:r w:rsidRPr="00C83273">
        <w:rPr>
          <w:rFonts w:cstheme="minorHAnsi"/>
          <w:sz w:val="24"/>
          <w:szCs w:val="24"/>
        </w:rPr>
        <w:t>LIECs</w:t>
      </w:r>
      <w:r w:rsidR="0052326A">
        <w:rPr>
          <w:rFonts w:cstheme="minorHAnsi"/>
          <w:sz w:val="24"/>
          <w:szCs w:val="24"/>
        </w:rPr>
        <w:t>)</w:t>
      </w:r>
      <w:r w:rsidRPr="00C83273">
        <w:rPr>
          <w:rFonts w:cstheme="minorHAnsi"/>
          <w:sz w:val="24"/>
          <w:szCs w:val="24"/>
        </w:rPr>
        <w:t>.</w:t>
      </w:r>
    </w:p>
    <w:tbl>
      <w:tblPr>
        <w:tblStyle w:val="TableGrid"/>
        <w:tblW w:w="0" w:type="auto"/>
        <w:tblLook w:val="04A0" w:firstRow="1" w:lastRow="0" w:firstColumn="1" w:lastColumn="0" w:noHBand="0" w:noVBand="1"/>
      </w:tblPr>
      <w:tblGrid>
        <w:gridCol w:w="612"/>
        <w:gridCol w:w="7364"/>
        <w:gridCol w:w="1040"/>
      </w:tblGrid>
      <w:tr w:rsidR="00962596" w:rsidRPr="001701F8" w14:paraId="28B4BAC8" w14:textId="77777777" w:rsidTr="00BD00DB">
        <w:trPr>
          <w:trHeight w:val="280"/>
        </w:trPr>
        <w:tc>
          <w:tcPr>
            <w:tcW w:w="569" w:type="dxa"/>
            <w:tcMar>
              <w:left w:w="57" w:type="dxa"/>
              <w:right w:w="57" w:type="dxa"/>
            </w:tcMar>
            <w:vAlign w:val="center"/>
          </w:tcPr>
          <w:p w14:paraId="182FD4C9" w14:textId="77777777" w:rsidR="00962596" w:rsidRPr="00C83273" w:rsidRDefault="00962596" w:rsidP="00BD00DB">
            <w:pPr>
              <w:spacing w:before="60" w:after="60"/>
              <w:jc w:val="center"/>
              <w:rPr>
                <w:rFonts w:cstheme="minorHAnsi"/>
                <w:b/>
                <w:bCs/>
                <w:sz w:val="24"/>
                <w:szCs w:val="24"/>
              </w:rPr>
            </w:pPr>
            <w:r w:rsidRPr="00C83273">
              <w:rPr>
                <w:rFonts w:cstheme="minorHAnsi"/>
                <w:b/>
                <w:bCs/>
                <w:sz w:val="24"/>
                <w:szCs w:val="24"/>
              </w:rPr>
              <w:t>Rank</w:t>
            </w:r>
          </w:p>
        </w:tc>
        <w:tc>
          <w:tcPr>
            <w:tcW w:w="7364" w:type="dxa"/>
            <w:noWrap/>
            <w:vAlign w:val="center"/>
          </w:tcPr>
          <w:p w14:paraId="7E02E4CE" w14:textId="77777777" w:rsidR="00962596" w:rsidRPr="00C83273" w:rsidRDefault="00962596" w:rsidP="00BD00DB">
            <w:pPr>
              <w:spacing w:before="60" w:after="60"/>
              <w:jc w:val="center"/>
              <w:rPr>
                <w:rFonts w:cstheme="minorHAnsi"/>
                <w:b/>
                <w:bCs/>
                <w:sz w:val="24"/>
                <w:szCs w:val="24"/>
              </w:rPr>
            </w:pPr>
            <w:r w:rsidRPr="00C83273">
              <w:rPr>
                <w:rFonts w:cstheme="minorHAnsi"/>
                <w:b/>
                <w:bCs/>
                <w:sz w:val="24"/>
                <w:szCs w:val="24"/>
              </w:rPr>
              <w:t>Main challenges of transferring target trial emulation method to LIECs</w:t>
            </w:r>
          </w:p>
        </w:tc>
        <w:tc>
          <w:tcPr>
            <w:tcW w:w="1083" w:type="dxa"/>
            <w:tcMar>
              <w:left w:w="57" w:type="dxa"/>
              <w:right w:w="57" w:type="dxa"/>
            </w:tcMar>
            <w:vAlign w:val="center"/>
          </w:tcPr>
          <w:p w14:paraId="50109F1B" w14:textId="77777777" w:rsidR="00962596" w:rsidRPr="00C83273" w:rsidRDefault="00962596" w:rsidP="00BD00DB">
            <w:pPr>
              <w:spacing w:before="60" w:after="60"/>
              <w:jc w:val="center"/>
              <w:rPr>
                <w:rFonts w:cstheme="minorHAnsi"/>
                <w:b/>
                <w:bCs/>
                <w:sz w:val="24"/>
                <w:szCs w:val="24"/>
              </w:rPr>
            </w:pPr>
            <w:r w:rsidRPr="00C83273">
              <w:rPr>
                <w:rFonts w:cstheme="minorHAnsi"/>
                <w:b/>
                <w:bCs/>
                <w:sz w:val="24"/>
                <w:szCs w:val="24"/>
              </w:rPr>
              <w:t>Average score</w:t>
            </w:r>
            <w:r>
              <w:rPr>
                <w:rFonts w:cstheme="minorHAnsi"/>
                <w:b/>
                <w:bCs/>
                <w:sz w:val="24"/>
                <w:szCs w:val="24"/>
              </w:rPr>
              <w:t>*</w:t>
            </w:r>
            <w:r w:rsidRPr="00C83273">
              <w:rPr>
                <w:rFonts w:cstheme="minorHAnsi"/>
                <w:b/>
                <w:bCs/>
                <w:sz w:val="24"/>
                <w:szCs w:val="24"/>
              </w:rPr>
              <w:t xml:space="preserve"> (n=14)</w:t>
            </w:r>
          </w:p>
        </w:tc>
      </w:tr>
      <w:tr w:rsidR="00962596" w:rsidRPr="001701F8" w14:paraId="47785FAB" w14:textId="77777777" w:rsidTr="00BD00DB">
        <w:trPr>
          <w:trHeight w:val="280"/>
        </w:trPr>
        <w:tc>
          <w:tcPr>
            <w:tcW w:w="569" w:type="dxa"/>
            <w:tcMar>
              <w:left w:w="57" w:type="dxa"/>
              <w:right w:w="57" w:type="dxa"/>
            </w:tcMar>
            <w:vAlign w:val="center"/>
          </w:tcPr>
          <w:p w14:paraId="386E5AAE"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1</w:t>
            </w:r>
          </w:p>
        </w:tc>
        <w:tc>
          <w:tcPr>
            <w:tcW w:w="7364" w:type="dxa"/>
            <w:noWrap/>
            <w:vAlign w:val="center"/>
            <w:hideMark/>
          </w:tcPr>
          <w:p w14:paraId="7C999EBF" w14:textId="77777777" w:rsidR="00962596" w:rsidRPr="00C83273" w:rsidRDefault="00962596" w:rsidP="00BD00DB">
            <w:pPr>
              <w:spacing w:before="60" w:after="60"/>
              <w:rPr>
                <w:rFonts w:cstheme="minorHAnsi"/>
                <w:sz w:val="24"/>
                <w:szCs w:val="24"/>
              </w:rPr>
            </w:pPr>
            <w:r w:rsidRPr="00C83273">
              <w:rPr>
                <w:rFonts w:cstheme="minorHAnsi"/>
                <w:sz w:val="24"/>
                <w:szCs w:val="24"/>
              </w:rPr>
              <w:t xml:space="preserve">Lack of available data for the adaptation of international HTA methods </w:t>
            </w:r>
          </w:p>
        </w:tc>
        <w:tc>
          <w:tcPr>
            <w:tcW w:w="1083" w:type="dxa"/>
            <w:tcMar>
              <w:left w:w="57" w:type="dxa"/>
              <w:right w:w="57" w:type="dxa"/>
            </w:tcMar>
            <w:vAlign w:val="center"/>
          </w:tcPr>
          <w:p w14:paraId="2C6C07EA"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4.54</w:t>
            </w:r>
          </w:p>
        </w:tc>
      </w:tr>
      <w:tr w:rsidR="00962596" w:rsidRPr="001701F8" w14:paraId="46C0AE81" w14:textId="77777777" w:rsidTr="00BD00DB">
        <w:trPr>
          <w:trHeight w:val="280"/>
        </w:trPr>
        <w:tc>
          <w:tcPr>
            <w:tcW w:w="569" w:type="dxa"/>
            <w:tcMar>
              <w:left w:w="57" w:type="dxa"/>
              <w:right w:w="57" w:type="dxa"/>
            </w:tcMar>
            <w:vAlign w:val="center"/>
          </w:tcPr>
          <w:p w14:paraId="6FFAFDC8"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w:t>
            </w:r>
          </w:p>
        </w:tc>
        <w:tc>
          <w:tcPr>
            <w:tcW w:w="7364" w:type="dxa"/>
            <w:noWrap/>
            <w:vAlign w:val="center"/>
            <w:hideMark/>
          </w:tcPr>
          <w:p w14:paraId="0AE6D99F" w14:textId="77777777" w:rsidR="00962596" w:rsidRPr="00C83273" w:rsidRDefault="00962596" w:rsidP="00BD00DB">
            <w:pPr>
              <w:spacing w:before="60" w:after="60"/>
              <w:rPr>
                <w:rFonts w:cstheme="minorHAnsi"/>
                <w:sz w:val="24"/>
                <w:szCs w:val="24"/>
              </w:rPr>
            </w:pPr>
            <w:r w:rsidRPr="00C83273">
              <w:rPr>
                <w:rFonts w:cstheme="minorHAnsi"/>
                <w:sz w:val="24"/>
                <w:szCs w:val="24"/>
              </w:rPr>
              <w:t xml:space="preserve">Differences in patient pathways for specific patient groups </w:t>
            </w:r>
          </w:p>
        </w:tc>
        <w:tc>
          <w:tcPr>
            <w:tcW w:w="1083" w:type="dxa"/>
            <w:tcMar>
              <w:left w:w="57" w:type="dxa"/>
              <w:right w:w="57" w:type="dxa"/>
            </w:tcMar>
            <w:vAlign w:val="center"/>
          </w:tcPr>
          <w:p w14:paraId="553754E5"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3.00</w:t>
            </w:r>
          </w:p>
        </w:tc>
      </w:tr>
      <w:tr w:rsidR="00962596" w:rsidRPr="001701F8" w14:paraId="60A988A5" w14:textId="77777777" w:rsidTr="00BD00DB">
        <w:trPr>
          <w:trHeight w:val="280"/>
        </w:trPr>
        <w:tc>
          <w:tcPr>
            <w:tcW w:w="569" w:type="dxa"/>
            <w:tcMar>
              <w:left w:w="57" w:type="dxa"/>
              <w:right w:w="57" w:type="dxa"/>
            </w:tcMar>
            <w:vAlign w:val="center"/>
          </w:tcPr>
          <w:p w14:paraId="68F3787B"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3</w:t>
            </w:r>
          </w:p>
        </w:tc>
        <w:tc>
          <w:tcPr>
            <w:tcW w:w="7364" w:type="dxa"/>
            <w:noWrap/>
            <w:vAlign w:val="center"/>
            <w:hideMark/>
          </w:tcPr>
          <w:p w14:paraId="5F61FCEB" w14:textId="77777777" w:rsidR="00962596" w:rsidRPr="00C83273" w:rsidRDefault="00962596" w:rsidP="00BD00DB">
            <w:pPr>
              <w:spacing w:before="60" w:after="60"/>
              <w:rPr>
                <w:rFonts w:cstheme="minorHAnsi"/>
                <w:sz w:val="24"/>
                <w:szCs w:val="24"/>
              </w:rPr>
            </w:pPr>
            <w:r w:rsidRPr="00C83273">
              <w:rPr>
                <w:rFonts w:cstheme="minorHAnsi"/>
                <w:sz w:val="24"/>
                <w:szCs w:val="24"/>
              </w:rPr>
              <w:t>Lack of HTA experts for the adaptation of international HTA methods</w:t>
            </w:r>
          </w:p>
        </w:tc>
        <w:tc>
          <w:tcPr>
            <w:tcW w:w="1083" w:type="dxa"/>
            <w:tcMar>
              <w:left w:w="57" w:type="dxa"/>
              <w:right w:w="57" w:type="dxa"/>
            </w:tcMar>
            <w:vAlign w:val="center"/>
          </w:tcPr>
          <w:p w14:paraId="4D30B556"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2.69</w:t>
            </w:r>
          </w:p>
        </w:tc>
      </w:tr>
      <w:tr w:rsidR="00962596" w:rsidRPr="001701F8" w14:paraId="28254FDF" w14:textId="77777777" w:rsidTr="00BD00DB">
        <w:trPr>
          <w:trHeight w:val="280"/>
        </w:trPr>
        <w:tc>
          <w:tcPr>
            <w:tcW w:w="569" w:type="dxa"/>
            <w:tcMar>
              <w:left w:w="57" w:type="dxa"/>
              <w:right w:w="57" w:type="dxa"/>
            </w:tcMar>
            <w:vAlign w:val="center"/>
          </w:tcPr>
          <w:p w14:paraId="62EC0B10"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4</w:t>
            </w:r>
          </w:p>
        </w:tc>
        <w:tc>
          <w:tcPr>
            <w:tcW w:w="7364" w:type="dxa"/>
            <w:noWrap/>
            <w:vAlign w:val="center"/>
            <w:hideMark/>
          </w:tcPr>
          <w:p w14:paraId="14715EF3" w14:textId="77777777" w:rsidR="00962596" w:rsidRPr="00C83273" w:rsidRDefault="00962596" w:rsidP="00BD00DB">
            <w:pPr>
              <w:spacing w:before="60" w:after="60"/>
              <w:rPr>
                <w:rFonts w:cstheme="minorHAnsi"/>
                <w:sz w:val="24"/>
                <w:szCs w:val="24"/>
              </w:rPr>
            </w:pPr>
            <w:r w:rsidRPr="00C83273">
              <w:rPr>
                <w:rFonts w:cstheme="minorHAnsi"/>
                <w:sz w:val="24"/>
                <w:szCs w:val="24"/>
              </w:rPr>
              <w:t>Lack of available financial resources for the local adaptation of international HTA methods</w:t>
            </w:r>
          </w:p>
        </w:tc>
        <w:tc>
          <w:tcPr>
            <w:tcW w:w="1083" w:type="dxa"/>
            <w:tcMar>
              <w:left w:w="57" w:type="dxa"/>
              <w:right w:w="57" w:type="dxa"/>
            </w:tcMar>
            <w:vAlign w:val="center"/>
          </w:tcPr>
          <w:p w14:paraId="5C544699"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2.54</w:t>
            </w:r>
          </w:p>
        </w:tc>
      </w:tr>
      <w:tr w:rsidR="00962596" w:rsidRPr="001701F8" w14:paraId="067C5921" w14:textId="77777777" w:rsidTr="00BD00DB">
        <w:trPr>
          <w:trHeight w:val="280"/>
        </w:trPr>
        <w:tc>
          <w:tcPr>
            <w:tcW w:w="569" w:type="dxa"/>
            <w:tcMar>
              <w:left w:w="57" w:type="dxa"/>
              <w:right w:w="57" w:type="dxa"/>
            </w:tcMar>
            <w:vAlign w:val="center"/>
          </w:tcPr>
          <w:p w14:paraId="3A75F441"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5</w:t>
            </w:r>
          </w:p>
        </w:tc>
        <w:tc>
          <w:tcPr>
            <w:tcW w:w="7364" w:type="dxa"/>
            <w:noWrap/>
            <w:vAlign w:val="center"/>
            <w:hideMark/>
          </w:tcPr>
          <w:p w14:paraId="5A283E13" w14:textId="77777777" w:rsidR="00962596" w:rsidRPr="00C83273" w:rsidRDefault="00962596" w:rsidP="00BD00DB">
            <w:pPr>
              <w:spacing w:before="60" w:after="60"/>
              <w:rPr>
                <w:rFonts w:cstheme="minorHAnsi"/>
                <w:sz w:val="24"/>
                <w:szCs w:val="24"/>
              </w:rPr>
            </w:pPr>
            <w:r w:rsidRPr="00C83273">
              <w:rPr>
                <w:rFonts w:cstheme="minorHAnsi"/>
                <w:sz w:val="24"/>
                <w:szCs w:val="24"/>
              </w:rPr>
              <w:t xml:space="preserve">Lack of a favourable local governance framework related to transferring scientific evidence from other jurisdictions </w:t>
            </w:r>
          </w:p>
        </w:tc>
        <w:tc>
          <w:tcPr>
            <w:tcW w:w="1083" w:type="dxa"/>
            <w:tcMar>
              <w:left w:w="57" w:type="dxa"/>
              <w:right w:w="57" w:type="dxa"/>
            </w:tcMar>
            <w:vAlign w:val="center"/>
          </w:tcPr>
          <w:p w14:paraId="54E23E49"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2.46</w:t>
            </w:r>
          </w:p>
        </w:tc>
      </w:tr>
      <w:tr w:rsidR="00962596" w:rsidRPr="001701F8" w14:paraId="512F1BB8" w14:textId="77777777" w:rsidTr="00BD00DB">
        <w:trPr>
          <w:trHeight w:val="280"/>
        </w:trPr>
        <w:tc>
          <w:tcPr>
            <w:tcW w:w="569" w:type="dxa"/>
            <w:tcMar>
              <w:left w:w="57" w:type="dxa"/>
              <w:right w:w="57" w:type="dxa"/>
            </w:tcMar>
            <w:vAlign w:val="center"/>
          </w:tcPr>
          <w:p w14:paraId="6B73FBF6"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6</w:t>
            </w:r>
          </w:p>
        </w:tc>
        <w:tc>
          <w:tcPr>
            <w:tcW w:w="7364" w:type="dxa"/>
            <w:noWrap/>
            <w:vAlign w:val="center"/>
            <w:hideMark/>
          </w:tcPr>
          <w:p w14:paraId="5B95F650" w14:textId="77777777" w:rsidR="00962596" w:rsidRPr="00C83273" w:rsidRDefault="00962596" w:rsidP="00BD00DB">
            <w:pPr>
              <w:spacing w:before="60" w:after="60"/>
              <w:rPr>
                <w:rFonts w:cstheme="minorHAnsi"/>
                <w:sz w:val="24"/>
                <w:szCs w:val="24"/>
              </w:rPr>
            </w:pPr>
            <w:r w:rsidRPr="00C83273">
              <w:rPr>
                <w:rFonts w:cstheme="minorHAnsi"/>
                <w:sz w:val="24"/>
                <w:szCs w:val="24"/>
              </w:rPr>
              <w:t>Limited interest in using HTA evidence for individualized treatment decisions</w:t>
            </w:r>
          </w:p>
        </w:tc>
        <w:tc>
          <w:tcPr>
            <w:tcW w:w="1083" w:type="dxa"/>
            <w:tcMar>
              <w:left w:w="57" w:type="dxa"/>
              <w:right w:w="57" w:type="dxa"/>
            </w:tcMar>
            <w:vAlign w:val="center"/>
          </w:tcPr>
          <w:p w14:paraId="23175546"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2.38</w:t>
            </w:r>
          </w:p>
        </w:tc>
      </w:tr>
      <w:tr w:rsidR="00962596" w:rsidRPr="001701F8" w14:paraId="2D447A72" w14:textId="77777777" w:rsidTr="00BD00DB">
        <w:trPr>
          <w:trHeight w:val="280"/>
        </w:trPr>
        <w:tc>
          <w:tcPr>
            <w:tcW w:w="569" w:type="dxa"/>
            <w:tcMar>
              <w:left w:w="57" w:type="dxa"/>
              <w:right w:w="57" w:type="dxa"/>
            </w:tcMar>
            <w:vAlign w:val="center"/>
          </w:tcPr>
          <w:p w14:paraId="17475204"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7</w:t>
            </w:r>
          </w:p>
        </w:tc>
        <w:tc>
          <w:tcPr>
            <w:tcW w:w="7364" w:type="dxa"/>
            <w:noWrap/>
            <w:vAlign w:val="center"/>
          </w:tcPr>
          <w:p w14:paraId="262213B5" w14:textId="77777777" w:rsidR="00962596" w:rsidRPr="00C83273" w:rsidRDefault="00962596" w:rsidP="00BD00DB">
            <w:pPr>
              <w:spacing w:before="60" w:after="60"/>
              <w:rPr>
                <w:rFonts w:cstheme="minorHAnsi"/>
                <w:sz w:val="24"/>
                <w:szCs w:val="24"/>
              </w:rPr>
            </w:pPr>
            <w:r w:rsidRPr="00C83273">
              <w:rPr>
                <w:rFonts w:cstheme="minorHAnsi"/>
                <w:sz w:val="24"/>
                <w:szCs w:val="24"/>
              </w:rPr>
              <w:t>Differences in comparator technologies for specific patient groups</w:t>
            </w:r>
          </w:p>
        </w:tc>
        <w:tc>
          <w:tcPr>
            <w:tcW w:w="1083" w:type="dxa"/>
            <w:tcMar>
              <w:left w:w="57" w:type="dxa"/>
              <w:right w:w="57" w:type="dxa"/>
            </w:tcMar>
            <w:vAlign w:val="center"/>
          </w:tcPr>
          <w:p w14:paraId="045ADFB3" w14:textId="77777777" w:rsidR="00962596" w:rsidRPr="00C83273" w:rsidRDefault="00962596" w:rsidP="00BD00DB">
            <w:pPr>
              <w:spacing w:before="60" w:after="60"/>
              <w:jc w:val="center"/>
              <w:rPr>
                <w:rFonts w:cstheme="minorHAnsi"/>
                <w:sz w:val="24"/>
                <w:szCs w:val="24"/>
              </w:rPr>
            </w:pPr>
            <w:r w:rsidRPr="00C83273">
              <w:rPr>
                <w:rFonts w:cstheme="minorHAnsi"/>
                <w:sz w:val="24"/>
                <w:szCs w:val="24"/>
              </w:rPr>
              <w:t>2.31</w:t>
            </w:r>
          </w:p>
        </w:tc>
      </w:tr>
    </w:tbl>
    <w:p w14:paraId="371A2588" w14:textId="77777777" w:rsidR="00962596" w:rsidRPr="00B82829" w:rsidRDefault="00962596" w:rsidP="00962596">
      <w:pPr>
        <w:spacing w:line="240" w:lineRule="auto"/>
        <w:jc w:val="right"/>
        <w:rPr>
          <w:rFonts w:cstheme="minorHAnsi"/>
          <w:i/>
          <w:iCs/>
        </w:rPr>
      </w:pPr>
      <w:r w:rsidRPr="00B4597E">
        <w:rPr>
          <w:rFonts w:cstheme="minorHAnsi"/>
          <w:i/>
          <w:iCs/>
        </w:rPr>
        <w:t>* Average scores were calculated based on ranking between most important (7) to not relevant (0)</w:t>
      </w:r>
    </w:p>
    <w:p w14:paraId="171DCF5B" w14:textId="040938AD" w:rsidR="00A6022B" w:rsidRPr="001701F8" w:rsidRDefault="00A6022B" w:rsidP="00C83273">
      <w:pPr>
        <w:spacing w:line="240" w:lineRule="auto"/>
        <w:rPr>
          <w:rFonts w:cstheme="minorHAnsi"/>
          <w:b/>
          <w:bCs/>
          <w:sz w:val="24"/>
          <w:szCs w:val="24"/>
        </w:rPr>
      </w:pPr>
      <w:r w:rsidRPr="001701F8">
        <w:rPr>
          <w:rFonts w:cstheme="minorHAnsi"/>
          <w:b/>
          <w:bCs/>
          <w:sz w:val="24"/>
          <w:szCs w:val="24"/>
        </w:rPr>
        <w:br w:type="page"/>
      </w:r>
    </w:p>
    <w:p w14:paraId="2D036D00" w14:textId="79A0565B" w:rsidR="00D54521" w:rsidRPr="00C83273" w:rsidRDefault="00D54521" w:rsidP="00C83273">
      <w:pPr>
        <w:spacing w:line="240" w:lineRule="auto"/>
        <w:ind w:left="50"/>
        <w:jc w:val="both"/>
        <w:rPr>
          <w:rFonts w:cstheme="minorHAnsi"/>
          <w:b/>
          <w:bCs/>
          <w:sz w:val="24"/>
          <w:szCs w:val="24"/>
        </w:rPr>
      </w:pPr>
      <w:r w:rsidRPr="00C83273">
        <w:rPr>
          <w:rFonts w:cstheme="minorHAnsi"/>
          <w:b/>
          <w:bCs/>
          <w:sz w:val="24"/>
          <w:szCs w:val="24"/>
        </w:rPr>
        <w:t>References</w:t>
      </w:r>
    </w:p>
    <w:p w14:paraId="52E25BDD" w14:textId="77777777" w:rsidR="00D54521" w:rsidRPr="00C83273" w:rsidRDefault="00D54521" w:rsidP="00C83273">
      <w:pPr>
        <w:pStyle w:val="ListParagraph"/>
        <w:spacing w:line="240" w:lineRule="auto"/>
        <w:ind w:left="426"/>
        <w:jc w:val="both"/>
        <w:rPr>
          <w:rFonts w:cstheme="minorHAnsi"/>
          <w:sz w:val="24"/>
          <w:szCs w:val="24"/>
        </w:rPr>
      </w:pPr>
    </w:p>
    <w:p w14:paraId="5F4FA933" w14:textId="77777777" w:rsidR="00C33DE0" w:rsidRPr="00C83273" w:rsidRDefault="00C33DE0"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European Union: Regulation (EU) 2021/2282 of the European Parliament and of the Council of 15 December 2021 on health technology assessment and amending Directive 2011/24/EU 2021. Accessed on 11/03/2024 from </w:t>
      </w:r>
      <w:hyperlink r:id="rId37" w:history="1">
        <w:r w:rsidRPr="00C83273">
          <w:rPr>
            <w:rStyle w:val="Hyperlink"/>
            <w:rFonts w:cstheme="minorHAnsi"/>
            <w:color w:val="auto"/>
            <w:sz w:val="24"/>
            <w:szCs w:val="24"/>
          </w:rPr>
          <w:t>https://eur-lex.europa.eu/legal-content/EN/TXT/?uri=CELEX:32021R2282</w:t>
        </w:r>
      </w:hyperlink>
      <w:r w:rsidRPr="00C83273">
        <w:rPr>
          <w:rFonts w:cstheme="minorHAnsi"/>
          <w:sz w:val="24"/>
          <w:szCs w:val="24"/>
        </w:rPr>
        <w:t xml:space="preserve"> </w:t>
      </w:r>
    </w:p>
    <w:p w14:paraId="756FB8F8" w14:textId="567DE2DD" w:rsidR="008F6EF8" w:rsidRPr="00C83273" w:rsidRDefault="008F6EF8"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Kaló Z, van den Akker LHM, Vokó Z, Csanádi M, Pitter JG. Is there a fair allocation of healthcare research funds by the European Union? </w:t>
      </w:r>
      <w:proofErr w:type="spellStart"/>
      <w:r w:rsidRPr="00C83273">
        <w:rPr>
          <w:rFonts w:cstheme="minorHAnsi"/>
          <w:i/>
          <w:iCs/>
          <w:sz w:val="24"/>
          <w:szCs w:val="24"/>
        </w:rPr>
        <w:t>PlosOne</w:t>
      </w:r>
      <w:proofErr w:type="spellEnd"/>
      <w:r w:rsidRPr="00C83273">
        <w:rPr>
          <w:rFonts w:cstheme="minorHAnsi"/>
          <w:sz w:val="24"/>
          <w:szCs w:val="24"/>
        </w:rPr>
        <w:t>. 2019; 14:</w:t>
      </w:r>
      <w:r w:rsidR="000B3990" w:rsidRPr="00C83273">
        <w:rPr>
          <w:rFonts w:cstheme="minorHAnsi"/>
          <w:sz w:val="24"/>
          <w:szCs w:val="24"/>
        </w:rPr>
        <w:t xml:space="preserve"> </w:t>
      </w:r>
      <w:r w:rsidRPr="00C83273">
        <w:rPr>
          <w:rFonts w:cstheme="minorHAnsi"/>
          <w:sz w:val="24"/>
          <w:szCs w:val="24"/>
        </w:rPr>
        <w:t xml:space="preserve">e0207046. </w:t>
      </w:r>
    </w:p>
    <w:p w14:paraId="75F1B711" w14:textId="34E9D16D" w:rsidR="000B3990" w:rsidRPr="00C83273" w:rsidRDefault="000B3990" w:rsidP="00C83273">
      <w:pPr>
        <w:pStyle w:val="ListParagraph"/>
        <w:numPr>
          <w:ilvl w:val="3"/>
          <w:numId w:val="26"/>
        </w:numPr>
        <w:spacing w:line="240" w:lineRule="auto"/>
        <w:jc w:val="both"/>
        <w:rPr>
          <w:rFonts w:cstheme="minorHAnsi"/>
          <w:sz w:val="24"/>
          <w:szCs w:val="24"/>
        </w:rPr>
      </w:pPr>
      <w:proofErr w:type="spellStart"/>
      <w:r w:rsidRPr="00C83273">
        <w:rPr>
          <w:rFonts w:cstheme="minorHAnsi"/>
          <w:sz w:val="24"/>
          <w:szCs w:val="24"/>
        </w:rPr>
        <w:t>Löblová</w:t>
      </w:r>
      <w:proofErr w:type="spellEnd"/>
      <w:r w:rsidRPr="00C83273">
        <w:rPr>
          <w:rFonts w:cstheme="minorHAnsi"/>
          <w:sz w:val="24"/>
          <w:szCs w:val="24"/>
        </w:rPr>
        <w:t xml:space="preserve"> O. Three worlds of health technology assessment: explaining patterns of diffusion of HTA agencies in Europe. </w:t>
      </w:r>
      <w:r w:rsidRPr="00C83273">
        <w:rPr>
          <w:rFonts w:cstheme="minorHAnsi"/>
          <w:i/>
          <w:iCs/>
          <w:sz w:val="24"/>
          <w:szCs w:val="24"/>
        </w:rPr>
        <w:t>Health Economics, Policy and Law</w:t>
      </w:r>
      <w:r w:rsidRPr="00C83273">
        <w:rPr>
          <w:rFonts w:cstheme="minorHAnsi"/>
          <w:sz w:val="24"/>
          <w:szCs w:val="24"/>
        </w:rPr>
        <w:t>. 2016; 11: 253-73.</w:t>
      </w:r>
    </w:p>
    <w:p w14:paraId="0D3A1F56" w14:textId="03AA8220" w:rsidR="000E31AD" w:rsidRDefault="000E31AD" w:rsidP="00C83273">
      <w:pPr>
        <w:pStyle w:val="ListParagraph"/>
        <w:numPr>
          <w:ilvl w:val="3"/>
          <w:numId w:val="26"/>
        </w:numPr>
        <w:spacing w:line="240" w:lineRule="auto"/>
        <w:jc w:val="both"/>
        <w:rPr>
          <w:rFonts w:cstheme="minorHAnsi"/>
          <w:sz w:val="24"/>
          <w:szCs w:val="24"/>
        </w:rPr>
      </w:pPr>
      <w:r w:rsidRPr="000E31AD">
        <w:rPr>
          <w:rFonts w:cstheme="minorHAnsi"/>
          <w:sz w:val="24"/>
          <w:szCs w:val="24"/>
        </w:rPr>
        <w:t>Kaló Z, Gheorghe A, Huic M, Csanádi M, Kristensen FB. HTA implementation roadmap in Central and Eastern European countries. Health Econ. 2016. 25. S1. 179–192.</w:t>
      </w:r>
    </w:p>
    <w:p w14:paraId="034EFDEA" w14:textId="1EED35EA" w:rsidR="00790A60" w:rsidRPr="00C83273" w:rsidRDefault="00790A60"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Sekeres MA, Taylor J. Diagnosis and treatment of myelodysplastic syndromes: a review. </w:t>
      </w:r>
      <w:r w:rsidRPr="00C83273">
        <w:rPr>
          <w:rFonts w:cstheme="minorHAnsi"/>
          <w:i/>
          <w:iCs/>
          <w:sz w:val="24"/>
          <w:szCs w:val="24"/>
        </w:rPr>
        <w:t>J</w:t>
      </w:r>
      <w:r w:rsidR="003A3E29">
        <w:rPr>
          <w:rFonts w:cstheme="minorHAnsi"/>
          <w:i/>
          <w:iCs/>
          <w:sz w:val="24"/>
          <w:szCs w:val="24"/>
        </w:rPr>
        <w:t>AMA</w:t>
      </w:r>
      <w:r w:rsidRPr="00C83273">
        <w:rPr>
          <w:rFonts w:cstheme="minorHAnsi"/>
          <w:sz w:val="24"/>
          <w:szCs w:val="24"/>
        </w:rPr>
        <w:t xml:space="preserve">. 2022; 328: 872-80. </w:t>
      </w:r>
    </w:p>
    <w:p w14:paraId="36AEE8BC" w14:textId="2477610C" w:rsidR="00490450" w:rsidRPr="00C83273" w:rsidRDefault="00490450" w:rsidP="00C83273">
      <w:pPr>
        <w:pStyle w:val="ListParagraph"/>
        <w:numPr>
          <w:ilvl w:val="3"/>
          <w:numId w:val="26"/>
        </w:numPr>
        <w:spacing w:line="240" w:lineRule="auto"/>
        <w:jc w:val="both"/>
        <w:rPr>
          <w:rFonts w:cstheme="minorHAnsi"/>
          <w:sz w:val="24"/>
          <w:szCs w:val="24"/>
        </w:rPr>
      </w:pPr>
      <w:proofErr w:type="spellStart"/>
      <w:r w:rsidRPr="00C83273">
        <w:rPr>
          <w:rFonts w:cstheme="minorHAnsi"/>
          <w:sz w:val="24"/>
          <w:szCs w:val="24"/>
        </w:rPr>
        <w:t>Hoeks</w:t>
      </w:r>
      <w:proofErr w:type="spellEnd"/>
      <w:r w:rsidRPr="00C83273">
        <w:rPr>
          <w:rFonts w:cstheme="minorHAnsi"/>
          <w:sz w:val="24"/>
          <w:szCs w:val="24"/>
        </w:rPr>
        <w:t xml:space="preserve"> M, Yu G, </w:t>
      </w:r>
      <w:proofErr w:type="spellStart"/>
      <w:r w:rsidRPr="00C83273">
        <w:rPr>
          <w:rFonts w:cstheme="minorHAnsi"/>
          <w:sz w:val="24"/>
          <w:szCs w:val="24"/>
        </w:rPr>
        <w:t>Langemeijer</w:t>
      </w:r>
      <w:proofErr w:type="spellEnd"/>
      <w:r w:rsidRPr="00C83273">
        <w:rPr>
          <w:rFonts w:cstheme="minorHAnsi"/>
          <w:sz w:val="24"/>
          <w:szCs w:val="24"/>
        </w:rPr>
        <w:t xml:space="preserve"> S, Crouch S, de Swart L, </w:t>
      </w:r>
      <w:proofErr w:type="spellStart"/>
      <w:r w:rsidRPr="00C83273">
        <w:rPr>
          <w:rFonts w:cstheme="minorHAnsi"/>
          <w:sz w:val="24"/>
          <w:szCs w:val="24"/>
        </w:rPr>
        <w:t>Fenaux</w:t>
      </w:r>
      <w:proofErr w:type="spellEnd"/>
      <w:r w:rsidRPr="00C83273">
        <w:rPr>
          <w:rFonts w:cstheme="minorHAnsi"/>
          <w:sz w:val="24"/>
          <w:szCs w:val="24"/>
        </w:rPr>
        <w:t xml:space="preserve"> P, Symeonidis A, Čermák J, Hellström-Lindberg E, Sanz G, Stauder R, Holm MS, Mittelman M, </w:t>
      </w:r>
      <w:proofErr w:type="spellStart"/>
      <w:r w:rsidRPr="00C83273">
        <w:rPr>
          <w:rFonts w:cstheme="minorHAnsi"/>
          <w:sz w:val="24"/>
          <w:szCs w:val="24"/>
        </w:rPr>
        <w:t>Mądry</w:t>
      </w:r>
      <w:proofErr w:type="spellEnd"/>
      <w:r w:rsidRPr="00C83273">
        <w:rPr>
          <w:rFonts w:cstheme="minorHAnsi"/>
          <w:sz w:val="24"/>
          <w:szCs w:val="24"/>
        </w:rPr>
        <w:t xml:space="preserve"> K, </w:t>
      </w:r>
      <w:proofErr w:type="spellStart"/>
      <w:r w:rsidRPr="00C83273">
        <w:rPr>
          <w:rFonts w:cstheme="minorHAnsi"/>
          <w:sz w:val="24"/>
          <w:szCs w:val="24"/>
        </w:rPr>
        <w:t>Malcovati</w:t>
      </w:r>
      <w:proofErr w:type="spellEnd"/>
      <w:r w:rsidRPr="00C83273">
        <w:rPr>
          <w:rFonts w:cstheme="minorHAnsi"/>
          <w:sz w:val="24"/>
          <w:szCs w:val="24"/>
        </w:rPr>
        <w:t xml:space="preserve"> L, </w:t>
      </w:r>
      <w:proofErr w:type="spellStart"/>
      <w:r w:rsidRPr="00C83273">
        <w:rPr>
          <w:rFonts w:cstheme="minorHAnsi"/>
          <w:sz w:val="24"/>
          <w:szCs w:val="24"/>
        </w:rPr>
        <w:t>Tatic</w:t>
      </w:r>
      <w:proofErr w:type="spellEnd"/>
      <w:r w:rsidRPr="00C83273">
        <w:rPr>
          <w:rFonts w:cstheme="minorHAnsi"/>
          <w:sz w:val="24"/>
          <w:szCs w:val="24"/>
        </w:rPr>
        <w:t xml:space="preserve"> A, Almeida AM, </w:t>
      </w:r>
      <w:proofErr w:type="spellStart"/>
      <w:r w:rsidRPr="00C83273">
        <w:rPr>
          <w:rFonts w:cstheme="minorHAnsi"/>
          <w:sz w:val="24"/>
          <w:szCs w:val="24"/>
        </w:rPr>
        <w:t>Germing</w:t>
      </w:r>
      <w:proofErr w:type="spellEnd"/>
      <w:r w:rsidRPr="00C83273">
        <w:rPr>
          <w:rFonts w:cstheme="minorHAnsi"/>
          <w:sz w:val="24"/>
          <w:szCs w:val="24"/>
        </w:rPr>
        <w:t xml:space="preserve"> U, Savic A, </w:t>
      </w:r>
      <w:proofErr w:type="spellStart"/>
      <w:r w:rsidRPr="00C83273">
        <w:rPr>
          <w:rFonts w:cstheme="minorHAnsi"/>
          <w:sz w:val="24"/>
          <w:szCs w:val="24"/>
        </w:rPr>
        <w:t>Šimec</w:t>
      </w:r>
      <w:proofErr w:type="spellEnd"/>
      <w:r w:rsidRPr="00C83273">
        <w:rPr>
          <w:rFonts w:cstheme="minorHAnsi"/>
          <w:sz w:val="24"/>
          <w:szCs w:val="24"/>
        </w:rPr>
        <w:t xml:space="preserve"> NG, Culligan D, </w:t>
      </w:r>
      <w:proofErr w:type="spellStart"/>
      <w:r w:rsidRPr="00C83273">
        <w:rPr>
          <w:rFonts w:cstheme="minorHAnsi"/>
          <w:sz w:val="24"/>
          <w:szCs w:val="24"/>
        </w:rPr>
        <w:t>Itzykson</w:t>
      </w:r>
      <w:proofErr w:type="spellEnd"/>
      <w:r w:rsidRPr="00C83273">
        <w:rPr>
          <w:rFonts w:cstheme="minorHAnsi"/>
          <w:sz w:val="24"/>
          <w:szCs w:val="24"/>
        </w:rPr>
        <w:t xml:space="preserve"> R, Guerci-Bresler A, Slama B, Droste J, van Marrewijk C, van de </w:t>
      </w:r>
      <w:proofErr w:type="spellStart"/>
      <w:r w:rsidRPr="00C83273">
        <w:rPr>
          <w:rFonts w:cstheme="minorHAnsi"/>
          <w:sz w:val="24"/>
          <w:szCs w:val="24"/>
        </w:rPr>
        <w:t>Loosdrecht</w:t>
      </w:r>
      <w:proofErr w:type="spellEnd"/>
      <w:r w:rsidRPr="00C83273">
        <w:rPr>
          <w:rFonts w:cstheme="minorHAnsi"/>
          <w:sz w:val="24"/>
          <w:szCs w:val="24"/>
        </w:rPr>
        <w:t xml:space="preserve"> A, </w:t>
      </w:r>
      <w:proofErr w:type="spellStart"/>
      <w:r w:rsidRPr="00C83273">
        <w:rPr>
          <w:rFonts w:cstheme="minorHAnsi"/>
          <w:sz w:val="24"/>
          <w:szCs w:val="24"/>
        </w:rPr>
        <w:t>Blijlevens</w:t>
      </w:r>
      <w:proofErr w:type="spellEnd"/>
      <w:r w:rsidRPr="00C83273">
        <w:rPr>
          <w:rFonts w:cstheme="minorHAnsi"/>
          <w:sz w:val="24"/>
          <w:szCs w:val="24"/>
        </w:rPr>
        <w:t xml:space="preserve"> N, van Kraaij M, Bowen D, de Witte T, Smith A; EUMDS Registry Participants. Impact of treatment with iron chelation therapy in patients with lower-risk myelodysplastic syndromes participating in the European MDS registry. </w:t>
      </w:r>
      <w:proofErr w:type="spellStart"/>
      <w:r w:rsidRPr="00C83273">
        <w:rPr>
          <w:rFonts w:cstheme="minorHAnsi"/>
          <w:i/>
          <w:iCs/>
          <w:sz w:val="24"/>
          <w:szCs w:val="24"/>
        </w:rPr>
        <w:t>Haematologica</w:t>
      </w:r>
      <w:proofErr w:type="spellEnd"/>
      <w:r w:rsidRPr="00C83273">
        <w:rPr>
          <w:rFonts w:cstheme="minorHAnsi"/>
          <w:sz w:val="24"/>
          <w:szCs w:val="24"/>
        </w:rPr>
        <w:t xml:space="preserve">. 2020; 105: 640-651. </w:t>
      </w:r>
    </w:p>
    <w:p w14:paraId="6971DC8C" w14:textId="3724BEF6" w:rsidR="00490450" w:rsidRPr="00C83273" w:rsidRDefault="00490450"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de Swart L, Smith A, </w:t>
      </w:r>
      <w:proofErr w:type="spellStart"/>
      <w:r w:rsidRPr="00C83273">
        <w:rPr>
          <w:rFonts w:cstheme="minorHAnsi"/>
          <w:sz w:val="24"/>
          <w:szCs w:val="24"/>
        </w:rPr>
        <w:t>Fenaux</w:t>
      </w:r>
      <w:proofErr w:type="spellEnd"/>
      <w:r w:rsidRPr="00C83273">
        <w:rPr>
          <w:rFonts w:cstheme="minorHAnsi"/>
          <w:sz w:val="24"/>
          <w:szCs w:val="24"/>
        </w:rPr>
        <w:t xml:space="preserve"> P, Sanz G, Hellstrom-Lindberg E, Symeonidis A, Cermak J, </w:t>
      </w:r>
      <w:proofErr w:type="spellStart"/>
      <w:r w:rsidRPr="00C83273">
        <w:rPr>
          <w:rFonts w:cstheme="minorHAnsi"/>
          <w:sz w:val="24"/>
          <w:szCs w:val="24"/>
        </w:rPr>
        <w:t>Germing</w:t>
      </w:r>
      <w:proofErr w:type="spellEnd"/>
      <w:r w:rsidRPr="00C83273">
        <w:rPr>
          <w:rFonts w:cstheme="minorHAnsi"/>
          <w:sz w:val="24"/>
          <w:szCs w:val="24"/>
        </w:rPr>
        <w:t xml:space="preserve"> U, Stauder R, Georgescu O, </w:t>
      </w:r>
      <w:proofErr w:type="spellStart"/>
      <w:r w:rsidRPr="00C83273">
        <w:rPr>
          <w:rFonts w:cstheme="minorHAnsi"/>
          <w:sz w:val="24"/>
          <w:szCs w:val="24"/>
        </w:rPr>
        <w:t>MacKenzie</w:t>
      </w:r>
      <w:proofErr w:type="spellEnd"/>
      <w:r w:rsidRPr="00C83273">
        <w:rPr>
          <w:rFonts w:cstheme="minorHAnsi"/>
          <w:sz w:val="24"/>
          <w:szCs w:val="24"/>
        </w:rPr>
        <w:t xml:space="preserve"> M. Early mortality in 1000 newly diagnosed MDS patients with low-and intermediate-1 risk MDS in the European </w:t>
      </w:r>
      <w:proofErr w:type="spellStart"/>
      <w:r w:rsidRPr="00C83273">
        <w:rPr>
          <w:rFonts w:cstheme="minorHAnsi"/>
          <w:sz w:val="24"/>
          <w:szCs w:val="24"/>
        </w:rPr>
        <w:t>Leukemianet</w:t>
      </w:r>
      <w:proofErr w:type="spellEnd"/>
      <w:r w:rsidRPr="00C83273">
        <w:rPr>
          <w:rFonts w:cstheme="minorHAnsi"/>
          <w:sz w:val="24"/>
          <w:szCs w:val="24"/>
        </w:rPr>
        <w:t xml:space="preserve"> MDS (EUMDS) registry. </w:t>
      </w:r>
      <w:r w:rsidRPr="00C83273">
        <w:rPr>
          <w:rFonts w:cstheme="minorHAnsi"/>
          <w:i/>
          <w:iCs/>
          <w:sz w:val="24"/>
          <w:szCs w:val="24"/>
        </w:rPr>
        <w:t>Blood</w:t>
      </w:r>
      <w:r w:rsidRPr="00C83273">
        <w:rPr>
          <w:rFonts w:cstheme="minorHAnsi"/>
          <w:sz w:val="24"/>
          <w:szCs w:val="24"/>
        </w:rPr>
        <w:t>. 2012; 120: 3830.</w:t>
      </w:r>
    </w:p>
    <w:p w14:paraId="0B41166C" w14:textId="5D31E0DA" w:rsidR="00CB67EC" w:rsidRDefault="00CB67EC"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Hernán MA, Wang W, Leaf DE. Target trial emulation: a framework for causal inference from observational data. </w:t>
      </w:r>
      <w:r w:rsidRPr="00C83273">
        <w:rPr>
          <w:rFonts w:cstheme="minorHAnsi"/>
          <w:i/>
          <w:iCs/>
          <w:sz w:val="24"/>
          <w:szCs w:val="24"/>
        </w:rPr>
        <w:t>J</w:t>
      </w:r>
      <w:r w:rsidR="003A3E29">
        <w:rPr>
          <w:rFonts w:cstheme="minorHAnsi"/>
          <w:i/>
          <w:iCs/>
          <w:sz w:val="24"/>
          <w:szCs w:val="24"/>
        </w:rPr>
        <w:t>AMA</w:t>
      </w:r>
      <w:r w:rsidRPr="00C83273">
        <w:rPr>
          <w:rFonts w:cstheme="minorHAnsi"/>
          <w:sz w:val="24"/>
          <w:szCs w:val="24"/>
        </w:rPr>
        <w:t>. 2022; 328: 2446-7.</w:t>
      </w:r>
    </w:p>
    <w:p w14:paraId="4BCBEB1A" w14:textId="32FE4E7E" w:rsidR="00523FDD" w:rsidRPr="00C83273" w:rsidRDefault="00523FDD" w:rsidP="00C83273">
      <w:pPr>
        <w:pStyle w:val="ListParagraph"/>
        <w:numPr>
          <w:ilvl w:val="3"/>
          <w:numId w:val="26"/>
        </w:numPr>
        <w:spacing w:line="240" w:lineRule="auto"/>
        <w:jc w:val="both"/>
        <w:rPr>
          <w:rFonts w:cstheme="minorHAnsi"/>
          <w:sz w:val="24"/>
          <w:szCs w:val="24"/>
        </w:rPr>
      </w:pPr>
      <w:r w:rsidRPr="00523FDD">
        <w:rPr>
          <w:rFonts w:cstheme="minorHAnsi"/>
          <w:sz w:val="24"/>
          <w:szCs w:val="24"/>
        </w:rPr>
        <w:t xml:space="preserve">Wang SV, Schneeweiss S; RCT-DUPLICATE Initiative; Franklin JM, Desai RJ, Feldman W, Garry EM, Glynn RJ, Lin KJ, Paik J, </w:t>
      </w:r>
      <w:proofErr w:type="spellStart"/>
      <w:r w:rsidRPr="00523FDD">
        <w:rPr>
          <w:rFonts w:cstheme="minorHAnsi"/>
          <w:sz w:val="24"/>
          <w:szCs w:val="24"/>
        </w:rPr>
        <w:t>Patorno</w:t>
      </w:r>
      <w:proofErr w:type="spellEnd"/>
      <w:r w:rsidRPr="00523FDD">
        <w:rPr>
          <w:rFonts w:cstheme="minorHAnsi"/>
          <w:sz w:val="24"/>
          <w:szCs w:val="24"/>
        </w:rPr>
        <w:t xml:space="preserve"> E, Suissa S, D'Andrea E, Jawaid D, Lee H, Pawar A, Sreedhara SK, Tesfaye H, Bessette LG, </w:t>
      </w:r>
      <w:proofErr w:type="spellStart"/>
      <w:r w:rsidRPr="00523FDD">
        <w:rPr>
          <w:rFonts w:cstheme="minorHAnsi"/>
          <w:sz w:val="24"/>
          <w:szCs w:val="24"/>
        </w:rPr>
        <w:t>Zabotka</w:t>
      </w:r>
      <w:proofErr w:type="spellEnd"/>
      <w:r w:rsidRPr="00523FDD">
        <w:rPr>
          <w:rFonts w:cstheme="minorHAnsi"/>
          <w:sz w:val="24"/>
          <w:szCs w:val="24"/>
        </w:rPr>
        <w:t xml:space="preserve"> L, Lee SB, Gautam N, York C, </w:t>
      </w:r>
      <w:proofErr w:type="spellStart"/>
      <w:r w:rsidRPr="00523FDD">
        <w:rPr>
          <w:rFonts w:cstheme="minorHAnsi"/>
          <w:sz w:val="24"/>
          <w:szCs w:val="24"/>
        </w:rPr>
        <w:t>Zakoul</w:t>
      </w:r>
      <w:proofErr w:type="spellEnd"/>
      <w:r w:rsidRPr="00523FDD">
        <w:rPr>
          <w:rFonts w:cstheme="minorHAnsi"/>
          <w:sz w:val="24"/>
          <w:szCs w:val="24"/>
        </w:rPr>
        <w:t xml:space="preserve"> H, Concato J, Martin D, Paraoan D, Quinto K. Emulation of Randomized Clinical Trials With Nonrandomized Database Analyses: Results of 32 Clinical Trials. </w:t>
      </w:r>
      <w:r w:rsidRPr="00523FDD">
        <w:rPr>
          <w:rFonts w:cstheme="minorHAnsi"/>
          <w:i/>
          <w:iCs/>
          <w:sz w:val="24"/>
          <w:szCs w:val="24"/>
        </w:rPr>
        <w:t>JAMA</w:t>
      </w:r>
      <w:r w:rsidRPr="00523FDD">
        <w:rPr>
          <w:rFonts w:cstheme="minorHAnsi"/>
          <w:sz w:val="24"/>
          <w:szCs w:val="24"/>
        </w:rPr>
        <w:t>. 2023</w:t>
      </w:r>
      <w:r>
        <w:rPr>
          <w:rFonts w:cstheme="minorHAnsi"/>
          <w:sz w:val="24"/>
          <w:szCs w:val="24"/>
        </w:rPr>
        <w:t>;</w:t>
      </w:r>
      <w:r w:rsidRPr="00523FDD">
        <w:rPr>
          <w:rFonts w:cstheme="minorHAnsi"/>
          <w:sz w:val="24"/>
          <w:szCs w:val="24"/>
        </w:rPr>
        <w:t xml:space="preserve"> 329:</w:t>
      </w:r>
      <w:r>
        <w:rPr>
          <w:rFonts w:cstheme="minorHAnsi"/>
          <w:sz w:val="24"/>
          <w:szCs w:val="24"/>
        </w:rPr>
        <w:t xml:space="preserve"> </w:t>
      </w:r>
      <w:r w:rsidRPr="00523FDD">
        <w:rPr>
          <w:rFonts w:cstheme="minorHAnsi"/>
          <w:sz w:val="24"/>
          <w:szCs w:val="24"/>
        </w:rPr>
        <w:t xml:space="preserve">1376-1385. </w:t>
      </w:r>
    </w:p>
    <w:p w14:paraId="485D79B2" w14:textId="166359ED" w:rsidR="003A3E29" w:rsidRDefault="003A3E29" w:rsidP="00C83273">
      <w:pPr>
        <w:pStyle w:val="ListParagraph"/>
        <w:numPr>
          <w:ilvl w:val="3"/>
          <w:numId w:val="26"/>
        </w:numPr>
        <w:spacing w:after="0" w:line="240" w:lineRule="auto"/>
        <w:jc w:val="both"/>
        <w:rPr>
          <w:rFonts w:cstheme="minorHAnsi"/>
          <w:sz w:val="24"/>
          <w:szCs w:val="24"/>
        </w:rPr>
      </w:pPr>
      <w:r w:rsidRPr="003A3E29">
        <w:rPr>
          <w:rFonts w:cstheme="minorHAnsi"/>
          <w:sz w:val="24"/>
          <w:szCs w:val="24"/>
        </w:rPr>
        <w:t xml:space="preserve">Hernán MA, Brumback B, Robins JM. Marginal structural models to estimate the joint causal effect of nonrandomized treatments. </w:t>
      </w:r>
      <w:r w:rsidRPr="003A3E29">
        <w:rPr>
          <w:rFonts w:cstheme="minorHAnsi"/>
          <w:i/>
          <w:iCs/>
          <w:sz w:val="24"/>
          <w:szCs w:val="24"/>
        </w:rPr>
        <w:t>Journal of the American Statistical Association.</w:t>
      </w:r>
      <w:r w:rsidRPr="003A3E29">
        <w:rPr>
          <w:rFonts w:cstheme="minorHAnsi"/>
          <w:sz w:val="24"/>
          <w:szCs w:val="24"/>
        </w:rPr>
        <w:t xml:space="preserve"> 2001</w:t>
      </w:r>
      <w:r>
        <w:rPr>
          <w:rFonts w:cstheme="minorHAnsi"/>
          <w:sz w:val="24"/>
          <w:szCs w:val="24"/>
        </w:rPr>
        <w:t>.</w:t>
      </w:r>
      <w:r w:rsidRPr="003A3E29">
        <w:rPr>
          <w:rFonts w:cstheme="minorHAnsi"/>
          <w:sz w:val="24"/>
          <w:szCs w:val="24"/>
        </w:rPr>
        <w:t xml:space="preserve"> 1;96(454):440-8.</w:t>
      </w:r>
    </w:p>
    <w:p w14:paraId="799CFA0F" w14:textId="0A86D4A8" w:rsidR="00B55BEF" w:rsidRPr="00C83273" w:rsidRDefault="00B55BEF" w:rsidP="00C83273">
      <w:pPr>
        <w:pStyle w:val="ListParagraph"/>
        <w:numPr>
          <w:ilvl w:val="3"/>
          <w:numId w:val="26"/>
        </w:numPr>
        <w:spacing w:after="0" w:line="240" w:lineRule="auto"/>
        <w:jc w:val="both"/>
        <w:rPr>
          <w:rFonts w:cstheme="minorHAnsi"/>
          <w:sz w:val="24"/>
          <w:szCs w:val="24"/>
        </w:rPr>
      </w:pPr>
      <w:r w:rsidRPr="00C83273">
        <w:rPr>
          <w:rFonts w:cstheme="minorHAnsi"/>
          <w:sz w:val="24"/>
          <w:szCs w:val="24"/>
        </w:rPr>
        <w:t xml:space="preserve">van der Laan MJ, Rubin D. Targeted maximum likelihood learning. </w:t>
      </w:r>
      <w:r w:rsidRPr="00C83273">
        <w:rPr>
          <w:rFonts w:cstheme="minorHAnsi"/>
          <w:i/>
          <w:iCs/>
          <w:sz w:val="24"/>
          <w:szCs w:val="24"/>
        </w:rPr>
        <w:t xml:space="preserve">The </w:t>
      </w:r>
      <w:r w:rsidR="003A3E29">
        <w:rPr>
          <w:rFonts w:cstheme="minorHAnsi"/>
          <w:i/>
          <w:iCs/>
          <w:sz w:val="24"/>
          <w:szCs w:val="24"/>
        </w:rPr>
        <w:t>I</w:t>
      </w:r>
      <w:r w:rsidRPr="00C83273">
        <w:rPr>
          <w:rFonts w:cstheme="minorHAnsi"/>
          <w:i/>
          <w:iCs/>
          <w:sz w:val="24"/>
          <w:szCs w:val="24"/>
        </w:rPr>
        <w:t xml:space="preserve">nternational </w:t>
      </w:r>
      <w:r w:rsidR="003A3E29">
        <w:rPr>
          <w:rFonts w:cstheme="minorHAnsi"/>
          <w:i/>
          <w:iCs/>
          <w:sz w:val="24"/>
          <w:szCs w:val="24"/>
        </w:rPr>
        <w:t>J</w:t>
      </w:r>
      <w:r w:rsidRPr="00C83273">
        <w:rPr>
          <w:rFonts w:cstheme="minorHAnsi"/>
          <w:i/>
          <w:iCs/>
          <w:sz w:val="24"/>
          <w:szCs w:val="24"/>
        </w:rPr>
        <w:t xml:space="preserve">ournal of </w:t>
      </w:r>
      <w:r w:rsidR="003A3E29">
        <w:rPr>
          <w:rFonts w:cstheme="minorHAnsi"/>
          <w:i/>
          <w:iCs/>
          <w:sz w:val="24"/>
          <w:szCs w:val="24"/>
        </w:rPr>
        <w:t>B</w:t>
      </w:r>
      <w:r w:rsidRPr="00C83273">
        <w:rPr>
          <w:rFonts w:cstheme="minorHAnsi"/>
          <w:i/>
          <w:iCs/>
          <w:sz w:val="24"/>
          <w:szCs w:val="24"/>
        </w:rPr>
        <w:t>iostatistics</w:t>
      </w:r>
      <w:r w:rsidRPr="00C83273">
        <w:rPr>
          <w:rFonts w:cstheme="minorHAnsi"/>
          <w:sz w:val="24"/>
          <w:szCs w:val="24"/>
        </w:rPr>
        <w:t>. 2006; 2.</w:t>
      </w:r>
    </w:p>
    <w:p w14:paraId="16320B5C" w14:textId="116E1ADC" w:rsidR="00B55BEF" w:rsidRPr="00C83273" w:rsidRDefault="00B55BEF"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van der Laan MJ, Gruber S. Targeted minimum </w:t>
      </w:r>
      <w:proofErr w:type="gramStart"/>
      <w:r w:rsidRPr="00C83273">
        <w:rPr>
          <w:rFonts w:cstheme="minorHAnsi"/>
          <w:sz w:val="24"/>
          <w:szCs w:val="24"/>
        </w:rPr>
        <w:t>loss based</w:t>
      </w:r>
      <w:proofErr w:type="gramEnd"/>
      <w:r w:rsidRPr="00C83273">
        <w:rPr>
          <w:rFonts w:cstheme="minorHAnsi"/>
          <w:sz w:val="24"/>
          <w:szCs w:val="24"/>
        </w:rPr>
        <w:t xml:space="preserve"> estimation of causal effects of multiple time </w:t>
      </w:r>
      <w:proofErr w:type="gramStart"/>
      <w:r w:rsidRPr="00C83273">
        <w:rPr>
          <w:rFonts w:cstheme="minorHAnsi"/>
          <w:sz w:val="24"/>
          <w:szCs w:val="24"/>
        </w:rPr>
        <w:t>point</w:t>
      </w:r>
      <w:proofErr w:type="gramEnd"/>
      <w:r w:rsidRPr="00C83273">
        <w:rPr>
          <w:rFonts w:cstheme="minorHAnsi"/>
          <w:sz w:val="24"/>
          <w:szCs w:val="24"/>
        </w:rPr>
        <w:t xml:space="preserve"> interventions. </w:t>
      </w:r>
      <w:r w:rsidRPr="00C83273">
        <w:rPr>
          <w:rFonts w:cstheme="minorHAnsi"/>
          <w:i/>
          <w:iCs/>
          <w:sz w:val="24"/>
          <w:szCs w:val="24"/>
        </w:rPr>
        <w:t xml:space="preserve">The </w:t>
      </w:r>
      <w:r w:rsidR="003A3E29">
        <w:rPr>
          <w:rFonts w:cstheme="minorHAnsi"/>
          <w:i/>
          <w:iCs/>
          <w:sz w:val="24"/>
          <w:szCs w:val="24"/>
        </w:rPr>
        <w:t>I</w:t>
      </w:r>
      <w:r w:rsidRPr="00C83273">
        <w:rPr>
          <w:rFonts w:cstheme="minorHAnsi"/>
          <w:i/>
          <w:iCs/>
          <w:sz w:val="24"/>
          <w:szCs w:val="24"/>
        </w:rPr>
        <w:t xml:space="preserve">nternational </w:t>
      </w:r>
      <w:r w:rsidR="003A3E29">
        <w:rPr>
          <w:rFonts w:cstheme="minorHAnsi"/>
          <w:i/>
          <w:iCs/>
          <w:sz w:val="24"/>
          <w:szCs w:val="24"/>
        </w:rPr>
        <w:t>J</w:t>
      </w:r>
      <w:r w:rsidRPr="00C83273">
        <w:rPr>
          <w:rFonts w:cstheme="minorHAnsi"/>
          <w:i/>
          <w:iCs/>
          <w:sz w:val="24"/>
          <w:szCs w:val="24"/>
        </w:rPr>
        <w:t xml:space="preserve">ournal of </w:t>
      </w:r>
      <w:r w:rsidR="003A3E29">
        <w:rPr>
          <w:rFonts w:cstheme="minorHAnsi"/>
          <w:i/>
          <w:iCs/>
          <w:sz w:val="24"/>
          <w:szCs w:val="24"/>
        </w:rPr>
        <w:t>B</w:t>
      </w:r>
      <w:r w:rsidRPr="00C83273">
        <w:rPr>
          <w:rFonts w:cstheme="minorHAnsi"/>
          <w:i/>
          <w:iCs/>
          <w:sz w:val="24"/>
          <w:szCs w:val="24"/>
        </w:rPr>
        <w:t>iostatistics</w:t>
      </w:r>
      <w:r w:rsidRPr="00C83273">
        <w:rPr>
          <w:rFonts w:cstheme="minorHAnsi"/>
          <w:sz w:val="24"/>
          <w:szCs w:val="24"/>
        </w:rPr>
        <w:t>. 2012; 8.</w:t>
      </w:r>
    </w:p>
    <w:p w14:paraId="6D1EF939" w14:textId="77777777" w:rsidR="003A3E29" w:rsidRPr="00C83273" w:rsidRDefault="003A3E29" w:rsidP="003A3E29">
      <w:pPr>
        <w:pStyle w:val="ListParagraph"/>
        <w:numPr>
          <w:ilvl w:val="3"/>
          <w:numId w:val="26"/>
        </w:numPr>
        <w:spacing w:after="0" w:line="240" w:lineRule="auto"/>
        <w:jc w:val="both"/>
        <w:rPr>
          <w:rFonts w:cstheme="minorHAnsi"/>
          <w:sz w:val="24"/>
          <w:szCs w:val="24"/>
        </w:rPr>
      </w:pPr>
      <w:r w:rsidRPr="00C83273">
        <w:rPr>
          <w:rFonts w:cstheme="minorHAnsi"/>
          <w:sz w:val="24"/>
          <w:szCs w:val="24"/>
        </w:rPr>
        <w:t xml:space="preserve">Schomaker M, Luque‐Fernandez MA, Leroy V, Davies MA. Using longitudinal targeted maximum likelihood estimation in complex settings with dynamic interventions. </w:t>
      </w:r>
      <w:r w:rsidRPr="00C83273">
        <w:rPr>
          <w:rFonts w:cstheme="minorHAnsi"/>
          <w:i/>
          <w:iCs/>
          <w:sz w:val="24"/>
          <w:szCs w:val="24"/>
        </w:rPr>
        <w:t xml:space="preserve">Statistics in </w:t>
      </w:r>
      <w:r>
        <w:rPr>
          <w:rFonts w:cstheme="minorHAnsi"/>
          <w:i/>
          <w:iCs/>
          <w:sz w:val="24"/>
          <w:szCs w:val="24"/>
        </w:rPr>
        <w:t>M</w:t>
      </w:r>
      <w:r w:rsidRPr="00C83273">
        <w:rPr>
          <w:rFonts w:cstheme="minorHAnsi"/>
          <w:i/>
          <w:iCs/>
          <w:sz w:val="24"/>
          <w:szCs w:val="24"/>
        </w:rPr>
        <w:t>edicine</w:t>
      </w:r>
      <w:r w:rsidRPr="00C83273">
        <w:rPr>
          <w:rFonts w:cstheme="minorHAnsi"/>
          <w:sz w:val="24"/>
          <w:szCs w:val="24"/>
        </w:rPr>
        <w:t>. 2019; 38: 4888-911.</w:t>
      </w:r>
    </w:p>
    <w:p w14:paraId="4FB36D46" w14:textId="7FA13D75" w:rsidR="007863E5" w:rsidRPr="00C83273" w:rsidRDefault="007863E5" w:rsidP="00C83273">
      <w:pPr>
        <w:pStyle w:val="ListParagraph"/>
        <w:numPr>
          <w:ilvl w:val="3"/>
          <w:numId w:val="26"/>
        </w:numPr>
        <w:spacing w:line="240" w:lineRule="auto"/>
        <w:jc w:val="both"/>
        <w:rPr>
          <w:rFonts w:cstheme="minorHAnsi"/>
          <w:sz w:val="24"/>
          <w:szCs w:val="24"/>
        </w:rPr>
      </w:pPr>
      <w:proofErr w:type="spellStart"/>
      <w:r w:rsidRPr="00C83273">
        <w:rPr>
          <w:rFonts w:cstheme="minorHAnsi"/>
          <w:sz w:val="24"/>
          <w:szCs w:val="24"/>
        </w:rPr>
        <w:t>Lendle</w:t>
      </w:r>
      <w:proofErr w:type="spellEnd"/>
      <w:r w:rsidRPr="00C83273">
        <w:rPr>
          <w:rFonts w:cstheme="minorHAnsi"/>
          <w:sz w:val="24"/>
          <w:szCs w:val="24"/>
        </w:rPr>
        <w:t xml:space="preserve"> SD, Schwab J, Petersen ML, van der Laan MJ. </w:t>
      </w:r>
      <w:proofErr w:type="spellStart"/>
      <w:r w:rsidRPr="00C83273">
        <w:rPr>
          <w:rFonts w:cstheme="minorHAnsi"/>
          <w:sz w:val="24"/>
          <w:szCs w:val="24"/>
        </w:rPr>
        <w:t>ltmle</w:t>
      </w:r>
      <w:proofErr w:type="spellEnd"/>
      <w:r w:rsidRPr="00C83273">
        <w:rPr>
          <w:rFonts w:cstheme="minorHAnsi"/>
          <w:sz w:val="24"/>
          <w:szCs w:val="24"/>
        </w:rPr>
        <w:t xml:space="preserve">: an R package implementing targeted minimum loss-based estimation for longitudinal data. </w:t>
      </w:r>
      <w:r w:rsidRPr="00C83273">
        <w:rPr>
          <w:rFonts w:cstheme="minorHAnsi"/>
          <w:i/>
          <w:iCs/>
          <w:sz w:val="24"/>
          <w:szCs w:val="24"/>
        </w:rPr>
        <w:t>Journal of Statistical Software</w:t>
      </w:r>
      <w:r w:rsidRPr="00C83273">
        <w:rPr>
          <w:rFonts w:cstheme="minorHAnsi"/>
          <w:sz w:val="24"/>
          <w:szCs w:val="24"/>
        </w:rPr>
        <w:t>. 2017; 81: 1-21.</w:t>
      </w:r>
    </w:p>
    <w:p w14:paraId="551F58D3" w14:textId="1F31CAE2" w:rsidR="008D3496" w:rsidRPr="00C83273" w:rsidRDefault="008D3496"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Chakraborty B, Murphy SA. Dynamic treatment regimes. </w:t>
      </w:r>
      <w:r w:rsidRPr="00C83273">
        <w:rPr>
          <w:rFonts w:cstheme="minorHAnsi"/>
          <w:i/>
          <w:iCs/>
          <w:sz w:val="24"/>
          <w:szCs w:val="24"/>
        </w:rPr>
        <w:t>Annual review of statistics and its application</w:t>
      </w:r>
      <w:r w:rsidRPr="00C83273">
        <w:rPr>
          <w:rFonts w:cstheme="minorHAnsi"/>
          <w:sz w:val="24"/>
          <w:szCs w:val="24"/>
        </w:rPr>
        <w:t xml:space="preserve">. 2014; 1: 447-64. </w:t>
      </w:r>
    </w:p>
    <w:p w14:paraId="6B9E8B2C" w14:textId="61747274" w:rsidR="00BE1917" w:rsidRPr="00C83273" w:rsidRDefault="00BE1917"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Kamusheva M, Németh B, Zemplényi A, Kaló Z, Elvidge J, Dimitrova M, Pontén J, Tachkov K, Mitkova Z. Using real-world evidence in healthcare from Western to Central and Eastern Europe: a review of existing barriers. </w:t>
      </w:r>
      <w:r w:rsidRPr="00C83273">
        <w:rPr>
          <w:rFonts w:cstheme="minorHAnsi"/>
          <w:i/>
          <w:iCs/>
          <w:sz w:val="24"/>
          <w:szCs w:val="24"/>
        </w:rPr>
        <w:t>Journal of Comparative Effectiveness Research</w:t>
      </w:r>
      <w:r w:rsidRPr="00C83273">
        <w:rPr>
          <w:rFonts w:cstheme="minorHAnsi"/>
          <w:sz w:val="24"/>
          <w:szCs w:val="24"/>
        </w:rPr>
        <w:t xml:space="preserve">. 2022; 11: 905-913. </w:t>
      </w:r>
    </w:p>
    <w:p w14:paraId="77930D27" w14:textId="10E42E75" w:rsidR="008D3496" w:rsidRPr="00C83273" w:rsidRDefault="00BE1917" w:rsidP="00C83273">
      <w:pPr>
        <w:pStyle w:val="ListParagraph"/>
        <w:numPr>
          <w:ilvl w:val="3"/>
          <w:numId w:val="26"/>
        </w:numPr>
        <w:spacing w:line="240" w:lineRule="auto"/>
        <w:jc w:val="both"/>
        <w:rPr>
          <w:rFonts w:cstheme="minorHAnsi"/>
          <w:sz w:val="24"/>
          <w:szCs w:val="24"/>
        </w:rPr>
      </w:pPr>
      <w:r w:rsidRPr="00C83273">
        <w:rPr>
          <w:rFonts w:cstheme="minorHAnsi"/>
          <w:sz w:val="24"/>
          <w:szCs w:val="24"/>
        </w:rPr>
        <w:t xml:space="preserve">Németh B, Kamusheva M, Mitkova Z, Petykó ZI, Zemplényi A, Dimitrova M, Tachkov K, Balkányi L, Czech M, Dawoud D, Goettsch W, Hren R, Knies S, Lorenzovici L, Maravic Z, Piniazhko O, </w:t>
      </w:r>
      <w:proofErr w:type="spellStart"/>
      <w:r w:rsidRPr="00C83273">
        <w:rPr>
          <w:rFonts w:cstheme="minorHAnsi"/>
          <w:sz w:val="24"/>
          <w:szCs w:val="24"/>
        </w:rPr>
        <w:t>Zerovnik</w:t>
      </w:r>
      <w:proofErr w:type="spellEnd"/>
      <w:r w:rsidRPr="00C83273">
        <w:rPr>
          <w:rFonts w:cstheme="minorHAnsi"/>
          <w:sz w:val="24"/>
          <w:szCs w:val="24"/>
        </w:rPr>
        <w:t xml:space="preserve"> S, Kaló Z. Guidance on using real-world evidence from Western Europe in Central and Eastern European health policy decision making. </w:t>
      </w:r>
      <w:r w:rsidRPr="00C83273">
        <w:rPr>
          <w:rFonts w:cstheme="minorHAnsi"/>
          <w:i/>
          <w:iCs/>
          <w:sz w:val="24"/>
          <w:szCs w:val="24"/>
        </w:rPr>
        <w:t>Journal of Comparative Effectiveness Research</w:t>
      </w:r>
      <w:r w:rsidRPr="00C83273">
        <w:rPr>
          <w:rFonts w:cstheme="minorHAnsi"/>
          <w:sz w:val="24"/>
          <w:szCs w:val="24"/>
        </w:rPr>
        <w:t>. 2023; 12: e220157.</w:t>
      </w:r>
    </w:p>
    <w:p w14:paraId="3D71C4E8" w14:textId="5F1A7112" w:rsidR="00472564" w:rsidRPr="00C33DE0" w:rsidRDefault="00A8657B" w:rsidP="00C83273">
      <w:pPr>
        <w:pStyle w:val="ListParagraph"/>
        <w:numPr>
          <w:ilvl w:val="3"/>
          <w:numId w:val="26"/>
        </w:numPr>
        <w:spacing w:line="240" w:lineRule="auto"/>
        <w:jc w:val="both"/>
      </w:pPr>
      <w:r w:rsidRPr="00C83273">
        <w:rPr>
          <w:rFonts w:cstheme="minorHAnsi"/>
          <w:sz w:val="24"/>
          <w:szCs w:val="24"/>
        </w:rPr>
        <w:t xml:space="preserve">Ádám I, Callenbach M, Németh B, Vreman R, Tollin C, Pontén J, Dawoud DM, Elvidge J, Crabb N,  Van Waalwijk Van Doorn-Khosrovani SB, Pisters-Van Roy A, Vincziczki Á, Almomani E, </w:t>
      </w:r>
      <w:proofErr w:type="spellStart"/>
      <w:r w:rsidRPr="00C83273">
        <w:rPr>
          <w:rFonts w:cstheme="minorHAnsi"/>
          <w:sz w:val="24"/>
          <w:szCs w:val="24"/>
        </w:rPr>
        <w:t>Vajagic</w:t>
      </w:r>
      <w:proofErr w:type="spellEnd"/>
      <w:r w:rsidRPr="00C83273">
        <w:rPr>
          <w:rFonts w:cstheme="minorHAnsi"/>
          <w:sz w:val="24"/>
          <w:szCs w:val="24"/>
        </w:rPr>
        <w:t xml:space="preserve"> M, Oner ZG, </w:t>
      </w:r>
      <w:proofErr w:type="spellStart"/>
      <w:r w:rsidRPr="00C83273">
        <w:rPr>
          <w:rFonts w:cstheme="minorHAnsi"/>
          <w:sz w:val="24"/>
          <w:szCs w:val="24"/>
        </w:rPr>
        <w:t>Matni</w:t>
      </w:r>
      <w:proofErr w:type="spellEnd"/>
      <w:r w:rsidRPr="00C83273">
        <w:rPr>
          <w:rFonts w:cstheme="minorHAnsi"/>
          <w:sz w:val="24"/>
          <w:szCs w:val="24"/>
        </w:rPr>
        <w:t xml:space="preserve"> M, Fürst J, Kahveci R, Goettsch W, Kaló Z. Recommendations for implementing outcome-based reimbursement models for new technologies in Central and Eastern European and Middle-Eastern countries</w:t>
      </w:r>
      <w:r w:rsidR="00BE1917" w:rsidRPr="00C83273">
        <w:rPr>
          <w:rFonts w:cstheme="minorHAnsi"/>
          <w:sz w:val="24"/>
          <w:szCs w:val="24"/>
        </w:rPr>
        <w:t>.</w:t>
      </w:r>
      <w:r w:rsidRPr="00C83273">
        <w:rPr>
          <w:rFonts w:cstheme="minorHAnsi"/>
          <w:sz w:val="24"/>
          <w:szCs w:val="24"/>
        </w:rPr>
        <w:t xml:space="preserve"> </w:t>
      </w:r>
      <w:r w:rsidRPr="00C83273">
        <w:rPr>
          <w:rFonts w:cstheme="minorHAnsi"/>
          <w:i/>
          <w:iCs/>
          <w:sz w:val="24"/>
          <w:szCs w:val="24"/>
        </w:rPr>
        <w:t>Frontiers in Medicine</w:t>
      </w:r>
      <w:r w:rsidRPr="00C83273">
        <w:rPr>
          <w:rFonts w:cstheme="minorHAnsi"/>
          <w:sz w:val="24"/>
          <w:szCs w:val="24"/>
        </w:rPr>
        <w:t>. 2022</w:t>
      </w:r>
      <w:r w:rsidR="00BE1917" w:rsidRPr="00C83273">
        <w:rPr>
          <w:rFonts w:cstheme="minorHAnsi"/>
          <w:sz w:val="24"/>
          <w:szCs w:val="24"/>
        </w:rPr>
        <w:t>;</w:t>
      </w:r>
      <w:r w:rsidRPr="00C83273">
        <w:rPr>
          <w:rFonts w:cstheme="minorHAnsi"/>
          <w:sz w:val="24"/>
          <w:szCs w:val="24"/>
        </w:rPr>
        <w:t xml:space="preserve"> 9</w:t>
      </w:r>
      <w:r w:rsidR="00BE1917" w:rsidRPr="00C83273">
        <w:rPr>
          <w:rFonts w:cstheme="minorHAnsi"/>
          <w:sz w:val="24"/>
          <w:szCs w:val="24"/>
        </w:rPr>
        <w:t>:</w:t>
      </w:r>
      <w:r w:rsidRPr="00C83273">
        <w:rPr>
          <w:rFonts w:cstheme="minorHAnsi"/>
          <w:sz w:val="24"/>
          <w:szCs w:val="24"/>
        </w:rPr>
        <w:t xml:space="preserve"> 940886.</w:t>
      </w:r>
    </w:p>
    <w:sectPr w:rsidR="00472564" w:rsidRPr="00C33DE0" w:rsidSect="00D21E19">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AB4"/>
    <w:multiLevelType w:val="hybridMultilevel"/>
    <w:tmpl w:val="BEB264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18303F"/>
    <w:multiLevelType w:val="hybridMultilevel"/>
    <w:tmpl w:val="355A06EA"/>
    <w:lvl w:ilvl="0" w:tplc="FFFFFFFF">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040E000F">
      <w:start w:val="1"/>
      <w:numFmt w:val="decimal"/>
      <w:lvlText w:val="%4."/>
      <w:lvlJc w:val="left"/>
      <w:pPr>
        <w:ind w:left="720" w:hanging="360"/>
      </w:p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52D4A41"/>
    <w:multiLevelType w:val="hybridMultilevel"/>
    <w:tmpl w:val="3026A384"/>
    <w:lvl w:ilvl="0" w:tplc="E0C45C82">
      <w:numFmt w:val="bullet"/>
      <w:lvlText w:val="-"/>
      <w:lvlJc w:val="left"/>
      <w:pPr>
        <w:ind w:left="410" w:hanging="360"/>
      </w:pPr>
      <w:rPr>
        <w:rFonts w:ascii="Calibri" w:eastAsiaTheme="minorHAnsi"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3" w15:restartNumberingAfterBreak="0">
    <w:nsid w:val="06773997"/>
    <w:multiLevelType w:val="multilevel"/>
    <w:tmpl w:val="238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96DD7"/>
    <w:multiLevelType w:val="hybridMultilevel"/>
    <w:tmpl w:val="3552F4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0A6916"/>
    <w:multiLevelType w:val="hybridMultilevel"/>
    <w:tmpl w:val="74D241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532F0F"/>
    <w:multiLevelType w:val="hybridMultilevel"/>
    <w:tmpl w:val="E08053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E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A1166"/>
    <w:multiLevelType w:val="hybridMultilevel"/>
    <w:tmpl w:val="325A2F60"/>
    <w:lvl w:ilvl="0" w:tplc="D052980A">
      <w:start w:val="1"/>
      <w:numFmt w:val="bullet"/>
      <w:lvlText w:val="•"/>
      <w:lvlJc w:val="left"/>
      <w:pPr>
        <w:tabs>
          <w:tab w:val="num" w:pos="720"/>
        </w:tabs>
        <w:ind w:left="720" w:hanging="360"/>
      </w:pPr>
      <w:rPr>
        <w:rFonts w:ascii="Calibri" w:hAnsi="Calibri" w:hint="default"/>
      </w:rPr>
    </w:lvl>
    <w:lvl w:ilvl="1" w:tplc="1B6074B0">
      <w:start w:val="1"/>
      <w:numFmt w:val="bullet"/>
      <w:lvlText w:val="•"/>
      <w:lvlJc w:val="left"/>
      <w:pPr>
        <w:tabs>
          <w:tab w:val="num" w:pos="1440"/>
        </w:tabs>
        <w:ind w:left="1440" w:hanging="360"/>
      </w:pPr>
      <w:rPr>
        <w:rFonts w:ascii="Calibri" w:hAnsi="Calibri" w:hint="default"/>
      </w:rPr>
    </w:lvl>
    <w:lvl w:ilvl="2" w:tplc="151E8588" w:tentative="1">
      <w:start w:val="1"/>
      <w:numFmt w:val="bullet"/>
      <w:lvlText w:val="•"/>
      <w:lvlJc w:val="left"/>
      <w:pPr>
        <w:tabs>
          <w:tab w:val="num" w:pos="2160"/>
        </w:tabs>
        <w:ind w:left="2160" w:hanging="360"/>
      </w:pPr>
      <w:rPr>
        <w:rFonts w:ascii="Calibri" w:hAnsi="Calibri" w:hint="default"/>
      </w:rPr>
    </w:lvl>
    <w:lvl w:ilvl="3" w:tplc="23361E8E" w:tentative="1">
      <w:start w:val="1"/>
      <w:numFmt w:val="bullet"/>
      <w:lvlText w:val="•"/>
      <w:lvlJc w:val="left"/>
      <w:pPr>
        <w:tabs>
          <w:tab w:val="num" w:pos="2880"/>
        </w:tabs>
        <w:ind w:left="2880" w:hanging="360"/>
      </w:pPr>
      <w:rPr>
        <w:rFonts w:ascii="Calibri" w:hAnsi="Calibri" w:hint="default"/>
      </w:rPr>
    </w:lvl>
    <w:lvl w:ilvl="4" w:tplc="8C2E23BA" w:tentative="1">
      <w:start w:val="1"/>
      <w:numFmt w:val="bullet"/>
      <w:lvlText w:val="•"/>
      <w:lvlJc w:val="left"/>
      <w:pPr>
        <w:tabs>
          <w:tab w:val="num" w:pos="3600"/>
        </w:tabs>
        <w:ind w:left="3600" w:hanging="360"/>
      </w:pPr>
      <w:rPr>
        <w:rFonts w:ascii="Calibri" w:hAnsi="Calibri" w:hint="default"/>
      </w:rPr>
    </w:lvl>
    <w:lvl w:ilvl="5" w:tplc="D7B25384" w:tentative="1">
      <w:start w:val="1"/>
      <w:numFmt w:val="bullet"/>
      <w:lvlText w:val="•"/>
      <w:lvlJc w:val="left"/>
      <w:pPr>
        <w:tabs>
          <w:tab w:val="num" w:pos="4320"/>
        </w:tabs>
        <w:ind w:left="4320" w:hanging="360"/>
      </w:pPr>
      <w:rPr>
        <w:rFonts w:ascii="Calibri" w:hAnsi="Calibri" w:hint="default"/>
      </w:rPr>
    </w:lvl>
    <w:lvl w:ilvl="6" w:tplc="4600D1EC" w:tentative="1">
      <w:start w:val="1"/>
      <w:numFmt w:val="bullet"/>
      <w:lvlText w:val="•"/>
      <w:lvlJc w:val="left"/>
      <w:pPr>
        <w:tabs>
          <w:tab w:val="num" w:pos="5040"/>
        </w:tabs>
        <w:ind w:left="5040" w:hanging="360"/>
      </w:pPr>
      <w:rPr>
        <w:rFonts w:ascii="Calibri" w:hAnsi="Calibri" w:hint="default"/>
      </w:rPr>
    </w:lvl>
    <w:lvl w:ilvl="7" w:tplc="0BAC40CA" w:tentative="1">
      <w:start w:val="1"/>
      <w:numFmt w:val="bullet"/>
      <w:lvlText w:val="•"/>
      <w:lvlJc w:val="left"/>
      <w:pPr>
        <w:tabs>
          <w:tab w:val="num" w:pos="5760"/>
        </w:tabs>
        <w:ind w:left="5760" w:hanging="360"/>
      </w:pPr>
      <w:rPr>
        <w:rFonts w:ascii="Calibri" w:hAnsi="Calibri" w:hint="default"/>
      </w:rPr>
    </w:lvl>
    <w:lvl w:ilvl="8" w:tplc="0004E8D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1EE61D35"/>
    <w:multiLevelType w:val="multilevel"/>
    <w:tmpl w:val="47AC0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05DDE"/>
    <w:multiLevelType w:val="hybridMultilevel"/>
    <w:tmpl w:val="BCAA7CE8"/>
    <w:lvl w:ilvl="0" w:tplc="7340DB2A">
      <w:start w:val="1"/>
      <w:numFmt w:val="bullet"/>
      <w:lvlText w:val="●"/>
      <w:lvlJc w:val="left"/>
      <w:pPr>
        <w:tabs>
          <w:tab w:val="num" w:pos="720"/>
        </w:tabs>
        <w:ind w:left="720" w:hanging="360"/>
      </w:pPr>
      <w:rPr>
        <w:rFonts w:ascii="Arial" w:hAnsi="Arial" w:hint="default"/>
      </w:rPr>
    </w:lvl>
    <w:lvl w:ilvl="1" w:tplc="8EF250BC" w:tentative="1">
      <w:start w:val="1"/>
      <w:numFmt w:val="bullet"/>
      <w:lvlText w:val="●"/>
      <w:lvlJc w:val="left"/>
      <w:pPr>
        <w:tabs>
          <w:tab w:val="num" w:pos="1440"/>
        </w:tabs>
        <w:ind w:left="1440" w:hanging="360"/>
      </w:pPr>
      <w:rPr>
        <w:rFonts w:ascii="Arial" w:hAnsi="Arial" w:hint="default"/>
      </w:rPr>
    </w:lvl>
    <w:lvl w:ilvl="2" w:tplc="BD9C7B48" w:tentative="1">
      <w:start w:val="1"/>
      <w:numFmt w:val="bullet"/>
      <w:lvlText w:val="●"/>
      <w:lvlJc w:val="left"/>
      <w:pPr>
        <w:tabs>
          <w:tab w:val="num" w:pos="2160"/>
        </w:tabs>
        <w:ind w:left="2160" w:hanging="360"/>
      </w:pPr>
      <w:rPr>
        <w:rFonts w:ascii="Arial" w:hAnsi="Arial" w:hint="default"/>
      </w:rPr>
    </w:lvl>
    <w:lvl w:ilvl="3" w:tplc="E8325674" w:tentative="1">
      <w:start w:val="1"/>
      <w:numFmt w:val="bullet"/>
      <w:lvlText w:val="●"/>
      <w:lvlJc w:val="left"/>
      <w:pPr>
        <w:tabs>
          <w:tab w:val="num" w:pos="2880"/>
        </w:tabs>
        <w:ind w:left="2880" w:hanging="360"/>
      </w:pPr>
      <w:rPr>
        <w:rFonts w:ascii="Arial" w:hAnsi="Arial" w:hint="default"/>
      </w:rPr>
    </w:lvl>
    <w:lvl w:ilvl="4" w:tplc="1BAE4B08" w:tentative="1">
      <w:start w:val="1"/>
      <w:numFmt w:val="bullet"/>
      <w:lvlText w:val="●"/>
      <w:lvlJc w:val="left"/>
      <w:pPr>
        <w:tabs>
          <w:tab w:val="num" w:pos="3600"/>
        </w:tabs>
        <w:ind w:left="3600" w:hanging="360"/>
      </w:pPr>
      <w:rPr>
        <w:rFonts w:ascii="Arial" w:hAnsi="Arial" w:hint="default"/>
      </w:rPr>
    </w:lvl>
    <w:lvl w:ilvl="5" w:tplc="E7543656" w:tentative="1">
      <w:start w:val="1"/>
      <w:numFmt w:val="bullet"/>
      <w:lvlText w:val="●"/>
      <w:lvlJc w:val="left"/>
      <w:pPr>
        <w:tabs>
          <w:tab w:val="num" w:pos="4320"/>
        </w:tabs>
        <w:ind w:left="4320" w:hanging="360"/>
      </w:pPr>
      <w:rPr>
        <w:rFonts w:ascii="Arial" w:hAnsi="Arial" w:hint="default"/>
      </w:rPr>
    </w:lvl>
    <w:lvl w:ilvl="6" w:tplc="CFE66A14" w:tentative="1">
      <w:start w:val="1"/>
      <w:numFmt w:val="bullet"/>
      <w:lvlText w:val="●"/>
      <w:lvlJc w:val="left"/>
      <w:pPr>
        <w:tabs>
          <w:tab w:val="num" w:pos="5040"/>
        </w:tabs>
        <w:ind w:left="5040" w:hanging="360"/>
      </w:pPr>
      <w:rPr>
        <w:rFonts w:ascii="Arial" w:hAnsi="Arial" w:hint="default"/>
      </w:rPr>
    </w:lvl>
    <w:lvl w:ilvl="7" w:tplc="14D20F62" w:tentative="1">
      <w:start w:val="1"/>
      <w:numFmt w:val="bullet"/>
      <w:lvlText w:val="●"/>
      <w:lvlJc w:val="left"/>
      <w:pPr>
        <w:tabs>
          <w:tab w:val="num" w:pos="5760"/>
        </w:tabs>
        <w:ind w:left="5760" w:hanging="360"/>
      </w:pPr>
      <w:rPr>
        <w:rFonts w:ascii="Arial" w:hAnsi="Arial" w:hint="default"/>
      </w:rPr>
    </w:lvl>
    <w:lvl w:ilvl="8" w:tplc="9A4499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BA084F"/>
    <w:multiLevelType w:val="multilevel"/>
    <w:tmpl w:val="EE8A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77A61"/>
    <w:multiLevelType w:val="hybridMultilevel"/>
    <w:tmpl w:val="DDBC1352"/>
    <w:lvl w:ilvl="0" w:tplc="8BE4113C">
      <w:start w:val="1"/>
      <w:numFmt w:val="bullet"/>
      <w:lvlText w:val="•"/>
      <w:lvlJc w:val="left"/>
      <w:pPr>
        <w:tabs>
          <w:tab w:val="num" w:pos="720"/>
        </w:tabs>
        <w:ind w:left="720" w:hanging="360"/>
      </w:pPr>
      <w:rPr>
        <w:rFonts w:ascii="Calibri" w:hAnsi="Calibri" w:hint="default"/>
      </w:rPr>
    </w:lvl>
    <w:lvl w:ilvl="1" w:tplc="A6766FB0" w:tentative="1">
      <w:start w:val="1"/>
      <w:numFmt w:val="bullet"/>
      <w:lvlText w:val="•"/>
      <w:lvlJc w:val="left"/>
      <w:pPr>
        <w:tabs>
          <w:tab w:val="num" w:pos="1440"/>
        </w:tabs>
        <w:ind w:left="1440" w:hanging="360"/>
      </w:pPr>
      <w:rPr>
        <w:rFonts w:ascii="Calibri" w:hAnsi="Calibri" w:hint="default"/>
      </w:rPr>
    </w:lvl>
    <w:lvl w:ilvl="2" w:tplc="3E2A2EA8" w:tentative="1">
      <w:start w:val="1"/>
      <w:numFmt w:val="bullet"/>
      <w:lvlText w:val="•"/>
      <w:lvlJc w:val="left"/>
      <w:pPr>
        <w:tabs>
          <w:tab w:val="num" w:pos="2160"/>
        </w:tabs>
        <w:ind w:left="2160" w:hanging="360"/>
      </w:pPr>
      <w:rPr>
        <w:rFonts w:ascii="Calibri" w:hAnsi="Calibri" w:hint="default"/>
      </w:rPr>
    </w:lvl>
    <w:lvl w:ilvl="3" w:tplc="720814B8" w:tentative="1">
      <w:start w:val="1"/>
      <w:numFmt w:val="bullet"/>
      <w:lvlText w:val="•"/>
      <w:lvlJc w:val="left"/>
      <w:pPr>
        <w:tabs>
          <w:tab w:val="num" w:pos="2880"/>
        </w:tabs>
        <w:ind w:left="2880" w:hanging="360"/>
      </w:pPr>
      <w:rPr>
        <w:rFonts w:ascii="Calibri" w:hAnsi="Calibri" w:hint="default"/>
      </w:rPr>
    </w:lvl>
    <w:lvl w:ilvl="4" w:tplc="3F7E3E52" w:tentative="1">
      <w:start w:val="1"/>
      <w:numFmt w:val="bullet"/>
      <w:lvlText w:val="•"/>
      <w:lvlJc w:val="left"/>
      <w:pPr>
        <w:tabs>
          <w:tab w:val="num" w:pos="3600"/>
        </w:tabs>
        <w:ind w:left="3600" w:hanging="360"/>
      </w:pPr>
      <w:rPr>
        <w:rFonts w:ascii="Calibri" w:hAnsi="Calibri" w:hint="default"/>
      </w:rPr>
    </w:lvl>
    <w:lvl w:ilvl="5" w:tplc="1B7222FC" w:tentative="1">
      <w:start w:val="1"/>
      <w:numFmt w:val="bullet"/>
      <w:lvlText w:val="•"/>
      <w:lvlJc w:val="left"/>
      <w:pPr>
        <w:tabs>
          <w:tab w:val="num" w:pos="4320"/>
        </w:tabs>
        <w:ind w:left="4320" w:hanging="360"/>
      </w:pPr>
      <w:rPr>
        <w:rFonts w:ascii="Calibri" w:hAnsi="Calibri" w:hint="default"/>
      </w:rPr>
    </w:lvl>
    <w:lvl w:ilvl="6" w:tplc="7C04266A" w:tentative="1">
      <w:start w:val="1"/>
      <w:numFmt w:val="bullet"/>
      <w:lvlText w:val="•"/>
      <w:lvlJc w:val="left"/>
      <w:pPr>
        <w:tabs>
          <w:tab w:val="num" w:pos="5040"/>
        </w:tabs>
        <w:ind w:left="5040" w:hanging="360"/>
      </w:pPr>
      <w:rPr>
        <w:rFonts w:ascii="Calibri" w:hAnsi="Calibri" w:hint="default"/>
      </w:rPr>
    </w:lvl>
    <w:lvl w:ilvl="7" w:tplc="139206E8" w:tentative="1">
      <w:start w:val="1"/>
      <w:numFmt w:val="bullet"/>
      <w:lvlText w:val="•"/>
      <w:lvlJc w:val="left"/>
      <w:pPr>
        <w:tabs>
          <w:tab w:val="num" w:pos="5760"/>
        </w:tabs>
        <w:ind w:left="5760" w:hanging="360"/>
      </w:pPr>
      <w:rPr>
        <w:rFonts w:ascii="Calibri" w:hAnsi="Calibri" w:hint="default"/>
      </w:rPr>
    </w:lvl>
    <w:lvl w:ilvl="8" w:tplc="704EF0D0"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C2F377C"/>
    <w:multiLevelType w:val="hybridMultilevel"/>
    <w:tmpl w:val="BB1C988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06269AF"/>
    <w:multiLevelType w:val="hybridMultilevel"/>
    <w:tmpl w:val="AA0E58AC"/>
    <w:lvl w:ilvl="0" w:tplc="2416AFB8">
      <w:numFmt w:val="bullet"/>
      <w:lvlText w:val="-"/>
      <w:lvlJc w:val="left"/>
      <w:pPr>
        <w:ind w:left="410" w:hanging="360"/>
      </w:pPr>
      <w:rPr>
        <w:rFonts w:ascii="Calibri" w:eastAsiaTheme="minorHAnsi"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14" w15:restartNumberingAfterBreak="0">
    <w:nsid w:val="338403E9"/>
    <w:multiLevelType w:val="hybridMultilevel"/>
    <w:tmpl w:val="716A8976"/>
    <w:lvl w:ilvl="0" w:tplc="DA3CB8D0">
      <w:start w:val="1"/>
      <w:numFmt w:val="bullet"/>
      <w:lvlText w:val="•"/>
      <w:lvlJc w:val="left"/>
      <w:pPr>
        <w:tabs>
          <w:tab w:val="num" w:pos="720"/>
        </w:tabs>
        <w:ind w:left="720" w:hanging="360"/>
      </w:pPr>
      <w:rPr>
        <w:rFonts w:ascii="Arial" w:hAnsi="Arial" w:hint="default"/>
      </w:rPr>
    </w:lvl>
    <w:lvl w:ilvl="1" w:tplc="BA0CE028" w:tentative="1">
      <w:start w:val="1"/>
      <w:numFmt w:val="bullet"/>
      <w:lvlText w:val="•"/>
      <w:lvlJc w:val="left"/>
      <w:pPr>
        <w:tabs>
          <w:tab w:val="num" w:pos="1440"/>
        </w:tabs>
        <w:ind w:left="1440" w:hanging="360"/>
      </w:pPr>
      <w:rPr>
        <w:rFonts w:ascii="Arial" w:hAnsi="Arial" w:hint="default"/>
      </w:rPr>
    </w:lvl>
    <w:lvl w:ilvl="2" w:tplc="FE6ACD0A" w:tentative="1">
      <w:start w:val="1"/>
      <w:numFmt w:val="bullet"/>
      <w:lvlText w:val="•"/>
      <w:lvlJc w:val="left"/>
      <w:pPr>
        <w:tabs>
          <w:tab w:val="num" w:pos="2160"/>
        </w:tabs>
        <w:ind w:left="2160" w:hanging="360"/>
      </w:pPr>
      <w:rPr>
        <w:rFonts w:ascii="Arial" w:hAnsi="Arial" w:hint="default"/>
      </w:rPr>
    </w:lvl>
    <w:lvl w:ilvl="3" w:tplc="AD7E2F9E" w:tentative="1">
      <w:start w:val="1"/>
      <w:numFmt w:val="bullet"/>
      <w:lvlText w:val="•"/>
      <w:lvlJc w:val="left"/>
      <w:pPr>
        <w:tabs>
          <w:tab w:val="num" w:pos="2880"/>
        </w:tabs>
        <w:ind w:left="2880" w:hanging="360"/>
      </w:pPr>
      <w:rPr>
        <w:rFonts w:ascii="Arial" w:hAnsi="Arial" w:hint="default"/>
      </w:rPr>
    </w:lvl>
    <w:lvl w:ilvl="4" w:tplc="174AD0C8" w:tentative="1">
      <w:start w:val="1"/>
      <w:numFmt w:val="bullet"/>
      <w:lvlText w:val="•"/>
      <w:lvlJc w:val="left"/>
      <w:pPr>
        <w:tabs>
          <w:tab w:val="num" w:pos="3600"/>
        </w:tabs>
        <w:ind w:left="3600" w:hanging="360"/>
      </w:pPr>
      <w:rPr>
        <w:rFonts w:ascii="Arial" w:hAnsi="Arial" w:hint="default"/>
      </w:rPr>
    </w:lvl>
    <w:lvl w:ilvl="5" w:tplc="0714F716" w:tentative="1">
      <w:start w:val="1"/>
      <w:numFmt w:val="bullet"/>
      <w:lvlText w:val="•"/>
      <w:lvlJc w:val="left"/>
      <w:pPr>
        <w:tabs>
          <w:tab w:val="num" w:pos="4320"/>
        </w:tabs>
        <w:ind w:left="4320" w:hanging="360"/>
      </w:pPr>
      <w:rPr>
        <w:rFonts w:ascii="Arial" w:hAnsi="Arial" w:hint="default"/>
      </w:rPr>
    </w:lvl>
    <w:lvl w:ilvl="6" w:tplc="CA7ED4D6" w:tentative="1">
      <w:start w:val="1"/>
      <w:numFmt w:val="bullet"/>
      <w:lvlText w:val="•"/>
      <w:lvlJc w:val="left"/>
      <w:pPr>
        <w:tabs>
          <w:tab w:val="num" w:pos="5040"/>
        </w:tabs>
        <w:ind w:left="5040" w:hanging="360"/>
      </w:pPr>
      <w:rPr>
        <w:rFonts w:ascii="Arial" w:hAnsi="Arial" w:hint="default"/>
      </w:rPr>
    </w:lvl>
    <w:lvl w:ilvl="7" w:tplc="C108F640" w:tentative="1">
      <w:start w:val="1"/>
      <w:numFmt w:val="bullet"/>
      <w:lvlText w:val="•"/>
      <w:lvlJc w:val="left"/>
      <w:pPr>
        <w:tabs>
          <w:tab w:val="num" w:pos="5760"/>
        </w:tabs>
        <w:ind w:left="5760" w:hanging="360"/>
      </w:pPr>
      <w:rPr>
        <w:rFonts w:ascii="Arial" w:hAnsi="Arial" w:hint="default"/>
      </w:rPr>
    </w:lvl>
    <w:lvl w:ilvl="8" w:tplc="7A9A0B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DA74FB"/>
    <w:multiLevelType w:val="hybridMultilevel"/>
    <w:tmpl w:val="9266EC2C"/>
    <w:lvl w:ilvl="0" w:tplc="AF6E7E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6" w15:restartNumberingAfterBreak="0">
    <w:nsid w:val="56431EEA"/>
    <w:multiLevelType w:val="hybridMultilevel"/>
    <w:tmpl w:val="E5C6815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7" w15:restartNumberingAfterBreak="0">
    <w:nsid w:val="5962598C"/>
    <w:multiLevelType w:val="hybridMultilevel"/>
    <w:tmpl w:val="0D886DE4"/>
    <w:lvl w:ilvl="0" w:tplc="AF6E7E02">
      <w:start w:val="1"/>
      <w:numFmt w:val="bullet"/>
      <w:lvlText w:val=""/>
      <w:lvlJc w:val="left"/>
      <w:pPr>
        <w:ind w:left="720" w:hanging="360"/>
      </w:pPr>
      <w:rPr>
        <w:rFonts w:ascii="Symbol" w:hAnsi="Symbol"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701EB4"/>
    <w:multiLevelType w:val="hybridMultilevel"/>
    <w:tmpl w:val="36BC5AD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5D420934"/>
    <w:multiLevelType w:val="hybridMultilevel"/>
    <w:tmpl w:val="90D8357A"/>
    <w:lvl w:ilvl="0" w:tplc="D8D2908E">
      <w:start w:val="1"/>
      <w:numFmt w:val="bullet"/>
      <w:lvlText w:val="•"/>
      <w:lvlJc w:val="left"/>
      <w:pPr>
        <w:tabs>
          <w:tab w:val="num" w:pos="720"/>
        </w:tabs>
        <w:ind w:left="720" w:hanging="360"/>
      </w:pPr>
      <w:rPr>
        <w:rFonts w:ascii="Calibri" w:hAnsi="Calibri" w:hint="default"/>
      </w:rPr>
    </w:lvl>
    <w:lvl w:ilvl="1" w:tplc="383A98A0" w:tentative="1">
      <w:start w:val="1"/>
      <w:numFmt w:val="bullet"/>
      <w:lvlText w:val="•"/>
      <w:lvlJc w:val="left"/>
      <w:pPr>
        <w:tabs>
          <w:tab w:val="num" w:pos="1440"/>
        </w:tabs>
        <w:ind w:left="1440" w:hanging="360"/>
      </w:pPr>
      <w:rPr>
        <w:rFonts w:ascii="Calibri" w:hAnsi="Calibri" w:hint="default"/>
      </w:rPr>
    </w:lvl>
    <w:lvl w:ilvl="2" w:tplc="C4768D50" w:tentative="1">
      <w:start w:val="1"/>
      <w:numFmt w:val="bullet"/>
      <w:lvlText w:val="•"/>
      <w:lvlJc w:val="left"/>
      <w:pPr>
        <w:tabs>
          <w:tab w:val="num" w:pos="2160"/>
        </w:tabs>
        <w:ind w:left="2160" w:hanging="360"/>
      </w:pPr>
      <w:rPr>
        <w:rFonts w:ascii="Calibri" w:hAnsi="Calibri" w:hint="default"/>
      </w:rPr>
    </w:lvl>
    <w:lvl w:ilvl="3" w:tplc="9DA2EDB8" w:tentative="1">
      <w:start w:val="1"/>
      <w:numFmt w:val="bullet"/>
      <w:lvlText w:val="•"/>
      <w:lvlJc w:val="left"/>
      <w:pPr>
        <w:tabs>
          <w:tab w:val="num" w:pos="2880"/>
        </w:tabs>
        <w:ind w:left="2880" w:hanging="360"/>
      </w:pPr>
      <w:rPr>
        <w:rFonts w:ascii="Calibri" w:hAnsi="Calibri" w:hint="default"/>
      </w:rPr>
    </w:lvl>
    <w:lvl w:ilvl="4" w:tplc="6A34CFEC" w:tentative="1">
      <w:start w:val="1"/>
      <w:numFmt w:val="bullet"/>
      <w:lvlText w:val="•"/>
      <w:lvlJc w:val="left"/>
      <w:pPr>
        <w:tabs>
          <w:tab w:val="num" w:pos="3600"/>
        </w:tabs>
        <w:ind w:left="3600" w:hanging="360"/>
      </w:pPr>
      <w:rPr>
        <w:rFonts w:ascii="Calibri" w:hAnsi="Calibri" w:hint="default"/>
      </w:rPr>
    </w:lvl>
    <w:lvl w:ilvl="5" w:tplc="17405C5C" w:tentative="1">
      <w:start w:val="1"/>
      <w:numFmt w:val="bullet"/>
      <w:lvlText w:val="•"/>
      <w:lvlJc w:val="left"/>
      <w:pPr>
        <w:tabs>
          <w:tab w:val="num" w:pos="4320"/>
        </w:tabs>
        <w:ind w:left="4320" w:hanging="360"/>
      </w:pPr>
      <w:rPr>
        <w:rFonts w:ascii="Calibri" w:hAnsi="Calibri" w:hint="default"/>
      </w:rPr>
    </w:lvl>
    <w:lvl w:ilvl="6" w:tplc="C3982EE8" w:tentative="1">
      <w:start w:val="1"/>
      <w:numFmt w:val="bullet"/>
      <w:lvlText w:val="•"/>
      <w:lvlJc w:val="left"/>
      <w:pPr>
        <w:tabs>
          <w:tab w:val="num" w:pos="5040"/>
        </w:tabs>
        <w:ind w:left="5040" w:hanging="360"/>
      </w:pPr>
      <w:rPr>
        <w:rFonts w:ascii="Calibri" w:hAnsi="Calibri" w:hint="default"/>
      </w:rPr>
    </w:lvl>
    <w:lvl w:ilvl="7" w:tplc="DAF2F7EE" w:tentative="1">
      <w:start w:val="1"/>
      <w:numFmt w:val="bullet"/>
      <w:lvlText w:val="•"/>
      <w:lvlJc w:val="left"/>
      <w:pPr>
        <w:tabs>
          <w:tab w:val="num" w:pos="5760"/>
        </w:tabs>
        <w:ind w:left="5760" w:hanging="360"/>
      </w:pPr>
      <w:rPr>
        <w:rFonts w:ascii="Calibri" w:hAnsi="Calibri" w:hint="default"/>
      </w:rPr>
    </w:lvl>
    <w:lvl w:ilvl="8" w:tplc="130E571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61A67732"/>
    <w:multiLevelType w:val="hybridMultilevel"/>
    <w:tmpl w:val="4A42470E"/>
    <w:lvl w:ilvl="0" w:tplc="AF6E7E02">
      <w:start w:val="1"/>
      <w:numFmt w:val="bullet"/>
      <w:lvlText w:val=""/>
      <w:lvlJc w:val="left"/>
      <w:pPr>
        <w:ind w:left="720" w:hanging="360"/>
      </w:pPr>
      <w:rPr>
        <w:rFonts w:ascii="Symbol" w:hAnsi="Symbol"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87699E"/>
    <w:multiLevelType w:val="hybridMultilevel"/>
    <w:tmpl w:val="5CC8C55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7A74EDC"/>
    <w:multiLevelType w:val="hybridMultilevel"/>
    <w:tmpl w:val="F7DA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877FB"/>
    <w:multiLevelType w:val="hybridMultilevel"/>
    <w:tmpl w:val="4FD88DD0"/>
    <w:lvl w:ilvl="0" w:tplc="8BE4113C">
      <w:start w:val="1"/>
      <w:numFmt w:val="bullet"/>
      <w:lvlText w:val="•"/>
      <w:lvlJc w:val="left"/>
      <w:pPr>
        <w:tabs>
          <w:tab w:val="num" w:pos="720"/>
        </w:tabs>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A3B1533"/>
    <w:multiLevelType w:val="multilevel"/>
    <w:tmpl w:val="CF04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06FAA"/>
    <w:multiLevelType w:val="hybridMultilevel"/>
    <w:tmpl w:val="3F46BE32"/>
    <w:lvl w:ilvl="0" w:tplc="AF6E7E02">
      <w:start w:val="1"/>
      <w:numFmt w:val="bullet"/>
      <w:lvlText w:val=""/>
      <w:lvlJc w:val="left"/>
      <w:pPr>
        <w:ind w:left="770" w:hanging="360"/>
      </w:pPr>
      <w:rPr>
        <w:rFonts w:ascii="Symbol" w:hAnsi="Symbol" w:hint="default"/>
        <w:sz w:val="22"/>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26" w15:restartNumberingAfterBreak="0">
    <w:nsid w:val="7872112B"/>
    <w:multiLevelType w:val="hybridMultilevel"/>
    <w:tmpl w:val="41A82CD8"/>
    <w:lvl w:ilvl="0" w:tplc="AF6E7E0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3091308">
    <w:abstractNumId w:val="22"/>
  </w:num>
  <w:num w:numId="2" w16cid:durableId="1971082846">
    <w:abstractNumId w:val="4"/>
  </w:num>
  <w:num w:numId="3" w16cid:durableId="2022051106">
    <w:abstractNumId w:val="18"/>
  </w:num>
  <w:num w:numId="4" w16cid:durableId="1484272245">
    <w:abstractNumId w:val="21"/>
  </w:num>
  <w:num w:numId="5" w16cid:durableId="1238438094">
    <w:abstractNumId w:val="5"/>
  </w:num>
  <w:num w:numId="6" w16cid:durableId="146436958">
    <w:abstractNumId w:val="13"/>
  </w:num>
  <w:num w:numId="7" w16cid:durableId="133063087">
    <w:abstractNumId w:val="11"/>
  </w:num>
  <w:num w:numId="8" w16cid:durableId="2099668210">
    <w:abstractNumId w:val="7"/>
  </w:num>
  <w:num w:numId="9" w16cid:durableId="940529955">
    <w:abstractNumId w:val="9"/>
  </w:num>
  <w:num w:numId="10" w16cid:durableId="297884118">
    <w:abstractNumId w:val="23"/>
  </w:num>
  <w:num w:numId="11" w16cid:durableId="1402487753">
    <w:abstractNumId w:val="6"/>
  </w:num>
  <w:num w:numId="12" w16cid:durableId="1970088243">
    <w:abstractNumId w:val="12"/>
  </w:num>
  <w:num w:numId="13" w16cid:durableId="2088379349">
    <w:abstractNumId w:val="26"/>
  </w:num>
  <w:num w:numId="14" w16cid:durableId="1479688493">
    <w:abstractNumId w:val="25"/>
  </w:num>
  <w:num w:numId="15" w16cid:durableId="701171284">
    <w:abstractNumId w:val="2"/>
  </w:num>
  <w:num w:numId="16" w16cid:durableId="1294404771">
    <w:abstractNumId w:val="15"/>
  </w:num>
  <w:num w:numId="17" w16cid:durableId="2011173470">
    <w:abstractNumId w:val="20"/>
  </w:num>
  <w:num w:numId="18" w16cid:durableId="969282998">
    <w:abstractNumId w:val="17"/>
  </w:num>
  <w:num w:numId="19" w16cid:durableId="517281901">
    <w:abstractNumId w:val="16"/>
  </w:num>
  <w:num w:numId="20" w16cid:durableId="1483614874">
    <w:abstractNumId w:val="14"/>
  </w:num>
  <w:num w:numId="21" w16cid:durableId="1870678578">
    <w:abstractNumId w:val="19"/>
  </w:num>
  <w:num w:numId="22" w16cid:durableId="60560742">
    <w:abstractNumId w:val="3"/>
  </w:num>
  <w:num w:numId="23" w16cid:durableId="983318279">
    <w:abstractNumId w:val="24"/>
  </w:num>
  <w:num w:numId="24" w16cid:durableId="1671324922">
    <w:abstractNumId w:val="8"/>
  </w:num>
  <w:num w:numId="25" w16cid:durableId="668023788">
    <w:abstractNumId w:val="0"/>
  </w:num>
  <w:num w:numId="26" w16cid:durableId="497502676">
    <w:abstractNumId w:val="1"/>
  </w:num>
  <w:num w:numId="27" w16cid:durableId="1013458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ysDAxNTczNjCztLBU0lEKTi0uzszPAykwrQUAwd+LESwAAAA="/>
  </w:docVars>
  <w:rsids>
    <w:rsidRoot w:val="00362AB7"/>
    <w:rsid w:val="0000157A"/>
    <w:rsid w:val="00001955"/>
    <w:rsid w:val="0000337C"/>
    <w:rsid w:val="000078A2"/>
    <w:rsid w:val="00013A5A"/>
    <w:rsid w:val="00013B5F"/>
    <w:rsid w:val="000165EE"/>
    <w:rsid w:val="00017285"/>
    <w:rsid w:val="0001763B"/>
    <w:rsid w:val="00020711"/>
    <w:rsid w:val="00024C67"/>
    <w:rsid w:val="0002567E"/>
    <w:rsid w:val="00026A20"/>
    <w:rsid w:val="00033AB6"/>
    <w:rsid w:val="000346C6"/>
    <w:rsid w:val="00035A7D"/>
    <w:rsid w:val="00036177"/>
    <w:rsid w:val="00042012"/>
    <w:rsid w:val="00042989"/>
    <w:rsid w:val="00043DAE"/>
    <w:rsid w:val="000470D0"/>
    <w:rsid w:val="00050F41"/>
    <w:rsid w:val="00052822"/>
    <w:rsid w:val="000640FE"/>
    <w:rsid w:val="00064D24"/>
    <w:rsid w:val="00071118"/>
    <w:rsid w:val="00072E73"/>
    <w:rsid w:val="000756FD"/>
    <w:rsid w:val="00081417"/>
    <w:rsid w:val="000825D7"/>
    <w:rsid w:val="000827EB"/>
    <w:rsid w:val="00082B6A"/>
    <w:rsid w:val="00083F17"/>
    <w:rsid w:val="0008583F"/>
    <w:rsid w:val="000905D2"/>
    <w:rsid w:val="00091489"/>
    <w:rsid w:val="0009258D"/>
    <w:rsid w:val="0009360B"/>
    <w:rsid w:val="0009524E"/>
    <w:rsid w:val="000958F7"/>
    <w:rsid w:val="000A057E"/>
    <w:rsid w:val="000A480A"/>
    <w:rsid w:val="000A5987"/>
    <w:rsid w:val="000A7F7E"/>
    <w:rsid w:val="000B105A"/>
    <w:rsid w:val="000B22A9"/>
    <w:rsid w:val="000B3990"/>
    <w:rsid w:val="000B7251"/>
    <w:rsid w:val="000C611B"/>
    <w:rsid w:val="000D0031"/>
    <w:rsid w:val="000D115F"/>
    <w:rsid w:val="000D1229"/>
    <w:rsid w:val="000D1A6D"/>
    <w:rsid w:val="000D2286"/>
    <w:rsid w:val="000D25E3"/>
    <w:rsid w:val="000D3068"/>
    <w:rsid w:val="000D3C30"/>
    <w:rsid w:val="000D49B3"/>
    <w:rsid w:val="000E1A4F"/>
    <w:rsid w:val="000E31AD"/>
    <w:rsid w:val="000E3644"/>
    <w:rsid w:val="000E4E59"/>
    <w:rsid w:val="000F0CA0"/>
    <w:rsid w:val="000F538D"/>
    <w:rsid w:val="000F5FDC"/>
    <w:rsid w:val="00101262"/>
    <w:rsid w:val="001022F9"/>
    <w:rsid w:val="00102C19"/>
    <w:rsid w:val="0010619A"/>
    <w:rsid w:val="00112B6B"/>
    <w:rsid w:val="00112F45"/>
    <w:rsid w:val="00113616"/>
    <w:rsid w:val="001203B0"/>
    <w:rsid w:val="00120F84"/>
    <w:rsid w:val="00123589"/>
    <w:rsid w:val="00126DA8"/>
    <w:rsid w:val="00131103"/>
    <w:rsid w:val="00131CEE"/>
    <w:rsid w:val="00133B0C"/>
    <w:rsid w:val="00141897"/>
    <w:rsid w:val="00142AC3"/>
    <w:rsid w:val="00145BEB"/>
    <w:rsid w:val="00146E68"/>
    <w:rsid w:val="00147AF6"/>
    <w:rsid w:val="00155938"/>
    <w:rsid w:val="00156665"/>
    <w:rsid w:val="00156C73"/>
    <w:rsid w:val="00157D69"/>
    <w:rsid w:val="00165C5F"/>
    <w:rsid w:val="0017004D"/>
    <w:rsid w:val="001701F8"/>
    <w:rsid w:val="0017147D"/>
    <w:rsid w:val="001739AF"/>
    <w:rsid w:val="00175C46"/>
    <w:rsid w:val="00183B24"/>
    <w:rsid w:val="0018691E"/>
    <w:rsid w:val="00186CB5"/>
    <w:rsid w:val="00187225"/>
    <w:rsid w:val="00187EE7"/>
    <w:rsid w:val="00191636"/>
    <w:rsid w:val="00191B72"/>
    <w:rsid w:val="00195E31"/>
    <w:rsid w:val="00196183"/>
    <w:rsid w:val="001A0726"/>
    <w:rsid w:val="001A0B88"/>
    <w:rsid w:val="001A1454"/>
    <w:rsid w:val="001A2599"/>
    <w:rsid w:val="001A2EF5"/>
    <w:rsid w:val="001A32CD"/>
    <w:rsid w:val="001A4E62"/>
    <w:rsid w:val="001A61D1"/>
    <w:rsid w:val="001A7147"/>
    <w:rsid w:val="001B0117"/>
    <w:rsid w:val="001B10B2"/>
    <w:rsid w:val="001B1545"/>
    <w:rsid w:val="001B2A8A"/>
    <w:rsid w:val="001B48D2"/>
    <w:rsid w:val="001B51CF"/>
    <w:rsid w:val="001B7751"/>
    <w:rsid w:val="001C77ED"/>
    <w:rsid w:val="001D2A7D"/>
    <w:rsid w:val="001D4B09"/>
    <w:rsid w:val="001D5795"/>
    <w:rsid w:val="001D7EBF"/>
    <w:rsid w:val="001E0F9B"/>
    <w:rsid w:val="001E4A40"/>
    <w:rsid w:val="001E6D9A"/>
    <w:rsid w:val="001E7CFB"/>
    <w:rsid w:val="001F0D22"/>
    <w:rsid w:val="001F16A9"/>
    <w:rsid w:val="001F2409"/>
    <w:rsid w:val="001F2C69"/>
    <w:rsid w:val="001F531A"/>
    <w:rsid w:val="00201D17"/>
    <w:rsid w:val="002031D1"/>
    <w:rsid w:val="002072B8"/>
    <w:rsid w:val="002073E3"/>
    <w:rsid w:val="00207D65"/>
    <w:rsid w:val="00210FDC"/>
    <w:rsid w:val="00212708"/>
    <w:rsid w:val="0021288A"/>
    <w:rsid w:val="00213857"/>
    <w:rsid w:val="00215AB2"/>
    <w:rsid w:val="00222B1D"/>
    <w:rsid w:val="00232628"/>
    <w:rsid w:val="00237E9E"/>
    <w:rsid w:val="00244AEA"/>
    <w:rsid w:val="00252911"/>
    <w:rsid w:val="002629C7"/>
    <w:rsid w:val="00262E35"/>
    <w:rsid w:val="00264500"/>
    <w:rsid w:val="00266339"/>
    <w:rsid w:val="00270B0B"/>
    <w:rsid w:val="002720D7"/>
    <w:rsid w:val="0027755B"/>
    <w:rsid w:val="002806F4"/>
    <w:rsid w:val="00281851"/>
    <w:rsid w:val="00291653"/>
    <w:rsid w:val="002929C3"/>
    <w:rsid w:val="002933D0"/>
    <w:rsid w:val="00295138"/>
    <w:rsid w:val="002967B3"/>
    <w:rsid w:val="00296C9A"/>
    <w:rsid w:val="002A523E"/>
    <w:rsid w:val="002A5E61"/>
    <w:rsid w:val="002A7E17"/>
    <w:rsid w:val="002B2056"/>
    <w:rsid w:val="002B3744"/>
    <w:rsid w:val="002B4639"/>
    <w:rsid w:val="002B6D5F"/>
    <w:rsid w:val="002C1CB6"/>
    <w:rsid w:val="002C4027"/>
    <w:rsid w:val="002C5D51"/>
    <w:rsid w:val="002C66DC"/>
    <w:rsid w:val="002C7314"/>
    <w:rsid w:val="002D009F"/>
    <w:rsid w:val="002D12D2"/>
    <w:rsid w:val="002D2F79"/>
    <w:rsid w:val="002D3E8C"/>
    <w:rsid w:val="002D7C81"/>
    <w:rsid w:val="002E2994"/>
    <w:rsid w:val="002E540E"/>
    <w:rsid w:val="002E5AAF"/>
    <w:rsid w:val="002E6C35"/>
    <w:rsid w:val="002F10FF"/>
    <w:rsid w:val="002F3934"/>
    <w:rsid w:val="002F5695"/>
    <w:rsid w:val="002F789B"/>
    <w:rsid w:val="00303711"/>
    <w:rsid w:val="00306A89"/>
    <w:rsid w:val="00310921"/>
    <w:rsid w:val="00320AB4"/>
    <w:rsid w:val="003221AE"/>
    <w:rsid w:val="00324419"/>
    <w:rsid w:val="00327108"/>
    <w:rsid w:val="00334101"/>
    <w:rsid w:val="00337A18"/>
    <w:rsid w:val="00345737"/>
    <w:rsid w:val="003471DB"/>
    <w:rsid w:val="00354761"/>
    <w:rsid w:val="00360AE5"/>
    <w:rsid w:val="00362AB7"/>
    <w:rsid w:val="003639D2"/>
    <w:rsid w:val="0036493E"/>
    <w:rsid w:val="0036745E"/>
    <w:rsid w:val="003735C6"/>
    <w:rsid w:val="003738A8"/>
    <w:rsid w:val="003744A9"/>
    <w:rsid w:val="00376428"/>
    <w:rsid w:val="00380A55"/>
    <w:rsid w:val="00383018"/>
    <w:rsid w:val="00387268"/>
    <w:rsid w:val="003875E1"/>
    <w:rsid w:val="00387CFF"/>
    <w:rsid w:val="00392DFF"/>
    <w:rsid w:val="0039323B"/>
    <w:rsid w:val="0039532A"/>
    <w:rsid w:val="00395A9B"/>
    <w:rsid w:val="00397EFF"/>
    <w:rsid w:val="003A0658"/>
    <w:rsid w:val="003A1452"/>
    <w:rsid w:val="003A3E29"/>
    <w:rsid w:val="003A466F"/>
    <w:rsid w:val="003B2BEE"/>
    <w:rsid w:val="003B2FED"/>
    <w:rsid w:val="003B5C1C"/>
    <w:rsid w:val="003C0219"/>
    <w:rsid w:val="003C5D4F"/>
    <w:rsid w:val="003C7146"/>
    <w:rsid w:val="003D3014"/>
    <w:rsid w:val="003D7FCF"/>
    <w:rsid w:val="003E1862"/>
    <w:rsid w:val="003E27C3"/>
    <w:rsid w:val="003E372A"/>
    <w:rsid w:val="003E72D7"/>
    <w:rsid w:val="003F1CD3"/>
    <w:rsid w:val="003F3F72"/>
    <w:rsid w:val="003F76DE"/>
    <w:rsid w:val="00401686"/>
    <w:rsid w:val="004028EE"/>
    <w:rsid w:val="00410562"/>
    <w:rsid w:val="00412C9C"/>
    <w:rsid w:val="00416B53"/>
    <w:rsid w:val="00416E01"/>
    <w:rsid w:val="00420B16"/>
    <w:rsid w:val="00421409"/>
    <w:rsid w:val="00421B53"/>
    <w:rsid w:val="00423824"/>
    <w:rsid w:val="00423DC1"/>
    <w:rsid w:val="0042423C"/>
    <w:rsid w:val="004251BC"/>
    <w:rsid w:val="004254A6"/>
    <w:rsid w:val="0042575B"/>
    <w:rsid w:val="00431179"/>
    <w:rsid w:val="004344ED"/>
    <w:rsid w:val="004347EA"/>
    <w:rsid w:val="004351F7"/>
    <w:rsid w:val="00440ADA"/>
    <w:rsid w:val="004413C9"/>
    <w:rsid w:val="00446603"/>
    <w:rsid w:val="004479E2"/>
    <w:rsid w:val="00447C0D"/>
    <w:rsid w:val="00451039"/>
    <w:rsid w:val="0045128C"/>
    <w:rsid w:val="00456395"/>
    <w:rsid w:val="0045676D"/>
    <w:rsid w:val="00456DE1"/>
    <w:rsid w:val="00460AA0"/>
    <w:rsid w:val="004634EB"/>
    <w:rsid w:val="0046763F"/>
    <w:rsid w:val="00472564"/>
    <w:rsid w:val="00477270"/>
    <w:rsid w:val="00480793"/>
    <w:rsid w:val="00480F9B"/>
    <w:rsid w:val="00481BFC"/>
    <w:rsid w:val="00483254"/>
    <w:rsid w:val="00490450"/>
    <w:rsid w:val="004A0C7D"/>
    <w:rsid w:val="004A1543"/>
    <w:rsid w:val="004B0AED"/>
    <w:rsid w:val="004B1813"/>
    <w:rsid w:val="004B1BA7"/>
    <w:rsid w:val="004B3699"/>
    <w:rsid w:val="004B438A"/>
    <w:rsid w:val="004C559B"/>
    <w:rsid w:val="004C56D1"/>
    <w:rsid w:val="004C7CA2"/>
    <w:rsid w:val="004D5D04"/>
    <w:rsid w:val="004E11BC"/>
    <w:rsid w:val="004E1603"/>
    <w:rsid w:val="004E37B6"/>
    <w:rsid w:val="004E76E3"/>
    <w:rsid w:val="004F09FA"/>
    <w:rsid w:val="004F1AB1"/>
    <w:rsid w:val="004F4F65"/>
    <w:rsid w:val="00503BBC"/>
    <w:rsid w:val="00506B2C"/>
    <w:rsid w:val="00510EE7"/>
    <w:rsid w:val="0051145C"/>
    <w:rsid w:val="00514411"/>
    <w:rsid w:val="0051471E"/>
    <w:rsid w:val="005161D7"/>
    <w:rsid w:val="00516E92"/>
    <w:rsid w:val="00522365"/>
    <w:rsid w:val="005225DC"/>
    <w:rsid w:val="005229BB"/>
    <w:rsid w:val="0052326A"/>
    <w:rsid w:val="00523FDD"/>
    <w:rsid w:val="00534A21"/>
    <w:rsid w:val="0053688F"/>
    <w:rsid w:val="00540F16"/>
    <w:rsid w:val="00540FF6"/>
    <w:rsid w:val="00542BA0"/>
    <w:rsid w:val="00543E40"/>
    <w:rsid w:val="00550946"/>
    <w:rsid w:val="00550C22"/>
    <w:rsid w:val="00555ECB"/>
    <w:rsid w:val="00557A11"/>
    <w:rsid w:val="005617FA"/>
    <w:rsid w:val="00564226"/>
    <w:rsid w:val="00565EA8"/>
    <w:rsid w:val="0057161F"/>
    <w:rsid w:val="00572654"/>
    <w:rsid w:val="00572CD5"/>
    <w:rsid w:val="00572D28"/>
    <w:rsid w:val="0057799A"/>
    <w:rsid w:val="00583A34"/>
    <w:rsid w:val="00583FFF"/>
    <w:rsid w:val="005840E3"/>
    <w:rsid w:val="00584E02"/>
    <w:rsid w:val="00585B0C"/>
    <w:rsid w:val="00591ACA"/>
    <w:rsid w:val="00597833"/>
    <w:rsid w:val="005A66C6"/>
    <w:rsid w:val="005B09A4"/>
    <w:rsid w:val="005B3114"/>
    <w:rsid w:val="005B482F"/>
    <w:rsid w:val="005C02CA"/>
    <w:rsid w:val="005C1472"/>
    <w:rsid w:val="005C26C8"/>
    <w:rsid w:val="005C6D57"/>
    <w:rsid w:val="005C6E33"/>
    <w:rsid w:val="005D0A04"/>
    <w:rsid w:val="005D1AF3"/>
    <w:rsid w:val="005D7459"/>
    <w:rsid w:val="005E2704"/>
    <w:rsid w:val="005E27D3"/>
    <w:rsid w:val="005E31D9"/>
    <w:rsid w:val="005E339A"/>
    <w:rsid w:val="005E421C"/>
    <w:rsid w:val="005E5444"/>
    <w:rsid w:val="005E57E7"/>
    <w:rsid w:val="005F17EE"/>
    <w:rsid w:val="005F2004"/>
    <w:rsid w:val="005F3FD2"/>
    <w:rsid w:val="00601219"/>
    <w:rsid w:val="006078DC"/>
    <w:rsid w:val="006156A3"/>
    <w:rsid w:val="00630206"/>
    <w:rsid w:val="00631516"/>
    <w:rsid w:val="0063418F"/>
    <w:rsid w:val="0063497D"/>
    <w:rsid w:val="006414F2"/>
    <w:rsid w:val="00643808"/>
    <w:rsid w:val="0064596A"/>
    <w:rsid w:val="00647154"/>
    <w:rsid w:val="006518D4"/>
    <w:rsid w:val="00655348"/>
    <w:rsid w:val="00655FB5"/>
    <w:rsid w:val="006603A7"/>
    <w:rsid w:val="006603C5"/>
    <w:rsid w:val="00660A1D"/>
    <w:rsid w:val="00663A34"/>
    <w:rsid w:val="006662A0"/>
    <w:rsid w:val="00666A2E"/>
    <w:rsid w:val="00667FAB"/>
    <w:rsid w:val="00671B45"/>
    <w:rsid w:val="00671DB9"/>
    <w:rsid w:val="006742BC"/>
    <w:rsid w:val="00681999"/>
    <w:rsid w:val="00682685"/>
    <w:rsid w:val="0068288B"/>
    <w:rsid w:val="00682F6B"/>
    <w:rsid w:val="00684FDF"/>
    <w:rsid w:val="00686AEA"/>
    <w:rsid w:val="0069334D"/>
    <w:rsid w:val="006A0663"/>
    <w:rsid w:val="006A2143"/>
    <w:rsid w:val="006A21D3"/>
    <w:rsid w:val="006A564B"/>
    <w:rsid w:val="006A6D3C"/>
    <w:rsid w:val="006B0D0C"/>
    <w:rsid w:val="006B22A1"/>
    <w:rsid w:val="006B4D35"/>
    <w:rsid w:val="006C488D"/>
    <w:rsid w:val="006C5034"/>
    <w:rsid w:val="006C646B"/>
    <w:rsid w:val="006D3D6F"/>
    <w:rsid w:val="006D4FD6"/>
    <w:rsid w:val="006E3E01"/>
    <w:rsid w:val="006F0684"/>
    <w:rsid w:val="006F383D"/>
    <w:rsid w:val="006F5D07"/>
    <w:rsid w:val="007012CF"/>
    <w:rsid w:val="00701CEA"/>
    <w:rsid w:val="007025C2"/>
    <w:rsid w:val="00703F2F"/>
    <w:rsid w:val="007065A8"/>
    <w:rsid w:val="00710E67"/>
    <w:rsid w:val="007119E8"/>
    <w:rsid w:val="0071209B"/>
    <w:rsid w:val="007136B7"/>
    <w:rsid w:val="00714C1C"/>
    <w:rsid w:val="0071583A"/>
    <w:rsid w:val="007176F9"/>
    <w:rsid w:val="007209BC"/>
    <w:rsid w:val="007223AA"/>
    <w:rsid w:val="0072305D"/>
    <w:rsid w:val="00727B96"/>
    <w:rsid w:val="00727F65"/>
    <w:rsid w:val="00730BE6"/>
    <w:rsid w:val="00731055"/>
    <w:rsid w:val="00731167"/>
    <w:rsid w:val="0073275D"/>
    <w:rsid w:val="00736835"/>
    <w:rsid w:val="007419E6"/>
    <w:rsid w:val="00741F15"/>
    <w:rsid w:val="00743715"/>
    <w:rsid w:val="00744BCF"/>
    <w:rsid w:val="00751D4A"/>
    <w:rsid w:val="00754213"/>
    <w:rsid w:val="00756310"/>
    <w:rsid w:val="00762DBA"/>
    <w:rsid w:val="007701A0"/>
    <w:rsid w:val="0077024F"/>
    <w:rsid w:val="007718B9"/>
    <w:rsid w:val="00772A03"/>
    <w:rsid w:val="00776D94"/>
    <w:rsid w:val="00780850"/>
    <w:rsid w:val="007863E5"/>
    <w:rsid w:val="0078709F"/>
    <w:rsid w:val="00787A1F"/>
    <w:rsid w:val="007902C7"/>
    <w:rsid w:val="00790A60"/>
    <w:rsid w:val="00791156"/>
    <w:rsid w:val="00796756"/>
    <w:rsid w:val="007A0EE7"/>
    <w:rsid w:val="007A1F6C"/>
    <w:rsid w:val="007A4623"/>
    <w:rsid w:val="007A68FB"/>
    <w:rsid w:val="007A7EED"/>
    <w:rsid w:val="007B3B9D"/>
    <w:rsid w:val="007B44FD"/>
    <w:rsid w:val="007B5368"/>
    <w:rsid w:val="007B58A9"/>
    <w:rsid w:val="007B69DE"/>
    <w:rsid w:val="007B787D"/>
    <w:rsid w:val="007C565C"/>
    <w:rsid w:val="007C707F"/>
    <w:rsid w:val="007D1285"/>
    <w:rsid w:val="007D7978"/>
    <w:rsid w:val="007E3AA7"/>
    <w:rsid w:val="007E717F"/>
    <w:rsid w:val="007F550B"/>
    <w:rsid w:val="00804E80"/>
    <w:rsid w:val="008051A2"/>
    <w:rsid w:val="0081312A"/>
    <w:rsid w:val="00813B9A"/>
    <w:rsid w:val="00816722"/>
    <w:rsid w:val="00817A8A"/>
    <w:rsid w:val="00826C79"/>
    <w:rsid w:val="008304CF"/>
    <w:rsid w:val="00832CF3"/>
    <w:rsid w:val="00832F6B"/>
    <w:rsid w:val="00835FAF"/>
    <w:rsid w:val="00836402"/>
    <w:rsid w:val="00837341"/>
    <w:rsid w:val="008405B4"/>
    <w:rsid w:val="00846E68"/>
    <w:rsid w:val="00854CF8"/>
    <w:rsid w:val="00860E4B"/>
    <w:rsid w:val="008629E9"/>
    <w:rsid w:val="00871090"/>
    <w:rsid w:val="008719EF"/>
    <w:rsid w:val="00882C62"/>
    <w:rsid w:val="00883C73"/>
    <w:rsid w:val="00887447"/>
    <w:rsid w:val="00887CA1"/>
    <w:rsid w:val="00887D3F"/>
    <w:rsid w:val="00890997"/>
    <w:rsid w:val="00890DF6"/>
    <w:rsid w:val="00891F5C"/>
    <w:rsid w:val="00892418"/>
    <w:rsid w:val="00893500"/>
    <w:rsid w:val="008940E3"/>
    <w:rsid w:val="008967BD"/>
    <w:rsid w:val="008A0AA8"/>
    <w:rsid w:val="008A0E5D"/>
    <w:rsid w:val="008A1A9A"/>
    <w:rsid w:val="008A283E"/>
    <w:rsid w:val="008B4B6E"/>
    <w:rsid w:val="008B6B0B"/>
    <w:rsid w:val="008C1198"/>
    <w:rsid w:val="008C1C33"/>
    <w:rsid w:val="008C2C48"/>
    <w:rsid w:val="008C78F9"/>
    <w:rsid w:val="008C7E18"/>
    <w:rsid w:val="008D178F"/>
    <w:rsid w:val="008D1E52"/>
    <w:rsid w:val="008D251D"/>
    <w:rsid w:val="008D3496"/>
    <w:rsid w:val="008D55BC"/>
    <w:rsid w:val="008D7D9D"/>
    <w:rsid w:val="008D7DFF"/>
    <w:rsid w:val="008E4B7D"/>
    <w:rsid w:val="008E6BCD"/>
    <w:rsid w:val="008F1BF7"/>
    <w:rsid w:val="008F39D9"/>
    <w:rsid w:val="008F55F5"/>
    <w:rsid w:val="008F6EF8"/>
    <w:rsid w:val="009037DF"/>
    <w:rsid w:val="00903EC8"/>
    <w:rsid w:val="0090628F"/>
    <w:rsid w:val="0091528C"/>
    <w:rsid w:val="009155DB"/>
    <w:rsid w:val="00917859"/>
    <w:rsid w:val="00917957"/>
    <w:rsid w:val="0092106A"/>
    <w:rsid w:val="00921DBE"/>
    <w:rsid w:val="009313C2"/>
    <w:rsid w:val="009324CE"/>
    <w:rsid w:val="009326A0"/>
    <w:rsid w:val="00935A55"/>
    <w:rsid w:val="00935A57"/>
    <w:rsid w:val="00935EC2"/>
    <w:rsid w:val="00941A2D"/>
    <w:rsid w:val="0094347C"/>
    <w:rsid w:val="0094686D"/>
    <w:rsid w:val="00951F7D"/>
    <w:rsid w:val="00954EED"/>
    <w:rsid w:val="009564D0"/>
    <w:rsid w:val="00962596"/>
    <w:rsid w:val="00962C42"/>
    <w:rsid w:val="00973D7C"/>
    <w:rsid w:val="00974AA8"/>
    <w:rsid w:val="009750FA"/>
    <w:rsid w:val="00975D4E"/>
    <w:rsid w:val="00975EDE"/>
    <w:rsid w:val="0097735E"/>
    <w:rsid w:val="009810CA"/>
    <w:rsid w:val="00981719"/>
    <w:rsid w:val="0098538E"/>
    <w:rsid w:val="00987C8B"/>
    <w:rsid w:val="00990C6D"/>
    <w:rsid w:val="009936C7"/>
    <w:rsid w:val="009A06C3"/>
    <w:rsid w:val="009A65F3"/>
    <w:rsid w:val="009A7D8B"/>
    <w:rsid w:val="009B1701"/>
    <w:rsid w:val="009C2427"/>
    <w:rsid w:val="009C3B7C"/>
    <w:rsid w:val="009C4047"/>
    <w:rsid w:val="009D17A2"/>
    <w:rsid w:val="009D4F0B"/>
    <w:rsid w:val="009D5026"/>
    <w:rsid w:val="009D5145"/>
    <w:rsid w:val="009D63D6"/>
    <w:rsid w:val="009D7F02"/>
    <w:rsid w:val="009E1FF7"/>
    <w:rsid w:val="009E39F1"/>
    <w:rsid w:val="009E4D9C"/>
    <w:rsid w:val="009E7389"/>
    <w:rsid w:val="009F0444"/>
    <w:rsid w:val="009F152D"/>
    <w:rsid w:val="009F304F"/>
    <w:rsid w:val="009F4C78"/>
    <w:rsid w:val="009F50FC"/>
    <w:rsid w:val="00A01D11"/>
    <w:rsid w:val="00A04EBD"/>
    <w:rsid w:val="00A07B5C"/>
    <w:rsid w:val="00A103EA"/>
    <w:rsid w:val="00A12577"/>
    <w:rsid w:val="00A13060"/>
    <w:rsid w:val="00A170CE"/>
    <w:rsid w:val="00A23CAC"/>
    <w:rsid w:val="00A25586"/>
    <w:rsid w:val="00A26DE4"/>
    <w:rsid w:val="00A30330"/>
    <w:rsid w:val="00A31227"/>
    <w:rsid w:val="00A33AAE"/>
    <w:rsid w:val="00A340FB"/>
    <w:rsid w:val="00A34F45"/>
    <w:rsid w:val="00A362A2"/>
    <w:rsid w:val="00A37416"/>
    <w:rsid w:val="00A41444"/>
    <w:rsid w:val="00A41A94"/>
    <w:rsid w:val="00A41E12"/>
    <w:rsid w:val="00A42D08"/>
    <w:rsid w:val="00A44C61"/>
    <w:rsid w:val="00A45C71"/>
    <w:rsid w:val="00A47C3F"/>
    <w:rsid w:val="00A55E66"/>
    <w:rsid w:val="00A56AF2"/>
    <w:rsid w:val="00A57B86"/>
    <w:rsid w:val="00A6022B"/>
    <w:rsid w:val="00A61BE3"/>
    <w:rsid w:val="00A61DF9"/>
    <w:rsid w:val="00A63BC6"/>
    <w:rsid w:val="00A640B7"/>
    <w:rsid w:val="00A644ED"/>
    <w:rsid w:val="00A66898"/>
    <w:rsid w:val="00A74D58"/>
    <w:rsid w:val="00A80E89"/>
    <w:rsid w:val="00A82F09"/>
    <w:rsid w:val="00A8657B"/>
    <w:rsid w:val="00A86BCB"/>
    <w:rsid w:val="00A87AC4"/>
    <w:rsid w:val="00A87F59"/>
    <w:rsid w:val="00A91065"/>
    <w:rsid w:val="00A97F61"/>
    <w:rsid w:val="00AA0022"/>
    <w:rsid w:val="00AA0CBF"/>
    <w:rsid w:val="00AA5F9F"/>
    <w:rsid w:val="00AA7D08"/>
    <w:rsid w:val="00AB0A40"/>
    <w:rsid w:val="00AB6942"/>
    <w:rsid w:val="00AB70DF"/>
    <w:rsid w:val="00AC4151"/>
    <w:rsid w:val="00AC4B28"/>
    <w:rsid w:val="00AC7AA9"/>
    <w:rsid w:val="00AD0651"/>
    <w:rsid w:val="00AD09D0"/>
    <w:rsid w:val="00AD3D2A"/>
    <w:rsid w:val="00AE0462"/>
    <w:rsid w:val="00AE2F8F"/>
    <w:rsid w:val="00AE3106"/>
    <w:rsid w:val="00AE4341"/>
    <w:rsid w:val="00AE65D5"/>
    <w:rsid w:val="00AE687C"/>
    <w:rsid w:val="00AE7609"/>
    <w:rsid w:val="00AF06B2"/>
    <w:rsid w:val="00AF477C"/>
    <w:rsid w:val="00AF5090"/>
    <w:rsid w:val="00B009C5"/>
    <w:rsid w:val="00B045CF"/>
    <w:rsid w:val="00B059B4"/>
    <w:rsid w:val="00B05BF8"/>
    <w:rsid w:val="00B05CCE"/>
    <w:rsid w:val="00B11346"/>
    <w:rsid w:val="00B14F47"/>
    <w:rsid w:val="00B15F93"/>
    <w:rsid w:val="00B17A67"/>
    <w:rsid w:val="00B20D0A"/>
    <w:rsid w:val="00B210B4"/>
    <w:rsid w:val="00B21D2F"/>
    <w:rsid w:val="00B22890"/>
    <w:rsid w:val="00B25058"/>
    <w:rsid w:val="00B26E06"/>
    <w:rsid w:val="00B345CE"/>
    <w:rsid w:val="00B378C5"/>
    <w:rsid w:val="00B40003"/>
    <w:rsid w:val="00B411D6"/>
    <w:rsid w:val="00B42BE8"/>
    <w:rsid w:val="00B4597E"/>
    <w:rsid w:val="00B466D1"/>
    <w:rsid w:val="00B47BAC"/>
    <w:rsid w:val="00B51D1B"/>
    <w:rsid w:val="00B53C0D"/>
    <w:rsid w:val="00B55BEF"/>
    <w:rsid w:val="00B5664F"/>
    <w:rsid w:val="00B65885"/>
    <w:rsid w:val="00B66898"/>
    <w:rsid w:val="00B706AA"/>
    <w:rsid w:val="00B70D9B"/>
    <w:rsid w:val="00B74BF5"/>
    <w:rsid w:val="00B77B66"/>
    <w:rsid w:val="00B80461"/>
    <w:rsid w:val="00B82DAB"/>
    <w:rsid w:val="00B8335E"/>
    <w:rsid w:val="00B83B4C"/>
    <w:rsid w:val="00B83E6B"/>
    <w:rsid w:val="00B8587D"/>
    <w:rsid w:val="00B85A1F"/>
    <w:rsid w:val="00B9287B"/>
    <w:rsid w:val="00B95913"/>
    <w:rsid w:val="00BA04D9"/>
    <w:rsid w:val="00BA0A5B"/>
    <w:rsid w:val="00BA1BC6"/>
    <w:rsid w:val="00BA24C8"/>
    <w:rsid w:val="00BA332C"/>
    <w:rsid w:val="00BA481E"/>
    <w:rsid w:val="00BA5B6D"/>
    <w:rsid w:val="00BB3F1D"/>
    <w:rsid w:val="00BB43F3"/>
    <w:rsid w:val="00BB6DEA"/>
    <w:rsid w:val="00BB799D"/>
    <w:rsid w:val="00BC1279"/>
    <w:rsid w:val="00BC15BA"/>
    <w:rsid w:val="00BC3E88"/>
    <w:rsid w:val="00BC4F75"/>
    <w:rsid w:val="00BC54F7"/>
    <w:rsid w:val="00BD176A"/>
    <w:rsid w:val="00BD263D"/>
    <w:rsid w:val="00BD279B"/>
    <w:rsid w:val="00BD2E05"/>
    <w:rsid w:val="00BD4F97"/>
    <w:rsid w:val="00BD5409"/>
    <w:rsid w:val="00BD646E"/>
    <w:rsid w:val="00BE140B"/>
    <w:rsid w:val="00BE1917"/>
    <w:rsid w:val="00BE2AB0"/>
    <w:rsid w:val="00BE3FB9"/>
    <w:rsid w:val="00BE4574"/>
    <w:rsid w:val="00BE5A15"/>
    <w:rsid w:val="00BE613D"/>
    <w:rsid w:val="00BE65BF"/>
    <w:rsid w:val="00BE6C9B"/>
    <w:rsid w:val="00BE6D1A"/>
    <w:rsid w:val="00BE6D31"/>
    <w:rsid w:val="00BE73CB"/>
    <w:rsid w:val="00BF08DB"/>
    <w:rsid w:val="00BF08F9"/>
    <w:rsid w:val="00BF31B4"/>
    <w:rsid w:val="00BF3FE4"/>
    <w:rsid w:val="00BF59CB"/>
    <w:rsid w:val="00BF6BFC"/>
    <w:rsid w:val="00BF7849"/>
    <w:rsid w:val="00C05E58"/>
    <w:rsid w:val="00C06E54"/>
    <w:rsid w:val="00C06EE6"/>
    <w:rsid w:val="00C14773"/>
    <w:rsid w:val="00C14B28"/>
    <w:rsid w:val="00C158B2"/>
    <w:rsid w:val="00C162E7"/>
    <w:rsid w:val="00C31BD1"/>
    <w:rsid w:val="00C31DEC"/>
    <w:rsid w:val="00C326F0"/>
    <w:rsid w:val="00C33DE0"/>
    <w:rsid w:val="00C33FF5"/>
    <w:rsid w:val="00C375E9"/>
    <w:rsid w:val="00C37621"/>
    <w:rsid w:val="00C3780B"/>
    <w:rsid w:val="00C37F81"/>
    <w:rsid w:val="00C406AD"/>
    <w:rsid w:val="00C43E4B"/>
    <w:rsid w:val="00C4677D"/>
    <w:rsid w:val="00C5081B"/>
    <w:rsid w:val="00C50D54"/>
    <w:rsid w:val="00C51545"/>
    <w:rsid w:val="00C52EF2"/>
    <w:rsid w:val="00C5554E"/>
    <w:rsid w:val="00C57B1E"/>
    <w:rsid w:val="00C63F85"/>
    <w:rsid w:val="00C66540"/>
    <w:rsid w:val="00C72743"/>
    <w:rsid w:val="00C74385"/>
    <w:rsid w:val="00C75A34"/>
    <w:rsid w:val="00C75AE8"/>
    <w:rsid w:val="00C80CF5"/>
    <w:rsid w:val="00C8258C"/>
    <w:rsid w:val="00C82E0D"/>
    <w:rsid w:val="00C83273"/>
    <w:rsid w:val="00C85A10"/>
    <w:rsid w:val="00C87619"/>
    <w:rsid w:val="00C93CCA"/>
    <w:rsid w:val="00C978D7"/>
    <w:rsid w:val="00CA0EBB"/>
    <w:rsid w:val="00CA2B99"/>
    <w:rsid w:val="00CA4341"/>
    <w:rsid w:val="00CA61EA"/>
    <w:rsid w:val="00CA6D0D"/>
    <w:rsid w:val="00CB2043"/>
    <w:rsid w:val="00CB3AF7"/>
    <w:rsid w:val="00CB411B"/>
    <w:rsid w:val="00CB67EC"/>
    <w:rsid w:val="00CC44BE"/>
    <w:rsid w:val="00CC6099"/>
    <w:rsid w:val="00CD1957"/>
    <w:rsid w:val="00CD23AC"/>
    <w:rsid w:val="00CD2495"/>
    <w:rsid w:val="00CD24C6"/>
    <w:rsid w:val="00CD347A"/>
    <w:rsid w:val="00CD3D63"/>
    <w:rsid w:val="00CD6F50"/>
    <w:rsid w:val="00CE4667"/>
    <w:rsid w:val="00CE4733"/>
    <w:rsid w:val="00CE5EBD"/>
    <w:rsid w:val="00CF18E5"/>
    <w:rsid w:val="00CF1FA8"/>
    <w:rsid w:val="00D009CD"/>
    <w:rsid w:val="00D03C6C"/>
    <w:rsid w:val="00D0498F"/>
    <w:rsid w:val="00D04F1A"/>
    <w:rsid w:val="00D10C89"/>
    <w:rsid w:val="00D15F52"/>
    <w:rsid w:val="00D21E19"/>
    <w:rsid w:val="00D22327"/>
    <w:rsid w:val="00D2305F"/>
    <w:rsid w:val="00D23E9E"/>
    <w:rsid w:val="00D24901"/>
    <w:rsid w:val="00D30B02"/>
    <w:rsid w:val="00D3438F"/>
    <w:rsid w:val="00D35B1E"/>
    <w:rsid w:val="00D42378"/>
    <w:rsid w:val="00D42D62"/>
    <w:rsid w:val="00D44D81"/>
    <w:rsid w:val="00D5119A"/>
    <w:rsid w:val="00D51B9C"/>
    <w:rsid w:val="00D51E97"/>
    <w:rsid w:val="00D54521"/>
    <w:rsid w:val="00D55944"/>
    <w:rsid w:val="00D56485"/>
    <w:rsid w:val="00D56BB8"/>
    <w:rsid w:val="00D57990"/>
    <w:rsid w:val="00D61171"/>
    <w:rsid w:val="00D6564A"/>
    <w:rsid w:val="00D66D29"/>
    <w:rsid w:val="00D754DC"/>
    <w:rsid w:val="00D75EAF"/>
    <w:rsid w:val="00D775E6"/>
    <w:rsid w:val="00D779B5"/>
    <w:rsid w:val="00D80C87"/>
    <w:rsid w:val="00D816F8"/>
    <w:rsid w:val="00D86A17"/>
    <w:rsid w:val="00D90355"/>
    <w:rsid w:val="00D92BF0"/>
    <w:rsid w:val="00D94C80"/>
    <w:rsid w:val="00D95496"/>
    <w:rsid w:val="00DA4D06"/>
    <w:rsid w:val="00DA5E45"/>
    <w:rsid w:val="00DB4B18"/>
    <w:rsid w:val="00DB5C42"/>
    <w:rsid w:val="00DC0670"/>
    <w:rsid w:val="00DC154D"/>
    <w:rsid w:val="00DC1638"/>
    <w:rsid w:val="00DC2575"/>
    <w:rsid w:val="00DC3D78"/>
    <w:rsid w:val="00DD0EDB"/>
    <w:rsid w:val="00DD4327"/>
    <w:rsid w:val="00DD5639"/>
    <w:rsid w:val="00DD785E"/>
    <w:rsid w:val="00DE465D"/>
    <w:rsid w:val="00DE5430"/>
    <w:rsid w:val="00DE5662"/>
    <w:rsid w:val="00DE6B69"/>
    <w:rsid w:val="00DE7E0C"/>
    <w:rsid w:val="00DF0399"/>
    <w:rsid w:val="00DF03C2"/>
    <w:rsid w:val="00DF22A0"/>
    <w:rsid w:val="00DF5C1B"/>
    <w:rsid w:val="00DF68EC"/>
    <w:rsid w:val="00E01C06"/>
    <w:rsid w:val="00E01D37"/>
    <w:rsid w:val="00E027D9"/>
    <w:rsid w:val="00E043BC"/>
    <w:rsid w:val="00E04FD2"/>
    <w:rsid w:val="00E0582E"/>
    <w:rsid w:val="00E1423B"/>
    <w:rsid w:val="00E148F7"/>
    <w:rsid w:val="00E20CE5"/>
    <w:rsid w:val="00E25FFF"/>
    <w:rsid w:val="00E26429"/>
    <w:rsid w:val="00E2644D"/>
    <w:rsid w:val="00E27BDA"/>
    <w:rsid w:val="00E30CBB"/>
    <w:rsid w:val="00E3248E"/>
    <w:rsid w:val="00E32CFA"/>
    <w:rsid w:val="00E403C1"/>
    <w:rsid w:val="00E43B22"/>
    <w:rsid w:val="00E44441"/>
    <w:rsid w:val="00E46408"/>
    <w:rsid w:val="00E532CB"/>
    <w:rsid w:val="00E60641"/>
    <w:rsid w:val="00E61165"/>
    <w:rsid w:val="00E61DFD"/>
    <w:rsid w:val="00E64E63"/>
    <w:rsid w:val="00E666CC"/>
    <w:rsid w:val="00E7084D"/>
    <w:rsid w:val="00E70E2D"/>
    <w:rsid w:val="00E81031"/>
    <w:rsid w:val="00E832AF"/>
    <w:rsid w:val="00E85109"/>
    <w:rsid w:val="00E9328B"/>
    <w:rsid w:val="00E93736"/>
    <w:rsid w:val="00EA34B3"/>
    <w:rsid w:val="00EA480D"/>
    <w:rsid w:val="00EA4CCC"/>
    <w:rsid w:val="00EA77CF"/>
    <w:rsid w:val="00EC452E"/>
    <w:rsid w:val="00EC4834"/>
    <w:rsid w:val="00EC4859"/>
    <w:rsid w:val="00EC7688"/>
    <w:rsid w:val="00ED1F8C"/>
    <w:rsid w:val="00ED72A4"/>
    <w:rsid w:val="00EE2408"/>
    <w:rsid w:val="00EE3803"/>
    <w:rsid w:val="00EE560B"/>
    <w:rsid w:val="00EE672C"/>
    <w:rsid w:val="00EE7FAA"/>
    <w:rsid w:val="00EF2465"/>
    <w:rsid w:val="00EF2777"/>
    <w:rsid w:val="00EF323C"/>
    <w:rsid w:val="00EF435E"/>
    <w:rsid w:val="00EF5DE8"/>
    <w:rsid w:val="00F01299"/>
    <w:rsid w:val="00F01AD5"/>
    <w:rsid w:val="00F060D5"/>
    <w:rsid w:val="00F2055F"/>
    <w:rsid w:val="00F206C5"/>
    <w:rsid w:val="00F22418"/>
    <w:rsid w:val="00F253C2"/>
    <w:rsid w:val="00F348E7"/>
    <w:rsid w:val="00F375BF"/>
    <w:rsid w:val="00F376A9"/>
    <w:rsid w:val="00F4599C"/>
    <w:rsid w:val="00F45B5A"/>
    <w:rsid w:val="00F45FEC"/>
    <w:rsid w:val="00F51FAF"/>
    <w:rsid w:val="00F522D1"/>
    <w:rsid w:val="00F526CE"/>
    <w:rsid w:val="00F5480C"/>
    <w:rsid w:val="00F54ABA"/>
    <w:rsid w:val="00F559F5"/>
    <w:rsid w:val="00F61AB8"/>
    <w:rsid w:val="00F70713"/>
    <w:rsid w:val="00F70917"/>
    <w:rsid w:val="00F70ACE"/>
    <w:rsid w:val="00F70D22"/>
    <w:rsid w:val="00F7212C"/>
    <w:rsid w:val="00F74A27"/>
    <w:rsid w:val="00F76508"/>
    <w:rsid w:val="00F7788F"/>
    <w:rsid w:val="00F82087"/>
    <w:rsid w:val="00F82821"/>
    <w:rsid w:val="00F82AB2"/>
    <w:rsid w:val="00F870A8"/>
    <w:rsid w:val="00F93C5E"/>
    <w:rsid w:val="00F93D2E"/>
    <w:rsid w:val="00F94292"/>
    <w:rsid w:val="00F96ECA"/>
    <w:rsid w:val="00F97C72"/>
    <w:rsid w:val="00FA30C1"/>
    <w:rsid w:val="00FA4719"/>
    <w:rsid w:val="00FB137F"/>
    <w:rsid w:val="00FB2DB6"/>
    <w:rsid w:val="00FB41F0"/>
    <w:rsid w:val="00FB6A98"/>
    <w:rsid w:val="00FD3DB1"/>
    <w:rsid w:val="00FD42EB"/>
    <w:rsid w:val="00FE5A36"/>
    <w:rsid w:val="00FE5C82"/>
    <w:rsid w:val="00FE64B9"/>
    <w:rsid w:val="00FE76E2"/>
    <w:rsid w:val="00FF24DB"/>
    <w:rsid w:val="00FF2BE8"/>
    <w:rsid w:val="00FF5B66"/>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73D97"/>
  <w15:chartTrackingRefBased/>
  <w15:docId w15:val="{D6684591-3B6E-4254-AA9E-02AC0286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7091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8F7"/>
    <w:rPr>
      <w:color w:val="0563C1" w:themeColor="hyperlink"/>
      <w:u w:val="single"/>
    </w:rPr>
  </w:style>
  <w:style w:type="character" w:styleId="UnresolvedMention">
    <w:name w:val="Unresolved Mention"/>
    <w:basedOn w:val="DefaultParagraphFont"/>
    <w:uiPriority w:val="99"/>
    <w:semiHidden/>
    <w:unhideWhenUsed/>
    <w:rsid w:val="000958F7"/>
    <w:rPr>
      <w:color w:val="605E5C"/>
      <w:shd w:val="clear" w:color="auto" w:fill="E1DFDD"/>
    </w:rPr>
  </w:style>
  <w:style w:type="character" w:styleId="FollowedHyperlink">
    <w:name w:val="FollowedHyperlink"/>
    <w:basedOn w:val="DefaultParagraphFont"/>
    <w:uiPriority w:val="99"/>
    <w:semiHidden/>
    <w:unhideWhenUsed/>
    <w:rsid w:val="00416B53"/>
    <w:rPr>
      <w:color w:val="954F72" w:themeColor="followedHyperlink"/>
      <w:u w:val="single"/>
    </w:rPr>
  </w:style>
  <w:style w:type="paragraph" w:styleId="ListParagraph">
    <w:name w:val="List Paragraph"/>
    <w:basedOn w:val="Normal"/>
    <w:uiPriority w:val="34"/>
    <w:qFormat/>
    <w:rsid w:val="00416B53"/>
    <w:pPr>
      <w:ind w:left="720"/>
      <w:contextualSpacing/>
    </w:pPr>
  </w:style>
  <w:style w:type="paragraph" w:styleId="NormalWeb">
    <w:name w:val="Normal (Web)"/>
    <w:basedOn w:val="Normal"/>
    <w:uiPriority w:val="99"/>
    <w:semiHidden/>
    <w:unhideWhenUsed/>
    <w:rsid w:val="00C06E54"/>
    <w:pPr>
      <w:spacing w:before="100" w:beforeAutospacing="1" w:after="100" w:afterAutospacing="1" w:line="240" w:lineRule="auto"/>
    </w:pPr>
    <w:rPr>
      <w:rFonts w:ascii="Times New Roman" w:eastAsia="Times New Roman" w:hAnsi="Times New Roman" w:cs="Times New Roman"/>
      <w:kern w:val="0"/>
      <w:sz w:val="24"/>
      <w:szCs w:val="24"/>
      <w:lang w:val="hu-HU" w:eastAsia="hu-HU"/>
      <w14:ligatures w14:val="none"/>
    </w:rPr>
  </w:style>
  <w:style w:type="paragraph" w:styleId="Revision">
    <w:name w:val="Revision"/>
    <w:hidden/>
    <w:uiPriority w:val="99"/>
    <w:semiHidden/>
    <w:rsid w:val="00CA6D0D"/>
    <w:pPr>
      <w:spacing w:after="0" w:line="240" w:lineRule="auto"/>
    </w:pPr>
  </w:style>
  <w:style w:type="character" w:styleId="CommentReference">
    <w:name w:val="annotation reference"/>
    <w:basedOn w:val="DefaultParagraphFont"/>
    <w:uiPriority w:val="99"/>
    <w:semiHidden/>
    <w:unhideWhenUsed/>
    <w:rsid w:val="008A0AA8"/>
    <w:rPr>
      <w:sz w:val="16"/>
      <w:szCs w:val="16"/>
    </w:rPr>
  </w:style>
  <w:style w:type="paragraph" w:styleId="CommentText">
    <w:name w:val="annotation text"/>
    <w:basedOn w:val="Normal"/>
    <w:link w:val="CommentTextChar"/>
    <w:uiPriority w:val="99"/>
    <w:unhideWhenUsed/>
    <w:rsid w:val="008A0AA8"/>
    <w:pPr>
      <w:spacing w:line="240" w:lineRule="auto"/>
    </w:pPr>
    <w:rPr>
      <w:sz w:val="20"/>
      <w:szCs w:val="20"/>
    </w:rPr>
  </w:style>
  <w:style w:type="character" w:customStyle="1" w:styleId="CommentTextChar">
    <w:name w:val="Comment Text Char"/>
    <w:basedOn w:val="DefaultParagraphFont"/>
    <w:link w:val="CommentText"/>
    <w:uiPriority w:val="99"/>
    <w:rsid w:val="008A0AA8"/>
    <w:rPr>
      <w:sz w:val="20"/>
      <w:szCs w:val="20"/>
    </w:rPr>
  </w:style>
  <w:style w:type="paragraph" w:styleId="CommentSubject">
    <w:name w:val="annotation subject"/>
    <w:basedOn w:val="CommentText"/>
    <w:next w:val="CommentText"/>
    <w:link w:val="CommentSubjectChar"/>
    <w:uiPriority w:val="99"/>
    <w:semiHidden/>
    <w:unhideWhenUsed/>
    <w:rsid w:val="008A0AA8"/>
    <w:rPr>
      <w:b/>
      <w:bCs/>
    </w:rPr>
  </w:style>
  <w:style w:type="character" w:customStyle="1" w:styleId="CommentSubjectChar">
    <w:name w:val="Comment Subject Char"/>
    <w:basedOn w:val="CommentTextChar"/>
    <w:link w:val="CommentSubject"/>
    <w:uiPriority w:val="99"/>
    <w:semiHidden/>
    <w:rsid w:val="008A0AA8"/>
    <w:rPr>
      <w:b/>
      <w:bCs/>
      <w:sz w:val="20"/>
      <w:szCs w:val="20"/>
    </w:rPr>
  </w:style>
  <w:style w:type="character" w:customStyle="1" w:styleId="Heading5Char">
    <w:name w:val="Heading 5 Char"/>
    <w:basedOn w:val="DefaultParagraphFont"/>
    <w:link w:val="Heading5"/>
    <w:uiPriority w:val="9"/>
    <w:rsid w:val="00F70917"/>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837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41"/>
    <w:rPr>
      <w:rFonts w:ascii="Segoe UI" w:hAnsi="Segoe UI" w:cs="Segoe UI"/>
      <w:sz w:val="18"/>
      <w:szCs w:val="18"/>
    </w:rPr>
  </w:style>
  <w:style w:type="character" w:customStyle="1" w:styleId="font-weight-semibold">
    <w:name w:val="font-weight-semibold"/>
    <w:basedOn w:val="DefaultParagraphFont"/>
    <w:rsid w:val="008E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581">
      <w:bodyDiv w:val="1"/>
      <w:marLeft w:val="0"/>
      <w:marRight w:val="0"/>
      <w:marTop w:val="0"/>
      <w:marBottom w:val="0"/>
      <w:divBdr>
        <w:top w:val="none" w:sz="0" w:space="0" w:color="auto"/>
        <w:left w:val="none" w:sz="0" w:space="0" w:color="auto"/>
        <w:bottom w:val="none" w:sz="0" w:space="0" w:color="auto"/>
        <w:right w:val="none" w:sz="0" w:space="0" w:color="auto"/>
      </w:divBdr>
      <w:divsChild>
        <w:div w:id="102848124">
          <w:marLeft w:val="0"/>
          <w:marRight w:val="0"/>
          <w:marTop w:val="0"/>
          <w:marBottom w:val="240"/>
          <w:divBdr>
            <w:top w:val="none" w:sz="0" w:space="0" w:color="auto"/>
            <w:left w:val="none" w:sz="0" w:space="0" w:color="auto"/>
            <w:bottom w:val="none" w:sz="0" w:space="0" w:color="auto"/>
            <w:right w:val="none" w:sz="0" w:space="0" w:color="auto"/>
          </w:divBdr>
        </w:div>
        <w:div w:id="2131625817">
          <w:marLeft w:val="0"/>
          <w:marRight w:val="0"/>
          <w:marTop w:val="0"/>
          <w:marBottom w:val="240"/>
          <w:divBdr>
            <w:top w:val="none" w:sz="0" w:space="0" w:color="auto"/>
            <w:left w:val="none" w:sz="0" w:space="0" w:color="auto"/>
            <w:bottom w:val="none" w:sz="0" w:space="0" w:color="auto"/>
            <w:right w:val="none" w:sz="0" w:space="0" w:color="auto"/>
          </w:divBdr>
        </w:div>
        <w:div w:id="1940722386">
          <w:marLeft w:val="0"/>
          <w:marRight w:val="0"/>
          <w:marTop w:val="0"/>
          <w:marBottom w:val="240"/>
          <w:divBdr>
            <w:top w:val="none" w:sz="0" w:space="0" w:color="auto"/>
            <w:left w:val="none" w:sz="0" w:space="0" w:color="auto"/>
            <w:bottom w:val="none" w:sz="0" w:space="0" w:color="auto"/>
            <w:right w:val="none" w:sz="0" w:space="0" w:color="auto"/>
          </w:divBdr>
        </w:div>
      </w:divsChild>
    </w:div>
    <w:div w:id="111173678">
      <w:bodyDiv w:val="1"/>
      <w:marLeft w:val="0"/>
      <w:marRight w:val="0"/>
      <w:marTop w:val="0"/>
      <w:marBottom w:val="0"/>
      <w:divBdr>
        <w:top w:val="none" w:sz="0" w:space="0" w:color="auto"/>
        <w:left w:val="none" w:sz="0" w:space="0" w:color="auto"/>
        <w:bottom w:val="none" w:sz="0" w:space="0" w:color="auto"/>
        <w:right w:val="none" w:sz="0" w:space="0" w:color="auto"/>
      </w:divBdr>
    </w:div>
    <w:div w:id="205945579">
      <w:bodyDiv w:val="1"/>
      <w:marLeft w:val="0"/>
      <w:marRight w:val="0"/>
      <w:marTop w:val="0"/>
      <w:marBottom w:val="0"/>
      <w:divBdr>
        <w:top w:val="none" w:sz="0" w:space="0" w:color="auto"/>
        <w:left w:val="none" w:sz="0" w:space="0" w:color="auto"/>
        <w:bottom w:val="none" w:sz="0" w:space="0" w:color="auto"/>
        <w:right w:val="none" w:sz="0" w:space="0" w:color="auto"/>
      </w:divBdr>
    </w:div>
    <w:div w:id="275135568">
      <w:bodyDiv w:val="1"/>
      <w:marLeft w:val="0"/>
      <w:marRight w:val="0"/>
      <w:marTop w:val="0"/>
      <w:marBottom w:val="0"/>
      <w:divBdr>
        <w:top w:val="none" w:sz="0" w:space="0" w:color="auto"/>
        <w:left w:val="none" w:sz="0" w:space="0" w:color="auto"/>
        <w:bottom w:val="none" w:sz="0" w:space="0" w:color="auto"/>
        <w:right w:val="none" w:sz="0" w:space="0" w:color="auto"/>
      </w:divBdr>
    </w:div>
    <w:div w:id="727604655">
      <w:bodyDiv w:val="1"/>
      <w:marLeft w:val="0"/>
      <w:marRight w:val="0"/>
      <w:marTop w:val="0"/>
      <w:marBottom w:val="0"/>
      <w:divBdr>
        <w:top w:val="none" w:sz="0" w:space="0" w:color="auto"/>
        <w:left w:val="none" w:sz="0" w:space="0" w:color="auto"/>
        <w:bottom w:val="none" w:sz="0" w:space="0" w:color="auto"/>
        <w:right w:val="none" w:sz="0" w:space="0" w:color="auto"/>
      </w:divBdr>
      <w:divsChild>
        <w:div w:id="1924024039">
          <w:marLeft w:val="720"/>
          <w:marRight w:val="0"/>
          <w:marTop w:val="0"/>
          <w:marBottom w:val="0"/>
          <w:divBdr>
            <w:top w:val="none" w:sz="0" w:space="0" w:color="auto"/>
            <w:left w:val="none" w:sz="0" w:space="0" w:color="auto"/>
            <w:bottom w:val="none" w:sz="0" w:space="0" w:color="auto"/>
            <w:right w:val="none" w:sz="0" w:space="0" w:color="auto"/>
          </w:divBdr>
        </w:div>
        <w:div w:id="1590848262">
          <w:marLeft w:val="720"/>
          <w:marRight w:val="0"/>
          <w:marTop w:val="0"/>
          <w:marBottom w:val="0"/>
          <w:divBdr>
            <w:top w:val="none" w:sz="0" w:space="0" w:color="auto"/>
            <w:left w:val="none" w:sz="0" w:space="0" w:color="auto"/>
            <w:bottom w:val="none" w:sz="0" w:space="0" w:color="auto"/>
            <w:right w:val="none" w:sz="0" w:space="0" w:color="auto"/>
          </w:divBdr>
        </w:div>
        <w:div w:id="2084990205">
          <w:marLeft w:val="720"/>
          <w:marRight w:val="0"/>
          <w:marTop w:val="0"/>
          <w:marBottom w:val="0"/>
          <w:divBdr>
            <w:top w:val="none" w:sz="0" w:space="0" w:color="auto"/>
            <w:left w:val="none" w:sz="0" w:space="0" w:color="auto"/>
            <w:bottom w:val="none" w:sz="0" w:space="0" w:color="auto"/>
            <w:right w:val="none" w:sz="0" w:space="0" w:color="auto"/>
          </w:divBdr>
        </w:div>
        <w:div w:id="744571203">
          <w:marLeft w:val="720"/>
          <w:marRight w:val="0"/>
          <w:marTop w:val="0"/>
          <w:marBottom w:val="0"/>
          <w:divBdr>
            <w:top w:val="none" w:sz="0" w:space="0" w:color="auto"/>
            <w:left w:val="none" w:sz="0" w:space="0" w:color="auto"/>
            <w:bottom w:val="none" w:sz="0" w:space="0" w:color="auto"/>
            <w:right w:val="none" w:sz="0" w:space="0" w:color="auto"/>
          </w:divBdr>
        </w:div>
        <w:div w:id="1347292332">
          <w:marLeft w:val="720"/>
          <w:marRight w:val="0"/>
          <w:marTop w:val="0"/>
          <w:marBottom w:val="0"/>
          <w:divBdr>
            <w:top w:val="none" w:sz="0" w:space="0" w:color="auto"/>
            <w:left w:val="none" w:sz="0" w:space="0" w:color="auto"/>
            <w:bottom w:val="none" w:sz="0" w:space="0" w:color="auto"/>
            <w:right w:val="none" w:sz="0" w:space="0" w:color="auto"/>
          </w:divBdr>
        </w:div>
      </w:divsChild>
    </w:div>
    <w:div w:id="761684000">
      <w:bodyDiv w:val="1"/>
      <w:marLeft w:val="0"/>
      <w:marRight w:val="0"/>
      <w:marTop w:val="0"/>
      <w:marBottom w:val="0"/>
      <w:divBdr>
        <w:top w:val="none" w:sz="0" w:space="0" w:color="auto"/>
        <w:left w:val="none" w:sz="0" w:space="0" w:color="auto"/>
        <w:bottom w:val="none" w:sz="0" w:space="0" w:color="auto"/>
        <w:right w:val="none" w:sz="0" w:space="0" w:color="auto"/>
      </w:divBdr>
    </w:div>
    <w:div w:id="780346673">
      <w:bodyDiv w:val="1"/>
      <w:marLeft w:val="0"/>
      <w:marRight w:val="0"/>
      <w:marTop w:val="0"/>
      <w:marBottom w:val="0"/>
      <w:divBdr>
        <w:top w:val="none" w:sz="0" w:space="0" w:color="auto"/>
        <w:left w:val="none" w:sz="0" w:space="0" w:color="auto"/>
        <w:bottom w:val="none" w:sz="0" w:space="0" w:color="auto"/>
        <w:right w:val="none" w:sz="0" w:space="0" w:color="auto"/>
      </w:divBdr>
    </w:div>
    <w:div w:id="817459286">
      <w:bodyDiv w:val="1"/>
      <w:marLeft w:val="0"/>
      <w:marRight w:val="0"/>
      <w:marTop w:val="0"/>
      <w:marBottom w:val="0"/>
      <w:divBdr>
        <w:top w:val="none" w:sz="0" w:space="0" w:color="auto"/>
        <w:left w:val="none" w:sz="0" w:space="0" w:color="auto"/>
        <w:bottom w:val="none" w:sz="0" w:space="0" w:color="auto"/>
        <w:right w:val="none" w:sz="0" w:space="0" w:color="auto"/>
      </w:divBdr>
    </w:div>
    <w:div w:id="956527068">
      <w:bodyDiv w:val="1"/>
      <w:marLeft w:val="0"/>
      <w:marRight w:val="0"/>
      <w:marTop w:val="0"/>
      <w:marBottom w:val="0"/>
      <w:divBdr>
        <w:top w:val="none" w:sz="0" w:space="0" w:color="auto"/>
        <w:left w:val="none" w:sz="0" w:space="0" w:color="auto"/>
        <w:bottom w:val="none" w:sz="0" w:space="0" w:color="auto"/>
        <w:right w:val="none" w:sz="0" w:space="0" w:color="auto"/>
      </w:divBdr>
      <w:divsChild>
        <w:div w:id="832184729">
          <w:marLeft w:val="0"/>
          <w:marRight w:val="0"/>
          <w:marTop w:val="0"/>
          <w:marBottom w:val="0"/>
          <w:divBdr>
            <w:top w:val="none" w:sz="0" w:space="0" w:color="auto"/>
            <w:left w:val="none" w:sz="0" w:space="0" w:color="auto"/>
            <w:bottom w:val="none" w:sz="0" w:space="0" w:color="auto"/>
            <w:right w:val="none" w:sz="0" w:space="0" w:color="auto"/>
          </w:divBdr>
        </w:div>
      </w:divsChild>
    </w:div>
    <w:div w:id="977104266">
      <w:bodyDiv w:val="1"/>
      <w:marLeft w:val="0"/>
      <w:marRight w:val="0"/>
      <w:marTop w:val="0"/>
      <w:marBottom w:val="0"/>
      <w:divBdr>
        <w:top w:val="none" w:sz="0" w:space="0" w:color="auto"/>
        <w:left w:val="none" w:sz="0" w:space="0" w:color="auto"/>
        <w:bottom w:val="none" w:sz="0" w:space="0" w:color="auto"/>
        <w:right w:val="none" w:sz="0" w:space="0" w:color="auto"/>
      </w:divBdr>
      <w:divsChild>
        <w:div w:id="993948066">
          <w:marLeft w:val="720"/>
          <w:marRight w:val="0"/>
          <w:marTop w:val="0"/>
          <w:marBottom w:val="0"/>
          <w:divBdr>
            <w:top w:val="none" w:sz="0" w:space="0" w:color="auto"/>
            <w:left w:val="none" w:sz="0" w:space="0" w:color="auto"/>
            <w:bottom w:val="none" w:sz="0" w:space="0" w:color="auto"/>
            <w:right w:val="none" w:sz="0" w:space="0" w:color="auto"/>
          </w:divBdr>
        </w:div>
        <w:div w:id="1847941391">
          <w:marLeft w:val="720"/>
          <w:marRight w:val="0"/>
          <w:marTop w:val="0"/>
          <w:marBottom w:val="0"/>
          <w:divBdr>
            <w:top w:val="none" w:sz="0" w:space="0" w:color="auto"/>
            <w:left w:val="none" w:sz="0" w:space="0" w:color="auto"/>
            <w:bottom w:val="none" w:sz="0" w:space="0" w:color="auto"/>
            <w:right w:val="none" w:sz="0" w:space="0" w:color="auto"/>
          </w:divBdr>
        </w:div>
        <w:div w:id="624239101">
          <w:marLeft w:val="720"/>
          <w:marRight w:val="0"/>
          <w:marTop w:val="0"/>
          <w:marBottom w:val="0"/>
          <w:divBdr>
            <w:top w:val="none" w:sz="0" w:space="0" w:color="auto"/>
            <w:left w:val="none" w:sz="0" w:space="0" w:color="auto"/>
            <w:bottom w:val="none" w:sz="0" w:space="0" w:color="auto"/>
            <w:right w:val="none" w:sz="0" w:space="0" w:color="auto"/>
          </w:divBdr>
        </w:div>
        <w:div w:id="467164222">
          <w:marLeft w:val="720"/>
          <w:marRight w:val="0"/>
          <w:marTop w:val="0"/>
          <w:marBottom w:val="0"/>
          <w:divBdr>
            <w:top w:val="none" w:sz="0" w:space="0" w:color="auto"/>
            <w:left w:val="none" w:sz="0" w:space="0" w:color="auto"/>
            <w:bottom w:val="none" w:sz="0" w:space="0" w:color="auto"/>
            <w:right w:val="none" w:sz="0" w:space="0" w:color="auto"/>
          </w:divBdr>
        </w:div>
        <w:div w:id="1993559550">
          <w:marLeft w:val="720"/>
          <w:marRight w:val="0"/>
          <w:marTop w:val="0"/>
          <w:marBottom w:val="0"/>
          <w:divBdr>
            <w:top w:val="none" w:sz="0" w:space="0" w:color="auto"/>
            <w:left w:val="none" w:sz="0" w:space="0" w:color="auto"/>
            <w:bottom w:val="none" w:sz="0" w:space="0" w:color="auto"/>
            <w:right w:val="none" w:sz="0" w:space="0" w:color="auto"/>
          </w:divBdr>
        </w:div>
        <w:div w:id="1323974575">
          <w:marLeft w:val="720"/>
          <w:marRight w:val="0"/>
          <w:marTop w:val="0"/>
          <w:marBottom w:val="0"/>
          <w:divBdr>
            <w:top w:val="none" w:sz="0" w:space="0" w:color="auto"/>
            <w:left w:val="none" w:sz="0" w:space="0" w:color="auto"/>
            <w:bottom w:val="none" w:sz="0" w:space="0" w:color="auto"/>
            <w:right w:val="none" w:sz="0" w:space="0" w:color="auto"/>
          </w:divBdr>
        </w:div>
        <w:div w:id="1602103994">
          <w:marLeft w:val="720"/>
          <w:marRight w:val="0"/>
          <w:marTop w:val="0"/>
          <w:marBottom w:val="0"/>
          <w:divBdr>
            <w:top w:val="none" w:sz="0" w:space="0" w:color="auto"/>
            <w:left w:val="none" w:sz="0" w:space="0" w:color="auto"/>
            <w:bottom w:val="none" w:sz="0" w:space="0" w:color="auto"/>
            <w:right w:val="none" w:sz="0" w:space="0" w:color="auto"/>
          </w:divBdr>
        </w:div>
      </w:divsChild>
    </w:div>
    <w:div w:id="1110399207">
      <w:bodyDiv w:val="1"/>
      <w:marLeft w:val="0"/>
      <w:marRight w:val="0"/>
      <w:marTop w:val="0"/>
      <w:marBottom w:val="0"/>
      <w:divBdr>
        <w:top w:val="none" w:sz="0" w:space="0" w:color="auto"/>
        <w:left w:val="none" w:sz="0" w:space="0" w:color="auto"/>
        <w:bottom w:val="none" w:sz="0" w:space="0" w:color="auto"/>
        <w:right w:val="none" w:sz="0" w:space="0" w:color="auto"/>
      </w:divBdr>
    </w:div>
    <w:div w:id="1206063149">
      <w:bodyDiv w:val="1"/>
      <w:marLeft w:val="0"/>
      <w:marRight w:val="0"/>
      <w:marTop w:val="0"/>
      <w:marBottom w:val="0"/>
      <w:divBdr>
        <w:top w:val="none" w:sz="0" w:space="0" w:color="auto"/>
        <w:left w:val="none" w:sz="0" w:space="0" w:color="auto"/>
        <w:bottom w:val="none" w:sz="0" w:space="0" w:color="auto"/>
        <w:right w:val="none" w:sz="0" w:space="0" w:color="auto"/>
      </w:divBdr>
      <w:divsChild>
        <w:div w:id="1573003638">
          <w:marLeft w:val="0"/>
          <w:marRight w:val="0"/>
          <w:marTop w:val="0"/>
          <w:marBottom w:val="0"/>
          <w:divBdr>
            <w:top w:val="none" w:sz="0" w:space="0" w:color="auto"/>
            <w:left w:val="none" w:sz="0" w:space="0" w:color="auto"/>
            <w:bottom w:val="none" w:sz="0" w:space="0" w:color="auto"/>
            <w:right w:val="none" w:sz="0" w:space="0" w:color="auto"/>
          </w:divBdr>
          <w:divsChild>
            <w:div w:id="9637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7712">
      <w:bodyDiv w:val="1"/>
      <w:marLeft w:val="0"/>
      <w:marRight w:val="0"/>
      <w:marTop w:val="0"/>
      <w:marBottom w:val="0"/>
      <w:divBdr>
        <w:top w:val="none" w:sz="0" w:space="0" w:color="auto"/>
        <w:left w:val="none" w:sz="0" w:space="0" w:color="auto"/>
        <w:bottom w:val="none" w:sz="0" w:space="0" w:color="auto"/>
        <w:right w:val="none" w:sz="0" w:space="0" w:color="auto"/>
      </w:divBdr>
    </w:div>
    <w:div w:id="1451633366">
      <w:bodyDiv w:val="1"/>
      <w:marLeft w:val="0"/>
      <w:marRight w:val="0"/>
      <w:marTop w:val="0"/>
      <w:marBottom w:val="0"/>
      <w:divBdr>
        <w:top w:val="none" w:sz="0" w:space="0" w:color="auto"/>
        <w:left w:val="none" w:sz="0" w:space="0" w:color="auto"/>
        <w:bottom w:val="none" w:sz="0" w:space="0" w:color="auto"/>
        <w:right w:val="none" w:sz="0" w:space="0" w:color="auto"/>
      </w:divBdr>
      <w:divsChild>
        <w:div w:id="1750421604">
          <w:marLeft w:val="720"/>
          <w:marRight w:val="0"/>
          <w:marTop w:val="0"/>
          <w:marBottom w:val="0"/>
          <w:divBdr>
            <w:top w:val="none" w:sz="0" w:space="0" w:color="auto"/>
            <w:left w:val="none" w:sz="0" w:space="0" w:color="auto"/>
            <w:bottom w:val="none" w:sz="0" w:space="0" w:color="auto"/>
            <w:right w:val="none" w:sz="0" w:space="0" w:color="auto"/>
          </w:divBdr>
        </w:div>
        <w:div w:id="1231574446">
          <w:marLeft w:val="720"/>
          <w:marRight w:val="0"/>
          <w:marTop w:val="0"/>
          <w:marBottom w:val="0"/>
          <w:divBdr>
            <w:top w:val="none" w:sz="0" w:space="0" w:color="auto"/>
            <w:left w:val="none" w:sz="0" w:space="0" w:color="auto"/>
            <w:bottom w:val="none" w:sz="0" w:space="0" w:color="auto"/>
            <w:right w:val="none" w:sz="0" w:space="0" w:color="auto"/>
          </w:divBdr>
        </w:div>
        <w:div w:id="799344070">
          <w:marLeft w:val="720"/>
          <w:marRight w:val="0"/>
          <w:marTop w:val="0"/>
          <w:marBottom w:val="0"/>
          <w:divBdr>
            <w:top w:val="none" w:sz="0" w:space="0" w:color="auto"/>
            <w:left w:val="none" w:sz="0" w:space="0" w:color="auto"/>
            <w:bottom w:val="none" w:sz="0" w:space="0" w:color="auto"/>
            <w:right w:val="none" w:sz="0" w:space="0" w:color="auto"/>
          </w:divBdr>
        </w:div>
        <w:div w:id="893541010">
          <w:marLeft w:val="720"/>
          <w:marRight w:val="0"/>
          <w:marTop w:val="0"/>
          <w:marBottom w:val="0"/>
          <w:divBdr>
            <w:top w:val="none" w:sz="0" w:space="0" w:color="auto"/>
            <w:left w:val="none" w:sz="0" w:space="0" w:color="auto"/>
            <w:bottom w:val="none" w:sz="0" w:space="0" w:color="auto"/>
            <w:right w:val="none" w:sz="0" w:space="0" w:color="auto"/>
          </w:divBdr>
        </w:div>
        <w:div w:id="380247399">
          <w:marLeft w:val="720"/>
          <w:marRight w:val="0"/>
          <w:marTop w:val="0"/>
          <w:marBottom w:val="0"/>
          <w:divBdr>
            <w:top w:val="none" w:sz="0" w:space="0" w:color="auto"/>
            <w:left w:val="none" w:sz="0" w:space="0" w:color="auto"/>
            <w:bottom w:val="none" w:sz="0" w:space="0" w:color="auto"/>
            <w:right w:val="none" w:sz="0" w:space="0" w:color="auto"/>
          </w:divBdr>
        </w:div>
        <w:div w:id="2437849">
          <w:marLeft w:val="720"/>
          <w:marRight w:val="0"/>
          <w:marTop w:val="0"/>
          <w:marBottom w:val="0"/>
          <w:divBdr>
            <w:top w:val="none" w:sz="0" w:space="0" w:color="auto"/>
            <w:left w:val="none" w:sz="0" w:space="0" w:color="auto"/>
            <w:bottom w:val="none" w:sz="0" w:space="0" w:color="auto"/>
            <w:right w:val="none" w:sz="0" w:space="0" w:color="auto"/>
          </w:divBdr>
        </w:div>
        <w:div w:id="760643111">
          <w:marLeft w:val="720"/>
          <w:marRight w:val="0"/>
          <w:marTop w:val="0"/>
          <w:marBottom w:val="0"/>
          <w:divBdr>
            <w:top w:val="none" w:sz="0" w:space="0" w:color="auto"/>
            <w:left w:val="none" w:sz="0" w:space="0" w:color="auto"/>
            <w:bottom w:val="none" w:sz="0" w:space="0" w:color="auto"/>
            <w:right w:val="none" w:sz="0" w:space="0" w:color="auto"/>
          </w:divBdr>
        </w:div>
      </w:divsChild>
    </w:div>
    <w:div w:id="1464425623">
      <w:bodyDiv w:val="1"/>
      <w:marLeft w:val="0"/>
      <w:marRight w:val="0"/>
      <w:marTop w:val="0"/>
      <w:marBottom w:val="0"/>
      <w:divBdr>
        <w:top w:val="none" w:sz="0" w:space="0" w:color="auto"/>
        <w:left w:val="none" w:sz="0" w:space="0" w:color="auto"/>
        <w:bottom w:val="none" w:sz="0" w:space="0" w:color="auto"/>
        <w:right w:val="none" w:sz="0" w:space="0" w:color="auto"/>
      </w:divBdr>
      <w:divsChild>
        <w:div w:id="1017543367">
          <w:marLeft w:val="446"/>
          <w:marRight w:val="0"/>
          <w:marTop w:val="0"/>
          <w:marBottom w:val="0"/>
          <w:divBdr>
            <w:top w:val="none" w:sz="0" w:space="0" w:color="auto"/>
            <w:left w:val="none" w:sz="0" w:space="0" w:color="auto"/>
            <w:bottom w:val="none" w:sz="0" w:space="0" w:color="auto"/>
            <w:right w:val="none" w:sz="0" w:space="0" w:color="auto"/>
          </w:divBdr>
        </w:div>
      </w:divsChild>
    </w:div>
    <w:div w:id="1609727797">
      <w:bodyDiv w:val="1"/>
      <w:marLeft w:val="0"/>
      <w:marRight w:val="0"/>
      <w:marTop w:val="0"/>
      <w:marBottom w:val="0"/>
      <w:divBdr>
        <w:top w:val="none" w:sz="0" w:space="0" w:color="auto"/>
        <w:left w:val="none" w:sz="0" w:space="0" w:color="auto"/>
        <w:bottom w:val="none" w:sz="0" w:space="0" w:color="auto"/>
        <w:right w:val="none" w:sz="0" w:space="0" w:color="auto"/>
      </w:divBdr>
    </w:div>
    <w:div w:id="1710909787">
      <w:bodyDiv w:val="1"/>
      <w:marLeft w:val="0"/>
      <w:marRight w:val="0"/>
      <w:marTop w:val="0"/>
      <w:marBottom w:val="0"/>
      <w:divBdr>
        <w:top w:val="none" w:sz="0" w:space="0" w:color="auto"/>
        <w:left w:val="none" w:sz="0" w:space="0" w:color="auto"/>
        <w:bottom w:val="none" w:sz="0" w:space="0" w:color="auto"/>
        <w:right w:val="none" w:sz="0" w:space="0" w:color="auto"/>
      </w:divBdr>
      <w:divsChild>
        <w:div w:id="2121340720">
          <w:marLeft w:val="720"/>
          <w:marRight w:val="0"/>
          <w:marTop w:val="0"/>
          <w:marBottom w:val="0"/>
          <w:divBdr>
            <w:top w:val="none" w:sz="0" w:space="0" w:color="auto"/>
            <w:left w:val="none" w:sz="0" w:space="0" w:color="auto"/>
            <w:bottom w:val="none" w:sz="0" w:space="0" w:color="auto"/>
            <w:right w:val="none" w:sz="0" w:space="0" w:color="auto"/>
          </w:divBdr>
        </w:div>
        <w:div w:id="400299656">
          <w:marLeft w:val="720"/>
          <w:marRight w:val="0"/>
          <w:marTop w:val="0"/>
          <w:marBottom w:val="0"/>
          <w:divBdr>
            <w:top w:val="none" w:sz="0" w:space="0" w:color="auto"/>
            <w:left w:val="none" w:sz="0" w:space="0" w:color="auto"/>
            <w:bottom w:val="none" w:sz="0" w:space="0" w:color="auto"/>
            <w:right w:val="none" w:sz="0" w:space="0" w:color="auto"/>
          </w:divBdr>
        </w:div>
        <w:div w:id="1392994295">
          <w:marLeft w:val="720"/>
          <w:marRight w:val="0"/>
          <w:marTop w:val="0"/>
          <w:marBottom w:val="0"/>
          <w:divBdr>
            <w:top w:val="none" w:sz="0" w:space="0" w:color="auto"/>
            <w:left w:val="none" w:sz="0" w:space="0" w:color="auto"/>
            <w:bottom w:val="none" w:sz="0" w:space="0" w:color="auto"/>
            <w:right w:val="none" w:sz="0" w:space="0" w:color="auto"/>
          </w:divBdr>
        </w:div>
        <w:div w:id="177432262">
          <w:marLeft w:val="720"/>
          <w:marRight w:val="0"/>
          <w:marTop w:val="0"/>
          <w:marBottom w:val="0"/>
          <w:divBdr>
            <w:top w:val="none" w:sz="0" w:space="0" w:color="auto"/>
            <w:left w:val="none" w:sz="0" w:space="0" w:color="auto"/>
            <w:bottom w:val="none" w:sz="0" w:space="0" w:color="auto"/>
            <w:right w:val="none" w:sz="0" w:space="0" w:color="auto"/>
          </w:divBdr>
        </w:div>
      </w:divsChild>
    </w:div>
    <w:div w:id="1727872304">
      <w:bodyDiv w:val="1"/>
      <w:marLeft w:val="0"/>
      <w:marRight w:val="0"/>
      <w:marTop w:val="0"/>
      <w:marBottom w:val="0"/>
      <w:divBdr>
        <w:top w:val="none" w:sz="0" w:space="0" w:color="auto"/>
        <w:left w:val="none" w:sz="0" w:space="0" w:color="auto"/>
        <w:bottom w:val="none" w:sz="0" w:space="0" w:color="auto"/>
        <w:right w:val="none" w:sz="0" w:space="0" w:color="auto"/>
      </w:divBdr>
    </w:div>
    <w:div w:id="1812819156">
      <w:bodyDiv w:val="1"/>
      <w:marLeft w:val="0"/>
      <w:marRight w:val="0"/>
      <w:marTop w:val="0"/>
      <w:marBottom w:val="0"/>
      <w:divBdr>
        <w:top w:val="none" w:sz="0" w:space="0" w:color="auto"/>
        <w:left w:val="none" w:sz="0" w:space="0" w:color="auto"/>
        <w:bottom w:val="none" w:sz="0" w:space="0" w:color="auto"/>
        <w:right w:val="none" w:sz="0" w:space="0" w:color="auto"/>
      </w:divBdr>
    </w:div>
    <w:div w:id="1982687602">
      <w:bodyDiv w:val="1"/>
      <w:marLeft w:val="0"/>
      <w:marRight w:val="0"/>
      <w:marTop w:val="0"/>
      <w:marBottom w:val="0"/>
      <w:divBdr>
        <w:top w:val="none" w:sz="0" w:space="0" w:color="auto"/>
        <w:left w:val="none" w:sz="0" w:space="0" w:color="auto"/>
        <w:bottom w:val="none" w:sz="0" w:space="0" w:color="auto"/>
        <w:right w:val="none" w:sz="0" w:space="0" w:color="auto"/>
      </w:divBdr>
    </w:div>
    <w:div w:id="2002154621">
      <w:bodyDiv w:val="1"/>
      <w:marLeft w:val="0"/>
      <w:marRight w:val="0"/>
      <w:marTop w:val="0"/>
      <w:marBottom w:val="0"/>
      <w:divBdr>
        <w:top w:val="none" w:sz="0" w:space="0" w:color="auto"/>
        <w:left w:val="none" w:sz="0" w:space="0" w:color="auto"/>
        <w:bottom w:val="none" w:sz="0" w:space="0" w:color="auto"/>
        <w:right w:val="none" w:sz="0" w:space="0" w:color="auto"/>
      </w:divBdr>
    </w:div>
    <w:div w:id="2019573343">
      <w:bodyDiv w:val="1"/>
      <w:marLeft w:val="0"/>
      <w:marRight w:val="0"/>
      <w:marTop w:val="0"/>
      <w:marBottom w:val="0"/>
      <w:divBdr>
        <w:top w:val="none" w:sz="0" w:space="0" w:color="auto"/>
        <w:left w:val="none" w:sz="0" w:space="0" w:color="auto"/>
        <w:bottom w:val="none" w:sz="0" w:space="0" w:color="auto"/>
        <w:right w:val="none" w:sz="0" w:space="0" w:color="auto"/>
      </w:divBdr>
    </w:div>
    <w:div w:id="2052724439">
      <w:bodyDiv w:val="1"/>
      <w:marLeft w:val="0"/>
      <w:marRight w:val="0"/>
      <w:marTop w:val="0"/>
      <w:marBottom w:val="0"/>
      <w:divBdr>
        <w:top w:val="none" w:sz="0" w:space="0" w:color="auto"/>
        <w:left w:val="none" w:sz="0" w:space="0" w:color="auto"/>
        <w:bottom w:val="none" w:sz="0" w:space="0" w:color="auto"/>
        <w:right w:val="none" w:sz="0" w:space="0" w:color="auto"/>
      </w:divBdr>
    </w:div>
    <w:div w:id="20865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tra.d.bonca@ef.uni-lj.si" TargetMode="External"/><Relationship Id="rId18" Type="http://schemas.openxmlformats.org/officeDocument/2006/relationships/hyperlink" Target="mailto:n.kreif@gmail.com" TargetMode="External"/><Relationship Id="rId26" Type="http://schemas.openxmlformats.org/officeDocument/2006/relationships/hyperlink" Target="mailto:orestapb@gmail.com" TargetMode="External"/><Relationship Id="rId39" Type="http://schemas.openxmlformats.org/officeDocument/2006/relationships/theme" Target="theme/theme1.xml"/><Relationship Id="rId21" Type="http://schemas.openxmlformats.org/officeDocument/2006/relationships/hyperlink" Target="mailto:tomas.tesar1@gmail.com" TargetMode="External"/><Relationship Id="rId34" Type="http://schemas.openxmlformats.org/officeDocument/2006/relationships/hyperlink" Target="mailto:W.G.Goettsch@uu.nl" TargetMode="External"/><Relationship Id="rId7" Type="http://schemas.openxmlformats.org/officeDocument/2006/relationships/settings" Target="settings.xml"/><Relationship Id="rId12" Type="http://schemas.openxmlformats.org/officeDocument/2006/relationships/hyperlink" Target="mailto:bertalan.nemeth@syreon.eu" TargetMode="External"/><Relationship Id="rId17" Type="http://schemas.openxmlformats.org/officeDocument/2006/relationships/hyperlink" Target="mailto:yingying.zhang@york.ac.uk" TargetMode="External"/><Relationship Id="rId25" Type="http://schemas.openxmlformats.org/officeDocument/2006/relationships/hyperlink" Target="mailto:sorinpaveliu@gmail.com" TargetMode="External"/><Relationship Id="rId33" Type="http://schemas.openxmlformats.org/officeDocument/2006/relationships/hyperlink" Target="mailto:zsuzsanna.petyko@syreon.e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tashkov@pharmfac.mu-sofia.bg" TargetMode="External"/><Relationship Id="rId20" Type="http://schemas.openxmlformats.org/officeDocument/2006/relationships/hyperlink" Target="mailto:iga.lipska@healthpolicy.institute" TargetMode="External"/><Relationship Id="rId29" Type="http://schemas.openxmlformats.org/officeDocument/2006/relationships/hyperlink" Target="mailto:michal.stanak@niho.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enka.petrova@gmail.com" TargetMode="External"/><Relationship Id="rId24" Type="http://schemas.openxmlformats.org/officeDocument/2006/relationships/hyperlink" Target="mailto:anders.viberg@tlv.se" TargetMode="External"/><Relationship Id="rId32" Type="http://schemas.openxmlformats.org/officeDocument/2006/relationships/hyperlink" Target="mailto:dinko.vitezic@medri.uniri.hr" TargetMode="External"/><Relationship Id="rId37" Type="http://schemas.openxmlformats.org/officeDocument/2006/relationships/hyperlink" Target="https://eur-lex.europa.eu/legal-content/EN/TXT/?uri=CELEX:32021R2282" TargetMode="External"/><Relationship Id="rId5" Type="http://schemas.openxmlformats.org/officeDocument/2006/relationships/numbering" Target="numbering.xml"/><Relationship Id="rId15" Type="http://schemas.openxmlformats.org/officeDocument/2006/relationships/hyperlink" Target="mailto:alastair.bennett@york.ac.uk" TargetMode="External"/><Relationship Id="rId23" Type="http://schemas.openxmlformats.org/officeDocument/2006/relationships/hyperlink" Target="mailto:johan.ponten@tlv.se" TargetMode="External"/><Relationship Id="rId28" Type="http://schemas.openxmlformats.org/officeDocument/2006/relationships/hyperlink" Target="mailto:dolezal@iheta.org" TargetMode="External"/><Relationship Id="rId36" Type="http://schemas.openxmlformats.org/officeDocument/2006/relationships/image" Target="media/image1.png"/><Relationship Id="rId10" Type="http://schemas.openxmlformats.org/officeDocument/2006/relationships/hyperlink" Target="mailto:kalo.zoltan@semmelweis.hu" TargetMode="External"/><Relationship Id="rId19" Type="http://schemas.openxmlformats.org/officeDocument/2006/relationships/hyperlink" Target="mailto:sknies@zinl.nl" TargetMode="External"/><Relationship Id="rId31" Type="http://schemas.openxmlformats.org/officeDocument/2006/relationships/hyperlink" Target="mailto:rok_hren@yahoo.com" TargetMode="External"/><Relationship Id="rId4" Type="http://schemas.openxmlformats.org/officeDocument/2006/relationships/customXml" Target="../customXml/item4.xml"/><Relationship Id="rId9" Type="http://schemas.openxmlformats.org/officeDocument/2006/relationships/hyperlink" Target="mailto:kalo.zoltan@semmelweis.hu" TargetMode="External"/><Relationship Id="rId14" Type="http://schemas.openxmlformats.org/officeDocument/2006/relationships/hyperlink" Target="mailto:DDelnoij@zinl.nl" TargetMode="External"/><Relationship Id="rId22" Type="http://schemas.openxmlformats.org/officeDocument/2006/relationships/hyperlink" Target="mailto:zmitkova@pharmfac.mu-sofia.bg" TargetMode="External"/><Relationship Id="rId27" Type="http://schemas.openxmlformats.org/officeDocument/2006/relationships/hyperlink" Target="mailto:adina.turcu@gmail.com" TargetMode="External"/><Relationship Id="rId30" Type="http://schemas.openxmlformats.org/officeDocument/2006/relationships/hyperlink" Target="mailto:alima.almadi@gmail.com" TargetMode="External"/><Relationship Id="rId35" Type="http://schemas.openxmlformats.org/officeDocument/2006/relationships/hyperlink" Target="mailto:andrea.manca@york.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ABFF60093C749A615596430C92047" ma:contentTypeVersion="18" ma:contentTypeDescription="Create a new document." ma:contentTypeScope="" ma:versionID="1c8848039bf05a000a33b01d6497c9db">
  <xsd:schema xmlns:xsd="http://www.w3.org/2001/XMLSchema" xmlns:xs="http://www.w3.org/2001/XMLSchema" xmlns:p="http://schemas.microsoft.com/office/2006/metadata/properties" xmlns:ns3="57aa1f83-0fbd-4eed-8508-bf41d203bfa1" xmlns:ns4="207907c5-97e7-4e52-86ae-2a11121182c7" targetNamespace="http://schemas.microsoft.com/office/2006/metadata/properties" ma:root="true" ma:fieldsID="8b95266a07c2f9c70ce908088317911d" ns3:_="" ns4:_="">
    <xsd:import namespace="57aa1f83-0fbd-4eed-8508-bf41d203bfa1"/>
    <xsd:import namespace="207907c5-97e7-4e52-86ae-2a11121182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1f83-0fbd-4eed-8508-bf41d203bf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907c5-97e7-4e52-86ae-2a11121182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07907c5-97e7-4e52-86ae-2a11121182c7" xsi:nil="true"/>
  </documentManagement>
</p:properties>
</file>

<file path=customXml/itemProps1.xml><?xml version="1.0" encoding="utf-8"?>
<ds:datastoreItem xmlns:ds="http://schemas.openxmlformats.org/officeDocument/2006/customXml" ds:itemID="{4F00FF06-08F2-4DBF-B354-4E5EB4ED6A26}">
  <ds:schemaRefs>
    <ds:schemaRef ds:uri="http://schemas.microsoft.com/sharepoint/v3/contenttype/forms"/>
  </ds:schemaRefs>
</ds:datastoreItem>
</file>

<file path=customXml/itemProps2.xml><?xml version="1.0" encoding="utf-8"?>
<ds:datastoreItem xmlns:ds="http://schemas.openxmlformats.org/officeDocument/2006/customXml" ds:itemID="{D7DB43D0-865A-44DE-B610-799E3413F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1f83-0fbd-4eed-8508-bf41d203bfa1"/>
    <ds:schemaRef ds:uri="207907c5-97e7-4e52-86ae-2a111211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77AD3-3F75-42B2-82E5-264A358D1DE2}">
  <ds:schemaRefs>
    <ds:schemaRef ds:uri="http://schemas.openxmlformats.org/officeDocument/2006/bibliography"/>
  </ds:schemaRefs>
</ds:datastoreItem>
</file>

<file path=customXml/itemProps4.xml><?xml version="1.0" encoding="utf-8"?>
<ds:datastoreItem xmlns:ds="http://schemas.openxmlformats.org/officeDocument/2006/customXml" ds:itemID="{DF46B9B5-172E-40AE-83FF-69C69786D6FB}">
  <ds:schemaRefs>
    <ds:schemaRef ds:uri="http://schemas.microsoft.com/office/2006/metadata/properties"/>
    <ds:schemaRef ds:uri="http://schemas.microsoft.com/office/infopath/2007/PartnerControls"/>
    <ds:schemaRef ds:uri="207907c5-97e7-4e52-86ae-2a11121182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6016</Words>
  <Characters>34294</Characters>
  <Application>Microsoft Office Word</Application>
  <DocSecurity>0</DocSecurity>
  <Lines>285</Lines>
  <Paragraphs>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Kalo</dc:creator>
  <cp:keywords/>
  <dc:description/>
  <cp:lastModifiedBy>Zoltan KALO</cp:lastModifiedBy>
  <cp:revision>3</cp:revision>
  <dcterms:created xsi:type="dcterms:W3CDTF">2025-10-02T18:00:00Z</dcterms:created>
  <dcterms:modified xsi:type="dcterms:W3CDTF">2025-10-02T18:00:00Z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992834653a14840a78802b7fceb7c6b851fea1b66c8349c5a269faf0b17954e3</vt:lpwstr>
  </property>
  <property fmtid="{D5CDD505-2E9C-101B-9397-08002B2CF9AE}" pid="3" name="ContentTypeId">
    <vt:lpwstr>0x01010085FABFF60093C749A615596430C92047</vt:lpwstr>
  </property>
</Properties>
</file>