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8D79" w14:textId="6827CDC5" w:rsidR="002B13B1" w:rsidRPr="002B13B1" w:rsidRDefault="002B13B1" w:rsidP="002B13B1">
      <w:pPr>
        <w:jc w:val="center"/>
        <w:rPr>
          <w:sz w:val="32"/>
          <w:szCs w:val="32"/>
        </w:rPr>
      </w:pPr>
      <w:r w:rsidRPr="002B13B1">
        <w:rPr>
          <w:rStyle w:val="Strong"/>
          <w:sz w:val="32"/>
          <w:szCs w:val="32"/>
        </w:rPr>
        <w:t xml:space="preserve">High Health System </w:t>
      </w:r>
      <w:r w:rsidR="008D067E">
        <w:rPr>
          <w:rStyle w:val="Strong"/>
          <w:sz w:val="32"/>
          <w:szCs w:val="32"/>
        </w:rPr>
        <w:t>Performance</w:t>
      </w:r>
      <w:r w:rsidRPr="002B13B1">
        <w:rPr>
          <w:rStyle w:val="Strong"/>
          <w:sz w:val="32"/>
          <w:szCs w:val="32"/>
        </w:rPr>
        <w:t>, Low Health System Resilience: Navigating Vulnerability – an illustrative example using Small and Island States</w:t>
      </w:r>
    </w:p>
    <w:p w14:paraId="5B5A8FF0" w14:textId="77777777" w:rsidR="00786E64" w:rsidRDefault="00786E64" w:rsidP="00786E64"/>
    <w:p w14:paraId="50097982" w14:textId="77777777" w:rsidR="00786E64" w:rsidRDefault="00786E64" w:rsidP="00786E64">
      <w:pPr>
        <w:rPr>
          <w:b/>
        </w:rPr>
      </w:pPr>
    </w:p>
    <w:p w14:paraId="47EA0D16" w14:textId="77777777" w:rsidR="00581B73" w:rsidRDefault="00581B73" w:rsidP="00786E64">
      <w:pPr>
        <w:rPr>
          <w:b/>
        </w:rPr>
      </w:pPr>
    </w:p>
    <w:p w14:paraId="79DD4F75" w14:textId="5BF46268" w:rsidR="00ED0B2C" w:rsidRPr="00551A44" w:rsidRDefault="00ED0B2C" w:rsidP="00ED0B2C">
      <w:pPr>
        <w:jc w:val="both"/>
        <w:rPr>
          <w:vertAlign w:val="superscript"/>
        </w:rPr>
      </w:pPr>
      <w:r>
        <w:rPr>
          <w:b/>
        </w:rPr>
        <w:t>Authors:</w:t>
      </w:r>
      <w:r>
        <w:t xml:space="preserve"> Finn </w:t>
      </w:r>
      <w:proofErr w:type="spellStart"/>
      <w:r>
        <w:t>McGuire</w:t>
      </w:r>
      <w:r w:rsidR="007E3F00">
        <w:rPr>
          <w:vertAlign w:val="superscript"/>
        </w:rPr>
        <w:t>ab</w:t>
      </w:r>
      <w:proofErr w:type="spellEnd"/>
      <w:r>
        <w:t xml:space="preserve">, Megha </w:t>
      </w:r>
      <w:proofErr w:type="spellStart"/>
      <w:r>
        <w:t>Rao</w:t>
      </w:r>
      <w:r w:rsidR="007E3F00">
        <w:rPr>
          <w:vertAlign w:val="superscript"/>
        </w:rPr>
        <w:t>a</w:t>
      </w:r>
      <w:proofErr w:type="spellEnd"/>
      <w:r>
        <w:t xml:space="preserve">, Simon </w:t>
      </w:r>
      <w:proofErr w:type="spellStart"/>
      <w:r>
        <w:t>Walker</w:t>
      </w:r>
      <w:r w:rsidR="007E3F00">
        <w:rPr>
          <w:vertAlign w:val="superscript"/>
        </w:rPr>
        <w:t>a</w:t>
      </w:r>
      <w:proofErr w:type="spellEnd"/>
      <w:r>
        <w:t xml:space="preserve">, Bruno </w:t>
      </w:r>
      <w:proofErr w:type="spellStart"/>
      <w:r>
        <w:t>Meessen</w:t>
      </w:r>
      <w:r w:rsidR="007E3F00">
        <w:rPr>
          <w:vertAlign w:val="superscript"/>
        </w:rPr>
        <w:t>c</w:t>
      </w:r>
      <w:proofErr w:type="spellEnd"/>
      <w:r>
        <w:t xml:space="preserve">, Juliet </w:t>
      </w:r>
      <w:proofErr w:type="spellStart"/>
      <w:r>
        <w:t>Nabyonga</w:t>
      </w:r>
      <w:proofErr w:type="spellEnd"/>
      <w:r>
        <w:t>-Orem</w:t>
      </w:r>
      <w:r w:rsidR="007E3F00">
        <w:rPr>
          <w:vertAlign w:val="superscript"/>
        </w:rPr>
        <w:t>d</w:t>
      </w:r>
      <w:r>
        <w:t xml:space="preserve">, Gibril </w:t>
      </w:r>
      <w:proofErr w:type="spellStart"/>
      <w:r>
        <w:t>Jarjue</w:t>
      </w:r>
      <w:r w:rsidR="007E3F00">
        <w:rPr>
          <w:vertAlign w:val="superscript"/>
        </w:rPr>
        <w:t>e</w:t>
      </w:r>
      <w:proofErr w:type="spellEnd"/>
      <w:r>
        <w:t xml:space="preserve">, Ntombifuthi </w:t>
      </w:r>
      <w:proofErr w:type="spellStart"/>
      <w:r>
        <w:t>Ginindza</w:t>
      </w:r>
      <w:r w:rsidR="007E3F00">
        <w:rPr>
          <w:vertAlign w:val="superscript"/>
        </w:rPr>
        <w:t>f</w:t>
      </w:r>
      <w:proofErr w:type="spellEnd"/>
      <w:r>
        <w:t xml:space="preserve">, Emmanuel </w:t>
      </w:r>
      <w:proofErr w:type="spellStart"/>
      <w:r>
        <w:t>Odame</w:t>
      </w:r>
      <w:r w:rsidR="007E3F00">
        <w:rPr>
          <w:vertAlign w:val="superscript"/>
        </w:rPr>
        <w:t>g</w:t>
      </w:r>
      <w:proofErr w:type="spellEnd"/>
      <w:r>
        <w:t>,</w:t>
      </w:r>
      <w:r>
        <w:rPr>
          <w:vertAlign w:val="superscript"/>
        </w:rPr>
        <w:t xml:space="preserve"> </w:t>
      </w:r>
      <w:r>
        <w:t xml:space="preserve">Simon </w:t>
      </w:r>
      <w:proofErr w:type="spellStart"/>
      <w:r>
        <w:t>Bland</w:t>
      </w:r>
      <w:r w:rsidR="007E3F00">
        <w:rPr>
          <w:vertAlign w:val="superscript"/>
        </w:rPr>
        <w:t>h</w:t>
      </w:r>
      <w:proofErr w:type="spellEnd"/>
      <w:r>
        <w:t xml:space="preserve">, Anna </w:t>
      </w:r>
      <w:proofErr w:type="spellStart"/>
      <w:r>
        <w:t>Bershteyn</w:t>
      </w:r>
      <w:r w:rsidR="007E3F00">
        <w:rPr>
          <w:vertAlign w:val="superscript"/>
        </w:rPr>
        <w:t>i</w:t>
      </w:r>
      <w:proofErr w:type="spellEnd"/>
      <w:r>
        <w:t>, Paul Revill</w:t>
      </w:r>
      <w:r w:rsidR="007E3F00">
        <w:rPr>
          <w:vertAlign w:val="superscript"/>
        </w:rPr>
        <w:t>a</w:t>
      </w:r>
    </w:p>
    <w:p w14:paraId="3A3E2292" w14:textId="77777777" w:rsidR="00ED0B2C" w:rsidRDefault="00ED0B2C" w:rsidP="00ED0B2C"/>
    <w:p w14:paraId="7CC0FBD9" w14:textId="514CCE2D" w:rsidR="00ED0B2C" w:rsidRDefault="007E3F00" w:rsidP="00ED0B2C">
      <w:pPr>
        <w:ind w:left="2160"/>
      </w:pPr>
      <w:r>
        <w:rPr>
          <w:vertAlign w:val="superscript"/>
        </w:rPr>
        <w:t>a</w:t>
      </w:r>
      <w:r w:rsidR="00ED0B2C">
        <w:rPr>
          <w:vertAlign w:val="superscript"/>
        </w:rPr>
        <w:t xml:space="preserve"> </w:t>
      </w:r>
      <w:r w:rsidR="00ED0B2C">
        <w:t>Centre for Health Economics, University of York</w:t>
      </w:r>
    </w:p>
    <w:p w14:paraId="128AB89C" w14:textId="15F7CFAC" w:rsidR="00ED0B2C" w:rsidRPr="00B654C8" w:rsidRDefault="007E3F00" w:rsidP="00ED0B2C">
      <w:pPr>
        <w:ind w:left="2160"/>
      </w:pPr>
      <w:r>
        <w:rPr>
          <w:rFonts w:cstheme="minorHAnsi"/>
          <w:u w:color="353535"/>
          <w:vertAlign w:val="superscript"/>
        </w:rPr>
        <w:t>b</w:t>
      </w:r>
      <w:r w:rsidR="00ED0B2C">
        <w:rPr>
          <w:rFonts w:cstheme="minorHAnsi"/>
          <w:u w:color="353535"/>
        </w:rPr>
        <w:t xml:space="preserve"> East, Central and Southern African Health Community, Tanzania</w:t>
      </w:r>
    </w:p>
    <w:p w14:paraId="6ED8E70D" w14:textId="485E04CC" w:rsidR="00ED0B2C" w:rsidRDefault="007E3F00" w:rsidP="00ED0B2C">
      <w:pPr>
        <w:ind w:left="2160"/>
        <w:rPr>
          <w:rFonts w:cstheme="minorHAnsi"/>
          <w:u w:color="353535"/>
        </w:rPr>
      </w:pPr>
      <w:r>
        <w:rPr>
          <w:rFonts w:cstheme="minorHAnsi"/>
          <w:u w:color="353535"/>
          <w:vertAlign w:val="superscript"/>
        </w:rPr>
        <w:t>c</w:t>
      </w:r>
      <w:r w:rsidR="00ED0B2C" w:rsidRPr="004716E8">
        <w:rPr>
          <w:rFonts w:cstheme="minorHAnsi"/>
          <w:u w:color="353535"/>
        </w:rPr>
        <w:t xml:space="preserve"> </w:t>
      </w:r>
      <w:r w:rsidR="00ED0B2C">
        <w:rPr>
          <w:rFonts w:cstheme="minorHAnsi"/>
          <w:u w:color="353535"/>
        </w:rPr>
        <w:t xml:space="preserve">Health Financing and Economics Department, </w:t>
      </w:r>
      <w:r>
        <w:rPr>
          <w:rFonts w:cstheme="minorHAnsi"/>
          <w:u w:color="353535"/>
        </w:rPr>
        <w:t>World</w:t>
      </w:r>
      <w:r w:rsidR="00ED0B2C">
        <w:rPr>
          <w:rFonts w:cstheme="minorHAnsi"/>
          <w:u w:color="353535"/>
        </w:rPr>
        <w:t xml:space="preserve"> Health Organisation, Geneva</w:t>
      </w:r>
    </w:p>
    <w:p w14:paraId="1224C846" w14:textId="75EC4B9C" w:rsidR="00ED0B2C" w:rsidRPr="004716E8" w:rsidRDefault="007E3F00" w:rsidP="00ED0B2C">
      <w:pPr>
        <w:ind w:left="2160"/>
        <w:rPr>
          <w:rFonts w:cstheme="minorHAnsi"/>
          <w:u w:color="353535"/>
        </w:rPr>
      </w:pPr>
      <w:r>
        <w:rPr>
          <w:rFonts w:cstheme="minorHAnsi"/>
          <w:u w:color="353535"/>
          <w:vertAlign w:val="superscript"/>
        </w:rPr>
        <w:t>d</w:t>
      </w:r>
      <w:r w:rsidR="00ED0B2C">
        <w:rPr>
          <w:rFonts w:cstheme="minorHAnsi"/>
          <w:u w:color="353535"/>
          <w:vertAlign w:val="superscript"/>
        </w:rPr>
        <w:t xml:space="preserve"> </w:t>
      </w:r>
      <w:r w:rsidR="00ED0B2C" w:rsidRPr="004716E8">
        <w:rPr>
          <w:rFonts w:cstheme="minorHAnsi"/>
          <w:u w:color="353535"/>
        </w:rPr>
        <w:t xml:space="preserve">World Health Organisation, </w:t>
      </w:r>
      <w:r>
        <w:rPr>
          <w:rFonts w:cstheme="minorHAnsi"/>
          <w:u w:color="353535"/>
        </w:rPr>
        <w:t>Namibia</w:t>
      </w:r>
    </w:p>
    <w:p w14:paraId="03F43A8F" w14:textId="30D3F0D2" w:rsidR="00ED0B2C" w:rsidRPr="0036269C" w:rsidRDefault="007E3F00" w:rsidP="00ED0B2C">
      <w:pPr>
        <w:ind w:left="2160"/>
        <w:rPr>
          <w:rFonts w:cstheme="minorHAnsi"/>
          <w:u w:color="353535"/>
        </w:rPr>
      </w:pPr>
      <w:r>
        <w:rPr>
          <w:rFonts w:cstheme="minorHAnsi"/>
          <w:u w:color="353535"/>
          <w:vertAlign w:val="superscript"/>
        </w:rPr>
        <w:t xml:space="preserve">e </w:t>
      </w:r>
      <w:r w:rsidR="00ED0B2C">
        <w:rPr>
          <w:rFonts w:cstheme="minorHAnsi"/>
          <w:u w:color="353535"/>
        </w:rPr>
        <w:t>Ministry of Health, The Gambia</w:t>
      </w:r>
    </w:p>
    <w:p w14:paraId="4B772EA1" w14:textId="69E9C072" w:rsidR="00ED0B2C" w:rsidRDefault="007E3F00" w:rsidP="00ED0B2C">
      <w:pPr>
        <w:ind w:left="2160"/>
        <w:rPr>
          <w:rFonts w:cstheme="minorHAnsi"/>
          <w:u w:color="353535"/>
        </w:rPr>
      </w:pPr>
      <w:r>
        <w:rPr>
          <w:rFonts w:cstheme="minorHAnsi"/>
          <w:u w:color="353535"/>
          <w:vertAlign w:val="superscript"/>
        </w:rPr>
        <w:t>f</w:t>
      </w:r>
      <w:r w:rsidR="00ED0B2C">
        <w:rPr>
          <w:rFonts w:cstheme="minorHAnsi"/>
          <w:u w:color="353535"/>
          <w:vertAlign w:val="superscript"/>
        </w:rPr>
        <w:t xml:space="preserve"> </w:t>
      </w:r>
      <w:r w:rsidR="00ED0B2C">
        <w:rPr>
          <w:rFonts w:cstheme="minorHAnsi"/>
          <w:u w:color="353535"/>
        </w:rPr>
        <w:t>Ministry of Health, Eswatini</w:t>
      </w:r>
    </w:p>
    <w:p w14:paraId="3644B68C" w14:textId="66CE47B3" w:rsidR="00ED0B2C" w:rsidRDefault="007E3F00" w:rsidP="00ED0B2C">
      <w:pPr>
        <w:ind w:left="2160"/>
        <w:rPr>
          <w:rFonts w:cstheme="minorHAnsi"/>
          <w:u w:color="353535"/>
        </w:rPr>
      </w:pPr>
      <w:r>
        <w:rPr>
          <w:rFonts w:cstheme="minorHAnsi"/>
          <w:u w:color="353535"/>
          <w:vertAlign w:val="superscript"/>
        </w:rPr>
        <w:t>g</w:t>
      </w:r>
      <w:r w:rsidR="00ED0B2C">
        <w:rPr>
          <w:rFonts w:cstheme="minorHAnsi"/>
          <w:u w:color="353535"/>
          <w:vertAlign w:val="superscript"/>
        </w:rPr>
        <w:t xml:space="preserve"> </w:t>
      </w:r>
      <w:r w:rsidR="00ED0B2C">
        <w:rPr>
          <w:rFonts w:cstheme="minorHAnsi"/>
          <w:u w:color="353535"/>
        </w:rPr>
        <w:t>Korle-Bu Teaching Hospital, Ghana</w:t>
      </w:r>
    </w:p>
    <w:p w14:paraId="051BED75" w14:textId="5FB06FD7" w:rsidR="00ED0B2C" w:rsidRPr="00943025" w:rsidRDefault="007E3F00" w:rsidP="00ED0B2C">
      <w:pPr>
        <w:ind w:left="2160"/>
        <w:rPr>
          <w:rFonts w:cstheme="minorHAnsi"/>
          <w:u w:color="353535"/>
        </w:rPr>
      </w:pPr>
      <w:r>
        <w:rPr>
          <w:rFonts w:cstheme="minorHAnsi"/>
          <w:u w:color="353535"/>
          <w:vertAlign w:val="superscript"/>
        </w:rPr>
        <w:t>h</w:t>
      </w:r>
      <w:r w:rsidR="00ED0B2C">
        <w:rPr>
          <w:rFonts w:cstheme="minorHAnsi"/>
          <w:u w:color="353535"/>
        </w:rPr>
        <w:t xml:space="preserve"> Global Institute for Disease Elimination, Abu Dhabi</w:t>
      </w:r>
      <w:r w:rsidR="00F7782D">
        <w:rPr>
          <w:rFonts w:cstheme="minorHAnsi"/>
          <w:u w:color="353535"/>
        </w:rPr>
        <w:t xml:space="preserve">, United Arab </w:t>
      </w:r>
      <w:proofErr w:type="spellStart"/>
      <w:r w:rsidR="00F7782D">
        <w:rPr>
          <w:rFonts w:cstheme="minorHAnsi"/>
          <w:u w:color="353535"/>
        </w:rPr>
        <w:t>Emitares</w:t>
      </w:r>
      <w:proofErr w:type="spellEnd"/>
    </w:p>
    <w:p w14:paraId="01EA46E3" w14:textId="61C98FFA" w:rsidR="007E3F00" w:rsidRPr="00F7782D" w:rsidRDefault="007E3F00" w:rsidP="00F7782D">
      <w:pPr>
        <w:ind w:left="2160"/>
        <w:rPr>
          <w:rFonts w:cstheme="minorHAnsi"/>
          <w:u w:color="353535"/>
        </w:rPr>
      </w:pPr>
      <w:proofErr w:type="spellStart"/>
      <w:r>
        <w:rPr>
          <w:rFonts w:cstheme="minorHAnsi"/>
          <w:u w:color="353535"/>
          <w:vertAlign w:val="superscript"/>
        </w:rPr>
        <w:t>i</w:t>
      </w:r>
      <w:proofErr w:type="spellEnd"/>
      <w:r w:rsidR="00ED0B2C">
        <w:rPr>
          <w:rFonts w:cstheme="minorHAnsi"/>
          <w:u w:color="353535"/>
          <w:vertAlign w:val="superscript"/>
        </w:rPr>
        <w:t xml:space="preserve"> </w:t>
      </w:r>
      <w:r w:rsidR="00ED0B2C">
        <w:rPr>
          <w:rFonts w:cstheme="minorHAnsi"/>
          <w:u w:color="353535"/>
        </w:rPr>
        <w:t>Department of Population Health, New York University</w:t>
      </w:r>
      <w:r>
        <w:rPr>
          <w:rFonts w:cstheme="minorHAnsi"/>
          <w:u w:color="353535"/>
        </w:rPr>
        <w:t>, United States of America</w:t>
      </w:r>
    </w:p>
    <w:p w14:paraId="51D6AC43" w14:textId="77777777" w:rsidR="007E3F00" w:rsidRDefault="007E3F00" w:rsidP="00ED0B2C"/>
    <w:p w14:paraId="3B2ACD45" w14:textId="77777777" w:rsidR="00ED0B2C" w:rsidRPr="008B073E" w:rsidRDefault="00ED0B2C" w:rsidP="00ED0B2C">
      <w:pPr>
        <w:rPr>
          <w:b/>
          <w:bCs/>
        </w:rPr>
      </w:pPr>
      <w:r w:rsidRPr="008B073E">
        <w:rPr>
          <w:b/>
          <w:bCs/>
        </w:rPr>
        <w:t>Corresponding author</w:t>
      </w:r>
    </w:p>
    <w:p w14:paraId="7411A0E9" w14:textId="77777777" w:rsidR="00ED0B2C" w:rsidRDefault="00ED0B2C" w:rsidP="00ED0B2C">
      <w:r>
        <w:t xml:space="preserve">Correspondence to Finn McGuire – </w:t>
      </w:r>
      <w:hyperlink r:id="rId8" w:history="1">
        <w:r w:rsidRPr="00E53999">
          <w:rPr>
            <w:rStyle w:val="Hyperlink"/>
          </w:rPr>
          <w:t>finn.mcguire@york.ac.uk</w:t>
        </w:r>
      </w:hyperlink>
      <w:r>
        <w:t xml:space="preserve"> </w:t>
      </w:r>
    </w:p>
    <w:p w14:paraId="63570A78" w14:textId="77777777" w:rsidR="00ED0B2C" w:rsidRDefault="00ED0B2C" w:rsidP="00ED0B2C"/>
    <w:p w14:paraId="1D399927" w14:textId="77777777" w:rsidR="00ED0B2C" w:rsidRPr="008B073E" w:rsidRDefault="00ED0B2C" w:rsidP="00ED0B2C">
      <w:pPr>
        <w:rPr>
          <w:b/>
          <w:bCs/>
        </w:rPr>
      </w:pPr>
      <w:r>
        <w:rPr>
          <w:b/>
          <w:bCs/>
        </w:rPr>
        <w:t>Declaration of</w:t>
      </w:r>
      <w:r w:rsidRPr="008B073E">
        <w:rPr>
          <w:b/>
          <w:bCs/>
        </w:rPr>
        <w:t xml:space="preserve"> interests</w:t>
      </w:r>
    </w:p>
    <w:p w14:paraId="45B534CD" w14:textId="77777777" w:rsidR="00ED0B2C" w:rsidRDefault="00ED0B2C" w:rsidP="00ED0B2C">
      <w:r>
        <w:t>Declarations of interest: none</w:t>
      </w:r>
    </w:p>
    <w:p w14:paraId="53B768D3" w14:textId="77777777" w:rsidR="00ED0B2C" w:rsidRDefault="00ED0B2C" w:rsidP="00ED0B2C"/>
    <w:p w14:paraId="3E3D4403" w14:textId="77777777" w:rsidR="00ED0B2C" w:rsidRPr="008B073E" w:rsidRDefault="00ED0B2C" w:rsidP="00ED0B2C">
      <w:pPr>
        <w:rPr>
          <w:b/>
          <w:bCs/>
        </w:rPr>
      </w:pPr>
      <w:r w:rsidRPr="008B073E">
        <w:rPr>
          <w:b/>
          <w:bCs/>
        </w:rPr>
        <w:t>Data availability</w:t>
      </w:r>
    </w:p>
    <w:p w14:paraId="4F670D5E" w14:textId="77777777" w:rsidR="00ED0B2C" w:rsidRDefault="00ED0B2C" w:rsidP="00ED0B2C">
      <w:r>
        <w:t>All data available upon request</w:t>
      </w:r>
    </w:p>
    <w:p w14:paraId="3F78A6AA" w14:textId="77777777" w:rsidR="00ED0B2C" w:rsidRDefault="00ED0B2C" w:rsidP="00ED0B2C"/>
    <w:p w14:paraId="129EA798" w14:textId="77777777" w:rsidR="00ED0B2C" w:rsidRPr="008B073E" w:rsidRDefault="00ED0B2C" w:rsidP="00ED0B2C">
      <w:pPr>
        <w:rPr>
          <w:b/>
          <w:bCs/>
        </w:rPr>
      </w:pPr>
      <w:r w:rsidRPr="008B073E">
        <w:rPr>
          <w:b/>
          <w:bCs/>
        </w:rPr>
        <w:t>Code availability</w:t>
      </w:r>
    </w:p>
    <w:p w14:paraId="6B9031E8" w14:textId="77777777" w:rsidR="00ED0B2C" w:rsidRDefault="00ED0B2C" w:rsidP="00ED0B2C">
      <w:r>
        <w:t>All code available upon request</w:t>
      </w:r>
    </w:p>
    <w:p w14:paraId="15D77A42" w14:textId="77777777" w:rsidR="00ED0B2C" w:rsidRDefault="00ED0B2C" w:rsidP="00ED0B2C"/>
    <w:p w14:paraId="0679FBE3" w14:textId="77777777" w:rsidR="00ED0B2C" w:rsidRPr="008B073E" w:rsidRDefault="00ED0B2C" w:rsidP="00ED0B2C">
      <w:pPr>
        <w:rPr>
          <w:b/>
          <w:bCs/>
        </w:rPr>
      </w:pPr>
      <w:r w:rsidRPr="008B073E">
        <w:rPr>
          <w:b/>
          <w:bCs/>
        </w:rPr>
        <w:t>Funding</w:t>
      </w:r>
    </w:p>
    <w:p w14:paraId="10C0F900" w14:textId="77777777" w:rsidR="00ED0B2C" w:rsidRDefault="00ED0B2C" w:rsidP="00ED0B2C">
      <w:pPr>
        <w:jc w:val="both"/>
      </w:pPr>
      <w:r>
        <w:t>This study was funded by the Global Institute for Disease Elimination (</w:t>
      </w:r>
      <w:proofErr w:type="spellStart"/>
      <w:r>
        <w:t>Thanzi</w:t>
      </w:r>
      <w:proofErr w:type="spellEnd"/>
      <w:r>
        <w:t xml:space="preserve"> </w:t>
      </w:r>
      <w:proofErr w:type="spellStart"/>
      <w:r>
        <w:t>Labwino</w:t>
      </w:r>
      <w:proofErr w:type="spellEnd"/>
      <w:r>
        <w:t xml:space="preserve"> project).</w:t>
      </w:r>
    </w:p>
    <w:p w14:paraId="490CCC58" w14:textId="77777777" w:rsidR="002D09C8" w:rsidRDefault="002D09C8" w:rsidP="00ED0B2C">
      <w:pPr>
        <w:jc w:val="both"/>
      </w:pPr>
    </w:p>
    <w:p w14:paraId="6FBBE3FC" w14:textId="77777777" w:rsidR="002D09C8" w:rsidRPr="002D09C8" w:rsidRDefault="002D09C8" w:rsidP="00ED0B2C">
      <w:pPr>
        <w:jc w:val="both"/>
        <w:rPr>
          <w:b/>
          <w:bCs/>
        </w:rPr>
      </w:pPr>
      <w:r w:rsidRPr="002D09C8">
        <w:rPr>
          <w:b/>
          <w:bCs/>
        </w:rPr>
        <w:t xml:space="preserve">Author statement </w:t>
      </w:r>
    </w:p>
    <w:p w14:paraId="502CA410" w14:textId="7E431CFC" w:rsidR="002D09C8" w:rsidRDefault="002D09C8" w:rsidP="00ED0B2C">
      <w:pPr>
        <w:jc w:val="both"/>
      </w:pPr>
      <w:r>
        <w:t>The authors are themselves alone responsible for the views expressed in this article, which do not necessarily represent the views, decisions or policies of their agency.</w:t>
      </w:r>
    </w:p>
    <w:p w14:paraId="4B3F19E3" w14:textId="77777777" w:rsidR="00786E64" w:rsidRDefault="00786E64" w:rsidP="0036536B">
      <w:pPr>
        <w:rPr>
          <w:b/>
        </w:rPr>
      </w:pPr>
    </w:p>
    <w:p w14:paraId="47FA34E5" w14:textId="0180CD91" w:rsidR="002D5633" w:rsidRPr="002D5633" w:rsidRDefault="002D5633" w:rsidP="002D5633">
      <w:pPr>
        <w:rPr>
          <w:b/>
          <w:bCs/>
        </w:rPr>
      </w:pPr>
      <w:r w:rsidRPr="00404880">
        <w:rPr>
          <w:b/>
          <w:bCs/>
        </w:rPr>
        <w:t>Keywords</w:t>
      </w:r>
    </w:p>
    <w:p w14:paraId="6D85D6B2" w14:textId="0EBF73C9" w:rsidR="007E3F00" w:rsidRPr="00F7782D" w:rsidRDefault="002D5633" w:rsidP="00F7782D">
      <w:r>
        <w:t>Health system vulnerability; health system resilience, small and island states, UHC</w:t>
      </w:r>
    </w:p>
    <w:p w14:paraId="3F434C7A" w14:textId="77777777" w:rsidR="00F7782D" w:rsidRDefault="00F7782D" w:rsidP="00FF2D12">
      <w:pPr>
        <w:jc w:val="center"/>
        <w:rPr>
          <w:b/>
          <w:bCs/>
        </w:rPr>
      </w:pPr>
    </w:p>
    <w:p w14:paraId="05739C8D" w14:textId="0CA55F3D" w:rsidR="00FF2D12" w:rsidRPr="00FF2D12" w:rsidRDefault="00786E64" w:rsidP="00FF2D12">
      <w:pPr>
        <w:jc w:val="center"/>
        <w:rPr>
          <w:b/>
          <w:bCs/>
        </w:rPr>
      </w:pPr>
      <w:r>
        <w:rPr>
          <w:b/>
          <w:bCs/>
        </w:rPr>
        <w:lastRenderedPageBreak/>
        <w:t>Abstract</w:t>
      </w:r>
    </w:p>
    <w:p w14:paraId="6B7FEEA6" w14:textId="7A7A869F" w:rsidR="00FF2D12" w:rsidRDefault="00FF2D12" w:rsidP="00786E64">
      <w:pPr>
        <w:jc w:val="both"/>
      </w:pPr>
    </w:p>
    <w:p w14:paraId="04A443DE" w14:textId="77777777" w:rsidR="000465A2" w:rsidRDefault="000465A2" w:rsidP="000465A2">
      <w:pPr>
        <w:jc w:val="both"/>
        <w:rPr>
          <w:rFonts w:cs="Arial"/>
          <w:color w:val="222222"/>
          <w:shd w:val="clear" w:color="auto" w:fill="FFFFFF"/>
        </w:rPr>
      </w:pPr>
      <w:r w:rsidRPr="00FF2D12">
        <w:rPr>
          <w:rFonts w:cs="Arial"/>
          <w:b/>
          <w:bCs/>
          <w:color w:val="222222"/>
          <w:shd w:val="clear" w:color="auto" w:fill="FFFFFF"/>
        </w:rPr>
        <w:t>Background</w:t>
      </w:r>
    </w:p>
    <w:p w14:paraId="2CCC5C77" w14:textId="7068E13C" w:rsidR="000465A2" w:rsidRDefault="000465A2" w:rsidP="000465A2">
      <w:pPr>
        <w:jc w:val="both"/>
      </w:pPr>
      <w:r>
        <w:t>While health system vulnerability and resilience are gaining traction among even the best-performing health systems in high-income countries, low-income countries have been concerned with such issues for some time. Small and island states  grapple with substantial challenges, including being uniquely vulnerable to exogeneous shocks including climate disasters and economic shocks, which impact health system functionality and population health. As shocks are increasing in frequency and severity, S&amp;IS may provide lessons applicable to high-income health systems.</w:t>
      </w:r>
    </w:p>
    <w:p w14:paraId="3703F947" w14:textId="77777777" w:rsidR="000465A2" w:rsidRDefault="000465A2" w:rsidP="000465A2">
      <w:pPr>
        <w:jc w:val="both"/>
        <w:rPr>
          <w:rFonts w:cs="Arial"/>
          <w:color w:val="222222"/>
          <w:shd w:val="clear" w:color="auto" w:fill="FFFFFF"/>
        </w:rPr>
      </w:pPr>
    </w:p>
    <w:p w14:paraId="2E7EED8A" w14:textId="77777777" w:rsidR="000465A2" w:rsidRDefault="000465A2" w:rsidP="000465A2">
      <w:pPr>
        <w:jc w:val="both"/>
        <w:rPr>
          <w:rFonts w:cs="Arial"/>
          <w:color w:val="222222"/>
          <w:shd w:val="clear" w:color="auto" w:fill="FFFFFF"/>
        </w:rPr>
      </w:pPr>
      <w:r w:rsidRPr="00FF2D12">
        <w:rPr>
          <w:rFonts w:cs="Arial"/>
          <w:b/>
          <w:bCs/>
          <w:color w:val="222222"/>
          <w:shd w:val="clear" w:color="auto" w:fill="FFFFFF"/>
        </w:rPr>
        <w:t>Objective</w:t>
      </w:r>
    </w:p>
    <w:p w14:paraId="566B8B51" w14:textId="77777777" w:rsidR="000465A2" w:rsidRDefault="000465A2" w:rsidP="000465A2">
      <w:pPr>
        <w:jc w:val="both"/>
      </w:pPr>
      <w:r>
        <w:t>We investigate health system performance and resilience in fourteen African small and island states. Acknowledging the distinction between health system performance and resilience, we assess whether these states experience greater vulnerabilities compared to other African countries. We then examine if this heightened vulnerability has led these states to prioritise strengthening their health system resilience.</w:t>
      </w:r>
    </w:p>
    <w:p w14:paraId="1F773AFA" w14:textId="77777777" w:rsidR="000465A2" w:rsidRDefault="000465A2" w:rsidP="000465A2">
      <w:pPr>
        <w:jc w:val="both"/>
        <w:rPr>
          <w:rFonts w:cs="Arial"/>
          <w:color w:val="222222"/>
          <w:shd w:val="clear" w:color="auto" w:fill="FFFFFF"/>
        </w:rPr>
      </w:pPr>
    </w:p>
    <w:p w14:paraId="3C1E5DDD" w14:textId="77777777" w:rsidR="000465A2" w:rsidRDefault="000465A2" w:rsidP="000465A2">
      <w:pPr>
        <w:jc w:val="both"/>
        <w:rPr>
          <w:rFonts w:cs="Arial"/>
          <w:color w:val="222222"/>
          <w:shd w:val="clear" w:color="auto" w:fill="FFFFFF"/>
        </w:rPr>
      </w:pPr>
      <w:r w:rsidRPr="00FF2D12">
        <w:rPr>
          <w:rFonts w:cs="Arial"/>
          <w:b/>
          <w:bCs/>
          <w:color w:val="222222"/>
          <w:shd w:val="clear" w:color="auto" w:fill="FFFFFF"/>
        </w:rPr>
        <w:t>Methods</w:t>
      </w:r>
    </w:p>
    <w:p w14:paraId="7403C757" w14:textId="77777777" w:rsidR="000465A2" w:rsidRDefault="000465A2" w:rsidP="000465A2">
      <w:pPr>
        <w:jc w:val="both"/>
        <w:rPr>
          <w:rFonts w:cs="Arial"/>
          <w:color w:val="222222"/>
          <w:shd w:val="clear" w:color="auto" w:fill="FFFFFF"/>
        </w:rPr>
      </w:pPr>
      <w:r>
        <w:rPr>
          <w:rFonts w:cs="Arial"/>
          <w:color w:val="222222"/>
          <w:shd w:val="clear" w:color="auto" w:fill="FFFFFF"/>
        </w:rPr>
        <w:t>We undertake a quantitative cross-country analysis of health system vulnerabilities and resilience. We explore the bivariate correlations between measures of country-level vulnerability, various measures of health system performance and health system resilience.</w:t>
      </w:r>
    </w:p>
    <w:p w14:paraId="50034F90" w14:textId="77777777" w:rsidR="000465A2" w:rsidRDefault="000465A2" w:rsidP="000465A2">
      <w:pPr>
        <w:jc w:val="both"/>
        <w:rPr>
          <w:rFonts w:cs="Arial"/>
          <w:color w:val="222222"/>
          <w:shd w:val="clear" w:color="auto" w:fill="FFFFFF"/>
        </w:rPr>
      </w:pPr>
    </w:p>
    <w:p w14:paraId="2A102400" w14:textId="77777777" w:rsidR="000465A2" w:rsidRDefault="000465A2" w:rsidP="000465A2">
      <w:pPr>
        <w:jc w:val="both"/>
        <w:rPr>
          <w:rFonts w:cs="Arial"/>
          <w:color w:val="222222"/>
          <w:shd w:val="clear" w:color="auto" w:fill="FFFFFF"/>
        </w:rPr>
      </w:pPr>
      <w:r w:rsidRPr="00FF2D12">
        <w:rPr>
          <w:rFonts w:cs="Arial"/>
          <w:b/>
          <w:bCs/>
          <w:color w:val="222222"/>
          <w:shd w:val="clear" w:color="auto" w:fill="FFFFFF"/>
        </w:rPr>
        <w:t>Results</w:t>
      </w:r>
      <w:r>
        <w:rPr>
          <w:rFonts w:cs="Arial"/>
          <w:color w:val="222222"/>
          <w:shd w:val="clear" w:color="auto" w:fill="FFFFFF"/>
        </w:rPr>
        <w:t xml:space="preserve"> </w:t>
      </w:r>
    </w:p>
    <w:p w14:paraId="4841E1ED" w14:textId="77777777" w:rsidR="000465A2" w:rsidRDefault="000465A2" w:rsidP="000465A2">
      <w:pPr>
        <w:jc w:val="both"/>
      </w:pPr>
      <w:r>
        <w:t>While African S&amp;IS exhibit strong health system performance, they are disproportionately exposed to exogeneous shocks. Despite this, African S&amp;IS have less resilient health systems compared to their larger, less vulnerable counterparts. This underscores the importance of distinguishing between health system performance and resilience.</w:t>
      </w:r>
    </w:p>
    <w:p w14:paraId="22851758" w14:textId="77777777" w:rsidR="000465A2" w:rsidRDefault="000465A2" w:rsidP="000465A2">
      <w:pPr>
        <w:jc w:val="both"/>
        <w:rPr>
          <w:rFonts w:cs="Arial"/>
          <w:color w:val="222222"/>
          <w:shd w:val="clear" w:color="auto" w:fill="FFFFFF"/>
        </w:rPr>
      </w:pPr>
    </w:p>
    <w:p w14:paraId="66DD4111" w14:textId="77777777" w:rsidR="000465A2" w:rsidRPr="00FF2D12" w:rsidRDefault="000465A2" w:rsidP="000465A2">
      <w:pPr>
        <w:jc w:val="both"/>
      </w:pPr>
      <w:r w:rsidRPr="00FF2D12">
        <w:rPr>
          <w:rFonts w:cs="Arial"/>
          <w:b/>
          <w:bCs/>
          <w:color w:val="222222"/>
          <w:shd w:val="clear" w:color="auto" w:fill="FFFFFF"/>
        </w:rPr>
        <w:t>Conclusions</w:t>
      </w:r>
    </w:p>
    <w:p w14:paraId="5116088F" w14:textId="60B2CB29" w:rsidR="000465A2" w:rsidRDefault="000465A2" w:rsidP="000465A2">
      <w:pPr>
        <w:jc w:val="both"/>
      </w:pPr>
      <w:r>
        <w:t>This suggests a potential policy failure if African S&amp;IS are unaware of their level of risk exposure or have not enacted appropriate policies to counter these risks. Many health system vulnerabilities are dynamic, in the face of growing vulnerabilities, policy-makers must actively build health system resilience.</w:t>
      </w:r>
    </w:p>
    <w:p w14:paraId="2327F371" w14:textId="77777777" w:rsidR="00091DC3" w:rsidRDefault="00091DC3" w:rsidP="00786E64"/>
    <w:p w14:paraId="2F8CA3AB" w14:textId="77777777" w:rsidR="0053768C" w:rsidRDefault="0053768C" w:rsidP="00786E64"/>
    <w:p w14:paraId="7191C551" w14:textId="77777777" w:rsidR="0053768C" w:rsidRDefault="0053768C" w:rsidP="00786E64"/>
    <w:p w14:paraId="72212475" w14:textId="77777777" w:rsidR="0053768C" w:rsidRDefault="0053768C" w:rsidP="00786E64"/>
    <w:p w14:paraId="6CF48CB7" w14:textId="77777777" w:rsidR="0053768C" w:rsidRDefault="0053768C" w:rsidP="00786E64"/>
    <w:p w14:paraId="2DB3A279" w14:textId="77777777" w:rsidR="00404880" w:rsidRDefault="00404880" w:rsidP="00786E64"/>
    <w:p w14:paraId="4F7599DD" w14:textId="77777777" w:rsidR="002D09C8" w:rsidRDefault="002D09C8" w:rsidP="00786E64"/>
    <w:p w14:paraId="27DEDF14" w14:textId="77777777" w:rsidR="001B48C6" w:rsidRDefault="001B48C6" w:rsidP="00786E64"/>
    <w:p w14:paraId="03D6C76A" w14:textId="77777777" w:rsidR="001B48C6" w:rsidRDefault="001B48C6" w:rsidP="00786E64"/>
    <w:p w14:paraId="41CCA35F" w14:textId="77777777" w:rsidR="001B48C6" w:rsidRDefault="001B48C6" w:rsidP="00786E64"/>
    <w:p w14:paraId="5529BC81" w14:textId="77777777" w:rsidR="001B48C6" w:rsidRDefault="001B48C6" w:rsidP="00786E64"/>
    <w:p w14:paraId="74D03E09" w14:textId="77777777" w:rsidR="002D5633" w:rsidRDefault="002D5633" w:rsidP="00786E64"/>
    <w:tbl>
      <w:tblPr>
        <w:tblStyle w:val="TableGrid"/>
        <w:tblW w:w="0" w:type="auto"/>
        <w:tblLook w:val="04A0" w:firstRow="1" w:lastRow="0" w:firstColumn="1" w:lastColumn="0" w:noHBand="0" w:noVBand="1"/>
      </w:tblPr>
      <w:tblGrid>
        <w:gridCol w:w="9010"/>
      </w:tblGrid>
      <w:tr w:rsidR="00404880" w14:paraId="74FF035E" w14:textId="77777777" w:rsidTr="00404880">
        <w:tc>
          <w:tcPr>
            <w:tcW w:w="9010" w:type="dxa"/>
          </w:tcPr>
          <w:p w14:paraId="6F2A4535" w14:textId="77777777" w:rsidR="00404880" w:rsidRPr="00404880" w:rsidRDefault="00404880" w:rsidP="00404880">
            <w:pPr>
              <w:rPr>
                <w:b/>
                <w:bCs/>
              </w:rPr>
            </w:pPr>
            <w:r w:rsidRPr="00404880">
              <w:rPr>
                <w:b/>
                <w:bCs/>
              </w:rPr>
              <w:lastRenderedPageBreak/>
              <w:t>Research in Context</w:t>
            </w:r>
          </w:p>
          <w:p w14:paraId="2A43B633" w14:textId="77777777" w:rsidR="006B502B" w:rsidRDefault="006B502B" w:rsidP="006B502B">
            <w:pPr>
              <w:pStyle w:val="ListParagraph"/>
            </w:pPr>
          </w:p>
          <w:p w14:paraId="025C99D0" w14:textId="35D0E73C" w:rsidR="00404880" w:rsidRPr="006B502B" w:rsidRDefault="00B456A1" w:rsidP="00B456A1">
            <w:pPr>
              <w:pStyle w:val="ListParagraph"/>
              <w:numPr>
                <w:ilvl w:val="0"/>
                <w:numId w:val="15"/>
              </w:numPr>
              <w:rPr>
                <w:b/>
                <w:bCs/>
              </w:rPr>
            </w:pPr>
            <w:r w:rsidRPr="006B502B">
              <w:rPr>
                <w:b/>
                <w:bCs/>
              </w:rPr>
              <w:t>What is already known about the topic?</w:t>
            </w:r>
          </w:p>
          <w:p w14:paraId="37F2B224" w14:textId="2316BD8E" w:rsidR="00B456A1" w:rsidRDefault="005A00A7" w:rsidP="005A00A7">
            <w:pPr>
              <w:jc w:val="both"/>
            </w:pPr>
            <w:r>
              <w:t xml:space="preserve">Health systems globally face significant risks which can negatively impact health system functionality and </w:t>
            </w:r>
            <w:r w:rsidR="00D62579">
              <w:t xml:space="preserve">performance </w:t>
            </w:r>
            <w:r>
              <w:t xml:space="preserve">and ultimately population health. Certain countries have greater exposure to economic, environmental and social vulnerabilities. Recent global events have highlighted the importance of health system resilience as a concept. </w:t>
            </w:r>
          </w:p>
          <w:p w14:paraId="6513DB18" w14:textId="77777777" w:rsidR="00B456A1" w:rsidRDefault="00B456A1" w:rsidP="00B456A1"/>
          <w:p w14:paraId="4C41F1A1" w14:textId="55F9DDD4" w:rsidR="00B456A1" w:rsidRPr="006B502B" w:rsidRDefault="00B456A1" w:rsidP="00B456A1">
            <w:pPr>
              <w:pStyle w:val="ListParagraph"/>
              <w:numPr>
                <w:ilvl w:val="0"/>
                <w:numId w:val="15"/>
              </w:numPr>
              <w:rPr>
                <w:b/>
                <w:bCs/>
              </w:rPr>
            </w:pPr>
            <w:r w:rsidRPr="006B502B">
              <w:rPr>
                <w:b/>
                <w:bCs/>
              </w:rPr>
              <w:t>What does this study add to the literature?</w:t>
            </w:r>
          </w:p>
          <w:p w14:paraId="7B649674" w14:textId="46A73275" w:rsidR="00B456A1" w:rsidRDefault="005A00A7" w:rsidP="006B502B">
            <w:pPr>
              <w:jc w:val="both"/>
            </w:pPr>
            <w:r>
              <w:t>This study examines the concepts of vulnerability and resilience for country health systems in the context of small and island states. This country grouping is acknowledged as having structural vulnerabilities which m</w:t>
            </w:r>
            <w:r w:rsidR="006B502B">
              <w:t>ay negatively impact the sustainability of their health systems. The study examines whether high levels of vulnerability</w:t>
            </w:r>
            <w:r w:rsidR="00546DAF">
              <w:t xml:space="preserve"> compel</w:t>
            </w:r>
            <w:r w:rsidR="006B502B">
              <w:t xml:space="preserve"> countries </w:t>
            </w:r>
            <w:r w:rsidR="00B3002D">
              <w:t xml:space="preserve">to </w:t>
            </w:r>
            <w:r w:rsidR="006B502B">
              <w:t>build</w:t>
            </w:r>
            <w:r w:rsidR="00B3002D">
              <w:t xml:space="preserve"> health system</w:t>
            </w:r>
            <w:r w:rsidR="006B502B">
              <w:t xml:space="preserve"> resilience.</w:t>
            </w:r>
          </w:p>
          <w:p w14:paraId="06D49CCE" w14:textId="77777777" w:rsidR="00B456A1" w:rsidRDefault="00B456A1" w:rsidP="00B456A1"/>
          <w:p w14:paraId="2A34AEEB" w14:textId="53F8E9FB" w:rsidR="00B456A1" w:rsidRPr="006B502B" w:rsidRDefault="00B456A1" w:rsidP="00B456A1">
            <w:pPr>
              <w:pStyle w:val="ListParagraph"/>
              <w:numPr>
                <w:ilvl w:val="0"/>
                <w:numId w:val="15"/>
              </w:numPr>
              <w:rPr>
                <w:b/>
                <w:bCs/>
              </w:rPr>
            </w:pPr>
            <w:r w:rsidRPr="006B502B">
              <w:rPr>
                <w:b/>
                <w:bCs/>
              </w:rPr>
              <w:t>What are the policy implications?</w:t>
            </w:r>
          </w:p>
          <w:p w14:paraId="76429FF2" w14:textId="2EFC9C59" w:rsidR="00404880" w:rsidRDefault="004F01F2" w:rsidP="006B502B">
            <w:pPr>
              <w:jc w:val="both"/>
            </w:pPr>
            <w:r>
              <w:t>Even in contexts where countries face well-established structural vulnerabilities</w:t>
            </w:r>
            <w:r w:rsidR="005A00A7">
              <w:t xml:space="preserve">, this does not automatically result in </w:t>
            </w:r>
            <w:r w:rsidR="00A02FD5">
              <w:t>building health system resilience</w:t>
            </w:r>
            <w:r>
              <w:t>. Governments must prioritise building health system resilience commensurate to the level and types of vulnerabilities to which they are exposed</w:t>
            </w:r>
            <w:r w:rsidR="005A00A7">
              <w:t xml:space="preserve"> as an active policy-choice</w:t>
            </w:r>
            <w:r>
              <w:t>.</w:t>
            </w:r>
          </w:p>
        </w:tc>
      </w:tr>
    </w:tbl>
    <w:p w14:paraId="6AC92202" w14:textId="77777777" w:rsidR="00404880" w:rsidRDefault="00404880" w:rsidP="00786E64"/>
    <w:p w14:paraId="69B7E7B1" w14:textId="77777777" w:rsidR="00404880" w:rsidRDefault="00404880" w:rsidP="00786E64"/>
    <w:p w14:paraId="72418238" w14:textId="77777777" w:rsidR="00404880" w:rsidRDefault="00404880" w:rsidP="00786E64"/>
    <w:p w14:paraId="5DD96C34" w14:textId="77777777" w:rsidR="00404880" w:rsidRDefault="00404880" w:rsidP="00786E64"/>
    <w:p w14:paraId="4DA8529E" w14:textId="77777777" w:rsidR="00404880" w:rsidRDefault="00404880" w:rsidP="00786E64"/>
    <w:p w14:paraId="7AF34109" w14:textId="77777777" w:rsidR="0053768C" w:rsidRDefault="0053768C" w:rsidP="00786E64"/>
    <w:p w14:paraId="30412939" w14:textId="77777777" w:rsidR="0053768C" w:rsidRDefault="0053768C" w:rsidP="00786E64"/>
    <w:p w14:paraId="0257D0C4" w14:textId="77777777" w:rsidR="006B502B" w:rsidRDefault="006B502B" w:rsidP="00786E64"/>
    <w:p w14:paraId="10CF1F38" w14:textId="77777777" w:rsidR="006B502B" w:rsidRDefault="006B502B" w:rsidP="00786E64"/>
    <w:p w14:paraId="53515E79" w14:textId="77777777" w:rsidR="006B502B" w:rsidRDefault="006B502B" w:rsidP="00786E64"/>
    <w:p w14:paraId="30D73FAD" w14:textId="77777777" w:rsidR="006B502B" w:rsidRDefault="006B502B" w:rsidP="00786E64"/>
    <w:p w14:paraId="7A39383B" w14:textId="77777777" w:rsidR="006B502B" w:rsidRDefault="006B502B" w:rsidP="00786E64"/>
    <w:p w14:paraId="2CCA9765" w14:textId="77777777" w:rsidR="006B502B" w:rsidRDefault="006B502B" w:rsidP="00786E64"/>
    <w:p w14:paraId="7F6AD18A" w14:textId="77777777" w:rsidR="006B502B" w:rsidRDefault="006B502B" w:rsidP="00786E64"/>
    <w:p w14:paraId="0AE01043" w14:textId="77777777" w:rsidR="00191990" w:rsidRDefault="00191990" w:rsidP="00786E64"/>
    <w:p w14:paraId="2447DD97" w14:textId="77777777" w:rsidR="00191990" w:rsidRDefault="00191990" w:rsidP="00786E64"/>
    <w:p w14:paraId="288E5768" w14:textId="77777777" w:rsidR="00191990" w:rsidRDefault="00191990" w:rsidP="00786E64"/>
    <w:p w14:paraId="02411AD6" w14:textId="77777777" w:rsidR="00191990" w:rsidRDefault="00191990" w:rsidP="00786E64"/>
    <w:p w14:paraId="63B48669" w14:textId="77777777" w:rsidR="002D5633" w:rsidRDefault="002D5633" w:rsidP="00786E64"/>
    <w:p w14:paraId="3E46963C" w14:textId="77777777" w:rsidR="002D5633" w:rsidRDefault="002D5633" w:rsidP="00786E64"/>
    <w:p w14:paraId="1A95B1FF" w14:textId="77777777" w:rsidR="002D5633" w:rsidRDefault="002D5633" w:rsidP="00786E64"/>
    <w:p w14:paraId="7DA96365" w14:textId="77777777" w:rsidR="002D5633" w:rsidRDefault="002D5633" w:rsidP="00786E64"/>
    <w:p w14:paraId="4E7CEB28" w14:textId="77777777" w:rsidR="006B502B" w:rsidRDefault="006B502B" w:rsidP="00786E64"/>
    <w:p w14:paraId="56568603" w14:textId="77777777" w:rsidR="00312989" w:rsidRDefault="00312989" w:rsidP="00786E64"/>
    <w:p w14:paraId="183B3974" w14:textId="77777777" w:rsidR="00786E64" w:rsidRDefault="00786E64" w:rsidP="00794BCF"/>
    <w:p w14:paraId="3317DACD" w14:textId="77777777" w:rsidR="00786E64" w:rsidRDefault="00786E64" w:rsidP="00786E64">
      <w:pPr>
        <w:jc w:val="center"/>
      </w:pPr>
    </w:p>
    <w:p w14:paraId="3531C523" w14:textId="3C84C637" w:rsidR="00786E64" w:rsidRDefault="002C168E" w:rsidP="00786E64">
      <w:pPr>
        <w:pStyle w:val="ListParagraph"/>
        <w:numPr>
          <w:ilvl w:val="0"/>
          <w:numId w:val="1"/>
        </w:numPr>
        <w:rPr>
          <w:b/>
          <w:bCs/>
        </w:rPr>
      </w:pPr>
      <w:r>
        <w:rPr>
          <w:b/>
          <w:bCs/>
        </w:rPr>
        <w:lastRenderedPageBreak/>
        <w:t>Background</w:t>
      </w:r>
    </w:p>
    <w:p w14:paraId="5164A150" w14:textId="77777777" w:rsidR="00786E64" w:rsidRDefault="00786E64" w:rsidP="00786E64">
      <w:pPr>
        <w:rPr>
          <w:b/>
          <w:bCs/>
        </w:rPr>
      </w:pPr>
    </w:p>
    <w:p w14:paraId="73BC0364" w14:textId="1BE86F43" w:rsidR="00786E64" w:rsidRPr="0053768C" w:rsidRDefault="00786E64" w:rsidP="00D42695">
      <w:pPr>
        <w:spacing w:line="276" w:lineRule="auto"/>
        <w:jc w:val="both"/>
      </w:pPr>
      <w:r>
        <w:t>“In the context of development, being small poses substantial problems” (Collier, 2007).</w:t>
      </w:r>
    </w:p>
    <w:p w14:paraId="4446661F" w14:textId="77777777" w:rsidR="00786E64" w:rsidRDefault="00786E64" w:rsidP="00786E64">
      <w:pPr>
        <w:spacing w:line="276" w:lineRule="auto"/>
        <w:jc w:val="both"/>
      </w:pPr>
    </w:p>
    <w:p w14:paraId="2B3DB8E0" w14:textId="5FBE109D" w:rsidR="00075CEF" w:rsidRDefault="00BC58F3" w:rsidP="00786E64">
      <w:pPr>
        <w:spacing w:line="276" w:lineRule="auto"/>
        <w:jc w:val="both"/>
      </w:pPr>
      <w:r>
        <w:t xml:space="preserve">Small and island states (S&amp;IS) have been </w:t>
      </w:r>
      <w:r w:rsidR="009F368D">
        <w:t>noted</w:t>
      </w:r>
      <w:r>
        <w:t xml:space="preserve"> as facing</w:t>
      </w:r>
      <w:r w:rsidR="00A1616E">
        <w:t xml:space="preserve"> i</w:t>
      </w:r>
      <w:r w:rsidR="00786E64">
        <w:t>diosyncratic social, economic, and environmental vulnerabilities (Easterly &amp; Kraay, 2000; Collier &amp; Dollar, 1999)</w:t>
      </w:r>
      <w:r w:rsidR="00A83046">
        <w:rPr>
          <w:vertAlign w:val="superscript"/>
        </w:rPr>
        <w:t>1</w:t>
      </w:r>
      <w:r w:rsidR="00786E64">
        <w:t xml:space="preserve">. Atkins et al. (2000) highlight that “high economic exposure, remoteness and isolation, and proneness to natural disasters have a debilitating effect on small economies, despite the fact that some of them exhibit relatively high per capita incomes”. Despite some S&amp;IS having achieved substantial economic development, these ‘structural’ factors, beyond the control of the state, and ‘non-structural’ factors, more dependent on the will of governments, </w:t>
      </w:r>
      <w:r w:rsidR="005443E9">
        <w:t>increase their</w:t>
      </w:r>
      <w:r w:rsidR="00786E64">
        <w:t xml:space="preserve"> vulnerab</w:t>
      </w:r>
      <w:r w:rsidR="00D42695">
        <w:t>ility</w:t>
      </w:r>
      <w:r w:rsidR="00786E64">
        <w:t xml:space="preserve"> to exogeneous shocks (World Bank, 2008; Briguglio, 2022).</w:t>
      </w:r>
      <w:r w:rsidR="007F339E">
        <w:t xml:space="preserve"> </w:t>
      </w:r>
      <w:r w:rsidR="00A6162F">
        <w:t xml:space="preserve">In addition to being generally vulnerable, their small populations, remoteness, and economic volatility also result in the health systems of S&amp;IS being </w:t>
      </w:r>
      <w:proofErr w:type="spellStart"/>
      <w:r w:rsidR="00A6162F">
        <w:t>particulary</w:t>
      </w:r>
      <w:proofErr w:type="spellEnd"/>
      <w:r w:rsidR="00A6162F">
        <w:t xml:space="preserve"> vulnerable to changing global circumstances.</w:t>
      </w:r>
      <w:r w:rsidR="00334866">
        <w:t xml:space="preserve"> </w:t>
      </w:r>
      <w:r w:rsidR="00327497">
        <w:t>It is, therefore, important to examine whether the health system resilience</w:t>
      </w:r>
      <w:r w:rsidR="00BE33AD">
        <w:t xml:space="preserve"> (HSR)</w:t>
      </w:r>
      <w:r w:rsidR="00327497">
        <w:t xml:space="preserve"> of S&amp;IS is commensurate to their exposure to such risks, </w:t>
      </w:r>
      <w:r w:rsidR="00327497" w:rsidRPr="003A7E6C">
        <w:t>taking into account their unique circumstances and vulnerabilities.</w:t>
      </w:r>
      <w:r w:rsidR="00327497">
        <w:t xml:space="preserve"> </w:t>
      </w:r>
    </w:p>
    <w:p w14:paraId="1B2857DC" w14:textId="77777777" w:rsidR="00CE4B7D" w:rsidRDefault="00CE4B7D" w:rsidP="00CE4B7D">
      <w:pPr>
        <w:spacing w:line="276" w:lineRule="auto"/>
        <w:jc w:val="both"/>
      </w:pPr>
    </w:p>
    <w:p w14:paraId="75BF5F7F" w14:textId="16A0CD24" w:rsidR="00CE4B7D" w:rsidRPr="00B53E21" w:rsidRDefault="00CE4B7D" w:rsidP="00CE4B7D">
      <w:pPr>
        <w:spacing w:line="276" w:lineRule="auto"/>
        <w:jc w:val="both"/>
      </w:pPr>
      <w:r>
        <w:t>Various economic, social, and environmental factors contribute to S&amp;IS vulnerability and exposure to risk (</w:t>
      </w:r>
      <w:r>
        <w:rPr>
          <w:b/>
          <w:bCs/>
        </w:rPr>
        <w:t>Appendix</w:t>
      </w:r>
      <w:r w:rsidRPr="003B4098">
        <w:rPr>
          <w:b/>
          <w:bCs/>
        </w:rPr>
        <w:t xml:space="preserve"> </w:t>
      </w:r>
      <w:r>
        <w:rPr>
          <w:b/>
          <w:bCs/>
        </w:rPr>
        <w:t>A</w:t>
      </w:r>
      <w:r>
        <w:t xml:space="preserve">). Small domestic markets inhibit S&amp;IS ability to exploit economies of scale in the production of goods and the provision of public services (Winters &amp; Martin, 2004). This makes private investment less attractive, often resulting in </w:t>
      </w:r>
      <w:r w:rsidR="00B60AC9">
        <w:t>larger</w:t>
      </w:r>
      <w:r>
        <w:t xml:space="preserve"> public sector</w:t>
      </w:r>
      <w:r w:rsidR="00B60AC9">
        <w:t>s</w:t>
      </w:r>
      <w:r>
        <w:t xml:space="preserve"> (Rodrik, 1998). Favaro (2008) notes the average share of GDP of government expenditure is 19.4% in S&amp;IS</w:t>
      </w:r>
      <w:r w:rsidR="008A46A6">
        <w:t>,</w:t>
      </w:r>
      <w:r>
        <w:t xml:space="preserve"> compared to 15.7% in ‘large’ states. S&amp;IS are typically dependent on a </w:t>
      </w:r>
      <w:r w:rsidR="00C3523B">
        <w:t>limited</w:t>
      </w:r>
      <w:r>
        <w:t xml:space="preserve"> number of economic activities, s</w:t>
      </w:r>
      <w:r w:rsidR="00604B6B">
        <w:t>uch</w:t>
      </w:r>
      <w:r>
        <w:t xml:space="preserve"> that the </w:t>
      </w:r>
      <w:r>
        <w:rPr>
          <w:color w:val="000000"/>
        </w:rPr>
        <w:t xml:space="preserve">economic health of a small number of sectors determine S&amp;IS overall economic situation. </w:t>
      </w:r>
      <w:r>
        <w:t>This leads to greater volatility in S&amp;IS economies which can then lead to</w:t>
      </w:r>
      <w:r>
        <w:rPr>
          <w:color w:val="000000"/>
        </w:rPr>
        <w:t xml:space="preserve"> potentially higher volatility in domestic health financing, increasing the difficulty of achieving sustainable health systems. For example, in Eswatini, </w:t>
      </w:r>
      <w:proofErr w:type="spellStart"/>
      <w:r>
        <w:rPr>
          <w:color w:val="000000"/>
        </w:rPr>
        <w:t>whereSouthern</w:t>
      </w:r>
      <w:proofErr w:type="spellEnd"/>
      <w:r>
        <w:rPr>
          <w:color w:val="000000"/>
        </w:rPr>
        <w:t xml:space="preserve"> African Custom Union (SACU) receipts constituted 58% of tax revenue,  SACU revenue fell from US$600M to US$420M (MOEPD, 2016; </w:t>
      </w:r>
      <w:r>
        <w:t>Central Bank of Swaziland, 2016)</w:t>
      </w:r>
      <w:r w:rsidRPr="00FA19C2">
        <w:rPr>
          <w:color w:val="000000"/>
        </w:rPr>
        <w:t xml:space="preserve"> </w:t>
      </w:r>
      <w:r>
        <w:rPr>
          <w:color w:val="000000"/>
        </w:rPr>
        <w:t>between 2014/15-2016/17,</w:t>
      </w:r>
      <w:r>
        <w:t xml:space="preserve"> </w:t>
      </w:r>
      <w:r w:rsidR="00A02FD5">
        <w:t>leading to challenges in the</w:t>
      </w:r>
      <w:r>
        <w:t xml:space="preserve"> implementation of the essential health care package</w:t>
      </w:r>
      <w:r w:rsidRPr="00FA19C2">
        <w:t xml:space="preserve"> </w:t>
      </w:r>
      <w:r w:rsidR="005461E7">
        <w:t>(</w:t>
      </w:r>
      <w:r>
        <w:t>Magagula</w:t>
      </w:r>
      <w:r w:rsidR="005461E7">
        <w:t xml:space="preserve">, </w:t>
      </w:r>
      <w:r>
        <w:t>2017).</w:t>
      </w:r>
    </w:p>
    <w:p w14:paraId="494662DF" w14:textId="77777777" w:rsidR="00A55E07" w:rsidRDefault="00A55E07" w:rsidP="00CE4B7D">
      <w:pPr>
        <w:spacing w:line="276" w:lineRule="auto"/>
        <w:jc w:val="both"/>
      </w:pPr>
    </w:p>
    <w:p w14:paraId="523AB268" w14:textId="5CFC31C4" w:rsidR="00CE4B7D" w:rsidRDefault="00CE4B7D" w:rsidP="00CE4B7D">
      <w:pPr>
        <w:spacing w:line="276" w:lineRule="auto"/>
        <w:jc w:val="both"/>
      </w:pPr>
      <w:r>
        <w:t xml:space="preserve">Small domestic markets also increase the importance of trade. However, the lack of economies of scale and high transaction costs stemming from often remote geographies of S&amp;IS undermines trade competitiveness. </w:t>
      </w:r>
      <w:proofErr w:type="spellStart"/>
      <w:r>
        <w:t>Horscroft</w:t>
      </w:r>
      <w:proofErr w:type="spellEnd"/>
      <w:r>
        <w:t xml:space="preserve"> (2007) suggests this constrains S&amp;IS potential to benefit from globalisation and in the long run, under the current multilateral trade liberalisation paradigm, leads to their further economic decline. Further, the inability to sustainably produce medical products</w:t>
      </w:r>
      <w:r w:rsidR="00EB6CC7">
        <w:t>, pharmaceuticals</w:t>
      </w:r>
      <w:r>
        <w:t xml:space="preserve"> and equipment domestically and high transport costs raises the cost of health care. Kassim </w:t>
      </w:r>
      <w:r>
        <w:lastRenderedPageBreak/>
        <w:t>et al. (2015) found the procurement prices of imported pharmaceuticals in Comoros was significantly higher than other countries (between 3-11 times the international reference price). Additionally, lower quantity orders may be de-prioritised resulting in unpredictable supply of medicines. Moreover, many S&amp;IS do not have training capacity, particularly for specialist health workers, and rely on other countries for the education of certain cadres of health workers limiting state institutional capacity and the ability to provide quality public services (</w:t>
      </w:r>
      <w:proofErr w:type="spellStart"/>
      <w:r>
        <w:t>Meessen</w:t>
      </w:r>
      <w:proofErr w:type="spellEnd"/>
      <w:r>
        <w:t xml:space="preserve"> et al. </w:t>
      </w:r>
      <w:r w:rsidRPr="0013533C">
        <w:rPr>
          <w:iCs/>
        </w:rPr>
        <w:t>202</w:t>
      </w:r>
      <w:r>
        <w:rPr>
          <w:iCs/>
        </w:rPr>
        <w:t>4</w:t>
      </w:r>
      <w:r>
        <w:t>).</w:t>
      </w:r>
    </w:p>
    <w:p w14:paraId="30DB1F64" w14:textId="77777777" w:rsidR="00CE4B7D" w:rsidRDefault="00CE4B7D" w:rsidP="00CE4B7D">
      <w:pPr>
        <w:spacing w:line="276" w:lineRule="auto"/>
        <w:jc w:val="both"/>
      </w:pPr>
    </w:p>
    <w:p w14:paraId="61501079" w14:textId="427F5E6E" w:rsidR="00CE4B7D" w:rsidRDefault="00CE4B7D" w:rsidP="00CE4B7D">
      <w:pPr>
        <w:spacing w:line="276" w:lineRule="auto"/>
        <w:jc w:val="both"/>
      </w:pPr>
      <w:r>
        <w:t xml:space="preserve">S&amp;IS are also disproportionately exposed to both climate and weather </w:t>
      </w:r>
      <w:r w:rsidR="00A55E07">
        <w:t>shocks</w:t>
      </w:r>
      <w:r w:rsidR="00132C99">
        <w:rPr>
          <w:vertAlign w:val="superscript"/>
        </w:rPr>
        <w:t>2</w:t>
      </w:r>
      <w:r>
        <w:t xml:space="preserve">. </w:t>
      </w:r>
      <w:r w:rsidR="00874B01">
        <w:t xml:space="preserve">Many </w:t>
      </w:r>
      <w:r>
        <w:t>S&amp;IS are</w:t>
      </w:r>
      <w:r w:rsidR="00874B01">
        <w:t xml:space="preserve"> located</w:t>
      </w:r>
      <w:r>
        <w:t xml:space="preserve"> in regions susceptible to extreme weather. </w:t>
      </w:r>
      <w:r w:rsidR="00874B01">
        <w:t>Further, m</w:t>
      </w:r>
      <w:r>
        <w:t>any have a small geographic footprint and concentrated populations, limiting options for re-location  (Hausmann, 2001). As a result, n</w:t>
      </w:r>
      <w:r w:rsidRPr="00DA1B33">
        <w:t>atural disaster</w:t>
      </w:r>
      <w:r>
        <w:t>s</w:t>
      </w:r>
      <w:r w:rsidRPr="00DA1B33">
        <w:t xml:space="preserve"> are </w:t>
      </w:r>
      <w:r>
        <w:t>often</w:t>
      </w:r>
      <w:r w:rsidRPr="00DA1B33">
        <w:t xml:space="preserve"> more </w:t>
      </w:r>
      <w:r>
        <w:t xml:space="preserve">disruptive </w:t>
      </w:r>
      <w:r w:rsidRPr="00DA1B33">
        <w:t xml:space="preserve">macro-level events for </w:t>
      </w:r>
      <w:r>
        <w:t>S&amp;IS</w:t>
      </w:r>
      <w:r w:rsidR="00874B01">
        <w:t xml:space="preserve"> </w:t>
      </w:r>
      <w:r w:rsidRPr="00DA1B33">
        <w:t>(Rahman et al. 2022).</w:t>
      </w:r>
      <w:r>
        <w:t xml:space="preserve"> As well as the direct population impact, given the small geographical size of many S&amp;IS, natural disasters can have </w:t>
      </w:r>
      <w:r w:rsidR="005109A9">
        <w:t>significant</w:t>
      </w:r>
      <w:r>
        <w:t xml:space="preserve"> effects on the agricultural sector and therefore nutrition. In 2022/2023, drought and extreme weather in Eswatini contributed to approximately 22% of total population facing acute food insecurity (WHO, 2022).</w:t>
      </w:r>
    </w:p>
    <w:p w14:paraId="5794E74B" w14:textId="77777777" w:rsidR="00CE4B7D" w:rsidRDefault="00CE4B7D" w:rsidP="00CE4B7D">
      <w:pPr>
        <w:spacing w:line="276" w:lineRule="auto"/>
        <w:jc w:val="both"/>
      </w:pPr>
    </w:p>
    <w:p w14:paraId="067A1353" w14:textId="682DF936" w:rsidR="00CE4B7D" w:rsidRDefault="00CE4B7D" w:rsidP="00CE4B7D">
      <w:pPr>
        <w:spacing w:line="276" w:lineRule="auto"/>
        <w:jc w:val="both"/>
      </w:pPr>
      <w:r>
        <w:t xml:space="preserve">Weather shocks also have </w:t>
      </w:r>
      <w:r w:rsidR="00030157">
        <w:t>significant</w:t>
      </w:r>
      <w:r>
        <w:t xml:space="preserve"> consequences on productive capacity, tax base, and economic recovery. The annual cost of natural disasters in S&amp;ISs is close to 2% of GDP, more than four times the corresponding cost in larger countries (IMF, 2016). Although S&amp;IS and larger states in Africa are relatively comparable in the costs imposed by natural disasters as a proportion of GDP, at 7.20% and 8.43% respectively, individual S&amp;IS can suffer significant costs e.g. Comoros, 23.72%; Mauritius, 31.19%; Seychelles, 12.14% (</w:t>
      </w:r>
      <w:proofErr w:type="spellStart"/>
      <w:r>
        <w:t>Domeland</w:t>
      </w:r>
      <w:proofErr w:type="spellEnd"/>
      <w:r>
        <w:t xml:space="preserve"> and Sander, 2007)</w:t>
      </w:r>
      <w:r w:rsidR="00132C99">
        <w:rPr>
          <w:vertAlign w:val="superscript"/>
        </w:rPr>
        <w:t>3</w:t>
      </w:r>
      <w:r>
        <w:t>. These costs account for a significant diversion of resource away from progress in achieving development goals</w:t>
      </w:r>
      <w:r w:rsidR="008F4C23">
        <w:t>,</w:t>
      </w:r>
      <w:r>
        <w:t xml:space="preserve"> including universal health coverage (UHC).</w:t>
      </w:r>
      <w:r w:rsidRPr="007F253F">
        <w:rPr>
          <w:b/>
        </w:rPr>
        <w:t xml:space="preserve"> </w:t>
      </w:r>
      <w:r>
        <w:rPr>
          <w:b/>
        </w:rPr>
        <w:t xml:space="preserve">Appendix B </w:t>
      </w:r>
      <w:r>
        <w:t>provides more details on the vulnerabilities S&amp;IS face.</w:t>
      </w:r>
    </w:p>
    <w:p w14:paraId="7D5C43FB" w14:textId="77777777" w:rsidR="00327497" w:rsidRDefault="00327497" w:rsidP="00D50972">
      <w:pPr>
        <w:spacing w:line="276" w:lineRule="auto"/>
        <w:jc w:val="both"/>
      </w:pPr>
    </w:p>
    <w:p w14:paraId="0C299134" w14:textId="620A4589" w:rsidR="00D50972" w:rsidRDefault="00D50972" w:rsidP="00D50972">
      <w:pPr>
        <w:spacing w:line="276" w:lineRule="auto"/>
        <w:jc w:val="both"/>
      </w:pPr>
      <w:r>
        <w:t xml:space="preserve">The concept of resilience as applied to health systems uses various terminologies including ‘health system resilience’ (Kruk et al. 2015); ‘shock-responsive health systems’ (Newton-Lewis et al. 2021); ‘health security’ (Kluge et al. 2018; Lal et al. 2021); and ‘emergency/disaster preparedness’ (Gooding et al. 2022). Just as terminology has varied, a singular definition of </w:t>
      </w:r>
      <w:r w:rsidR="00BE33AD">
        <w:t>HSR</w:t>
      </w:r>
      <w:r>
        <w:t xml:space="preserve"> remains elusive, although most definitions highlight the ability the capacity of health institutions and communities to anticipate and manage crises effectively, sustain essential functions during disruptions, and adapt or reorganize as needed based on insights gained from the crisis (Blanchet et al. 2015; Kruk et al. 2015). Newton-Lewis et al. (2021) defines a ‘shock-responsive’ health systems as “one that can adapt and scale up to address needs that arise due to a shock at the same time as maintaining essential service delivery”. Shocks impact both the demand- and supply-side, drastically increasing the demand for health care while also potentially reducing the available supply of health care. Avoidance and response to the external shocks is as </w:t>
      </w:r>
      <w:r>
        <w:lastRenderedPageBreak/>
        <w:t xml:space="preserve">intrinsic to </w:t>
      </w:r>
      <w:r w:rsidR="00BE33AD">
        <w:t>HSR</w:t>
      </w:r>
      <w:r>
        <w:t xml:space="preserve"> as is the ability for health systems to provide services when shocks occur (Hanefeld et al. 2018). However, </w:t>
      </w:r>
      <w:r w:rsidR="00BE33AD">
        <w:t>HSR</w:t>
      </w:r>
      <w:r>
        <w:t xml:space="preserve"> extends beyond ‘shock-responsiveness’, as it also applies to adaptation and response to more chronic stressors, such as persistent supply-chain issues, health-worker shortages and turnover or general under-funding (Gilson et al. 2017; Barasa et al. 2018).</w:t>
      </w:r>
    </w:p>
    <w:p w14:paraId="16491946" w14:textId="77777777" w:rsidR="00075CEF" w:rsidRDefault="00075CEF" w:rsidP="00786E64">
      <w:pPr>
        <w:spacing w:line="276" w:lineRule="auto"/>
        <w:jc w:val="both"/>
      </w:pPr>
    </w:p>
    <w:p w14:paraId="085DDC66" w14:textId="10B5F5D4" w:rsidR="00615766" w:rsidRDefault="00786E64" w:rsidP="00786E64">
      <w:pPr>
        <w:spacing w:line="276" w:lineRule="auto"/>
        <w:jc w:val="both"/>
      </w:pPr>
      <w:r>
        <w:t xml:space="preserve">Consequently, S&amp;IS health systems are at a crossroads. If S&amp;IS fail to build </w:t>
      </w:r>
      <w:r w:rsidR="00BE33AD">
        <w:t>HSR</w:t>
      </w:r>
      <w:r>
        <w:t xml:space="preserve"> and remain uniquely exposed to external shocks, this will impact the long-term </w:t>
      </w:r>
      <w:r w:rsidR="001463BD">
        <w:t xml:space="preserve">performance </w:t>
      </w:r>
      <w:r>
        <w:t xml:space="preserve">and sustainability of their health systems, with subsequent implications for population health. Alternatively, if S&amp;IS focus on long-term adaptation and policies aimed at off-setting such risks and building resilience, this may </w:t>
      </w:r>
      <w:r w:rsidR="0086697D">
        <w:t xml:space="preserve">be at the expense of </w:t>
      </w:r>
      <w:r w:rsidR="006634BC">
        <w:t xml:space="preserve">current </w:t>
      </w:r>
      <w:r>
        <w:t xml:space="preserve">health systems </w:t>
      </w:r>
      <w:r w:rsidR="006634BC">
        <w:t>capabilities</w:t>
      </w:r>
      <w:r>
        <w:t>.</w:t>
      </w:r>
      <w:r w:rsidR="006634BC">
        <w:t xml:space="preserve"> </w:t>
      </w:r>
      <w:r w:rsidR="00D9184D">
        <w:t>W</w:t>
      </w:r>
      <w:r>
        <w:t>e verify</w:t>
      </w:r>
      <w:r w:rsidR="00D9184D">
        <w:t xml:space="preserve"> if</w:t>
      </w:r>
      <w:r>
        <w:t xml:space="preserve"> African S&amp;IS are indeed exposed to greater risk and vulnerabilities. </w:t>
      </w:r>
      <w:r w:rsidR="006634BC">
        <w:t>G</w:t>
      </w:r>
      <w:r>
        <w:t xml:space="preserve">iven the </w:t>
      </w:r>
      <w:r w:rsidR="005077F5">
        <w:t>vulnerab</w:t>
      </w:r>
      <w:r w:rsidR="00DF3AA0">
        <w:t>ilities</w:t>
      </w:r>
      <w:r w:rsidR="005077F5">
        <w:t xml:space="preserve"> </w:t>
      </w:r>
      <w:r>
        <w:t>fac</w:t>
      </w:r>
      <w:r w:rsidR="00DF3AA0">
        <w:t>ing</w:t>
      </w:r>
      <w:r>
        <w:t xml:space="preserve"> S&amp;IS, we </w:t>
      </w:r>
      <w:r w:rsidR="006634BC">
        <w:t xml:space="preserve">then </w:t>
      </w:r>
      <w:r>
        <w:t xml:space="preserve">provide an exploratory comparison of the </w:t>
      </w:r>
      <w:r w:rsidR="00BE33AD">
        <w:t>HSR</w:t>
      </w:r>
      <w:r>
        <w:t xml:space="preserve"> of African S&amp;IS, contrasting this to their larger peers. </w:t>
      </w:r>
      <w:r w:rsidR="00546DAF" w:rsidDel="00546DAF">
        <w:t xml:space="preserve"> </w:t>
      </w:r>
    </w:p>
    <w:p w14:paraId="458B83A8" w14:textId="77777777" w:rsidR="00786E64" w:rsidRDefault="00786E64" w:rsidP="00786E64">
      <w:pPr>
        <w:rPr>
          <w:b/>
          <w:bCs/>
        </w:rPr>
      </w:pPr>
    </w:p>
    <w:p w14:paraId="24B4E42B" w14:textId="77777777" w:rsidR="005333F2" w:rsidRDefault="005333F2" w:rsidP="005333F2">
      <w:pPr>
        <w:pStyle w:val="ListParagraph"/>
        <w:numPr>
          <w:ilvl w:val="0"/>
          <w:numId w:val="1"/>
        </w:numPr>
        <w:rPr>
          <w:b/>
          <w:bCs/>
        </w:rPr>
      </w:pPr>
      <w:r>
        <w:rPr>
          <w:b/>
          <w:bCs/>
        </w:rPr>
        <w:t>Methods</w:t>
      </w:r>
    </w:p>
    <w:p w14:paraId="6FBA8F94" w14:textId="77777777" w:rsidR="00354F6F" w:rsidRDefault="00354F6F" w:rsidP="00354F6F">
      <w:pPr>
        <w:pStyle w:val="ListParagraph"/>
        <w:rPr>
          <w:b/>
          <w:bCs/>
        </w:rPr>
      </w:pPr>
    </w:p>
    <w:p w14:paraId="27322462" w14:textId="410A38BA" w:rsidR="00B94C3C" w:rsidRDefault="00B94C3C" w:rsidP="00354F6F">
      <w:pPr>
        <w:spacing w:line="276" w:lineRule="auto"/>
        <w:jc w:val="both"/>
      </w:pPr>
      <w:r>
        <w:t xml:space="preserve">We focus on the fourteen African S&amp;IS as defined by </w:t>
      </w:r>
      <w:proofErr w:type="spellStart"/>
      <w:r>
        <w:t>Domëland</w:t>
      </w:r>
      <w:proofErr w:type="spellEnd"/>
      <w:r>
        <w:t xml:space="preserve"> &amp; Sander (2007) and the World Bank Small States Forum</w:t>
      </w:r>
      <w:r>
        <w:rPr>
          <w:vertAlign w:val="superscript"/>
        </w:rPr>
        <w:t>4</w:t>
      </w:r>
      <w:r>
        <w:t xml:space="preserve">. Using country-level indicators of structural vulnerability, HSR, and measures of health system performance, we descriptively examine country’s vulnerability and resilience profiles. </w:t>
      </w:r>
      <w:r w:rsidR="00D65B89">
        <w:t>Specifically, w</w:t>
      </w:r>
      <w:r>
        <w:t xml:space="preserve">e calculate bivariate correlations to compare how these measures relate in African S&amp;IS </w:t>
      </w:r>
      <w:r w:rsidR="00964088">
        <w:t>compared to</w:t>
      </w:r>
      <w:r>
        <w:t xml:space="preserve"> </w:t>
      </w:r>
      <w:r w:rsidR="00964088">
        <w:t>non-S&amp;IS</w:t>
      </w:r>
      <w:r>
        <w:t>.</w:t>
      </w:r>
    </w:p>
    <w:p w14:paraId="3C97211F" w14:textId="5E64FCB5" w:rsidR="00354F6F" w:rsidRPr="00C82F1C" w:rsidRDefault="00354F6F" w:rsidP="003E18DD">
      <w:pPr>
        <w:rPr>
          <w:b/>
          <w:bCs/>
        </w:rPr>
      </w:pPr>
    </w:p>
    <w:p w14:paraId="54F5178E" w14:textId="4BAD30A6" w:rsidR="00786E64" w:rsidRDefault="00786E64" w:rsidP="003E18DD">
      <w:pPr>
        <w:pStyle w:val="ListParagraph"/>
        <w:numPr>
          <w:ilvl w:val="1"/>
          <w:numId w:val="1"/>
        </w:numPr>
      </w:pPr>
      <w:r w:rsidRPr="005333F2">
        <w:rPr>
          <w:b/>
          <w:bCs/>
        </w:rPr>
        <w:t>Data</w:t>
      </w:r>
    </w:p>
    <w:p w14:paraId="67DE929C" w14:textId="788A7A77" w:rsidR="001D4ECE" w:rsidRPr="003E18DD" w:rsidRDefault="001D4ECE" w:rsidP="003E18DD">
      <w:pPr>
        <w:pStyle w:val="ListParagraph"/>
        <w:numPr>
          <w:ilvl w:val="2"/>
          <w:numId w:val="1"/>
        </w:numPr>
        <w:spacing w:line="276" w:lineRule="auto"/>
        <w:jc w:val="both"/>
        <w:rPr>
          <w:b/>
          <w:bCs/>
        </w:rPr>
      </w:pPr>
      <w:r w:rsidRPr="003E18DD">
        <w:rPr>
          <w:b/>
          <w:bCs/>
        </w:rPr>
        <w:t>Vulnerability</w:t>
      </w:r>
    </w:p>
    <w:p w14:paraId="07E6D732" w14:textId="77777777" w:rsidR="001D4ECE" w:rsidRPr="003E18DD" w:rsidRDefault="001D4ECE" w:rsidP="003E18DD">
      <w:pPr>
        <w:pStyle w:val="ListParagraph"/>
        <w:spacing w:line="276" w:lineRule="auto"/>
        <w:ind w:left="1800"/>
        <w:jc w:val="both"/>
        <w:rPr>
          <w:b/>
          <w:bCs/>
        </w:rPr>
      </w:pPr>
    </w:p>
    <w:p w14:paraId="1743C4F9" w14:textId="634D08AA" w:rsidR="00B666BB" w:rsidRDefault="005B4E72" w:rsidP="00786E64">
      <w:pPr>
        <w:spacing w:line="276" w:lineRule="auto"/>
        <w:jc w:val="both"/>
      </w:pPr>
      <w:r>
        <w:t xml:space="preserve">Calls to better account for vulnerability in decision-making and </w:t>
      </w:r>
      <w:r w:rsidRPr="00D8521F">
        <w:t xml:space="preserve">increased attention on building resilience led to the development </w:t>
      </w:r>
      <w:r>
        <w:t xml:space="preserve">several </w:t>
      </w:r>
      <w:r w:rsidR="00786E64">
        <w:t xml:space="preserve">indices measuring countries vulnerability to exogeneous shocks. These have related particularly to climate change (University of Notre Dame Global Adaptation Index, 2023); pandemics (European Investment Bank, 2020); economic systems (Briguglio et al. 2008; </w:t>
      </w:r>
      <w:proofErr w:type="spellStart"/>
      <w:r w:rsidR="00786E64">
        <w:t>Guilaumont</w:t>
      </w:r>
      <w:proofErr w:type="spellEnd"/>
      <w:r w:rsidR="00786E64">
        <w:t>, 2008).</w:t>
      </w:r>
      <w:r w:rsidR="001D0D63">
        <w:t xml:space="preserve"> </w:t>
      </w:r>
      <w:r w:rsidR="0072441A">
        <w:t>Aggregate multi</w:t>
      </w:r>
      <w:r w:rsidR="00BD75FB">
        <w:t>-</w:t>
      </w:r>
      <w:r w:rsidR="0072441A">
        <w:t>dimensional</w:t>
      </w:r>
      <w:r w:rsidR="008605CA">
        <w:t xml:space="preserve"> </w:t>
      </w:r>
      <w:r w:rsidR="00C04D39">
        <w:t xml:space="preserve">indicators </w:t>
      </w:r>
      <w:r w:rsidR="008605CA">
        <w:t xml:space="preserve">have also been </w:t>
      </w:r>
      <w:r>
        <w:t>constructed</w:t>
      </w:r>
      <w:r w:rsidR="008605CA">
        <w:t xml:space="preserve"> including </w:t>
      </w:r>
      <w:r w:rsidRPr="00D8521F">
        <w:t xml:space="preserve">the Commonwealth </w:t>
      </w:r>
      <w:r w:rsidRPr="00352450">
        <w:t>Secretariat’s ‘Universal Vulnerability Index’ (UVI) (The Commonwealth, 2021)</w:t>
      </w:r>
      <w:r w:rsidR="000344E6">
        <w:t xml:space="preserve"> and the United Nations </w:t>
      </w:r>
      <w:r w:rsidR="000344E6" w:rsidRPr="00352450">
        <w:t>Multidimensional Vulnerability Index (MVI) (Sachs et al. 2021)</w:t>
      </w:r>
      <w:r w:rsidR="000344E6">
        <w:t xml:space="preserve">. </w:t>
      </w:r>
      <w:r>
        <w:t>The</w:t>
      </w:r>
      <w:r w:rsidR="00651E0B">
        <w:t xml:space="preserve"> UVI</w:t>
      </w:r>
      <w:r>
        <w:t xml:space="preserve"> find</w:t>
      </w:r>
      <w:r w:rsidR="00651E0B">
        <w:t>s</w:t>
      </w:r>
      <w:r>
        <w:t xml:space="preserve"> </w:t>
      </w:r>
      <w:r w:rsidR="00F37D41">
        <w:t>identifies</w:t>
      </w:r>
      <w:r w:rsidRPr="00352450">
        <w:t xml:space="preserve"> nations classified as </w:t>
      </w:r>
      <w:r>
        <w:t>‘</w:t>
      </w:r>
      <w:r w:rsidRPr="00352450">
        <w:t>Least Developed Countries</w:t>
      </w:r>
      <w:r>
        <w:t>’</w:t>
      </w:r>
      <w:r w:rsidRPr="00352450">
        <w:t xml:space="preserve"> </w:t>
      </w:r>
      <w:r w:rsidR="00F37D41">
        <w:t>as</w:t>
      </w:r>
      <w:r w:rsidRPr="00352450">
        <w:t xml:space="preserve"> the most vulnerable group, with Small Island Developing States at the frontline of the climate crisis. Specifically, </w:t>
      </w:r>
      <w:r>
        <w:t>the report highlights that vulnerability is most acute in Africa, with the Pacific and Caribbean regions following closely behind</w:t>
      </w:r>
      <w:r w:rsidRPr="00352450">
        <w:t>.</w:t>
      </w:r>
      <w:r w:rsidRPr="00D8521F">
        <w:t xml:space="preserve"> </w:t>
      </w:r>
    </w:p>
    <w:p w14:paraId="2E5D1EA0" w14:textId="77777777" w:rsidR="00B666BB" w:rsidRDefault="00B666BB" w:rsidP="00786E64">
      <w:pPr>
        <w:spacing w:line="276" w:lineRule="auto"/>
        <w:jc w:val="both"/>
      </w:pPr>
    </w:p>
    <w:p w14:paraId="5101C65F" w14:textId="7CA237D2" w:rsidR="00137598" w:rsidRPr="00137598" w:rsidRDefault="00786E64" w:rsidP="00137598">
      <w:pPr>
        <w:spacing w:line="276" w:lineRule="auto"/>
        <w:jc w:val="both"/>
      </w:pPr>
      <w:r>
        <w:t xml:space="preserve">A major </w:t>
      </w:r>
      <w:r w:rsidR="003A6CB1">
        <w:t xml:space="preserve">difference </w:t>
      </w:r>
      <w:r>
        <w:t xml:space="preserve">among </w:t>
      </w:r>
      <w:r w:rsidR="006044B7">
        <w:t xml:space="preserve">the </w:t>
      </w:r>
      <w:r>
        <w:t>multi</w:t>
      </w:r>
      <w:r w:rsidR="00BD75FB">
        <w:t>-</w:t>
      </w:r>
      <w:r>
        <w:t xml:space="preserve">dimensional indices capturing multiple vulnerabilities is their treatment of governance and internal conflict. For example, the </w:t>
      </w:r>
      <w:r w:rsidRPr="002E375A">
        <w:lastRenderedPageBreak/>
        <w:t>Commonwealth UVI includes endogenous factors such as g</w:t>
      </w:r>
      <w:r>
        <w:t xml:space="preserve">overnance and internal conflict, while </w:t>
      </w:r>
      <w:r w:rsidRPr="00D8521F">
        <w:t>the U</w:t>
      </w:r>
      <w:r>
        <w:t xml:space="preserve">nited Nations </w:t>
      </w:r>
      <w:r w:rsidRPr="00352450">
        <w:t>MVI</w:t>
      </w:r>
      <w:r w:rsidR="00AF7823">
        <w:t xml:space="preserve"> </w:t>
      </w:r>
      <w:r w:rsidR="00AF7823" w:rsidRPr="00352450">
        <w:t>(Sachs et al. 2021)</w:t>
      </w:r>
      <w:r w:rsidR="00E51A08">
        <w:t xml:space="preserve"> </w:t>
      </w:r>
      <w:r>
        <w:t>uses only exogenous factors</w:t>
      </w:r>
      <w:r w:rsidRPr="00070FA2">
        <w:t xml:space="preserve"> </w:t>
      </w:r>
      <w:r>
        <w:t>largely beyond countries control. The choice of whether to include endogenous factors is complex. Newton-Lewis et al. (</w:t>
      </w:r>
      <w:r w:rsidRPr="002E375A">
        <w:t xml:space="preserve">2021) </w:t>
      </w:r>
      <w:r>
        <w:t xml:space="preserve">argue that endogenous factors have unique features that should not be bundled with exogenous shocks. </w:t>
      </w:r>
      <w:r w:rsidR="000927DF">
        <w:t>T</w:t>
      </w:r>
      <w:r>
        <w:t xml:space="preserve">he present study </w:t>
      </w:r>
      <w:r w:rsidR="00A83BF6">
        <w:t xml:space="preserve">adopts this </w:t>
      </w:r>
      <w:r>
        <w:t xml:space="preserve">view, </w:t>
      </w:r>
      <w:r w:rsidR="008818B9">
        <w:t>considering</w:t>
      </w:r>
      <w:r>
        <w:t xml:space="preserve"> endogenous factors </w:t>
      </w:r>
      <w:r w:rsidR="008818B9">
        <w:t xml:space="preserve">– </w:t>
      </w:r>
      <w:r>
        <w:t xml:space="preserve">such as conflict </w:t>
      </w:r>
      <w:r w:rsidR="008818B9">
        <w:t>– as</w:t>
      </w:r>
      <w:r>
        <w:t xml:space="preserve"> </w:t>
      </w:r>
      <w:r w:rsidR="008818B9">
        <w:t xml:space="preserve">a </w:t>
      </w:r>
      <w:r>
        <w:t xml:space="preserve">distinct type of shock with unique features impacting </w:t>
      </w:r>
      <w:r w:rsidR="00BE33AD">
        <w:t>HSR</w:t>
      </w:r>
      <w:r>
        <w:t>, and should</w:t>
      </w:r>
      <w:r w:rsidR="000F51CB">
        <w:t>, therefore,</w:t>
      </w:r>
      <w:r>
        <w:t xml:space="preserve"> not be bundled with exogeneous shocks. </w:t>
      </w:r>
      <w:r w:rsidR="000927DF">
        <w:t>W</w:t>
      </w:r>
      <w:r>
        <w:t>e use the UN MVI, focused specifically on exogenous vulnerability factors, reflect</w:t>
      </w:r>
      <w:r w:rsidR="00A83BF6">
        <w:t>ing</w:t>
      </w:r>
      <w:r>
        <w:t xml:space="preserve"> </w:t>
      </w:r>
      <w:r w:rsidR="00A83BF6">
        <w:t>system</w:t>
      </w:r>
      <w:r>
        <w:t xml:space="preserve"> structural vulnerabilities via 18 indicators across three categories: economic, structural development and environmental vulnerabilities.</w:t>
      </w:r>
      <w:r w:rsidR="00137598">
        <w:t xml:space="preserve"> </w:t>
      </w:r>
      <w:r w:rsidR="00FD08FE">
        <w:t>T</w:t>
      </w:r>
      <w:r w:rsidR="00137598" w:rsidRPr="003E18DD">
        <w:t>he MVI is constructed using a five year average with 2015-2019 used in most cases</w:t>
      </w:r>
      <w:r w:rsidR="00F1410E">
        <w:rPr>
          <w:vertAlign w:val="superscript"/>
        </w:rPr>
        <w:t>5</w:t>
      </w:r>
      <w:r w:rsidR="00137598" w:rsidRPr="003E18DD">
        <w:t>.</w:t>
      </w:r>
    </w:p>
    <w:p w14:paraId="580F650B" w14:textId="77777777" w:rsidR="00786E64" w:rsidRDefault="00786E64" w:rsidP="00786E64">
      <w:pPr>
        <w:rPr>
          <w:b/>
          <w:bCs/>
        </w:rPr>
      </w:pPr>
    </w:p>
    <w:p w14:paraId="66AF177D" w14:textId="6811C8B6" w:rsidR="001D4ECE" w:rsidRPr="001D4ECE" w:rsidRDefault="00E73DC4" w:rsidP="003E18DD">
      <w:pPr>
        <w:pStyle w:val="ListParagraph"/>
        <w:numPr>
          <w:ilvl w:val="2"/>
          <w:numId w:val="1"/>
        </w:numPr>
        <w:rPr>
          <w:b/>
          <w:bCs/>
        </w:rPr>
      </w:pPr>
      <w:r w:rsidRPr="001D4ECE">
        <w:rPr>
          <w:b/>
          <w:bCs/>
        </w:rPr>
        <w:t>Health System Resilience</w:t>
      </w:r>
    </w:p>
    <w:p w14:paraId="535B9D8C" w14:textId="77777777" w:rsidR="0067515B" w:rsidRDefault="0067515B" w:rsidP="0067515B">
      <w:pPr>
        <w:spacing w:line="276" w:lineRule="auto"/>
        <w:jc w:val="both"/>
      </w:pPr>
    </w:p>
    <w:p w14:paraId="52F918C8" w14:textId="378FA509" w:rsidR="00413FB0" w:rsidRPr="006B4301" w:rsidRDefault="00DD1216" w:rsidP="00AF223B">
      <w:pPr>
        <w:spacing w:line="276" w:lineRule="auto"/>
        <w:jc w:val="both"/>
        <w:rPr>
          <w:bCs/>
        </w:rPr>
      </w:pPr>
      <w:r>
        <w:t xml:space="preserve">Witter et al. (2023) highlight that a well-functioning health system is not the same as a resilient health system. Health systems may be generally effective and high-performing but simultaneously not resilient to shocks, leading to service disruption or collapse. </w:t>
      </w:r>
      <w:r w:rsidR="006B4301">
        <w:rPr>
          <w:bCs/>
        </w:rPr>
        <w:t xml:space="preserve"> </w:t>
      </w:r>
      <w:r w:rsidR="00AF223B">
        <w:rPr>
          <w:b/>
        </w:rPr>
        <w:t xml:space="preserve">Figure 1 </w:t>
      </w:r>
      <w:r w:rsidR="00AF223B">
        <w:t>illustrates how different types of shocks and stressors may impact health systems with differing levels of resilience.</w:t>
      </w:r>
      <w:r w:rsidR="00271435" w:rsidRPr="00271435">
        <w:t xml:space="preserve"> </w:t>
      </w:r>
      <w:r w:rsidR="00271435">
        <w:t>A health system may have high capacity, resulting in effective operation and health system performance under ‘normal’ conditions, while simultaneously having poor HSR, such that a chronic stressor or acute shock results in a deterioration in the health systems performance. Almost all countries, irrespective of the level of income and health system strength, reported disruption of health services during the Covid-19 pandemic (WHO, 2021).</w:t>
      </w:r>
    </w:p>
    <w:p w14:paraId="0D502C6A" w14:textId="77777777" w:rsidR="00AF223B" w:rsidRDefault="00AF223B" w:rsidP="00AF223B">
      <w:pPr>
        <w:rPr>
          <w:b/>
          <w:bCs/>
        </w:rPr>
      </w:pPr>
    </w:p>
    <w:p w14:paraId="278B5D0E" w14:textId="76446780" w:rsidR="006B4301" w:rsidRDefault="006B4301" w:rsidP="006B4301">
      <w:pPr>
        <w:spacing w:line="276" w:lineRule="auto"/>
        <w:jc w:val="both"/>
        <w:rPr>
          <w:bCs/>
        </w:rPr>
      </w:pPr>
      <w:r>
        <w:t xml:space="preserve">This highlights a distinction between HSR and health system capacity and performance. Health system capacity might be thought </w:t>
      </w:r>
      <w:r w:rsidRPr="00F43BB8">
        <w:rPr>
          <w:bCs/>
        </w:rPr>
        <w:t xml:space="preserve">of as the health system inputs </w:t>
      </w:r>
      <w:r>
        <w:rPr>
          <w:bCs/>
        </w:rPr>
        <w:t xml:space="preserve">e.g. infrastructure, health workers, budgets. These represent some of the factors that can determine health system performance. </w:t>
      </w:r>
      <w:r>
        <w:t xml:space="preserve">Compared to their larger peers, African S&amp;IS, on average, have higher health expenditures, perform better in terms of health system inputs, and relatively better health outcomes (McGuire et al. </w:t>
      </w:r>
      <w:r>
        <w:rPr>
          <w:i/>
          <w:iCs/>
        </w:rPr>
        <w:t>R&amp;R</w:t>
      </w:r>
      <w:r>
        <w:t xml:space="preserve">). </w:t>
      </w:r>
      <w:r>
        <w:rPr>
          <w:bCs/>
        </w:rPr>
        <w:t xml:space="preserve">Health system performance is related to the objectives and goals of health care systems, which may vary across countries. However, across international frameworks for health system performance assessment there is some consensus on the broad intermediate objectives and final goals of </w:t>
      </w:r>
      <w:proofErr w:type="spellStart"/>
      <w:r>
        <w:rPr>
          <w:bCs/>
        </w:rPr>
        <w:t>healt</w:t>
      </w:r>
      <w:proofErr w:type="spellEnd"/>
      <w:r>
        <w:rPr>
          <w:bCs/>
        </w:rPr>
        <w:t xml:space="preserve"> systems through which performance might be assessed including access, quality, efficiency, population health, financial risk protection and equity (</w:t>
      </w:r>
      <w:proofErr w:type="spellStart"/>
      <w:r>
        <w:rPr>
          <w:bCs/>
        </w:rPr>
        <w:t>Papanicolas</w:t>
      </w:r>
      <w:proofErr w:type="spellEnd"/>
      <w:r>
        <w:rPr>
          <w:bCs/>
        </w:rPr>
        <w:t xml:space="preserve"> et al. 2022). Health system performance assessment is complex and multidimension, with international health system performance comparison and benchmarking performance across countries even more </w:t>
      </w:r>
      <w:r w:rsidR="00DB6147">
        <w:rPr>
          <w:bCs/>
        </w:rPr>
        <w:t>challenging</w:t>
      </w:r>
      <w:r>
        <w:rPr>
          <w:bCs/>
        </w:rPr>
        <w:t xml:space="preserve"> (Smith &amp; </w:t>
      </w:r>
      <w:proofErr w:type="spellStart"/>
      <w:r>
        <w:rPr>
          <w:bCs/>
        </w:rPr>
        <w:t>Papanicolas</w:t>
      </w:r>
      <w:proofErr w:type="spellEnd"/>
      <w:r>
        <w:rPr>
          <w:bCs/>
        </w:rPr>
        <w:t xml:space="preserve">, 2012). </w:t>
      </w:r>
    </w:p>
    <w:p w14:paraId="3FF68DC7" w14:textId="77777777" w:rsidR="006B4301" w:rsidRDefault="006B4301" w:rsidP="00AF223B">
      <w:pPr>
        <w:rPr>
          <w:b/>
          <w:bCs/>
        </w:rPr>
      </w:pPr>
    </w:p>
    <w:p w14:paraId="57C4925B" w14:textId="77777777" w:rsidR="00AF223B" w:rsidRDefault="00AF223B" w:rsidP="00AF223B">
      <w:pPr>
        <w:keepNext/>
        <w:pBdr>
          <w:top w:val="nil"/>
          <w:left w:val="nil"/>
          <w:bottom w:val="nil"/>
          <w:right w:val="nil"/>
          <w:between w:val="nil"/>
        </w:pBdr>
        <w:spacing w:after="200"/>
        <w:jc w:val="center"/>
        <w:rPr>
          <w:b/>
          <w:color w:val="000000"/>
        </w:rPr>
      </w:pPr>
      <w:r>
        <w:rPr>
          <w:b/>
          <w:color w:val="000000"/>
        </w:rPr>
        <w:lastRenderedPageBreak/>
        <w:t>Figure 1: Health system capacity and resilience</w:t>
      </w:r>
    </w:p>
    <w:p w14:paraId="2B2FA193" w14:textId="77777777" w:rsidR="00AF223B" w:rsidRDefault="00AF223B" w:rsidP="00AF223B">
      <w:pPr>
        <w:pBdr>
          <w:top w:val="nil"/>
          <w:left w:val="nil"/>
          <w:bottom w:val="nil"/>
          <w:right w:val="nil"/>
          <w:between w:val="nil"/>
        </w:pBdr>
        <w:jc w:val="right"/>
        <w:rPr>
          <w:rFonts w:ascii="ScalaLancetPro" w:eastAsia="ScalaLancetPro" w:hAnsi="ScalaLancetPro" w:cs="ScalaLancetPro"/>
          <w:color w:val="000000"/>
          <w:sz w:val="18"/>
          <w:szCs w:val="18"/>
        </w:rPr>
      </w:pPr>
      <w:r>
        <w:rPr>
          <w:rFonts w:ascii="ScalaLancetPro" w:eastAsia="ScalaLancetPro" w:hAnsi="ScalaLancetPro" w:cs="ScalaLancetPro"/>
          <w:noProof/>
          <w:color w:val="000000"/>
          <w:sz w:val="18"/>
          <w:szCs w:val="18"/>
          <w:lang w:val="en-US"/>
        </w:rPr>
        <w:drawing>
          <wp:inline distT="0" distB="0" distL="0" distR="0" wp14:anchorId="3A43B0E6" wp14:editId="51E63B19">
            <wp:extent cx="5305647" cy="3104707"/>
            <wp:effectExtent l="0" t="0" r="3175" b="0"/>
            <wp:docPr id="254499357" name="image8.png" descr="A diagram of a performance curv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8.png" descr="A diagram of a performance curve&#10;&#10;Description automatically generated with medium confidence"/>
                    <pic:cNvPicPr preferRelativeResize="0"/>
                  </pic:nvPicPr>
                  <pic:blipFill>
                    <a:blip r:embed="rId9"/>
                    <a:srcRect/>
                    <a:stretch>
                      <a:fillRect/>
                    </a:stretch>
                  </pic:blipFill>
                  <pic:spPr>
                    <a:xfrm>
                      <a:off x="0" y="0"/>
                      <a:ext cx="5330077" cy="3119003"/>
                    </a:xfrm>
                    <a:prstGeom prst="rect">
                      <a:avLst/>
                    </a:prstGeom>
                    <a:ln/>
                  </pic:spPr>
                </pic:pic>
              </a:graphicData>
            </a:graphic>
          </wp:inline>
        </w:drawing>
      </w:r>
    </w:p>
    <w:p w14:paraId="5D56492F" w14:textId="77777777" w:rsidR="00AF223B" w:rsidRDefault="00AF223B" w:rsidP="00AF223B">
      <w:pPr>
        <w:rPr>
          <w:sz w:val="20"/>
          <w:szCs w:val="20"/>
        </w:rPr>
      </w:pPr>
      <w:r>
        <w:rPr>
          <w:sz w:val="20"/>
          <w:szCs w:val="20"/>
        </w:rPr>
        <w:t>Source: WHO (2022)</w:t>
      </w:r>
    </w:p>
    <w:p w14:paraId="673785D1" w14:textId="77777777" w:rsidR="00973E6D" w:rsidRDefault="00973E6D" w:rsidP="00AF223B">
      <w:pPr>
        <w:spacing w:line="276" w:lineRule="auto"/>
        <w:jc w:val="both"/>
      </w:pPr>
    </w:p>
    <w:p w14:paraId="3DAB4947" w14:textId="73E0781A" w:rsidR="00786E64" w:rsidRDefault="00786E64" w:rsidP="00786E64">
      <w:pPr>
        <w:spacing w:line="276" w:lineRule="auto"/>
        <w:jc w:val="both"/>
      </w:pPr>
      <w:r>
        <w:t xml:space="preserve">Metrics </w:t>
      </w:r>
      <w:r w:rsidR="00A83BF6">
        <w:t>concentrating on</w:t>
      </w:r>
      <w:r>
        <w:t xml:space="preserve"> </w:t>
      </w:r>
      <w:r w:rsidR="00BE33AD">
        <w:t>HSR</w:t>
      </w:r>
      <w:r>
        <w:t xml:space="preserve"> are in a</w:t>
      </w:r>
      <w:r w:rsidR="006845B3">
        <w:t xml:space="preserve"> </w:t>
      </w:r>
      <w:r>
        <w:t>greater state of infancy than vulnerability indices. Early attempts to operationalise indices include McGuire et al. (2022) who develop</w:t>
      </w:r>
      <w:r w:rsidR="00C10343">
        <w:t>ed</w:t>
      </w:r>
      <w:r>
        <w:t xml:space="preserve"> a </w:t>
      </w:r>
      <w:r w:rsidR="00BE33AD">
        <w:t>HSR</w:t>
      </w:r>
      <w:r>
        <w:t xml:space="preserve"> index comparing five high-income countries, and Oppenheim et al. (2019) who develop an epidemic preparedness index. A number of initiatives have attempted to capture information on health systems resilience capacities and emergency preparedness. The International Health Regulations (IHR) State Party Self-Assessment Annual Reporting (SPAR) is a globally endorsed, compulsory international health emergency mechanism designed to improve health security. Countries self-report on 13 IHR capacities to detect, assess, notify, report, and respond to public health risks. This mandatory annual assessment is complemented by the externally led voluntary Joint External Evaluations (JEE), intended to take place every 5 years (Razavi et al. 2021). Similarly, launched in 2019, the Global Health Security (GHS) Index captures country-level resilience information across six categories: prevention, detection and reporting, rapid response, health system robustness, compliance with international norms, and risk environment. Newton-Lewis et al. (2021) note</w:t>
      </w:r>
      <w:r w:rsidR="00A00ECB">
        <w:t xml:space="preserve"> while</w:t>
      </w:r>
      <w:r>
        <w:t xml:space="preserve"> these frameworks focus on the risk of international disease outbreaks, many of the indicators relate to wider resilience and shock-responsiveness. </w:t>
      </w:r>
      <w:proofErr w:type="spellStart"/>
      <w:r>
        <w:t>Karamagi</w:t>
      </w:r>
      <w:proofErr w:type="spellEnd"/>
      <w:r>
        <w:t xml:space="preserve"> et al. (2022) develop their own </w:t>
      </w:r>
      <w:r w:rsidR="00BE33AD">
        <w:t>HSR</w:t>
      </w:r>
      <w:r>
        <w:t xml:space="preserve"> index, the ‘</w:t>
      </w:r>
      <w:r w:rsidRPr="006C2094">
        <w:t>Inherent System Resilience Score</w:t>
      </w:r>
      <w:r>
        <w:t xml:space="preserve">’, which distinguishes between emergency preparedness and response for predicted shocks, using IHR SPAR data and the ‘inherent’ </w:t>
      </w:r>
      <w:r w:rsidR="00BE33AD">
        <w:t>HSR</w:t>
      </w:r>
      <w:r>
        <w:t xml:space="preserve">, required to respond to unpredictable shocks, based on facility-level surveys. They calculate </w:t>
      </w:r>
      <w:r w:rsidR="00BE33AD">
        <w:t>HSR</w:t>
      </w:r>
      <w:r>
        <w:t xml:space="preserve"> for 47 A</w:t>
      </w:r>
      <w:r w:rsidR="006845B3">
        <w:t>frican</w:t>
      </w:r>
      <w:r>
        <w:t xml:space="preserve"> countries. Despite weaknesses in each index, they offer an initial insight into a country's </w:t>
      </w:r>
      <w:r w:rsidR="00BE33AD">
        <w:t xml:space="preserve">HSR </w:t>
      </w:r>
      <w:r>
        <w:t xml:space="preserve">and areas requiring improvement. </w:t>
      </w:r>
    </w:p>
    <w:p w14:paraId="0699A38B" w14:textId="77777777" w:rsidR="00DF26E7" w:rsidRDefault="00DF26E7" w:rsidP="00786E64">
      <w:pPr>
        <w:spacing w:line="276" w:lineRule="auto"/>
        <w:jc w:val="both"/>
      </w:pPr>
    </w:p>
    <w:p w14:paraId="35B73C18" w14:textId="284766D5" w:rsidR="00AF03F1" w:rsidRPr="003E18DD" w:rsidRDefault="004B634E" w:rsidP="003E18DD">
      <w:pPr>
        <w:spacing w:line="276" w:lineRule="auto"/>
        <w:jc w:val="both"/>
      </w:pPr>
      <w:r>
        <w:lastRenderedPageBreak/>
        <w:t>Recognising the limitation that no single composite indicator can measure whole health system performance, w</w:t>
      </w:r>
      <w:r w:rsidR="00786E64">
        <w:t>e</w:t>
      </w:r>
      <w:r w:rsidR="006A0D37">
        <w:t xml:space="preserve"> also</w:t>
      </w:r>
      <w:r w:rsidR="00786E64">
        <w:t xml:space="preserve"> utilize data from the 2019 Global Burden of Disease (GBD) </w:t>
      </w:r>
      <w:r w:rsidR="005E6290">
        <w:t>to assess health system performance</w:t>
      </w:r>
      <w:r>
        <w:t>, specifically</w:t>
      </w:r>
      <w:r w:rsidR="005E6290">
        <w:t xml:space="preserve"> in achieving effective Universal Health Coverage (UHC) and in delivering quality health care services</w:t>
      </w:r>
      <w:r w:rsidR="00F9216F">
        <w:t xml:space="preserve"> as proxies for health system performance</w:t>
      </w:r>
      <w:r w:rsidR="005E6290">
        <w:t>. The GBD UHC Effective Coverage Index evaluates how well health systems provide essential health services, not just in terms of coverage, but also in alignment with countries' health needs and with sufficient quality to improve health outcomes (Ng et al., 2014).</w:t>
      </w:r>
      <w:r w:rsidR="005E6290" w:rsidRPr="005E6290">
        <w:t xml:space="preserve"> </w:t>
      </w:r>
      <w:r w:rsidR="005E6290">
        <w:t xml:space="preserve">The index covers 23 essential interventions (Lozano et al., 2020) and enables cross-country comparisons by accounting for country-specific disease profiles. The GBD Health Access </w:t>
      </w:r>
      <w:r w:rsidR="00531443">
        <w:t>+</w:t>
      </w:r>
      <w:r w:rsidR="005E6290">
        <w:t xml:space="preserve"> Quality (HAQ) Index, measures broader health system performance based on its ability to reduce amenable mortality. By risk-standardizing mortality rates, the HAQ index</w:t>
      </w:r>
      <w:r w:rsidR="00D82A7E">
        <w:t xml:space="preserve"> attempts</w:t>
      </w:r>
      <w:r w:rsidR="005E6290">
        <w:t xml:space="preserve"> </w:t>
      </w:r>
      <w:r w:rsidR="00D82A7E">
        <w:t xml:space="preserve">to </w:t>
      </w:r>
      <w:r w:rsidR="005E6290">
        <w:t xml:space="preserve">isolate the impact of health system performance, excluding the influence of </w:t>
      </w:r>
      <w:proofErr w:type="spellStart"/>
      <w:r w:rsidR="005E6290">
        <w:t>behavioral</w:t>
      </w:r>
      <w:proofErr w:type="spellEnd"/>
      <w:r w:rsidR="005E6290">
        <w:t xml:space="preserve"> and environmental risk factors (Haakenstad et al., 2022).</w:t>
      </w:r>
      <w:r w:rsidR="00863FE4">
        <w:t xml:space="preserve"> </w:t>
      </w:r>
      <w:r w:rsidR="00B86134">
        <w:t>Amenable mortality has often been used as an indicator to benchmark international performance in health service delivery (</w:t>
      </w:r>
      <w:proofErr w:type="spellStart"/>
      <w:r w:rsidR="00B86134">
        <w:t>Mackenbach</w:t>
      </w:r>
      <w:proofErr w:type="spellEnd"/>
      <w:r w:rsidR="00B86134">
        <w:t xml:space="preserve"> et al. 2013). </w:t>
      </w:r>
      <w:r w:rsidR="00863FE4">
        <w:t>While the</w:t>
      </w:r>
      <w:r w:rsidR="00917F25">
        <w:t xml:space="preserve"> Effective UHC and HAQ indices</w:t>
      </w:r>
      <w:r w:rsidR="00863FE4">
        <w:t xml:space="preserve"> are calculated in a standardised manner across countries and undertake some degree of adjustment for case-mix and contextual circumstance, like all single measures, </w:t>
      </w:r>
      <w:r w:rsidR="00D9496C">
        <w:t>they should not be considered comprehensive assessments of health system performance, but only partial indicators</w:t>
      </w:r>
      <w:r w:rsidR="00863FE4">
        <w:t>.</w:t>
      </w:r>
      <w:r w:rsidR="00954E63">
        <w:t xml:space="preserve"> </w:t>
      </w:r>
      <w:r w:rsidR="009841D8">
        <w:t>The ind</w:t>
      </w:r>
      <w:r w:rsidR="00CB7804">
        <w:t>ices</w:t>
      </w:r>
      <w:r w:rsidR="009841D8">
        <w:t xml:space="preserve"> scale </w:t>
      </w:r>
      <w:r w:rsidR="00CB7804">
        <w:t>scores</w:t>
      </w:r>
      <w:r w:rsidR="00917F25">
        <w:t xml:space="preserve"> (0-100)</w:t>
      </w:r>
      <w:r w:rsidR="009841D8">
        <w:t xml:space="preserve"> against </w:t>
      </w:r>
      <w:r w:rsidR="00917F25">
        <w:t xml:space="preserve">the </w:t>
      </w:r>
      <w:r w:rsidR="009841D8">
        <w:t>global best</w:t>
      </w:r>
      <w:r w:rsidR="00B1228C">
        <w:t>-</w:t>
      </w:r>
      <w:r w:rsidR="00917F25">
        <w:t xml:space="preserve"> </w:t>
      </w:r>
      <w:r w:rsidR="009841D8">
        <w:t>and worst</w:t>
      </w:r>
      <w:r w:rsidR="00B1228C">
        <w:t>-</w:t>
      </w:r>
      <w:r w:rsidR="00917F25">
        <w:t>achievers</w:t>
      </w:r>
      <w:r w:rsidR="00917F25">
        <w:rPr>
          <w:vertAlign w:val="superscript"/>
        </w:rPr>
        <w:t>6</w:t>
      </w:r>
      <w:r w:rsidR="009841D8">
        <w:t xml:space="preserve">, </w:t>
      </w:r>
      <w:r w:rsidR="009841D8" w:rsidRPr="00A30FC3">
        <w:rPr>
          <w:rStyle w:val="Strong"/>
          <w:b w:val="0"/>
          <w:bCs w:val="0"/>
        </w:rPr>
        <w:t>not</w:t>
      </w:r>
      <w:r w:rsidR="009841D8">
        <w:t xml:space="preserve"> against what’s achievable given </w:t>
      </w:r>
      <w:r w:rsidR="001C7A1C">
        <w:t>each</w:t>
      </w:r>
      <w:r w:rsidR="009841D8">
        <w:t xml:space="preserve"> country’s health spending or</w:t>
      </w:r>
      <w:r w:rsidR="001C7A1C">
        <w:t xml:space="preserve"> level of economic development</w:t>
      </w:r>
      <w:r w:rsidR="00DB7F24">
        <w:t xml:space="preserve">, as such it provides no information on </w:t>
      </w:r>
      <w:r w:rsidR="000B3946">
        <w:t xml:space="preserve">resource use </w:t>
      </w:r>
      <w:r w:rsidR="00DB7F24">
        <w:t>efficiency</w:t>
      </w:r>
      <w:r w:rsidR="00DB7F24">
        <w:rPr>
          <w:rStyle w:val="Strong"/>
          <w:b w:val="0"/>
          <w:bCs w:val="0"/>
        </w:rPr>
        <w:t>.</w:t>
      </w:r>
      <w:r w:rsidR="002C0A10">
        <w:rPr>
          <w:b/>
          <w:bCs/>
        </w:rPr>
        <w:t xml:space="preserve"> </w:t>
      </w:r>
      <w:r w:rsidR="009841D8">
        <w:t xml:space="preserve">Further, the indices </w:t>
      </w:r>
      <w:r w:rsidR="000B3946">
        <w:t>are not informative for other objectives such as</w:t>
      </w:r>
      <w:r w:rsidR="009841D8">
        <w:t xml:space="preserve"> equity</w:t>
      </w:r>
      <w:r w:rsidR="002958A7">
        <w:t xml:space="preserve">, </w:t>
      </w:r>
      <w:r w:rsidR="00E951CB">
        <w:t>financial risk protection</w:t>
      </w:r>
      <w:r w:rsidR="002958A7">
        <w:t xml:space="preserve"> or patient satisfaction/experience</w:t>
      </w:r>
      <w:r w:rsidR="00D9496C">
        <w:t>.</w:t>
      </w:r>
      <w:r w:rsidR="00D9496C">
        <w:rPr>
          <w:b/>
          <w:bCs/>
        </w:rPr>
        <w:t xml:space="preserve"> </w:t>
      </w:r>
      <w:r w:rsidR="002415E7">
        <w:t>While t</w:t>
      </w:r>
      <w:r w:rsidR="0037753B">
        <w:t>hese limitations</w:t>
      </w:r>
      <w:r w:rsidR="002415E7">
        <w:t xml:space="preserve"> restrict policy interpretations, it</w:t>
      </w:r>
      <w:r w:rsidR="006C2BD7">
        <w:t xml:space="preserve"> </w:t>
      </w:r>
      <w:r w:rsidR="002415E7">
        <w:t>allows</w:t>
      </w:r>
      <w:r w:rsidR="00EB6F20">
        <w:t xml:space="preserve"> score comparisons and</w:t>
      </w:r>
      <w:r w:rsidR="002415E7">
        <w:t xml:space="preserve"> the identification of the </w:t>
      </w:r>
      <w:r w:rsidR="00EB6F20">
        <w:t>best and worst performers on th</w:t>
      </w:r>
      <w:r w:rsidR="00954E63">
        <w:t>ese</w:t>
      </w:r>
      <w:r w:rsidR="00EB6F20">
        <w:t xml:space="preserve"> service provision</w:t>
      </w:r>
      <w:r w:rsidR="00954E63">
        <w:t>-focused</w:t>
      </w:r>
      <w:r w:rsidR="00EB6F20">
        <w:t xml:space="preserve"> metric.</w:t>
      </w:r>
    </w:p>
    <w:p w14:paraId="4DA537DA" w14:textId="77777777" w:rsidR="00411FBF" w:rsidRDefault="00411FBF" w:rsidP="00786E64">
      <w:pPr>
        <w:rPr>
          <w:b/>
          <w:bCs/>
        </w:rPr>
      </w:pPr>
    </w:p>
    <w:p w14:paraId="26F0C0E0" w14:textId="77777777" w:rsidR="005333F2" w:rsidRDefault="005333F2" w:rsidP="00786E64">
      <w:pPr>
        <w:pStyle w:val="ListParagraph"/>
        <w:numPr>
          <w:ilvl w:val="0"/>
          <w:numId w:val="1"/>
        </w:numPr>
        <w:rPr>
          <w:b/>
          <w:bCs/>
        </w:rPr>
      </w:pPr>
      <w:r>
        <w:rPr>
          <w:b/>
          <w:bCs/>
        </w:rPr>
        <w:t xml:space="preserve">Results </w:t>
      </w:r>
    </w:p>
    <w:p w14:paraId="0C7E8191" w14:textId="77777777" w:rsidR="00786E64" w:rsidRDefault="00786E64" w:rsidP="00786E64">
      <w:pPr>
        <w:spacing w:line="276" w:lineRule="auto"/>
        <w:jc w:val="both"/>
        <w:rPr>
          <w:b/>
          <w:bCs/>
        </w:rPr>
      </w:pPr>
    </w:p>
    <w:p w14:paraId="33384614" w14:textId="1BE315D1" w:rsidR="007530B3" w:rsidRPr="003E18DD" w:rsidRDefault="007530B3" w:rsidP="00786E64">
      <w:pPr>
        <w:spacing w:line="276" w:lineRule="auto"/>
        <w:jc w:val="both"/>
      </w:pPr>
      <w:r w:rsidRPr="00CE6DE4">
        <w:rPr>
          <w:b/>
          <w:bCs/>
        </w:rPr>
        <w:t>Table 1</w:t>
      </w:r>
      <w:r w:rsidR="00CE6DE4">
        <w:rPr>
          <w:b/>
          <w:bCs/>
        </w:rPr>
        <w:t xml:space="preserve"> </w:t>
      </w:r>
      <w:r w:rsidR="00CE6DE4">
        <w:t xml:space="preserve">presents descriptive statistics </w:t>
      </w:r>
      <w:r w:rsidR="00522ED3">
        <w:t>for African S&amp;IS</w:t>
      </w:r>
      <w:r w:rsidR="007929A7">
        <w:t>.</w:t>
      </w:r>
      <w:r w:rsidR="002450FD">
        <w:t xml:space="preserve"> Although there is a high degree of variation across S&amp;IS, on average they have much smaller geographic footprints – with only Botswana and Namibia larger than the continental average – and an average population density 77% larger than the non-S&amp;IS African average.</w:t>
      </w:r>
      <w:r w:rsidR="00E06D2B">
        <w:t xml:space="preserve"> S&amp;IS are more economically developed with a higher GDP per capita, although the average GDP per capita of African non-S&amp;IS rises from 35% to 44% </w:t>
      </w:r>
      <w:r w:rsidR="00F10794">
        <w:t xml:space="preserve">of S&amp;IS GDP per capita </w:t>
      </w:r>
      <w:r w:rsidR="00E06D2B">
        <w:t xml:space="preserve">when adjusted for purchasing-power, possibly reflecting </w:t>
      </w:r>
      <w:r w:rsidR="00615B1A">
        <w:t xml:space="preserve">the </w:t>
      </w:r>
      <w:r w:rsidR="001038A8">
        <w:t>relatively</w:t>
      </w:r>
      <w:r w:rsidR="00615B1A">
        <w:t xml:space="preserve"> higher costs</w:t>
      </w:r>
      <w:r w:rsidR="00932FF3">
        <w:t xml:space="preserve"> of goods and services</w:t>
      </w:r>
      <w:r w:rsidR="00615B1A">
        <w:t xml:space="preserve"> </w:t>
      </w:r>
      <w:r w:rsidR="00932FF3">
        <w:t>in</w:t>
      </w:r>
      <w:r w:rsidR="000D5489">
        <w:t xml:space="preserve"> S&amp;IS.</w:t>
      </w:r>
    </w:p>
    <w:p w14:paraId="469DCBB7" w14:textId="77777777" w:rsidR="007530B3" w:rsidRDefault="007530B3" w:rsidP="00786E64">
      <w:pPr>
        <w:spacing w:line="276" w:lineRule="auto"/>
        <w:jc w:val="both"/>
        <w:rPr>
          <w:b/>
          <w:bCs/>
        </w:rPr>
      </w:pPr>
    </w:p>
    <w:p w14:paraId="5701E20F" w14:textId="77777777" w:rsidR="007530B3" w:rsidRDefault="007530B3" w:rsidP="00786E64">
      <w:pPr>
        <w:spacing w:line="276" w:lineRule="auto"/>
        <w:jc w:val="both"/>
        <w:rPr>
          <w:b/>
          <w:bCs/>
        </w:rPr>
      </w:pPr>
    </w:p>
    <w:p w14:paraId="7EE816F2" w14:textId="77777777" w:rsidR="004722A1" w:rsidRDefault="004722A1" w:rsidP="00786E64">
      <w:pPr>
        <w:spacing w:line="276" w:lineRule="auto"/>
        <w:jc w:val="both"/>
        <w:rPr>
          <w:b/>
          <w:bCs/>
        </w:rPr>
        <w:sectPr w:rsidR="004722A1" w:rsidSect="00786E64">
          <w:footerReference w:type="even" r:id="rId10"/>
          <w:footerReference w:type="default" r:id="rId11"/>
          <w:pgSz w:w="11900" w:h="16840"/>
          <w:pgMar w:top="1440" w:right="1440" w:bottom="1440" w:left="1440" w:header="720" w:footer="720" w:gutter="0"/>
          <w:cols w:space="720"/>
          <w:docGrid w:linePitch="360"/>
        </w:sectPr>
      </w:pPr>
    </w:p>
    <w:tbl>
      <w:tblPr>
        <w:tblW w:w="0" w:type="auto"/>
        <w:tblCellMar>
          <w:left w:w="0" w:type="dxa"/>
          <w:right w:w="0" w:type="dxa"/>
        </w:tblCellMar>
        <w:tblLook w:val="04A0" w:firstRow="1" w:lastRow="0" w:firstColumn="1" w:lastColumn="0" w:noHBand="0" w:noVBand="1"/>
      </w:tblPr>
      <w:tblGrid>
        <w:gridCol w:w="1372"/>
        <w:gridCol w:w="1261"/>
        <w:gridCol w:w="1677"/>
        <w:gridCol w:w="1066"/>
        <w:gridCol w:w="1298"/>
        <w:gridCol w:w="1203"/>
        <w:gridCol w:w="1799"/>
        <w:gridCol w:w="1770"/>
        <w:gridCol w:w="2514"/>
      </w:tblGrid>
      <w:tr w:rsidR="004722A1" w:rsidRPr="00690046" w14:paraId="3DAADA94" w14:textId="77777777" w:rsidTr="00F43BB8">
        <w:trPr>
          <w:trHeight w:val="340"/>
        </w:trPr>
        <w:tc>
          <w:tcPr>
            <w:tcW w:w="0" w:type="auto"/>
            <w:gridSpan w:val="9"/>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70E5DF0D" w14:textId="1C1426CB"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lastRenderedPageBreak/>
              <w:t>Table 1: A</w:t>
            </w:r>
            <w:r w:rsidR="00ED7939">
              <w:rPr>
                <w:rFonts w:cstheme="minorHAnsi"/>
                <w:b/>
                <w:bCs/>
                <w:color w:val="000000"/>
                <w:sz w:val="20"/>
                <w:szCs w:val="20"/>
              </w:rPr>
              <w:t>frican</w:t>
            </w:r>
            <w:r w:rsidRPr="00690046">
              <w:rPr>
                <w:rFonts w:cstheme="minorHAnsi"/>
                <w:b/>
                <w:bCs/>
                <w:color w:val="000000"/>
                <w:sz w:val="20"/>
                <w:szCs w:val="20"/>
              </w:rPr>
              <w:t xml:space="preserve"> Small and Island States</w:t>
            </w:r>
            <w:r w:rsidR="00C4748E">
              <w:rPr>
                <w:rFonts w:cstheme="minorHAnsi"/>
                <w:b/>
                <w:bCs/>
                <w:color w:val="000000"/>
                <w:sz w:val="20"/>
                <w:szCs w:val="20"/>
              </w:rPr>
              <w:t xml:space="preserve"> Descriptive Statistics</w:t>
            </w:r>
          </w:p>
        </w:tc>
      </w:tr>
      <w:tr w:rsidR="004722A1" w:rsidRPr="00690046" w14:paraId="7AB438E0" w14:textId="77777777" w:rsidTr="00F43BB8">
        <w:trPr>
          <w:trHeight w:val="1360"/>
        </w:trPr>
        <w:tc>
          <w:tcPr>
            <w:tcW w:w="0" w:type="auto"/>
            <w:tcBorders>
              <w:top w:val="nil"/>
              <w:left w:val="nil"/>
              <w:bottom w:val="single" w:sz="4" w:space="0" w:color="auto"/>
              <w:right w:val="nil"/>
            </w:tcBorders>
            <w:tcMar>
              <w:top w:w="15" w:type="dxa"/>
              <w:left w:w="15" w:type="dxa"/>
              <w:bottom w:w="0" w:type="dxa"/>
              <w:right w:w="15" w:type="dxa"/>
            </w:tcMar>
            <w:vAlign w:val="center"/>
            <w:hideMark/>
          </w:tcPr>
          <w:p w14:paraId="5E9025F9" w14:textId="77777777" w:rsidR="004722A1" w:rsidRPr="00690046" w:rsidRDefault="004722A1" w:rsidP="00F43BB8">
            <w:pPr>
              <w:jc w:val="both"/>
              <w:rPr>
                <w:rFonts w:cstheme="minorHAnsi"/>
                <w:b/>
                <w:bCs/>
                <w:color w:val="000000"/>
                <w:sz w:val="20"/>
                <w:szCs w:val="20"/>
              </w:rPr>
            </w:pPr>
            <w:r w:rsidRPr="00690046">
              <w:rPr>
                <w:rFonts w:cstheme="minorHAnsi"/>
                <w:b/>
                <w:bCs/>
                <w:color w:val="000000"/>
                <w:sz w:val="20"/>
                <w:szCs w:val="20"/>
              </w:rPr>
              <w:t>Country</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5B0DA2DD" w14:textId="77777777"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t>Population (2022)</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352DD738" w14:textId="77777777"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t>Population ordinal global ranking</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3AA65E81" w14:textId="77777777"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t>Land Area (sq. km)</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1B844891" w14:textId="77777777"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t>Population density</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3CE0A404" w14:textId="77777777"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t>GDP Per Capita (2021 US$)</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1100EFEB" w14:textId="77777777"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t>GDP Per Capita (2021 Int$ - PPP-adjusted)</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6C00C244" w14:textId="77777777"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t>Income Classification (2021)</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742997DF" w14:textId="77777777" w:rsidR="004722A1" w:rsidRPr="00690046" w:rsidRDefault="004722A1" w:rsidP="00F43BB8">
            <w:pPr>
              <w:jc w:val="center"/>
              <w:rPr>
                <w:rFonts w:cstheme="minorHAnsi"/>
                <w:b/>
                <w:bCs/>
                <w:color w:val="000000"/>
                <w:sz w:val="20"/>
                <w:szCs w:val="20"/>
              </w:rPr>
            </w:pPr>
            <w:r w:rsidRPr="00690046">
              <w:rPr>
                <w:rFonts w:cstheme="minorHAnsi"/>
                <w:b/>
                <w:bCs/>
                <w:color w:val="000000"/>
                <w:sz w:val="20"/>
                <w:szCs w:val="20"/>
              </w:rPr>
              <w:t>Per Capita Development Assistance for Health (2021 US$)</w:t>
            </w:r>
          </w:p>
        </w:tc>
      </w:tr>
      <w:tr w:rsidR="004722A1" w:rsidRPr="00690046" w14:paraId="1676C880"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6EF6D4BF" w14:textId="77777777" w:rsidR="004722A1" w:rsidRPr="00690046" w:rsidRDefault="004722A1" w:rsidP="00F43BB8">
            <w:pPr>
              <w:jc w:val="both"/>
              <w:rPr>
                <w:rFonts w:cstheme="minorHAnsi"/>
                <w:sz w:val="20"/>
                <w:szCs w:val="20"/>
              </w:rPr>
            </w:pPr>
            <w:r w:rsidRPr="00690046">
              <w:rPr>
                <w:rFonts w:cstheme="minorHAnsi"/>
                <w:sz w:val="20"/>
                <w:szCs w:val="20"/>
              </w:rPr>
              <w:t>Botswana</w:t>
            </w:r>
          </w:p>
        </w:tc>
        <w:tc>
          <w:tcPr>
            <w:tcW w:w="0" w:type="auto"/>
            <w:tcBorders>
              <w:top w:val="nil"/>
              <w:left w:val="nil"/>
              <w:bottom w:val="nil"/>
              <w:right w:val="nil"/>
            </w:tcBorders>
            <w:tcMar>
              <w:top w:w="15" w:type="dxa"/>
              <w:left w:w="15" w:type="dxa"/>
              <w:bottom w:w="0" w:type="dxa"/>
              <w:right w:w="15" w:type="dxa"/>
            </w:tcMar>
            <w:vAlign w:val="center"/>
            <w:hideMark/>
          </w:tcPr>
          <w:p w14:paraId="0E4C8878" w14:textId="77777777" w:rsidR="004722A1" w:rsidRPr="00690046" w:rsidRDefault="004722A1" w:rsidP="00F43BB8">
            <w:pPr>
              <w:jc w:val="center"/>
              <w:rPr>
                <w:rFonts w:cstheme="minorHAnsi"/>
                <w:sz w:val="20"/>
                <w:szCs w:val="20"/>
              </w:rPr>
            </w:pPr>
            <w:r w:rsidRPr="00690046">
              <w:rPr>
                <w:rFonts w:cstheme="minorHAnsi"/>
                <w:sz w:val="20"/>
                <w:szCs w:val="20"/>
              </w:rPr>
              <w:t>2,607,583</w:t>
            </w:r>
          </w:p>
        </w:tc>
        <w:tc>
          <w:tcPr>
            <w:tcW w:w="0" w:type="auto"/>
            <w:tcBorders>
              <w:top w:val="nil"/>
              <w:left w:val="nil"/>
              <w:bottom w:val="nil"/>
              <w:right w:val="nil"/>
            </w:tcBorders>
            <w:tcMar>
              <w:top w:w="15" w:type="dxa"/>
              <w:left w:w="15" w:type="dxa"/>
              <w:bottom w:w="0" w:type="dxa"/>
              <w:right w:w="15" w:type="dxa"/>
            </w:tcMar>
            <w:vAlign w:val="center"/>
            <w:hideMark/>
          </w:tcPr>
          <w:p w14:paraId="291C186C" w14:textId="77777777" w:rsidR="004722A1" w:rsidRPr="00690046" w:rsidRDefault="004722A1" w:rsidP="00F43BB8">
            <w:pPr>
              <w:jc w:val="center"/>
              <w:rPr>
                <w:rFonts w:cstheme="minorHAnsi"/>
                <w:sz w:val="20"/>
                <w:szCs w:val="20"/>
              </w:rPr>
            </w:pPr>
            <w:r w:rsidRPr="00690046">
              <w:rPr>
                <w:rFonts w:cstheme="minorHAnsi"/>
                <w:sz w:val="20"/>
                <w:szCs w:val="20"/>
              </w:rPr>
              <w:t>142/195</w:t>
            </w:r>
          </w:p>
        </w:tc>
        <w:tc>
          <w:tcPr>
            <w:tcW w:w="0" w:type="auto"/>
            <w:tcBorders>
              <w:top w:val="nil"/>
              <w:left w:val="nil"/>
              <w:bottom w:val="nil"/>
              <w:right w:val="nil"/>
            </w:tcBorders>
            <w:tcMar>
              <w:top w:w="15" w:type="dxa"/>
              <w:left w:w="15" w:type="dxa"/>
              <w:bottom w:w="0" w:type="dxa"/>
              <w:right w:w="15" w:type="dxa"/>
            </w:tcMar>
            <w:vAlign w:val="center"/>
            <w:hideMark/>
          </w:tcPr>
          <w:p w14:paraId="35E19CE2" w14:textId="77777777" w:rsidR="004722A1" w:rsidRPr="00690046" w:rsidRDefault="004722A1" w:rsidP="00F43BB8">
            <w:pPr>
              <w:jc w:val="center"/>
              <w:rPr>
                <w:rFonts w:cstheme="minorHAnsi"/>
                <w:sz w:val="20"/>
                <w:szCs w:val="20"/>
              </w:rPr>
            </w:pPr>
            <w:r w:rsidRPr="00690046">
              <w:rPr>
                <w:rFonts w:cstheme="minorHAnsi"/>
                <w:sz w:val="20"/>
                <w:szCs w:val="20"/>
              </w:rPr>
              <w:t>566,730</w:t>
            </w:r>
          </w:p>
        </w:tc>
        <w:tc>
          <w:tcPr>
            <w:tcW w:w="0" w:type="auto"/>
            <w:tcBorders>
              <w:top w:val="nil"/>
              <w:left w:val="nil"/>
              <w:bottom w:val="nil"/>
              <w:right w:val="nil"/>
            </w:tcBorders>
            <w:tcMar>
              <w:top w:w="15" w:type="dxa"/>
              <w:left w:w="15" w:type="dxa"/>
              <w:bottom w:w="0" w:type="dxa"/>
              <w:right w:w="15" w:type="dxa"/>
            </w:tcMar>
            <w:vAlign w:val="center"/>
            <w:hideMark/>
          </w:tcPr>
          <w:p w14:paraId="2B4C660A" w14:textId="77777777" w:rsidR="004722A1" w:rsidRPr="00690046" w:rsidRDefault="004722A1" w:rsidP="00F43BB8">
            <w:pPr>
              <w:jc w:val="center"/>
              <w:rPr>
                <w:rFonts w:cstheme="minorHAnsi"/>
                <w:sz w:val="20"/>
                <w:szCs w:val="20"/>
              </w:rPr>
            </w:pPr>
            <w:r w:rsidRPr="00690046">
              <w:rPr>
                <w:rFonts w:cstheme="minorHAnsi"/>
                <w:sz w:val="20"/>
                <w:szCs w:val="20"/>
              </w:rPr>
              <w:t>5</w:t>
            </w:r>
          </w:p>
        </w:tc>
        <w:tc>
          <w:tcPr>
            <w:tcW w:w="0" w:type="auto"/>
            <w:tcBorders>
              <w:top w:val="nil"/>
              <w:left w:val="nil"/>
              <w:bottom w:val="nil"/>
              <w:right w:val="nil"/>
            </w:tcBorders>
            <w:tcMar>
              <w:top w:w="15" w:type="dxa"/>
              <w:left w:w="15" w:type="dxa"/>
              <w:bottom w:w="0" w:type="dxa"/>
              <w:right w:w="15" w:type="dxa"/>
            </w:tcMar>
            <w:vAlign w:val="center"/>
            <w:hideMark/>
          </w:tcPr>
          <w:p w14:paraId="2CF3629A" w14:textId="77777777" w:rsidR="004722A1" w:rsidRPr="00690046" w:rsidRDefault="004722A1" w:rsidP="00F43BB8">
            <w:pPr>
              <w:jc w:val="center"/>
              <w:rPr>
                <w:rFonts w:cstheme="minorHAnsi"/>
                <w:sz w:val="20"/>
                <w:szCs w:val="20"/>
              </w:rPr>
            </w:pPr>
            <w:r w:rsidRPr="00690046">
              <w:rPr>
                <w:rFonts w:cstheme="minorHAnsi"/>
                <w:sz w:val="20"/>
                <w:szCs w:val="20"/>
              </w:rPr>
              <w:t>6,805</w:t>
            </w:r>
          </w:p>
        </w:tc>
        <w:tc>
          <w:tcPr>
            <w:tcW w:w="0" w:type="auto"/>
            <w:tcBorders>
              <w:top w:val="nil"/>
              <w:left w:val="nil"/>
              <w:bottom w:val="nil"/>
              <w:right w:val="nil"/>
            </w:tcBorders>
            <w:tcMar>
              <w:top w:w="15" w:type="dxa"/>
              <w:left w:w="15" w:type="dxa"/>
              <w:bottom w:w="0" w:type="dxa"/>
              <w:right w:w="15" w:type="dxa"/>
            </w:tcMar>
            <w:vAlign w:val="center"/>
            <w:hideMark/>
          </w:tcPr>
          <w:p w14:paraId="101A870A" w14:textId="77777777" w:rsidR="004722A1" w:rsidRPr="00690046" w:rsidRDefault="004722A1" w:rsidP="00F43BB8">
            <w:pPr>
              <w:jc w:val="center"/>
              <w:rPr>
                <w:rFonts w:cstheme="minorHAnsi"/>
                <w:sz w:val="20"/>
                <w:szCs w:val="20"/>
              </w:rPr>
            </w:pPr>
            <w:r w:rsidRPr="00690046">
              <w:rPr>
                <w:rFonts w:cstheme="minorHAnsi"/>
                <w:sz w:val="20"/>
                <w:szCs w:val="20"/>
              </w:rPr>
              <w:t>16,449</w:t>
            </w:r>
          </w:p>
        </w:tc>
        <w:tc>
          <w:tcPr>
            <w:tcW w:w="0" w:type="auto"/>
            <w:tcBorders>
              <w:top w:val="nil"/>
              <w:left w:val="nil"/>
              <w:bottom w:val="nil"/>
              <w:right w:val="nil"/>
            </w:tcBorders>
            <w:tcMar>
              <w:top w:w="15" w:type="dxa"/>
              <w:left w:w="15" w:type="dxa"/>
              <w:bottom w:w="0" w:type="dxa"/>
              <w:right w:w="15" w:type="dxa"/>
            </w:tcMar>
            <w:vAlign w:val="center"/>
            <w:hideMark/>
          </w:tcPr>
          <w:p w14:paraId="64BB3CFC" w14:textId="77777777" w:rsidR="004722A1" w:rsidRPr="00690046" w:rsidRDefault="004722A1" w:rsidP="00F43BB8">
            <w:pPr>
              <w:jc w:val="center"/>
              <w:rPr>
                <w:rFonts w:cstheme="minorHAnsi"/>
                <w:sz w:val="20"/>
                <w:szCs w:val="20"/>
              </w:rPr>
            </w:pPr>
            <w:r w:rsidRPr="00690046">
              <w:rPr>
                <w:rFonts w:cstheme="minorHAnsi"/>
                <w:sz w:val="20"/>
                <w:szCs w:val="20"/>
              </w:rPr>
              <w:t>UM</w:t>
            </w:r>
          </w:p>
        </w:tc>
        <w:tc>
          <w:tcPr>
            <w:tcW w:w="0" w:type="auto"/>
            <w:tcBorders>
              <w:top w:val="nil"/>
              <w:left w:val="nil"/>
              <w:bottom w:val="nil"/>
              <w:right w:val="nil"/>
            </w:tcBorders>
            <w:tcMar>
              <w:top w:w="15" w:type="dxa"/>
              <w:left w:w="15" w:type="dxa"/>
              <w:bottom w:w="0" w:type="dxa"/>
              <w:right w:w="15" w:type="dxa"/>
            </w:tcMar>
            <w:vAlign w:val="center"/>
            <w:hideMark/>
          </w:tcPr>
          <w:p w14:paraId="7E1F6BC8" w14:textId="77777777" w:rsidR="004722A1" w:rsidRPr="00690046" w:rsidRDefault="004722A1" w:rsidP="00F43BB8">
            <w:pPr>
              <w:jc w:val="center"/>
              <w:rPr>
                <w:rFonts w:cstheme="minorHAnsi"/>
                <w:sz w:val="20"/>
                <w:szCs w:val="20"/>
              </w:rPr>
            </w:pPr>
            <w:r w:rsidRPr="00690046">
              <w:rPr>
                <w:rFonts w:cstheme="minorHAnsi"/>
                <w:sz w:val="20"/>
                <w:szCs w:val="20"/>
              </w:rPr>
              <w:t>28.0</w:t>
            </w:r>
          </w:p>
        </w:tc>
      </w:tr>
      <w:tr w:rsidR="004722A1" w:rsidRPr="00690046" w14:paraId="678C7E32"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65F69F1B" w14:textId="77777777" w:rsidR="004722A1" w:rsidRPr="00690046" w:rsidRDefault="004722A1" w:rsidP="00F43BB8">
            <w:pPr>
              <w:jc w:val="both"/>
              <w:rPr>
                <w:rFonts w:cstheme="minorHAnsi"/>
                <w:sz w:val="20"/>
                <w:szCs w:val="20"/>
              </w:rPr>
            </w:pPr>
            <w:r w:rsidRPr="00690046">
              <w:rPr>
                <w:rFonts w:cstheme="minorHAnsi"/>
                <w:sz w:val="20"/>
                <w:szCs w:val="20"/>
              </w:rPr>
              <w:t>Cabo Verde</w:t>
            </w:r>
          </w:p>
        </w:tc>
        <w:tc>
          <w:tcPr>
            <w:tcW w:w="0" w:type="auto"/>
            <w:tcBorders>
              <w:top w:val="nil"/>
              <w:left w:val="nil"/>
              <w:bottom w:val="nil"/>
              <w:right w:val="nil"/>
            </w:tcBorders>
            <w:tcMar>
              <w:top w:w="15" w:type="dxa"/>
              <w:left w:w="15" w:type="dxa"/>
              <w:bottom w:w="0" w:type="dxa"/>
              <w:right w:w="15" w:type="dxa"/>
            </w:tcMar>
            <w:vAlign w:val="center"/>
            <w:hideMark/>
          </w:tcPr>
          <w:p w14:paraId="4142A906" w14:textId="77777777" w:rsidR="004722A1" w:rsidRPr="00690046" w:rsidRDefault="004722A1" w:rsidP="00F43BB8">
            <w:pPr>
              <w:jc w:val="center"/>
              <w:rPr>
                <w:rFonts w:cstheme="minorHAnsi"/>
                <w:sz w:val="20"/>
                <w:szCs w:val="20"/>
              </w:rPr>
            </w:pPr>
            <w:r w:rsidRPr="00690046">
              <w:rPr>
                <w:rFonts w:cstheme="minorHAnsi"/>
                <w:sz w:val="20"/>
                <w:szCs w:val="20"/>
              </w:rPr>
              <w:t>590,503</w:t>
            </w:r>
          </w:p>
        </w:tc>
        <w:tc>
          <w:tcPr>
            <w:tcW w:w="0" w:type="auto"/>
            <w:tcBorders>
              <w:top w:val="nil"/>
              <w:left w:val="nil"/>
              <w:bottom w:val="nil"/>
              <w:right w:val="nil"/>
            </w:tcBorders>
            <w:tcMar>
              <w:top w:w="15" w:type="dxa"/>
              <w:left w:w="15" w:type="dxa"/>
              <w:bottom w:w="0" w:type="dxa"/>
              <w:right w:w="15" w:type="dxa"/>
            </w:tcMar>
            <w:vAlign w:val="center"/>
            <w:hideMark/>
          </w:tcPr>
          <w:p w14:paraId="355B1955" w14:textId="77777777" w:rsidR="004722A1" w:rsidRPr="00690046" w:rsidRDefault="004722A1" w:rsidP="00F43BB8">
            <w:pPr>
              <w:jc w:val="center"/>
              <w:rPr>
                <w:rFonts w:cstheme="minorHAnsi"/>
                <w:sz w:val="20"/>
                <w:szCs w:val="20"/>
              </w:rPr>
            </w:pPr>
            <w:r w:rsidRPr="00690046">
              <w:rPr>
                <w:rFonts w:cstheme="minorHAnsi"/>
                <w:sz w:val="20"/>
                <w:szCs w:val="20"/>
              </w:rPr>
              <w:t>167/195</w:t>
            </w:r>
          </w:p>
        </w:tc>
        <w:tc>
          <w:tcPr>
            <w:tcW w:w="0" w:type="auto"/>
            <w:tcBorders>
              <w:top w:val="nil"/>
              <w:left w:val="nil"/>
              <w:bottom w:val="nil"/>
              <w:right w:val="nil"/>
            </w:tcBorders>
            <w:tcMar>
              <w:top w:w="15" w:type="dxa"/>
              <w:left w:w="15" w:type="dxa"/>
              <w:bottom w:w="0" w:type="dxa"/>
              <w:right w:w="15" w:type="dxa"/>
            </w:tcMar>
            <w:vAlign w:val="center"/>
            <w:hideMark/>
          </w:tcPr>
          <w:p w14:paraId="02E796AB" w14:textId="77777777" w:rsidR="004722A1" w:rsidRPr="00690046" w:rsidRDefault="004722A1" w:rsidP="00F43BB8">
            <w:pPr>
              <w:jc w:val="center"/>
              <w:rPr>
                <w:rFonts w:cstheme="minorHAnsi"/>
                <w:sz w:val="20"/>
                <w:szCs w:val="20"/>
              </w:rPr>
            </w:pPr>
            <w:r w:rsidRPr="00690046">
              <w:rPr>
                <w:rFonts w:cstheme="minorHAnsi"/>
                <w:sz w:val="20"/>
                <w:szCs w:val="20"/>
              </w:rPr>
              <w:t>4,030</w:t>
            </w:r>
          </w:p>
        </w:tc>
        <w:tc>
          <w:tcPr>
            <w:tcW w:w="0" w:type="auto"/>
            <w:tcBorders>
              <w:top w:val="nil"/>
              <w:left w:val="nil"/>
              <w:bottom w:val="nil"/>
              <w:right w:val="nil"/>
            </w:tcBorders>
            <w:tcMar>
              <w:top w:w="15" w:type="dxa"/>
              <w:left w:w="15" w:type="dxa"/>
              <w:bottom w:w="0" w:type="dxa"/>
              <w:right w:w="15" w:type="dxa"/>
            </w:tcMar>
            <w:vAlign w:val="center"/>
            <w:hideMark/>
          </w:tcPr>
          <w:p w14:paraId="098BC7DC" w14:textId="77777777" w:rsidR="004722A1" w:rsidRPr="00690046" w:rsidRDefault="004722A1" w:rsidP="00F43BB8">
            <w:pPr>
              <w:jc w:val="center"/>
              <w:rPr>
                <w:rFonts w:cstheme="minorHAnsi"/>
                <w:sz w:val="20"/>
                <w:szCs w:val="20"/>
              </w:rPr>
            </w:pPr>
            <w:r w:rsidRPr="00690046">
              <w:rPr>
                <w:rFonts w:cstheme="minorHAnsi"/>
                <w:sz w:val="20"/>
                <w:szCs w:val="20"/>
              </w:rPr>
              <w:t>147</w:t>
            </w:r>
          </w:p>
        </w:tc>
        <w:tc>
          <w:tcPr>
            <w:tcW w:w="0" w:type="auto"/>
            <w:tcBorders>
              <w:top w:val="nil"/>
              <w:left w:val="nil"/>
              <w:bottom w:val="nil"/>
              <w:right w:val="nil"/>
            </w:tcBorders>
            <w:tcMar>
              <w:top w:w="15" w:type="dxa"/>
              <w:left w:w="15" w:type="dxa"/>
              <w:bottom w:w="0" w:type="dxa"/>
              <w:right w:w="15" w:type="dxa"/>
            </w:tcMar>
            <w:vAlign w:val="center"/>
            <w:hideMark/>
          </w:tcPr>
          <w:p w14:paraId="527EFD11" w14:textId="77777777" w:rsidR="004722A1" w:rsidRPr="00690046" w:rsidRDefault="004722A1" w:rsidP="00F43BB8">
            <w:pPr>
              <w:jc w:val="center"/>
              <w:rPr>
                <w:rFonts w:cstheme="minorHAnsi"/>
                <w:sz w:val="20"/>
                <w:szCs w:val="20"/>
              </w:rPr>
            </w:pPr>
            <w:r w:rsidRPr="00690046">
              <w:rPr>
                <w:rFonts w:cstheme="minorHAnsi"/>
                <w:sz w:val="20"/>
                <w:szCs w:val="20"/>
              </w:rPr>
              <w:t>3,293</w:t>
            </w:r>
          </w:p>
        </w:tc>
        <w:tc>
          <w:tcPr>
            <w:tcW w:w="0" w:type="auto"/>
            <w:tcBorders>
              <w:top w:val="nil"/>
              <w:left w:val="nil"/>
              <w:bottom w:val="nil"/>
              <w:right w:val="nil"/>
            </w:tcBorders>
            <w:tcMar>
              <w:top w:w="15" w:type="dxa"/>
              <w:left w:w="15" w:type="dxa"/>
              <w:bottom w:w="0" w:type="dxa"/>
              <w:right w:w="15" w:type="dxa"/>
            </w:tcMar>
            <w:vAlign w:val="center"/>
            <w:hideMark/>
          </w:tcPr>
          <w:p w14:paraId="6CBF6435" w14:textId="77777777" w:rsidR="004722A1" w:rsidRPr="00690046" w:rsidRDefault="004722A1" w:rsidP="00F43BB8">
            <w:pPr>
              <w:jc w:val="center"/>
              <w:rPr>
                <w:rFonts w:cstheme="minorHAnsi"/>
                <w:sz w:val="20"/>
                <w:szCs w:val="20"/>
              </w:rPr>
            </w:pPr>
            <w:r w:rsidRPr="00690046">
              <w:rPr>
                <w:rFonts w:cstheme="minorHAnsi"/>
                <w:sz w:val="20"/>
                <w:szCs w:val="20"/>
              </w:rPr>
              <w:t>7,275</w:t>
            </w:r>
          </w:p>
        </w:tc>
        <w:tc>
          <w:tcPr>
            <w:tcW w:w="0" w:type="auto"/>
            <w:tcBorders>
              <w:top w:val="nil"/>
              <w:left w:val="nil"/>
              <w:bottom w:val="nil"/>
              <w:right w:val="nil"/>
            </w:tcBorders>
            <w:tcMar>
              <w:top w:w="15" w:type="dxa"/>
              <w:left w:w="15" w:type="dxa"/>
              <w:bottom w:w="0" w:type="dxa"/>
              <w:right w:w="15" w:type="dxa"/>
            </w:tcMar>
            <w:vAlign w:val="center"/>
            <w:hideMark/>
          </w:tcPr>
          <w:p w14:paraId="05743D85" w14:textId="77777777" w:rsidR="004722A1" w:rsidRPr="00690046" w:rsidRDefault="004722A1" w:rsidP="00F43BB8">
            <w:pPr>
              <w:jc w:val="center"/>
              <w:rPr>
                <w:rFonts w:cstheme="minorHAnsi"/>
                <w:sz w:val="20"/>
                <w:szCs w:val="20"/>
              </w:rPr>
            </w:pPr>
            <w:r w:rsidRPr="00690046">
              <w:rPr>
                <w:rFonts w:cstheme="minorHAnsi"/>
                <w:sz w:val="20"/>
                <w:szCs w:val="20"/>
              </w:rPr>
              <w:t>LM</w:t>
            </w:r>
          </w:p>
        </w:tc>
        <w:tc>
          <w:tcPr>
            <w:tcW w:w="0" w:type="auto"/>
            <w:tcBorders>
              <w:top w:val="nil"/>
              <w:left w:val="nil"/>
              <w:bottom w:val="nil"/>
              <w:right w:val="nil"/>
            </w:tcBorders>
            <w:tcMar>
              <w:top w:w="15" w:type="dxa"/>
              <w:left w:w="15" w:type="dxa"/>
              <w:bottom w:w="0" w:type="dxa"/>
              <w:right w:w="15" w:type="dxa"/>
            </w:tcMar>
            <w:vAlign w:val="center"/>
            <w:hideMark/>
          </w:tcPr>
          <w:p w14:paraId="5768B8F5" w14:textId="77777777" w:rsidR="004722A1" w:rsidRPr="00690046" w:rsidRDefault="004722A1" w:rsidP="00F43BB8">
            <w:pPr>
              <w:jc w:val="center"/>
              <w:rPr>
                <w:rFonts w:cstheme="minorHAnsi"/>
                <w:sz w:val="20"/>
                <w:szCs w:val="20"/>
              </w:rPr>
            </w:pPr>
            <w:r w:rsidRPr="00690046">
              <w:rPr>
                <w:rFonts w:cstheme="minorHAnsi"/>
                <w:sz w:val="20"/>
                <w:szCs w:val="20"/>
              </w:rPr>
              <w:t>16.6</w:t>
            </w:r>
          </w:p>
        </w:tc>
      </w:tr>
      <w:tr w:rsidR="004722A1" w:rsidRPr="00690046" w14:paraId="3BCE8654"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13D23349" w14:textId="77777777" w:rsidR="004722A1" w:rsidRPr="00690046" w:rsidRDefault="004722A1" w:rsidP="00F43BB8">
            <w:pPr>
              <w:jc w:val="both"/>
              <w:rPr>
                <w:rFonts w:cstheme="minorHAnsi"/>
                <w:sz w:val="20"/>
                <w:szCs w:val="20"/>
              </w:rPr>
            </w:pPr>
            <w:r w:rsidRPr="00690046">
              <w:rPr>
                <w:rFonts w:cstheme="minorHAnsi"/>
                <w:sz w:val="20"/>
                <w:szCs w:val="20"/>
              </w:rPr>
              <w:t>Comoros</w:t>
            </w:r>
          </w:p>
        </w:tc>
        <w:tc>
          <w:tcPr>
            <w:tcW w:w="0" w:type="auto"/>
            <w:tcBorders>
              <w:top w:val="nil"/>
              <w:left w:val="nil"/>
              <w:bottom w:val="nil"/>
              <w:right w:val="nil"/>
            </w:tcBorders>
            <w:tcMar>
              <w:top w:w="15" w:type="dxa"/>
              <w:left w:w="15" w:type="dxa"/>
              <w:bottom w:w="0" w:type="dxa"/>
              <w:right w:w="15" w:type="dxa"/>
            </w:tcMar>
            <w:vAlign w:val="center"/>
            <w:hideMark/>
          </w:tcPr>
          <w:p w14:paraId="02063950" w14:textId="77777777" w:rsidR="004722A1" w:rsidRPr="00690046" w:rsidRDefault="004722A1" w:rsidP="00F43BB8">
            <w:pPr>
              <w:jc w:val="center"/>
              <w:rPr>
                <w:rFonts w:cstheme="minorHAnsi"/>
                <w:sz w:val="20"/>
                <w:szCs w:val="20"/>
              </w:rPr>
            </w:pPr>
            <w:r w:rsidRPr="00690046">
              <w:rPr>
                <w:rFonts w:cstheme="minorHAnsi"/>
                <w:sz w:val="20"/>
                <w:szCs w:val="20"/>
              </w:rPr>
              <w:t>829,245</w:t>
            </w:r>
          </w:p>
        </w:tc>
        <w:tc>
          <w:tcPr>
            <w:tcW w:w="0" w:type="auto"/>
            <w:tcBorders>
              <w:top w:val="nil"/>
              <w:left w:val="nil"/>
              <w:bottom w:val="nil"/>
              <w:right w:val="nil"/>
            </w:tcBorders>
            <w:tcMar>
              <w:top w:w="15" w:type="dxa"/>
              <w:left w:w="15" w:type="dxa"/>
              <w:bottom w:w="0" w:type="dxa"/>
              <w:right w:w="15" w:type="dxa"/>
            </w:tcMar>
            <w:vAlign w:val="center"/>
            <w:hideMark/>
          </w:tcPr>
          <w:p w14:paraId="43D1519B" w14:textId="77777777" w:rsidR="004722A1" w:rsidRPr="00690046" w:rsidRDefault="004722A1" w:rsidP="00F43BB8">
            <w:pPr>
              <w:jc w:val="center"/>
              <w:rPr>
                <w:rFonts w:cstheme="minorHAnsi"/>
                <w:sz w:val="20"/>
                <w:szCs w:val="20"/>
              </w:rPr>
            </w:pPr>
            <w:r w:rsidRPr="00690046">
              <w:rPr>
                <w:rFonts w:cstheme="minorHAnsi"/>
                <w:sz w:val="20"/>
                <w:szCs w:val="20"/>
              </w:rPr>
              <w:t>160/195</w:t>
            </w:r>
          </w:p>
        </w:tc>
        <w:tc>
          <w:tcPr>
            <w:tcW w:w="0" w:type="auto"/>
            <w:tcBorders>
              <w:top w:val="nil"/>
              <w:left w:val="nil"/>
              <w:bottom w:val="nil"/>
              <w:right w:val="nil"/>
            </w:tcBorders>
            <w:tcMar>
              <w:top w:w="15" w:type="dxa"/>
              <w:left w:w="15" w:type="dxa"/>
              <w:bottom w:w="0" w:type="dxa"/>
              <w:right w:w="15" w:type="dxa"/>
            </w:tcMar>
            <w:vAlign w:val="center"/>
            <w:hideMark/>
          </w:tcPr>
          <w:p w14:paraId="50349335" w14:textId="77777777" w:rsidR="004722A1" w:rsidRPr="00690046" w:rsidRDefault="004722A1" w:rsidP="00F43BB8">
            <w:pPr>
              <w:jc w:val="center"/>
              <w:rPr>
                <w:rFonts w:cstheme="minorHAnsi"/>
                <w:sz w:val="20"/>
                <w:szCs w:val="20"/>
              </w:rPr>
            </w:pPr>
            <w:r w:rsidRPr="00690046">
              <w:rPr>
                <w:rFonts w:cstheme="minorHAnsi"/>
                <w:sz w:val="20"/>
                <w:szCs w:val="20"/>
              </w:rPr>
              <w:t>1,861</w:t>
            </w:r>
          </w:p>
        </w:tc>
        <w:tc>
          <w:tcPr>
            <w:tcW w:w="0" w:type="auto"/>
            <w:tcBorders>
              <w:top w:val="nil"/>
              <w:left w:val="nil"/>
              <w:bottom w:val="nil"/>
              <w:right w:val="nil"/>
            </w:tcBorders>
            <w:tcMar>
              <w:top w:w="15" w:type="dxa"/>
              <w:left w:w="15" w:type="dxa"/>
              <w:bottom w:w="0" w:type="dxa"/>
              <w:right w:w="15" w:type="dxa"/>
            </w:tcMar>
            <w:vAlign w:val="center"/>
            <w:hideMark/>
          </w:tcPr>
          <w:p w14:paraId="0C003851" w14:textId="77777777" w:rsidR="004722A1" w:rsidRPr="00690046" w:rsidRDefault="004722A1" w:rsidP="00F43BB8">
            <w:pPr>
              <w:jc w:val="center"/>
              <w:rPr>
                <w:rFonts w:cstheme="minorHAnsi"/>
                <w:sz w:val="20"/>
                <w:szCs w:val="20"/>
              </w:rPr>
            </w:pPr>
            <w:r w:rsidRPr="00690046">
              <w:rPr>
                <w:rFonts w:cstheme="minorHAnsi"/>
                <w:sz w:val="20"/>
                <w:szCs w:val="20"/>
              </w:rPr>
              <w:t>446</w:t>
            </w:r>
          </w:p>
        </w:tc>
        <w:tc>
          <w:tcPr>
            <w:tcW w:w="0" w:type="auto"/>
            <w:tcBorders>
              <w:top w:val="nil"/>
              <w:left w:val="nil"/>
              <w:bottom w:val="nil"/>
              <w:right w:val="nil"/>
            </w:tcBorders>
            <w:tcMar>
              <w:top w:w="15" w:type="dxa"/>
              <w:left w:w="15" w:type="dxa"/>
              <w:bottom w:w="0" w:type="dxa"/>
              <w:right w:w="15" w:type="dxa"/>
            </w:tcMar>
            <w:vAlign w:val="center"/>
            <w:hideMark/>
          </w:tcPr>
          <w:p w14:paraId="7F7D29A7" w14:textId="77777777" w:rsidR="004722A1" w:rsidRPr="00690046" w:rsidRDefault="004722A1" w:rsidP="00F43BB8">
            <w:pPr>
              <w:jc w:val="center"/>
              <w:rPr>
                <w:rFonts w:cstheme="minorHAnsi"/>
                <w:sz w:val="20"/>
                <w:szCs w:val="20"/>
              </w:rPr>
            </w:pPr>
            <w:r w:rsidRPr="00690046">
              <w:rPr>
                <w:rFonts w:cstheme="minorHAnsi"/>
                <w:sz w:val="20"/>
                <w:szCs w:val="20"/>
              </w:rPr>
              <w:t>1,577</w:t>
            </w:r>
          </w:p>
        </w:tc>
        <w:tc>
          <w:tcPr>
            <w:tcW w:w="0" w:type="auto"/>
            <w:tcBorders>
              <w:top w:val="nil"/>
              <w:left w:val="nil"/>
              <w:bottom w:val="nil"/>
              <w:right w:val="nil"/>
            </w:tcBorders>
            <w:tcMar>
              <w:top w:w="15" w:type="dxa"/>
              <w:left w:w="15" w:type="dxa"/>
              <w:bottom w:w="0" w:type="dxa"/>
              <w:right w:w="15" w:type="dxa"/>
            </w:tcMar>
            <w:vAlign w:val="center"/>
            <w:hideMark/>
          </w:tcPr>
          <w:p w14:paraId="7FB3EEA4" w14:textId="77777777" w:rsidR="004722A1" w:rsidRPr="00690046" w:rsidRDefault="004722A1" w:rsidP="00F43BB8">
            <w:pPr>
              <w:jc w:val="center"/>
              <w:rPr>
                <w:rFonts w:cstheme="minorHAnsi"/>
                <w:sz w:val="20"/>
                <w:szCs w:val="20"/>
              </w:rPr>
            </w:pPr>
            <w:r w:rsidRPr="00690046">
              <w:rPr>
                <w:rFonts w:cstheme="minorHAnsi"/>
                <w:sz w:val="20"/>
                <w:szCs w:val="20"/>
              </w:rPr>
              <w:t>3,563</w:t>
            </w:r>
          </w:p>
        </w:tc>
        <w:tc>
          <w:tcPr>
            <w:tcW w:w="0" w:type="auto"/>
            <w:tcBorders>
              <w:top w:val="nil"/>
              <w:left w:val="nil"/>
              <w:bottom w:val="nil"/>
              <w:right w:val="nil"/>
            </w:tcBorders>
            <w:tcMar>
              <w:top w:w="15" w:type="dxa"/>
              <w:left w:w="15" w:type="dxa"/>
              <w:bottom w:w="0" w:type="dxa"/>
              <w:right w:w="15" w:type="dxa"/>
            </w:tcMar>
            <w:vAlign w:val="center"/>
            <w:hideMark/>
          </w:tcPr>
          <w:p w14:paraId="34D6F6E6" w14:textId="77777777" w:rsidR="004722A1" w:rsidRPr="00690046" w:rsidRDefault="004722A1" w:rsidP="00F43BB8">
            <w:pPr>
              <w:jc w:val="center"/>
              <w:rPr>
                <w:rFonts w:cstheme="minorHAnsi"/>
                <w:sz w:val="20"/>
                <w:szCs w:val="20"/>
              </w:rPr>
            </w:pPr>
            <w:r w:rsidRPr="00690046">
              <w:rPr>
                <w:rFonts w:cstheme="minorHAnsi"/>
                <w:sz w:val="20"/>
                <w:szCs w:val="20"/>
              </w:rPr>
              <w:t>LM</w:t>
            </w:r>
          </w:p>
        </w:tc>
        <w:tc>
          <w:tcPr>
            <w:tcW w:w="0" w:type="auto"/>
            <w:tcBorders>
              <w:top w:val="nil"/>
              <w:left w:val="nil"/>
              <w:bottom w:val="nil"/>
              <w:right w:val="nil"/>
            </w:tcBorders>
            <w:tcMar>
              <w:top w:w="15" w:type="dxa"/>
              <w:left w:w="15" w:type="dxa"/>
              <w:bottom w:w="0" w:type="dxa"/>
              <w:right w:w="15" w:type="dxa"/>
            </w:tcMar>
            <w:vAlign w:val="center"/>
            <w:hideMark/>
          </w:tcPr>
          <w:p w14:paraId="35CAAFFE" w14:textId="77777777" w:rsidR="004722A1" w:rsidRPr="00690046" w:rsidRDefault="004722A1" w:rsidP="00F43BB8">
            <w:pPr>
              <w:jc w:val="center"/>
              <w:rPr>
                <w:rFonts w:cstheme="minorHAnsi"/>
                <w:sz w:val="20"/>
                <w:szCs w:val="20"/>
              </w:rPr>
            </w:pPr>
            <w:r w:rsidRPr="00690046">
              <w:rPr>
                <w:rFonts w:cstheme="minorHAnsi"/>
                <w:sz w:val="20"/>
                <w:szCs w:val="20"/>
              </w:rPr>
              <w:t>12.4</w:t>
            </w:r>
          </w:p>
        </w:tc>
      </w:tr>
      <w:tr w:rsidR="004722A1" w:rsidRPr="00690046" w14:paraId="3EFAE690"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7D04234C" w14:textId="77777777" w:rsidR="004722A1" w:rsidRPr="00690046" w:rsidRDefault="004722A1" w:rsidP="00F43BB8">
            <w:pPr>
              <w:jc w:val="both"/>
              <w:rPr>
                <w:rFonts w:cstheme="minorHAnsi"/>
                <w:sz w:val="20"/>
                <w:szCs w:val="20"/>
              </w:rPr>
            </w:pPr>
            <w:r w:rsidRPr="00690046">
              <w:rPr>
                <w:rFonts w:cstheme="minorHAnsi"/>
                <w:sz w:val="20"/>
                <w:szCs w:val="20"/>
              </w:rPr>
              <w:t>Djibouti</w:t>
            </w:r>
          </w:p>
        </w:tc>
        <w:tc>
          <w:tcPr>
            <w:tcW w:w="0" w:type="auto"/>
            <w:tcBorders>
              <w:top w:val="nil"/>
              <w:left w:val="nil"/>
              <w:bottom w:val="nil"/>
              <w:right w:val="nil"/>
            </w:tcBorders>
            <w:tcMar>
              <w:top w:w="15" w:type="dxa"/>
              <w:left w:w="15" w:type="dxa"/>
              <w:bottom w:w="0" w:type="dxa"/>
              <w:right w:w="15" w:type="dxa"/>
            </w:tcMar>
            <w:vAlign w:val="center"/>
            <w:hideMark/>
          </w:tcPr>
          <w:p w14:paraId="22CB1232" w14:textId="77777777" w:rsidR="004722A1" w:rsidRPr="00690046" w:rsidRDefault="004722A1" w:rsidP="00F43BB8">
            <w:pPr>
              <w:jc w:val="center"/>
              <w:rPr>
                <w:rFonts w:cstheme="minorHAnsi"/>
                <w:sz w:val="20"/>
                <w:szCs w:val="20"/>
              </w:rPr>
            </w:pPr>
            <w:r w:rsidRPr="00690046">
              <w:rPr>
                <w:rFonts w:cstheme="minorHAnsi"/>
                <w:sz w:val="20"/>
                <w:szCs w:val="20"/>
              </w:rPr>
              <w:t>1,113,147</w:t>
            </w:r>
          </w:p>
        </w:tc>
        <w:tc>
          <w:tcPr>
            <w:tcW w:w="0" w:type="auto"/>
            <w:tcBorders>
              <w:top w:val="nil"/>
              <w:left w:val="nil"/>
              <w:bottom w:val="nil"/>
              <w:right w:val="nil"/>
            </w:tcBorders>
            <w:tcMar>
              <w:top w:w="15" w:type="dxa"/>
              <w:left w:w="15" w:type="dxa"/>
              <w:bottom w:w="0" w:type="dxa"/>
              <w:right w:w="15" w:type="dxa"/>
            </w:tcMar>
            <w:vAlign w:val="center"/>
            <w:hideMark/>
          </w:tcPr>
          <w:p w14:paraId="6385DE1B" w14:textId="77777777" w:rsidR="004722A1" w:rsidRPr="00690046" w:rsidRDefault="004722A1" w:rsidP="00F43BB8">
            <w:pPr>
              <w:jc w:val="center"/>
              <w:rPr>
                <w:rFonts w:cstheme="minorHAnsi"/>
                <w:sz w:val="20"/>
                <w:szCs w:val="20"/>
              </w:rPr>
            </w:pPr>
            <w:r w:rsidRPr="00690046">
              <w:rPr>
                <w:rFonts w:cstheme="minorHAnsi"/>
                <w:sz w:val="20"/>
                <w:szCs w:val="20"/>
              </w:rPr>
              <w:t>158/195</w:t>
            </w:r>
          </w:p>
        </w:tc>
        <w:tc>
          <w:tcPr>
            <w:tcW w:w="0" w:type="auto"/>
            <w:tcBorders>
              <w:top w:val="nil"/>
              <w:left w:val="nil"/>
              <w:bottom w:val="nil"/>
              <w:right w:val="nil"/>
            </w:tcBorders>
            <w:tcMar>
              <w:top w:w="15" w:type="dxa"/>
              <w:left w:w="15" w:type="dxa"/>
              <w:bottom w:w="0" w:type="dxa"/>
              <w:right w:w="15" w:type="dxa"/>
            </w:tcMar>
            <w:vAlign w:val="center"/>
            <w:hideMark/>
          </w:tcPr>
          <w:p w14:paraId="21A698C3" w14:textId="77777777" w:rsidR="004722A1" w:rsidRPr="00690046" w:rsidRDefault="004722A1" w:rsidP="00F43BB8">
            <w:pPr>
              <w:jc w:val="center"/>
              <w:rPr>
                <w:rFonts w:cstheme="minorHAnsi"/>
                <w:sz w:val="20"/>
                <w:szCs w:val="20"/>
              </w:rPr>
            </w:pPr>
            <w:r w:rsidRPr="00690046">
              <w:rPr>
                <w:rFonts w:cstheme="minorHAnsi"/>
                <w:sz w:val="20"/>
                <w:szCs w:val="20"/>
              </w:rPr>
              <w:t>23,180</w:t>
            </w:r>
          </w:p>
        </w:tc>
        <w:tc>
          <w:tcPr>
            <w:tcW w:w="0" w:type="auto"/>
            <w:tcBorders>
              <w:top w:val="nil"/>
              <w:left w:val="nil"/>
              <w:bottom w:val="nil"/>
              <w:right w:val="nil"/>
            </w:tcBorders>
            <w:tcMar>
              <w:top w:w="15" w:type="dxa"/>
              <w:left w:w="15" w:type="dxa"/>
              <w:bottom w:w="0" w:type="dxa"/>
              <w:right w:w="15" w:type="dxa"/>
            </w:tcMar>
            <w:vAlign w:val="center"/>
            <w:hideMark/>
          </w:tcPr>
          <w:p w14:paraId="0F3F3A59" w14:textId="77777777" w:rsidR="004722A1" w:rsidRPr="00690046" w:rsidRDefault="004722A1" w:rsidP="00F43BB8">
            <w:pPr>
              <w:jc w:val="center"/>
              <w:rPr>
                <w:rFonts w:cstheme="minorHAnsi"/>
                <w:sz w:val="20"/>
                <w:szCs w:val="20"/>
              </w:rPr>
            </w:pPr>
            <w:r w:rsidRPr="00690046">
              <w:rPr>
                <w:rFonts w:cstheme="minorHAnsi"/>
                <w:sz w:val="20"/>
                <w:szCs w:val="20"/>
              </w:rPr>
              <w:t>48</w:t>
            </w:r>
          </w:p>
        </w:tc>
        <w:tc>
          <w:tcPr>
            <w:tcW w:w="0" w:type="auto"/>
            <w:tcBorders>
              <w:top w:val="nil"/>
              <w:left w:val="nil"/>
              <w:bottom w:val="nil"/>
              <w:right w:val="nil"/>
            </w:tcBorders>
            <w:tcMar>
              <w:top w:w="15" w:type="dxa"/>
              <w:left w:w="15" w:type="dxa"/>
              <w:bottom w:w="0" w:type="dxa"/>
              <w:right w:w="15" w:type="dxa"/>
            </w:tcMar>
            <w:vAlign w:val="center"/>
            <w:hideMark/>
          </w:tcPr>
          <w:p w14:paraId="07AE2314" w14:textId="77777777" w:rsidR="004722A1" w:rsidRPr="00690046" w:rsidRDefault="004722A1" w:rsidP="00F43BB8">
            <w:pPr>
              <w:jc w:val="center"/>
              <w:rPr>
                <w:rFonts w:cstheme="minorHAnsi"/>
                <w:sz w:val="20"/>
                <w:szCs w:val="20"/>
              </w:rPr>
            </w:pPr>
            <w:r w:rsidRPr="00690046">
              <w:rPr>
                <w:rFonts w:cstheme="minorHAnsi"/>
                <w:sz w:val="20"/>
                <w:szCs w:val="20"/>
              </w:rPr>
              <w:t>3,150</w:t>
            </w:r>
          </w:p>
        </w:tc>
        <w:tc>
          <w:tcPr>
            <w:tcW w:w="0" w:type="auto"/>
            <w:tcBorders>
              <w:top w:val="nil"/>
              <w:left w:val="nil"/>
              <w:bottom w:val="nil"/>
              <w:right w:val="nil"/>
            </w:tcBorders>
            <w:tcMar>
              <w:top w:w="15" w:type="dxa"/>
              <w:left w:w="15" w:type="dxa"/>
              <w:bottom w:w="0" w:type="dxa"/>
              <w:right w:w="15" w:type="dxa"/>
            </w:tcMar>
            <w:vAlign w:val="center"/>
            <w:hideMark/>
          </w:tcPr>
          <w:p w14:paraId="3E847954" w14:textId="77777777" w:rsidR="004722A1" w:rsidRPr="00690046" w:rsidRDefault="004722A1" w:rsidP="00F43BB8">
            <w:pPr>
              <w:jc w:val="center"/>
              <w:rPr>
                <w:rFonts w:cstheme="minorHAnsi"/>
                <w:sz w:val="20"/>
                <w:szCs w:val="20"/>
              </w:rPr>
            </w:pPr>
            <w:r w:rsidRPr="00690046">
              <w:rPr>
                <w:rFonts w:cstheme="minorHAnsi"/>
                <w:sz w:val="20"/>
                <w:szCs w:val="20"/>
              </w:rPr>
              <w:t>5,421</w:t>
            </w:r>
          </w:p>
        </w:tc>
        <w:tc>
          <w:tcPr>
            <w:tcW w:w="0" w:type="auto"/>
            <w:tcBorders>
              <w:top w:val="nil"/>
              <w:left w:val="nil"/>
              <w:bottom w:val="nil"/>
              <w:right w:val="nil"/>
            </w:tcBorders>
            <w:tcMar>
              <w:top w:w="15" w:type="dxa"/>
              <w:left w:w="15" w:type="dxa"/>
              <w:bottom w:w="0" w:type="dxa"/>
              <w:right w:w="15" w:type="dxa"/>
            </w:tcMar>
            <w:vAlign w:val="center"/>
            <w:hideMark/>
          </w:tcPr>
          <w:p w14:paraId="7B2F54CB" w14:textId="77777777" w:rsidR="004722A1" w:rsidRPr="00690046" w:rsidRDefault="004722A1" w:rsidP="00F43BB8">
            <w:pPr>
              <w:jc w:val="center"/>
              <w:rPr>
                <w:rFonts w:cstheme="minorHAnsi"/>
                <w:sz w:val="20"/>
                <w:szCs w:val="20"/>
              </w:rPr>
            </w:pPr>
            <w:r w:rsidRPr="00690046">
              <w:rPr>
                <w:rFonts w:cstheme="minorHAnsi"/>
                <w:sz w:val="20"/>
                <w:szCs w:val="20"/>
              </w:rPr>
              <w:t>LM</w:t>
            </w:r>
          </w:p>
        </w:tc>
        <w:tc>
          <w:tcPr>
            <w:tcW w:w="0" w:type="auto"/>
            <w:tcBorders>
              <w:top w:val="nil"/>
              <w:left w:val="nil"/>
              <w:bottom w:val="nil"/>
              <w:right w:val="nil"/>
            </w:tcBorders>
            <w:tcMar>
              <w:top w:w="15" w:type="dxa"/>
              <w:left w:w="15" w:type="dxa"/>
              <w:bottom w:w="0" w:type="dxa"/>
              <w:right w:w="15" w:type="dxa"/>
            </w:tcMar>
            <w:vAlign w:val="center"/>
            <w:hideMark/>
          </w:tcPr>
          <w:p w14:paraId="61D4E24F" w14:textId="77777777" w:rsidR="004722A1" w:rsidRPr="00690046" w:rsidRDefault="004722A1" w:rsidP="00F43BB8">
            <w:pPr>
              <w:jc w:val="center"/>
              <w:rPr>
                <w:rFonts w:cstheme="minorHAnsi"/>
                <w:sz w:val="20"/>
                <w:szCs w:val="20"/>
              </w:rPr>
            </w:pPr>
            <w:r w:rsidRPr="00690046">
              <w:rPr>
                <w:rFonts w:cstheme="minorHAnsi"/>
                <w:sz w:val="20"/>
                <w:szCs w:val="20"/>
              </w:rPr>
              <w:t>15.4</w:t>
            </w:r>
          </w:p>
        </w:tc>
      </w:tr>
      <w:tr w:rsidR="004722A1" w:rsidRPr="00690046" w14:paraId="6CB8439A"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3A6BF170" w14:textId="77777777" w:rsidR="004722A1" w:rsidRPr="00690046" w:rsidRDefault="004722A1" w:rsidP="00F43BB8">
            <w:pPr>
              <w:jc w:val="both"/>
              <w:rPr>
                <w:rFonts w:cstheme="minorHAnsi"/>
                <w:sz w:val="20"/>
                <w:szCs w:val="20"/>
              </w:rPr>
            </w:pPr>
            <w:r w:rsidRPr="00690046">
              <w:rPr>
                <w:rFonts w:cstheme="minorHAnsi"/>
                <w:sz w:val="20"/>
                <w:szCs w:val="20"/>
              </w:rPr>
              <w:t>Eswatini</w:t>
            </w:r>
          </w:p>
        </w:tc>
        <w:tc>
          <w:tcPr>
            <w:tcW w:w="0" w:type="auto"/>
            <w:tcBorders>
              <w:top w:val="nil"/>
              <w:left w:val="nil"/>
              <w:bottom w:val="nil"/>
              <w:right w:val="nil"/>
            </w:tcBorders>
            <w:tcMar>
              <w:top w:w="15" w:type="dxa"/>
              <w:left w:w="15" w:type="dxa"/>
              <w:bottom w:w="0" w:type="dxa"/>
              <w:right w:w="15" w:type="dxa"/>
            </w:tcMar>
            <w:vAlign w:val="center"/>
            <w:hideMark/>
          </w:tcPr>
          <w:p w14:paraId="5A1A2855" w14:textId="77777777" w:rsidR="004722A1" w:rsidRPr="00690046" w:rsidRDefault="004722A1" w:rsidP="00F43BB8">
            <w:pPr>
              <w:jc w:val="center"/>
              <w:rPr>
                <w:rFonts w:cstheme="minorHAnsi"/>
                <w:sz w:val="20"/>
                <w:szCs w:val="20"/>
              </w:rPr>
            </w:pPr>
            <w:r w:rsidRPr="00690046">
              <w:rPr>
                <w:rFonts w:cstheme="minorHAnsi"/>
                <w:sz w:val="20"/>
                <w:szCs w:val="20"/>
              </w:rPr>
              <w:t>1,197,454</w:t>
            </w:r>
          </w:p>
        </w:tc>
        <w:tc>
          <w:tcPr>
            <w:tcW w:w="0" w:type="auto"/>
            <w:tcBorders>
              <w:top w:val="nil"/>
              <w:left w:val="nil"/>
              <w:bottom w:val="nil"/>
              <w:right w:val="nil"/>
            </w:tcBorders>
            <w:tcMar>
              <w:top w:w="15" w:type="dxa"/>
              <w:left w:w="15" w:type="dxa"/>
              <w:bottom w:w="0" w:type="dxa"/>
              <w:right w:w="15" w:type="dxa"/>
            </w:tcMar>
            <w:vAlign w:val="center"/>
            <w:hideMark/>
          </w:tcPr>
          <w:p w14:paraId="388A2C22" w14:textId="77777777" w:rsidR="004722A1" w:rsidRPr="00690046" w:rsidRDefault="004722A1" w:rsidP="00F43BB8">
            <w:pPr>
              <w:jc w:val="center"/>
              <w:rPr>
                <w:rFonts w:cstheme="minorHAnsi"/>
                <w:sz w:val="20"/>
                <w:szCs w:val="20"/>
              </w:rPr>
            </w:pPr>
            <w:r w:rsidRPr="00690046">
              <w:rPr>
                <w:rFonts w:cstheme="minorHAnsi"/>
                <w:sz w:val="20"/>
                <w:szCs w:val="20"/>
              </w:rPr>
              <w:t>157/195</w:t>
            </w:r>
          </w:p>
        </w:tc>
        <w:tc>
          <w:tcPr>
            <w:tcW w:w="0" w:type="auto"/>
            <w:tcBorders>
              <w:top w:val="nil"/>
              <w:left w:val="nil"/>
              <w:bottom w:val="nil"/>
              <w:right w:val="nil"/>
            </w:tcBorders>
            <w:tcMar>
              <w:top w:w="15" w:type="dxa"/>
              <w:left w:w="15" w:type="dxa"/>
              <w:bottom w:w="0" w:type="dxa"/>
              <w:right w:w="15" w:type="dxa"/>
            </w:tcMar>
            <w:vAlign w:val="center"/>
            <w:hideMark/>
          </w:tcPr>
          <w:p w14:paraId="27CBD35E" w14:textId="77777777" w:rsidR="004722A1" w:rsidRPr="00690046" w:rsidRDefault="004722A1" w:rsidP="00F43BB8">
            <w:pPr>
              <w:jc w:val="center"/>
              <w:rPr>
                <w:rFonts w:cstheme="minorHAnsi"/>
                <w:sz w:val="20"/>
                <w:szCs w:val="20"/>
              </w:rPr>
            </w:pPr>
            <w:r w:rsidRPr="00690046">
              <w:rPr>
                <w:rFonts w:cstheme="minorHAnsi"/>
                <w:sz w:val="20"/>
                <w:szCs w:val="20"/>
              </w:rPr>
              <w:t>17,200</w:t>
            </w:r>
          </w:p>
        </w:tc>
        <w:tc>
          <w:tcPr>
            <w:tcW w:w="0" w:type="auto"/>
            <w:tcBorders>
              <w:top w:val="nil"/>
              <w:left w:val="nil"/>
              <w:bottom w:val="nil"/>
              <w:right w:val="nil"/>
            </w:tcBorders>
            <w:tcMar>
              <w:top w:w="15" w:type="dxa"/>
              <w:left w:w="15" w:type="dxa"/>
              <w:bottom w:w="0" w:type="dxa"/>
              <w:right w:w="15" w:type="dxa"/>
            </w:tcMar>
            <w:vAlign w:val="center"/>
            <w:hideMark/>
          </w:tcPr>
          <w:p w14:paraId="51788DC5" w14:textId="77777777" w:rsidR="004722A1" w:rsidRPr="00690046" w:rsidRDefault="004722A1" w:rsidP="00F43BB8">
            <w:pPr>
              <w:jc w:val="center"/>
              <w:rPr>
                <w:rFonts w:cstheme="minorHAnsi"/>
                <w:sz w:val="20"/>
                <w:szCs w:val="20"/>
              </w:rPr>
            </w:pPr>
            <w:r w:rsidRPr="00690046">
              <w:rPr>
                <w:rFonts w:cstheme="minorHAnsi"/>
                <w:sz w:val="20"/>
                <w:szCs w:val="20"/>
              </w:rPr>
              <w:t>70</w:t>
            </w:r>
          </w:p>
        </w:tc>
        <w:tc>
          <w:tcPr>
            <w:tcW w:w="0" w:type="auto"/>
            <w:tcBorders>
              <w:top w:val="nil"/>
              <w:left w:val="nil"/>
              <w:bottom w:val="nil"/>
              <w:right w:val="nil"/>
            </w:tcBorders>
            <w:tcMar>
              <w:top w:w="15" w:type="dxa"/>
              <w:left w:w="15" w:type="dxa"/>
              <w:bottom w:w="0" w:type="dxa"/>
              <w:right w:w="15" w:type="dxa"/>
            </w:tcMar>
            <w:vAlign w:val="center"/>
            <w:hideMark/>
          </w:tcPr>
          <w:p w14:paraId="18E3A97E" w14:textId="77777777" w:rsidR="004722A1" w:rsidRPr="00690046" w:rsidRDefault="004722A1" w:rsidP="00F43BB8">
            <w:pPr>
              <w:jc w:val="center"/>
              <w:rPr>
                <w:rFonts w:cstheme="minorHAnsi"/>
                <w:sz w:val="20"/>
                <w:szCs w:val="20"/>
              </w:rPr>
            </w:pPr>
            <w:r w:rsidRPr="00690046">
              <w:rPr>
                <w:rFonts w:cstheme="minorHAnsi"/>
                <w:sz w:val="20"/>
                <w:szCs w:val="20"/>
              </w:rPr>
              <w:t>3,978</w:t>
            </w:r>
          </w:p>
        </w:tc>
        <w:tc>
          <w:tcPr>
            <w:tcW w:w="0" w:type="auto"/>
            <w:tcBorders>
              <w:top w:val="nil"/>
              <w:left w:val="nil"/>
              <w:bottom w:val="nil"/>
              <w:right w:val="nil"/>
            </w:tcBorders>
            <w:tcMar>
              <w:top w:w="15" w:type="dxa"/>
              <w:left w:w="15" w:type="dxa"/>
              <w:bottom w:w="0" w:type="dxa"/>
              <w:right w:w="15" w:type="dxa"/>
            </w:tcMar>
            <w:vAlign w:val="center"/>
            <w:hideMark/>
          </w:tcPr>
          <w:p w14:paraId="70EA01F7" w14:textId="77777777" w:rsidR="004722A1" w:rsidRPr="00690046" w:rsidRDefault="004722A1" w:rsidP="00F43BB8">
            <w:pPr>
              <w:jc w:val="center"/>
              <w:rPr>
                <w:rFonts w:cstheme="minorHAnsi"/>
                <w:sz w:val="20"/>
                <w:szCs w:val="20"/>
              </w:rPr>
            </w:pPr>
            <w:r w:rsidRPr="00690046">
              <w:rPr>
                <w:rFonts w:cstheme="minorHAnsi"/>
                <w:sz w:val="20"/>
                <w:szCs w:val="20"/>
              </w:rPr>
              <w:t>9,773</w:t>
            </w:r>
          </w:p>
        </w:tc>
        <w:tc>
          <w:tcPr>
            <w:tcW w:w="0" w:type="auto"/>
            <w:tcBorders>
              <w:top w:val="nil"/>
              <w:left w:val="nil"/>
              <w:bottom w:val="nil"/>
              <w:right w:val="nil"/>
            </w:tcBorders>
            <w:tcMar>
              <w:top w:w="15" w:type="dxa"/>
              <w:left w:w="15" w:type="dxa"/>
              <w:bottom w:w="0" w:type="dxa"/>
              <w:right w:w="15" w:type="dxa"/>
            </w:tcMar>
            <w:vAlign w:val="center"/>
            <w:hideMark/>
          </w:tcPr>
          <w:p w14:paraId="5C5A4D9A" w14:textId="77777777" w:rsidR="004722A1" w:rsidRPr="00690046" w:rsidRDefault="004722A1" w:rsidP="00F43BB8">
            <w:pPr>
              <w:jc w:val="center"/>
              <w:rPr>
                <w:rFonts w:cstheme="minorHAnsi"/>
                <w:sz w:val="20"/>
                <w:szCs w:val="20"/>
              </w:rPr>
            </w:pPr>
            <w:r w:rsidRPr="00690046">
              <w:rPr>
                <w:rFonts w:cstheme="minorHAnsi"/>
                <w:sz w:val="20"/>
                <w:szCs w:val="20"/>
              </w:rPr>
              <w:t>LM</w:t>
            </w:r>
          </w:p>
        </w:tc>
        <w:tc>
          <w:tcPr>
            <w:tcW w:w="0" w:type="auto"/>
            <w:tcBorders>
              <w:top w:val="nil"/>
              <w:left w:val="nil"/>
              <w:bottom w:val="nil"/>
              <w:right w:val="nil"/>
            </w:tcBorders>
            <w:tcMar>
              <w:top w:w="15" w:type="dxa"/>
              <w:left w:w="15" w:type="dxa"/>
              <w:bottom w:w="0" w:type="dxa"/>
              <w:right w:w="15" w:type="dxa"/>
            </w:tcMar>
            <w:vAlign w:val="center"/>
            <w:hideMark/>
          </w:tcPr>
          <w:p w14:paraId="0F5FE3F1" w14:textId="77777777" w:rsidR="004722A1" w:rsidRPr="00690046" w:rsidRDefault="004722A1" w:rsidP="00F43BB8">
            <w:pPr>
              <w:jc w:val="center"/>
              <w:rPr>
                <w:rFonts w:cstheme="minorHAnsi"/>
                <w:sz w:val="20"/>
                <w:szCs w:val="20"/>
              </w:rPr>
            </w:pPr>
            <w:r w:rsidRPr="00690046">
              <w:rPr>
                <w:rFonts w:cstheme="minorHAnsi"/>
                <w:sz w:val="20"/>
                <w:szCs w:val="20"/>
              </w:rPr>
              <w:t>83.4</w:t>
            </w:r>
          </w:p>
        </w:tc>
      </w:tr>
      <w:tr w:rsidR="004722A1" w:rsidRPr="00690046" w14:paraId="00568A12"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74066DD8" w14:textId="77777777" w:rsidR="004722A1" w:rsidRPr="00690046" w:rsidRDefault="004722A1" w:rsidP="00F43BB8">
            <w:pPr>
              <w:jc w:val="both"/>
              <w:rPr>
                <w:rFonts w:cstheme="minorHAnsi"/>
                <w:sz w:val="20"/>
                <w:szCs w:val="20"/>
              </w:rPr>
            </w:pPr>
            <w:r w:rsidRPr="00690046">
              <w:rPr>
                <w:rFonts w:cstheme="minorHAnsi"/>
                <w:sz w:val="20"/>
                <w:szCs w:val="20"/>
              </w:rPr>
              <w:t>Equatorial Guinea</w:t>
            </w:r>
          </w:p>
        </w:tc>
        <w:tc>
          <w:tcPr>
            <w:tcW w:w="0" w:type="auto"/>
            <w:tcBorders>
              <w:top w:val="nil"/>
              <w:left w:val="nil"/>
              <w:bottom w:val="nil"/>
              <w:right w:val="nil"/>
            </w:tcBorders>
            <w:tcMar>
              <w:top w:w="15" w:type="dxa"/>
              <w:left w:w="15" w:type="dxa"/>
              <w:bottom w:w="0" w:type="dxa"/>
              <w:right w:w="15" w:type="dxa"/>
            </w:tcMar>
            <w:vAlign w:val="center"/>
            <w:hideMark/>
          </w:tcPr>
          <w:p w14:paraId="35B0DDE6" w14:textId="77777777" w:rsidR="004722A1" w:rsidRPr="00690046" w:rsidRDefault="004722A1" w:rsidP="00F43BB8">
            <w:pPr>
              <w:jc w:val="center"/>
              <w:rPr>
                <w:rFonts w:cstheme="minorHAnsi"/>
                <w:sz w:val="20"/>
                <w:szCs w:val="20"/>
              </w:rPr>
            </w:pPr>
            <w:r w:rsidRPr="00690046">
              <w:rPr>
                <w:rFonts w:cstheme="minorHAnsi"/>
                <w:sz w:val="20"/>
                <w:szCs w:val="20"/>
              </w:rPr>
              <w:t>1,655,207</w:t>
            </w:r>
          </w:p>
        </w:tc>
        <w:tc>
          <w:tcPr>
            <w:tcW w:w="0" w:type="auto"/>
            <w:tcBorders>
              <w:top w:val="nil"/>
              <w:left w:val="nil"/>
              <w:bottom w:val="nil"/>
              <w:right w:val="nil"/>
            </w:tcBorders>
            <w:tcMar>
              <w:top w:w="15" w:type="dxa"/>
              <w:left w:w="15" w:type="dxa"/>
              <w:bottom w:w="0" w:type="dxa"/>
              <w:right w:w="15" w:type="dxa"/>
            </w:tcMar>
            <w:vAlign w:val="center"/>
            <w:hideMark/>
          </w:tcPr>
          <w:p w14:paraId="5D3D7FB8" w14:textId="77777777" w:rsidR="004722A1" w:rsidRPr="00690046" w:rsidRDefault="004722A1" w:rsidP="00F43BB8">
            <w:pPr>
              <w:jc w:val="center"/>
              <w:rPr>
                <w:rFonts w:cstheme="minorHAnsi"/>
                <w:sz w:val="20"/>
                <w:szCs w:val="20"/>
              </w:rPr>
            </w:pPr>
            <w:r w:rsidRPr="00690046">
              <w:rPr>
                <w:rFonts w:cstheme="minorHAnsi"/>
                <w:sz w:val="20"/>
                <w:szCs w:val="20"/>
              </w:rPr>
              <w:t>150/195</w:t>
            </w:r>
          </w:p>
        </w:tc>
        <w:tc>
          <w:tcPr>
            <w:tcW w:w="0" w:type="auto"/>
            <w:tcBorders>
              <w:top w:val="nil"/>
              <w:left w:val="nil"/>
              <w:bottom w:val="nil"/>
              <w:right w:val="nil"/>
            </w:tcBorders>
            <w:tcMar>
              <w:top w:w="15" w:type="dxa"/>
              <w:left w:w="15" w:type="dxa"/>
              <w:bottom w:w="0" w:type="dxa"/>
              <w:right w:w="15" w:type="dxa"/>
            </w:tcMar>
            <w:vAlign w:val="center"/>
            <w:hideMark/>
          </w:tcPr>
          <w:p w14:paraId="1B599468" w14:textId="77777777" w:rsidR="004722A1" w:rsidRPr="00690046" w:rsidRDefault="004722A1" w:rsidP="00F43BB8">
            <w:pPr>
              <w:jc w:val="center"/>
              <w:rPr>
                <w:rFonts w:cstheme="minorHAnsi"/>
                <w:sz w:val="20"/>
                <w:szCs w:val="20"/>
              </w:rPr>
            </w:pPr>
            <w:r w:rsidRPr="00690046">
              <w:rPr>
                <w:rFonts w:cstheme="minorHAnsi"/>
                <w:sz w:val="20"/>
                <w:szCs w:val="20"/>
              </w:rPr>
              <w:t>28,050</w:t>
            </w:r>
          </w:p>
        </w:tc>
        <w:tc>
          <w:tcPr>
            <w:tcW w:w="0" w:type="auto"/>
            <w:tcBorders>
              <w:top w:val="nil"/>
              <w:left w:val="nil"/>
              <w:bottom w:val="nil"/>
              <w:right w:val="nil"/>
            </w:tcBorders>
            <w:tcMar>
              <w:top w:w="15" w:type="dxa"/>
              <w:left w:w="15" w:type="dxa"/>
              <w:bottom w:w="0" w:type="dxa"/>
              <w:right w:w="15" w:type="dxa"/>
            </w:tcMar>
            <w:vAlign w:val="center"/>
            <w:hideMark/>
          </w:tcPr>
          <w:p w14:paraId="569F1619" w14:textId="77777777" w:rsidR="004722A1" w:rsidRPr="00690046" w:rsidRDefault="004722A1" w:rsidP="00F43BB8">
            <w:pPr>
              <w:jc w:val="center"/>
              <w:rPr>
                <w:rFonts w:cstheme="minorHAnsi"/>
                <w:sz w:val="20"/>
                <w:szCs w:val="20"/>
              </w:rPr>
            </w:pPr>
            <w:r w:rsidRPr="00690046">
              <w:rPr>
                <w:rFonts w:cstheme="minorHAnsi"/>
                <w:sz w:val="20"/>
                <w:szCs w:val="20"/>
              </w:rPr>
              <w:t>59</w:t>
            </w:r>
          </w:p>
        </w:tc>
        <w:tc>
          <w:tcPr>
            <w:tcW w:w="0" w:type="auto"/>
            <w:tcBorders>
              <w:top w:val="nil"/>
              <w:left w:val="nil"/>
              <w:bottom w:val="nil"/>
              <w:right w:val="nil"/>
            </w:tcBorders>
            <w:tcMar>
              <w:top w:w="15" w:type="dxa"/>
              <w:left w:w="15" w:type="dxa"/>
              <w:bottom w:w="0" w:type="dxa"/>
              <w:right w:w="15" w:type="dxa"/>
            </w:tcMar>
            <w:vAlign w:val="center"/>
            <w:hideMark/>
          </w:tcPr>
          <w:p w14:paraId="301F9F64" w14:textId="77777777" w:rsidR="004722A1" w:rsidRPr="00690046" w:rsidRDefault="004722A1" w:rsidP="00F43BB8">
            <w:pPr>
              <w:jc w:val="center"/>
              <w:rPr>
                <w:rFonts w:cstheme="minorHAnsi"/>
                <w:sz w:val="20"/>
                <w:szCs w:val="20"/>
              </w:rPr>
            </w:pPr>
            <w:r w:rsidRPr="00690046">
              <w:rPr>
                <w:rFonts w:cstheme="minorHAnsi"/>
                <w:sz w:val="20"/>
                <w:szCs w:val="20"/>
              </w:rPr>
              <w:t>7,507</w:t>
            </w:r>
          </w:p>
        </w:tc>
        <w:tc>
          <w:tcPr>
            <w:tcW w:w="0" w:type="auto"/>
            <w:tcBorders>
              <w:top w:val="nil"/>
              <w:left w:val="nil"/>
              <w:bottom w:val="nil"/>
              <w:right w:val="nil"/>
            </w:tcBorders>
            <w:tcMar>
              <w:top w:w="15" w:type="dxa"/>
              <w:left w:w="15" w:type="dxa"/>
              <w:bottom w:w="0" w:type="dxa"/>
              <w:right w:w="15" w:type="dxa"/>
            </w:tcMar>
            <w:vAlign w:val="center"/>
            <w:hideMark/>
          </w:tcPr>
          <w:p w14:paraId="48327ECB" w14:textId="77777777" w:rsidR="004722A1" w:rsidRPr="00690046" w:rsidRDefault="004722A1" w:rsidP="00F43BB8">
            <w:pPr>
              <w:jc w:val="center"/>
              <w:rPr>
                <w:rFonts w:cstheme="minorHAnsi"/>
                <w:sz w:val="20"/>
                <w:szCs w:val="20"/>
              </w:rPr>
            </w:pPr>
            <w:r w:rsidRPr="00690046">
              <w:rPr>
                <w:rFonts w:cstheme="minorHAnsi"/>
                <w:sz w:val="20"/>
                <w:szCs w:val="20"/>
              </w:rPr>
              <w:t>16,151</w:t>
            </w:r>
          </w:p>
        </w:tc>
        <w:tc>
          <w:tcPr>
            <w:tcW w:w="0" w:type="auto"/>
            <w:tcBorders>
              <w:top w:val="nil"/>
              <w:left w:val="nil"/>
              <w:bottom w:val="nil"/>
              <w:right w:val="nil"/>
            </w:tcBorders>
            <w:tcMar>
              <w:top w:w="15" w:type="dxa"/>
              <w:left w:w="15" w:type="dxa"/>
              <w:bottom w:w="0" w:type="dxa"/>
              <w:right w:w="15" w:type="dxa"/>
            </w:tcMar>
            <w:vAlign w:val="center"/>
            <w:hideMark/>
          </w:tcPr>
          <w:p w14:paraId="543705D1" w14:textId="77777777" w:rsidR="004722A1" w:rsidRPr="00690046" w:rsidRDefault="004722A1" w:rsidP="00F43BB8">
            <w:pPr>
              <w:jc w:val="center"/>
              <w:rPr>
                <w:rFonts w:cstheme="minorHAnsi"/>
                <w:sz w:val="20"/>
                <w:szCs w:val="20"/>
              </w:rPr>
            </w:pPr>
            <w:r w:rsidRPr="00690046">
              <w:rPr>
                <w:rFonts w:cstheme="minorHAnsi"/>
                <w:sz w:val="20"/>
                <w:szCs w:val="20"/>
              </w:rPr>
              <w:t>UM</w:t>
            </w:r>
          </w:p>
        </w:tc>
        <w:tc>
          <w:tcPr>
            <w:tcW w:w="0" w:type="auto"/>
            <w:tcBorders>
              <w:top w:val="nil"/>
              <w:left w:val="nil"/>
              <w:bottom w:val="nil"/>
              <w:right w:val="nil"/>
            </w:tcBorders>
            <w:tcMar>
              <w:top w:w="15" w:type="dxa"/>
              <w:left w:w="15" w:type="dxa"/>
              <w:bottom w:w="0" w:type="dxa"/>
              <w:right w:w="15" w:type="dxa"/>
            </w:tcMar>
            <w:vAlign w:val="center"/>
            <w:hideMark/>
          </w:tcPr>
          <w:p w14:paraId="5DE6F51F" w14:textId="77777777" w:rsidR="004722A1" w:rsidRPr="00690046" w:rsidRDefault="004722A1" w:rsidP="00F43BB8">
            <w:pPr>
              <w:jc w:val="center"/>
              <w:rPr>
                <w:rFonts w:cstheme="minorHAnsi"/>
                <w:sz w:val="20"/>
                <w:szCs w:val="20"/>
              </w:rPr>
            </w:pPr>
            <w:r w:rsidRPr="00690046">
              <w:rPr>
                <w:rFonts w:cstheme="minorHAnsi"/>
                <w:sz w:val="20"/>
                <w:szCs w:val="20"/>
              </w:rPr>
              <w:t>5.2</w:t>
            </w:r>
          </w:p>
        </w:tc>
      </w:tr>
      <w:tr w:rsidR="004722A1" w:rsidRPr="00690046" w14:paraId="5EFCFA44"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12FB85EB" w14:textId="77777777" w:rsidR="004722A1" w:rsidRPr="00690046" w:rsidRDefault="004722A1" w:rsidP="00F43BB8">
            <w:pPr>
              <w:jc w:val="both"/>
              <w:rPr>
                <w:rFonts w:cstheme="minorHAnsi"/>
                <w:sz w:val="20"/>
                <w:szCs w:val="20"/>
              </w:rPr>
            </w:pPr>
            <w:r w:rsidRPr="00690046">
              <w:rPr>
                <w:rFonts w:cstheme="minorHAnsi"/>
                <w:sz w:val="20"/>
                <w:szCs w:val="20"/>
              </w:rPr>
              <w:t>Gabon</w:t>
            </w:r>
          </w:p>
        </w:tc>
        <w:tc>
          <w:tcPr>
            <w:tcW w:w="0" w:type="auto"/>
            <w:tcBorders>
              <w:top w:val="nil"/>
              <w:left w:val="nil"/>
              <w:bottom w:val="nil"/>
              <w:right w:val="nil"/>
            </w:tcBorders>
            <w:tcMar>
              <w:top w:w="15" w:type="dxa"/>
              <w:left w:w="15" w:type="dxa"/>
              <w:bottom w:w="0" w:type="dxa"/>
              <w:right w:w="15" w:type="dxa"/>
            </w:tcMar>
            <w:vAlign w:val="center"/>
            <w:hideMark/>
          </w:tcPr>
          <w:p w14:paraId="564D56BF" w14:textId="77777777" w:rsidR="004722A1" w:rsidRPr="00690046" w:rsidRDefault="004722A1" w:rsidP="00F43BB8">
            <w:pPr>
              <w:jc w:val="center"/>
              <w:rPr>
                <w:rFonts w:cstheme="minorHAnsi"/>
                <w:sz w:val="20"/>
                <w:szCs w:val="20"/>
              </w:rPr>
            </w:pPr>
            <w:r w:rsidRPr="00690046">
              <w:rPr>
                <w:rFonts w:cstheme="minorHAnsi"/>
                <w:sz w:val="20"/>
                <w:szCs w:val="20"/>
              </w:rPr>
              <w:t>2,365,207</w:t>
            </w:r>
          </w:p>
        </w:tc>
        <w:tc>
          <w:tcPr>
            <w:tcW w:w="0" w:type="auto"/>
            <w:tcBorders>
              <w:top w:val="nil"/>
              <w:left w:val="nil"/>
              <w:bottom w:val="nil"/>
              <w:right w:val="nil"/>
            </w:tcBorders>
            <w:tcMar>
              <w:top w:w="15" w:type="dxa"/>
              <w:left w:w="15" w:type="dxa"/>
              <w:bottom w:w="0" w:type="dxa"/>
              <w:right w:w="15" w:type="dxa"/>
            </w:tcMar>
            <w:vAlign w:val="center"/>
            <w:hideMark/>
          </w:tcPr>
          <w:p w14:paraId="7005C571" w14:textId="77777777" w:rsidR="004722A1" w:rsidRPr="00690046" w:rsidRDefault="004722A1" w:rsidP="00F43BB8">
            <w:pPr>
              <w:jc w:val="center"/>
              <w:rPr>
                <w:rFonts w:cstheme="minorHAnsi"/>
                <w:sz w:val="20"/>
                <w:szCs w:val="20"/>
              </w:rPr>
            </w:pPr>
            <w:r w:rsidRPr="00690046">
              <w:rPr>
                <w:rFonts w:cstheme="minorHAnsi"/>
                <w:sz w:val="20"/>
                <w:szCs w:val="20"/>
              </w:rPr>
              <w:t>144/195</w:t>
            </w:r>
          </w:p>
        </w:tc>
        <w:tc>
          <w:tcPr>
            <w:tcW w:w="0" w:type="auto"/>
            <w:tcBorders>
              <w:top w:val="nil"/>
              <w:left w:val="nil"/>
              <w:bottom w:val="nil"/>
              <w:right w:val="nil"/>
            </w:tcBorders>
            <w:tcMar>
              <w:top w:w="15" w:type="dxa"/>
              <w:left w:w="15" w:type="dxa"/>
              <w:bottom w:w="0" w:type="dxa"/>
              <w:right w:w="15" w:type="dxa"/>
            </w:tcMar>
            <w:vAlign w:val="center"/>
            <w:hideMark/>
          </w:tcPr>
          <w:p w14:paraId="28746D39" w14:textId="77777777" w:rsidR="004722A1" w:rsidRPr="00690046" w:rsidRDefault="004722A1" w:rsidP="00F43BB8">
            <w:pPr>
              <w:jc w:val="center"/>
              <w:rPr>
                <w:rFonts w:cstheme="minorHAnsi"/>
                <w:sz w:val="20"/>
                <w:szCs w:val="20"/>
              </w:rPr>
            </w:pPr>
            <w:r w:rsidRPr="00690046">
              <w:rPr>
                <w:rFonts w:cstheme="minorHAnsi"/>
                <w:sz w:val="20"/>
                <w:szCs w:val="20"/>
              </w:rPr>
              <w:t>257,670</w:t>
            </w:r>
          </w:p>
        </w:tc>
        <w:tc>
          <w:tcPr>
            <w:tcW w:w="0" w:type="auto"/>
            <w:tcBorders>
              <w:top w:val="nil"/>
              <w:left w:val="nil"/>
              <w:bottom w:val="nil"/>
              <w:right w:val="nil"/>
            </w:tcBorders>
            <w:tcMar>
              <w:top w:w="15" w:type="dxa"/>
              <w:left w:w="15" w:type="dxa"/>
              <w:bottom w:w="0" w:type="dxa"/>
              <w:right w:w="15" w:type="dxa"/>
            </w:tcMar>
            <w:vAlign w:val="center"/>
            <w:hideMark/>
          </w:tcPr>
          <w:p w14:paraId="158EF036" w14:textId="77777777" w:rsidR="004722A1" w:rsidRPr="00690046" w:rsidRDefault="004722A1" w:rsidP="00F43BB8">
            <w:pPr>
              <w:jc w:val="center"/>
              <w:rPr>
                <w:rFonts w:cstheme="minorHAnsi"/>
                <w:sz w:val="20"/>
                <w:szCs w:val="20"/>
              </w:rPr>
            </w:pPr>
            <w:r w:rsidRPr="00690046">
              <w:rPr>
                <w:rFonts w:cstheme="minorHAnsi"/>
                <w:sz w:val="20"/>
                <w:szCs w:val="20"/>
              </w:rPr>
              <w:t>9</w:t>
            </w:r>
          </w:p>
        </w:tc>
        <w:tc>
          <w:tcPr>
            <w:tcW w:w="0" w:type="auto"/>
            <w:tcBorders>
              <w:top w:val="nil"/>
              <w:left w:val="nil"/>
              <w:bottom w:val="nil"/>
              <w:right w:val="nil"/>
            </w:tcBorders>
            <w:tcMar>
              <w:top w:w="15" w:type="dxa"/>
              <w:left w:w="15" w:type="dxa"/>
              <w:bottom w:w="0" w:type="dxa"/>
              <w:right w:w="15" w:type="dxa"/>
            </w:tcMar>
            <w:vAlign w:val="center"/>
            <w:hideMark/>
          </w:tcPr>
          <w:p w14:paraId="27A20C8E" w14:textId="77777777" w:rsidR="004722A1" w:rsidRPr="00690046" w:rsidRDefault="004722A1" w:rsidP="00F43BB8">
            <w:pPr>
              <w:jc w:val="center"/>
              <w:rPr>
                <w:rFonts w:cstheme="minorHAnsi"/>
                <w:sz w:val="20"/>
                <w:szCs w:val="20"/>
              </w:rPr>
            </w:pPr>
            <w:r w:rsidRPr="00690046">
              <w:rPr>
                <w:rFonts w:cstheme="minorHAnsi"/>
                <w:sz w:val="20"/>
                <w:szCs w:val="20"/>
              </w:rPr>
              <w:t>8,635</w:t>
            </w:r>
          </w:p>
        </w:tc>
        <w:tc>
          <w:tcPr>
            <w:tcW w:w="0" w:type="auto"/>
            <w:tcBorders>
              <w:top w:val="nil"/>
              <w:left w:val="nil"/>
              <w:bottom w:val="nil"/>
              <w:right w:val="nil"/>
            </w:tcBorders>
            <w:tcMar>
              <w:top w:w="15" w:type="dxa"/>
              <w:left w:w="15" w:type="dxa"/>
              <w:bottom w:w="0" w:type="dxa"/>
              <w:right w:w="15" w:type="dxa"/>
            </w:tcMar>
            <w:vAlign w:val="center"/>
            <w:hideMark/>
          </w:tcPr>
          <w:p w14:paraId="0EC85B43" w14:textId="77777777" w:rsidR="004722A1" w:rsidRPr="00690046" w:rsidRDefault="004722A1" w:rsidP="00F43BB8">
            <w:pPr>
              <w:jc w:val="center"/>
              <w:rPr>
                <w:rFonts w:cstheme="minorHAnsi"/>
                <w:sz w:val="20"/>
                <w:szCs w:val="20"/>
              </w:rPr>
            </w:pPr>
            <w:r w:rsidRPr="00690046">
              <w:rPr>
                <w:rFonts w:cstheme="minorHAnsi"/>
                <w:sz w:val="20"/>
                <w:szCs w:val="20"/>
              </w:rPr>
              <w:t>15,244</w:t>
            </w:r>
          </w:p>
        </w:tc>
        <w:tc>
          <w:tcPr>
            <w:tcW w:w="0" w:type="auto"/>
            <w:tcBorders>
              <w:top w:val="nil"/>
              <w:left w:val="nil"/>
              <w:bottom w:val="nil"/>
              <w:right w:val="nil"/>
            </w:tcBorders>
            <w:tcMar>
              <w:top w:w="15" w:type="dxa"/>
              <w:left w:w="15" w:type="dxa"/>
              <w:bottom w:w="0" w:type="dxa"/>
              <w:right w:w="15" w:type="dxa"/>
            </w:tcMar>
            <w:vAlign w:val="center"/>
            <w:hideMark/>
          </w:tcPr>
          <w:p w14:paraId="3761CB3E" w14:textId="77777777" w:rsidR="004722A1" w:rsidRPr="00690046" w:rsidRDefault="004722A1" w:rsidP="00F43BB8">
            <w:pPr>
              <w:jc w:val="center"/>
              <w:rPr>
                <w:rFonts w:cstheme="minorHAnsi"/>
                <w:sz w:val="20"/>
                <w:szCs w:val="20"/>
              </w:rPr>
            </w:pPr>
            <w:r w:rsidRPr="00690046">
              <w:rPr>
                <w:rFonts w:cstheme="minorHAnsi"/>
                <w:sz w:val="20"/>
                <w:szCs w:val="20"/>
              </w:rPr>
              <w:t>UM</w:t>
            </w:r>
          </w:p>
        </w:tc>
        <w:tc>
          <w:tcPr>
            <w:tcW w:w="0" w:type="auto"/>
            <w:tcBorders>
              <w:top w:val="nil"/>
              <w:left w:val="nil"/>
              <w:bottom w:val="nil"/>
              <w:right w:val="nil"/>
            </w:tcBorders>
            <w:tcMar>
              <w:top w:w="15" w:type="dxa"/>
              <w:left w:w="15" w:type="dxa"/>
              <w:bottom w:w="0" w:type="dxa"/>
              <w:right w:w="15" w:type="dxa"/>
            </w:tcMar>
            <w:vAlign w:val="center"/>
            <w:hideMark/>
          </w:tcPr>
          <w:p w14:paraId="3DBEE250" w14:textId="77777777" w:rsidR="004722A1" w:rsidRPr="00690046" w:rsidRDefault="004722A1" w:rsidP="00F43BB8">
            <w:pPr>
              <w:jc w:val="center"/>
              <w:rPr>
                <w:rFonts w:cstheme="minorHAnsi"/>
                <w:sz w:val="20"/>
                <w:szCs w:val="20"/>
              </w:rPr>
            </w:pPr>
            <w:r w:rsidRPr="00690046">
              <w:rPr>
                <w:rFonts w:cstheme="minorHAnsi"/>
                <w:sz w:val="20"/>
                <w:szCs w:val="20"/>
              </w:rPr>
              <w:t>4.3</w:t>
            </w:r>
          </w:p>
        </w:tc>
      </w:tr>
      <w:tr w:rsidR="004722A1" w:rsidRPr="00690046" w14:paraId="3947D45A"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2A19EF6D" w14:textId="77777777" w:rsidR="004722A1" w:rsidRPr="00690046" w:rsidRDefault="004722A1" w:rsidP="00F43BB8">
            <w:pPr>
              <w:jc w:val="both"/>
              <w:rPr>
                <w:rFonts w:cstheme="minorHAnsi"/>
                <w:sz w:val="20"/>
                <w:szCs w:val="20"/>
              </w:rPr>
            </w:pPr>
            <w:r w:rsidRPr="00690046">
              <w:rPr>
                <w:rFonts w:cstheme="minorHAnsi"/>
                <w:sz w:val="20"/>
                <w:szCs w:val="20"/>
              </w:rPr>
              <w:t>Gambia</w:t>
            </w:r>
          </w:p>
        </w:tc>
        <w:tc>
          <w:tcPr>
            <w:tcW w:w="0" w:type="auto"/>
            <w:tcBorders>
              <w:top w:val="nil"/>
              <w:left w:val="nil"/>
              <w:bottom w:val="nil"/>
              <w:right w:val="nil"/>
            </w:tcBorders>
            <w:tcMar>
              <w:top w:w="15" w:type="dxa"/>
              <w:left w:w="15" w:type="dxa"/>
              <w:bottom w:w="0" w:type="dxa"/>
              <w:right w:w="15" w:type="dxa"/>
            </w:tcMar>
            <w:vAlign w:val="center"/>
            <w:hideMark/>
          </w:tcPr>
          <w:p w14:paraId="4002F194" w14:textId="77777777" w:rsidR="004722A1" w:rsidRPr="00690046" w:rsidRDefault="004722A1" w:rsidP="00F43BB8">
            <w:pPr>
              <w:jc w:val="center"/>
              <w:rPr>
                <w:rFonts w:cstheme="minorHAnsi"/>
                <w:sz w:val="20"/>
                <w:szCs w:val="20"/>
              </w:rPr>
            </w:pPr>
            <w:r w:rsidRPr="00690046">
              <w:rPr>
                <w:rFonts w:cstheme="minorHAnsi"/>
                <w:sz w:val="20"/>
                <w:szCs w:val="20"/>
              </w:rPr>
              <w:t>2,672,890</w:t>
            </w:r>
          </w:p>
        </w:tc>
        <w:tc>
          <w:tcPr>
            <w:tcW w:w="0" w:type="auto"/>
            <w:tcBorders>
              <w:top w:val="nil"/>
              <w:left w:val="nil"/>
              <w:bottom w:val="nil"/>
              <w:right w:val="nil"/>
            </w:tcBorders>
            <w:tcMar>
              <w:top w:w="15" w:type="dxa"/>
              <w:left w:w="15" w:type="dxa"/>
              <w:bottom w:w="0" w:type="dxa"/>
              <w:right w:w="15" w:type="dxa"/>
            </w:tcMar>
            <w:vAlign w:val="center"/>
            <w:hideMark/>
          </w:tcPr>
          <w:p w14:paraId="4BFA9175" w14:textId="77777777" w:rsidR="004722A1" w:rsidRPr="00690046" w:rsidRDefault="004722A1" w:rsidP="00F43BB8">
            <w:pPr>
              <w:jc w:val="center"/>
              <w:rPr>
                <w:rFonts w:cstheme="minorHAnsi"/>
                <w:sz w:val="20"/>
                <w:szCs w:val="20"/>
              </w:rPr>
            </w:pPr>
            <w:r w:rsidRPr="00690046">
              <w:rPr>
                <w:rFonts w:cstheme="minorHAnsi"/>
                <w:sz w:val="20"/>
                <w:szCs w:val="20"/>
              </w:rPr>
              <w:t>141/195</w:t>
            </w:r>
          </w:p>
        </w:tc>
        <w:tc>
          <w:tcPr>
            <w:tcW w:w="0" w:type="auto"/>
            <w:tcBorders>
              <w:top w:val="nil"/>
              <w:left w:val="nil"/>
              <w:bottom w:val="nil"/>
              <w:right w:val="nil"/>
            </w:tcBorders>
            <w:tcMar>
              <w:top w:w="15" w:type="dxa"/>
              <w:left w:w="15" w:type="dxa"/>
              <w:bottom w:w="0" w:type="dxa"/>
              <w:right w:w="15" w:type="dxa"/>
            </w:tcMar>
            <w:vAlign w:val="center"/>
            <w:hideMark/>
          </w:tcPr>
          <w:p w14:paraId="66AB1569" w14:textId="77777777" w:rsidR="004722A1" w:rsidRPr="00690046" w:rsidRDefault="004722A1" w:rsidP="00F43BB8">
            <w:pPr>
              <w:jc w:val="center"/>
              <w:rPr>
                <w:rFonts w:cstheme="minorHAnsi"/>
                <w:sz w:val="20"/>
                <w:szCs w:val="20"/>
              </w:rPr>
            </w:pPr>
            <w:r w:rsidRPr="00690046">
              <w:rPr>
                <w:rFonts w:cstheme="minorHAnsi"/>
                <w:sz w:val="20"/>
                <w:szCs w:val="20"/>
              </w:rPr>
              <w:t>10,120</w:t>
            </w:r>
          </w:p>
        </w:tc>
        <w:tc>
          <w:tcPr>
            <w:tcW w:w="0" w:type="auto"/>
            <w:tcBorders>
              <w:top w:val="nil"/>
              <w:left w:val="nil"/>
              <w:bottom w:val="nil"/>
              <w:right w:val="nil"/>
            </w:tcBorders>
            <w:tcMar>
              <w:top w:w="15" w:type="dxa"/>
              <w:left w:w="15" w:type="dxa"/>
              <w:bottom w:w="0" w:type="dxa"/>
              <w:right w:w="15" w:type="dxa"/>
            </w:tcMar>
            <w:vAlign w:val="center"/>
            <w:hideMark/>
          </w:tcPr>
          <w:p w14:paraId="4C614A2A" w14:textId="77777777" w:rsidR="004722A1" w:rsidRPr="00690046" w:rsidRDefault="004722A1" w:rsidP="00F43BB8">
            <w:pPr>
              <w:jc w:val="center"/>
              <w:rPr>
                <w:rFonts w:cstheme="minorHAnsi"/>
                <w:sz w:val="20"/>
                <w:szCs w:val="20"/>
              </w:rPr>
            </w:pPr>
            <w:r w:rsidRPr="00690046">
              <w:rPr>
                <w:rFonts w:cstheme="minorHAnsi"/>
                <w:sz w:val="20"/>
                <w:szCs w:val="20"/>
              </w:rPr>
              <w:t>264</w:t>
            </w:r>
          </w:p>
        </w:tc>
        <w:tc>
          <w:tcPr>
            <w:tcW w:w="0" w:type="auto"/>
            <w:tcBorders>
              <w:top w:val="nil"/>
              <w:left w:val="nil"/>
              <w:bottom w:val="nil"/>
              <w:right w:val="nil"/>
            </w:tcBorders>
            <w:tcMar>
              <w:top w:w="15" w:type="dxa"/>
              <w:left w:w="15" w:type="dxa"/>
              <w:bottom w:w="0" w:type="dxa"/>
              <w:right w:w="15" w:type="dxa"/>
            </w:tcMar>
            <w:vAlign w:val="center"/>
            <w:hideMark/>
          </w:tcPr>
          <w:p w14:paraId="4B67121C" w14:textId="77777777" w:rsidR="004722A1" w:rsidRPr="00690046" w:rsidRDefault="004722A1" w:rsidP="00F43BB8">
            <w:pPr>
              <w:jc w:val="center"/>
              <w:rPr>
                <w:rFonts w:cstheme="minorHAnsi"/>
                <w:sz w:val="20"/>
                <w:szCs w:val="20"/>
              </w:rPr>
            </w:pPr>
            <w:r w:rsidRPr="00690046">
              <w:rPr>
                <w:rFonts w:cstheme="minorHAnsi"/>
                <w:sz w:val="20"/>
                <w:szCs w:val="20"/>
              </w:rPr>
              <w:t>772</w:t>
            </w:r>
          </w:p>
        </w:tc>
        <w:tc>
          <w:tcPr>
            <w:tcW w:w="0" w:type="auto"/>
            <w:tcBorders>
              <w:top w:val="nil"/>
              <w:left w:val="nil"/>
              <w:bottom w:val="nil"/>
              <w:right w:val="nil"/>
            </w:tcBorders>
            <w:tcMar>
              <w:top w:w="15" w:type="dxa"/>
              <w:left w:w="15" w:type="dxa"/>
              <w:bottom w:w="0" w:type="dxa"/>
              <w:right w:w="15" w:type="dxa"/>
            </w:tcMar>
            <w:vAlign w:val="center"/>
            <w:hideMark/>
          </w:tcPr>
          <w:p w14:paraId="4C2EA8BE" w14:textId="77777777" w:rsidR="004722A1" w:rsidRPr="00690046" w:rsidRDefault="004722A1" w:rsidP="00F43BB8">
            <w:pPr>
              <w:jc w:val="center"/>
              <w:rPr>
                <w:rFonts w:cstheme="minorHAnsi"/>
                <w:sz w:val="20"/>
                <w:szCs w:val="20"/>
              </w:rPr>
            </w:pPr>
            <w:r w:rsidRPr="00690046">
              <w:rPr>
                <w:rFonts w:cstheme="minorHAnsi"/>
                <w:sz w:val="20"/>
                <w:szCs w:val="20"/>
              </w:rPr>
              <w:t>2,291</w:t>
            </w:r>
          </w:p>
        </w:tc>
        <w:tc>
          <w:tcPr>
            <w:tcW w:w="0" w:type="auto"/>
            <w:tcBorders>
              <w:top w:val="nil"/>
              <w:left w:val="nil"/>
              <w:bottom w:val="nil"/>
              <w:right w:val="nil"/>
            </w:tcBorders>
            <w:tcMar>
              <w:top w:w="15" w:type="dxa"/>
              <w:left w:w="15" w:type="dxa"/>
              <w:bottom w:w="0" w:type="dxa"/>
              <w:right w:w="15" w:type="dxa"/>
            </w:tcMar>
            <w:vAlign w:val="center"/>
            <w:hideMark/>
          </w:tcPr>
          <w:p w14:paraId="350C626E" w14:textId="77777777" w:rsidR="004722A1" w:rsidRPr="00690046" w:rsidRDefault="004722A1" w:rsidP="00F43BB8">
            <w:pPr>
              <w:jc w:val="center"/>
              <w:rPr>
                <w:rFonts w:cstheme="minorHAnsi"/>
                <w:sz w:val="20"/>
                <w:szCs w:val="20"/>
              </w:rPr>
            </w:pPr>
            <w:r w:rsidRPr="00690046">
              <w:rPr>
                <w:rFonts w:cstheme="minorHAnsi"/>
                <w:sz w:val="20"/>
                <w:szCs w:val="20"/>
              </w:rPr>
              <w:t>L</w:t>
            </w:r>
          </w:p>
        </w:tc>
        <w:tc>
          <w:tcPr>
            <w:tcW w:w="0" w:type="auto"/>
            <w:tcBorders>
              <w:top w:val="nil"/>
              <w:left w:val="nil"/>
              <w:bottom w:val="nil"/>
              <w:right w:val="nil"/>
            </w:tcBorders>
            <w:tcMar>
              <w:top w:w="15" w:type="dxa"/>
              <w:left w:w="15" w:type="dxa"/>
              <w:bottom w:w="0" w:type="dxa"/>
              <w:right w:w="15" w:type="dxa"/>
            </w:tcMar>
            <w:vAlign w:val="center"/>
            <w:hideMark/>
          </w:tcPr>
          <w:p w14:paraId="3728F4E5" w14:textId="77777777" w:rsidR="004722A1" w:rsidRPr="00690046" w:rsidRDefault="004722A1" w:rsidP="00F43BB8">
            <w:pPr>
              <w:jc w:val="center"/>
              <w:rPr>
                <w:rFonts w:cstheme="minorHAnsi"/>
                <w:sz w:val="20"/>
                <w:szCs w:val="20"/>
              </w:rPr>
            </w:pPr>
            <w:r w:rsidRPr="00690046">
              <w:rPr>
                <w:rFonts w:cstheme="minorHAnsi"/>
                <w:sz w:val="20"/>
                <w:szCs w:val="20"/>
              </w:rPr>
              <w:t>8.8</w:t>
            </w:r>
          </w:p>
        </w:tc>
      </w:tr>
      <w:tr w:rsidR="004722A1" w:rsidRPr="00690046" w14:paraId="08997C8F"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13AA4E66" w14:textId="77777777" w:rsidR="004722A1" w:rsidRPr="00690046" w:rsidRDefault="004722A1" w:rsidP="00F43BB8">
            <w:pPr>
              <w:jc w:val="both"/>
              <w:rPr>
                <w:rFonts w:cstheme="minorHAnsi"/>
                <w:sz w:val="20"/>
                <w:szCs w:val="20"/>
              </w:rPr>
            </w:pPr>
            <w:r w:rsidRPr="00690046">
              <w:rPr>
                <w:rFonts w:cstheme="minorHAnsi"/>
                <w:sz w:val="20"/>
                <w:szCs w:val="20"/>
              </w:rPr>
              <w:t>Guinea-Bissau</w:t>
            </w:r>
          </w:p>
        </w:tc>
        <w:tc>
          <w:tcPr>
            <w:tcW w:w="0" w:type="auto"/>
            <w:tcBorders>
              <w:top w:val="nil"/>
              <w:left w:val="nil"/>
              <w:bottom w:val="nil"/>
              <w:right w:val="nil"/>
            </w:tcBorders>
            <w:tcMar>
              <w:top w:w="15" w:type="dxa"/>
              <w:left w:w="15" w:type="dxa"/>
              <w:bottom w:w="0" w:type="dxa"/>
              <w:right w:w="15" w:type="dxa"/>
            </w:tcMar>
            <w:vAlign w:val="center"/>
            <w:hideMark/>
          </w:tcPr>
          <w:p w14:paraId="078E6065" w14:textId="77777777" w:rsidR="004722A1" w:rsidRPr="00690046" w:rsidRDefault="004722A1" w:rsidP="00F43BB8">
            <w:pPr>
              <w:jc w:val="center"/>
              <w:rPr>
                <w:rFonts w:cstheme="minorHAnsi"/>
                <w:sz w:val="20"/>
                <w:szCs w:val="20"/>
              </w:rPr>
            </w:pPr>
            <w:r w:rsidRPr="00690046">
              <w:rPr>
                <w:rFonts w:cstheme="minorHAnsi"/>
                <w:sz w:val="20"/>
                <w:szCs w:val="20"/>
              </w:rPr>
              <w:t>2,083,089</w:t>
            </w:r>
          </w:p>
        </w:tc>
        <w:tc>
          <w:tcPr>
            <w:tcW w:w="0" w:type="auto"/>
            <w:tcBorders>
              <w:top w:val="nil"/>
              <w:left w:val="nil"/>
              <w:bottom w:val="nil"/>
              <w:right w:val="nil"/>
            </w:tcBorders>
            <w:tcMar>
              <w:top w:w="15" w:type="dxa"/>
              <w:left w:w="15" w:type="dxa"/>
              <w:bottom w:w="0" w:type="dxa"/>
              <w:right w:w="15" w:type="dxa"/>
            </w:tcMar>
            <w:vAlign w:val="center"/>
            <w:hideMark/>
          </w:tcPr>
          <w:p w14:paraId="7C14C526" w14:textId="77777777" w:rsidR="004722A1" w:rsidRPr="00690046" w:rsidRDefault="004722A1" w:rsidP="00F43BB8">
            <w:pPr>
              <w:jc w:val="center"/>
              <w:rPr>
                <w:rFonts w:cstheme="minorHAnsi"/>
                <w:sz w:val="20"/>
                <w:szCs w:val="20"/>
              </w:rPr>
            </w:pPr>
            <w:r w:rsidRPr="00690046">
              <w:rPr>
                <w:rFonts w:cstheme="minorHAnsi"/>
                <w:sz w:val="20"/>
                <w:szCs w:val="20"/>
              </w:rPr>
              <w:t>148/195</w:t>
            </w:r>
          </w:p>
        </w:tc>
        <w:tc>
          <w:tcPr>
            <w:tcW w:w="0" w:type="auto"/>
            <w:tcBorders>
              <w:top w:val="nil"/>
              <w:left w:val="nil"/>
              <w:bottom w:val="nil"/>
              <w:right w:val="nil"/>
            </w:tcBorders>
            <w:tcMar>
              <w:top w:w="15" w:type="dxa"/>
              <w:left w:w="15" w:type="dxa"/>
              <w:bottom w:w="0" w:type="dxa"/>
              <w:right w:w="15" w:type="dxa"/>
            </w:tcMar>
            <w:vAlign w:val="center"/>
            <w:hideMark/>
          </w:tcPr>
          <w:p w14:paraId="43DC476E" w14:textId="77777777" w:rsidR="004722A1" w:rsidRPr="00690046" w:rsidRDefault="004722A1" w:rsidP="00F43BB8">
            <w:pPr>
              <w:jc w:val="center"/>
              <w:rPr>
                <w:rFonts w:cstheme="minorHAnsi"/>
                <w:sz w:val="20"/>
                <w:szCs w:val="20"/>
              </w:rPr>
            </w:pPr>
            <w:r w:rsidRPr="00690046">
              <w:rPr>
                <w:rFonts w:cstheme="minorHAnsi"/>
                <w:sz w:val="20"/>
                <w:szCs w:val="20"/>
              </w:rPr>
              <w:t>28,120</w:t>
            </w:r>
          </w:p>
        </w:tc>
        <w:tc>
          <w:tcPr>
            <w:tcW w:w="0" w:type="auto"/>
            <w:tcBorders>
              <w:top w:val="nil"/>
              <w:left w:val="nil"/>
              <w:bottom w:val="nil"/>
              <w:right w:val="nil"/>
            </w:tcBorders>
            <w:tcMar>
              <w:top w:w="15" w:type="dxa"/>
              <w:left w:w="15" w:type="dxa"/>
              <w:bottom w:w="0" w:type="dxa"/>
              <w:right w:w="15" w:type="dxa"/>
            </w:tcMar>
            <w:vAlign w:val="center"/>
            <w:hideMark/>
          </w:tcPr>
          <w:p w14:paraId="74AD0DC4" w14:textId="77777777" w:rsidR="004722A1" w:rsidRPr="00690046" w:rsidRDefault="004722A1" w:rsidP="00F43BB8">
            <w:pPr>
              <w:jc w:val="center"/>
              <w:rPr>
                <w:rFonts w:cstheme="minorHAnsi"/>
                <w:sz w:val="20"/>
                <w:szCs w:val="20"/>
              </w:rPr>
            </w:pPr>
            <w:r w:rsidRPr="00690046">
              <w:rPr>
                <w:rFonts w:cstheme="minorHAnsi"/>
                <w:sz w:val="20"/>
                <w:szCs w:val="20"/>
              </w:rPr>
              <w:t>74</w:t>
            </w:r>
          </w:p>
        </w:tc>
        <w:tc>
          <w:tcPr>
            <w:tcW w:w="0" w:type="auto"/>
            <w:tcBorders>
              <w:top w:val="nil"/>
              <w:left w:val="nil"/>
              <w:bottom w:val="nil"/>
              <w:right w:val="nil"/>
            </w:tcBorders>
            <w:tcMar>
              <w:top w:w="15" w:type="dxa"/>
              <w:left w:w="15" w:type="dxa"/>
              <w:bottom w:w="0" w:type="dxa"/>
              <w:right w:w="15" w:type="dxa"/>
            </w:tcMar>
            <w:vAlign w:val="center"/>
            <w:hideMark/>
          </w:tcPr>
          <w:p w14:paraId="2DF60AFF" w14:textId="77777777" w:rsidR="004722A1" w:rsidRPr="00690046" w:rsidRDefault="004722A1" w:rsidP="00F43BB8">
            <w:pPr>
              <w:jc w:val="center"/>
              <w:rPr>
                <w:rFonts w:cstheme="minorHAnsi"/>
                <w:sz w:val="20"/>
                <w:szCs w:val="20"/>
              </w:rPr>
            </w:pPr>
            <w:r w:rsidRPr="00690046">
              <w:rPr>
                <w:rFonts w:cstheme="minorHAnsi"/>
                <w:sz w:val="20"/>
                <w:szCs w:val="20"/>
              </w:rPr>
              <w:t>795</w:t>
            </w:r>
          </w:p>
        </w:tc>
        <w:tc>
          <w:tcPr>
            <w:tcW w:w="0" w:type="auto"/>
            <w:tcBorders>
              <w:top w:val="nil"/>
              <w:left w:val="nil"/>
              <w:bottom w:val="nil"/>
              <w:right w:val="nil"/>
            </w:tcBorders>
            <w:tcMar>
              <w:top w:w="15" w:type="dxa"/>
              <w:left w:w="15" w:type="dxa"/>
              <w:bottom w:w="0" w:type="dxa"/>
              <w:right w:w="15" w:type="dxa"/>
            </w:tcMar>
            <w:vAlign w:val="center"/>
            <w:hideMark/>
          </w:tcPr>
          <w:p w14:paraId="5310969A" w14:textId="77777777" w:rsidR="004722A1" w:rsidRPr="00690046" w:rsidRDefault="004722A1" w:rsidP="00F43BB8">
            <w:pPr>
              <w:jc w:val="center"/>
              <w:rPr>
                <w:rFonts w:cstheme="minorHAnsi"/>
                <w:sz w:val="20"/>
                <w:szCs w:val="20"/>
              </w:rPr>
            </w:pPr>
            <w:r w:rsidRPr="00690046">
              <w:rPr>
                <w:rFonts w:cstheme="minorHAnsi"/>
                <w:sz w:val="20"/>
                <w:szCs w:val="20"/>
              </w:rPr>
              <w:t>2,021</w:t>
            </w:r>
          </w:p>
        </w:tc>
        <w:tc>
          <w:tcPr>
            <w:tcW w:w="0" w:type="auto"/>
            <w:tcBorders>
              <w:top w:val="nil"/>
              <w:left w:val="nil"/>
              <w:bottom w:val="nil"/>
              <w:right w:val="nil"/>
            </w:tcBorders>
            <w:tcMar>
              <w:top w:w="15" w:type="dxa"/>
              <w:left w:w="15" w:type="dxa"/>
              <w:bottom w:w="0" w:type="dxa"/>
              <w:right w:w="15" w:type="dxa"/>
            </w:tcMar>
            <w:vAlign w:val="center"/>
            <w:hideMark/>
          </w:tcPr>
          <w:p w14:paraId="3E6E741A" w14:textId="77777777" w:rsidR="004722A1" w:rsidRPr="00690046" w:rsidRDefault="004722A1" w:rsidP="00F43BB8">
            <w:pPr>
              <w:jc w:val="center"/>
              <w:rPr>
                <w:rFonts w:cstheme="minorHAnsi"/>
                <w:sz w:val="20"/>
                <w:szCs w:val="20"/>
              </w:rPr>
            </w:pPr>
            <w:r w:rsidRPr="00690046">
              <w:rPr>
                <w:rFonts w:cstheme="minorHAnsi"/>
                <w:sz w:val="20"/>
                <w:szCs w:val="20"/>
              </w:rPr>
              <w:t>L</w:t>
            </w:r>
          </w:p>
        </w:tc>
        <w:tc>
          <w:tcPr>
            <w:tcW w:w="0" w:type="auto"/>
            <w:tcBorders>
              <w:top w:val="nil"/>
              <w:left w:val="nil"/>
              <w:bottom w:val="nil"/>
              <w:right w:val="nil"/>
            </w:tcBorders>
            <w:tcMar>
              <w:top w:w="15" w:type="dxa"/>
              <w:left w:w="15" w:type="dxa"/>
              <w:bottom w:w="0" w:type="dxa"/>
              <w:right w:w="15" w:type="dxa"/>
            </w:tcMar>
            <w:vAlign w:val="center"/>
            <w:hideMark/>
          </w:tcPr>
          <w:p w14:paraId="2E68E156" w14:textId="77777777" w:rsidR="004722A1" w:rsidRPr="00690046" w:rsidRDefault="004722A1" w:rsidP="00F43BB8">
            <w:pPr>
              <w:jc w:val="center"/>
              <w:rPr>
                <w:rFonts w:cstheme="minorHAnsi"/>
                <w:sz w:val="20"/>
                <w:szCs w:val="20"/>
              </w:rPr>
            </w:pPr>
            <w:r w:rsidRPr="00690046">
              <w:rPr>
                <w:rFonts w:cstheme="minorHAnsi"/>
                <w:sz w:val="20"/>
                <w:szCs w:val="20"/>
              </w:rPr>
              <w:t>15.0</w:t>
            </w:r>
          </w:p>
        </w:tc>
      </w:tr>
      <w:tr w:rsidR="004722A1" w:rsidRPr="00690046" w14:paraId="701DE1DE"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034C2509" w14:textId="77777777" w:rsidR="004722A1" w:rsidRPr="00690046" w:rsidRDefault="004722A1" w:rsidP="00F43BB8">
            <w:pPr>
              <w:jc w:val="both"/>
              <w:rPr>
                <w:rFonts w:cstheme="minorHAnsi"/>
                <w:sz w:val="20"/>
                <w:szCs w:val="20"/>
              </w:rPr>
            </w:pPr>
            <w:r w:rsidRPr="00690046">
              <w:rPr>
                <w:rFonts w:cstheme="minorHAnsi"/>
                <w:sz w:val="20"/>
                <w:szCs w:val="20"/>
              </w:rPr>
              <w:t>Lesotho</w:t>
            </w:r>
          </w:p>
        </w:tc>
        <w:tc>
          <w:tcPr>
            <w:tcW w:w="0" w:type="auto"/>
            <w:tcBorders>
              <w:top w:val="nil"/>
              <w:left w:val="nil"/>
              <w:bottom w:val="nil"/>
              <w:right w:val="nil"/>
            </w:tcBorders>
            <w:tcMar>
              <w:top w:w="15" w:type="dxa"/>
              <w:left w:w="15" w:type="dxa"/>
              <w:bottom w:w="0" w:type="dxa"/>
              <w:right w:w="15" w:type="dxa"/>
            </w:tcMar>
            <w:vAlign w:val="center"/>
            <w:hideMark/>
          </w:tcPr>
          <w:p w14:paraId="1B358EC2" w14:textId="77777777" w:rsidR="004722A1" w:rsidRPr="00690046" w:rsidRDefault="004722A1" w:rsidP="00F43BB8">
            <w:pPr>
              <w:jc w:val="center"/>
              <w:rPr>
                <w:rFonts w:cstheme="minorHAnsi"/>
                <w:sz w:val="20"/>
                <w:szCs w:val="20"/>
              </w:rPr>
            </w:pPr>
            <w:r w:rsidRPr="00690046">
              <w:rPr>
                <w:rFonts w:cstheme="minorHAnsi"/>
                <w:sz w:val="20"/>
                <w:szCs w:val="20"/>
              </w:rPr>
              <w:t>2,294,313</w:t>
            </w:r>
          </w:p>
        </w:tc>
        <w:tc>
          <w:tcPr>
            <w:tcW w:w="0" w:type="auto"/>
            <w:tcBorders>
              <w:top w:val="nil"/>
              <w:left w:val="nil"/>
              <w:bottom w:val="nil"/>
              <w:right w:val="nil"/>
            </w:tcBorders>
            <w:tcMar>
              <w:top w:w="15" w:type="dxa"/>
              <w:left w:w="15" w:type="dxa"/>
              <w:bottom w:w="0" w:type="dxa"/>
              <w:right w:w="15" w:type="dxa"/>
            </w:tcMar>
            <w:vAlign w:val="center"/>
            <w:hideMark/>
          </w:tcPr>
          <w:p w14:paraId="70B25CB4" w14:textId="77777777" w:rsidR="004722A1" w:rsidRPr="00690046" w:rsidRDefault="004722A1" w:rsidP="00F43BB8">
            <w:pPr>
              <w:jc w:val="center"/>
              <w:rPr>
                <w:rFonts w:cstheme="minorHAnsi"/>
                <w:sz w:val="20"/>
                <w:szCs w:val="20"/>
              </w:rPr>
            </w:pPr>
            <w:r w:rsidRPr="00690046">
              <w:rPr>
                <w:rFonts w:cstheme="minorHAnsi"/>
                <w:sz w:val="20"/>
                <w:szCs w:val="20"/>
              </w:rPr>
              <w:t>145/195</w:t>
            </w:r>
          </w:p>
        </w:tc>
        <w:tc>
          <w:tcPr>
            <w:tcW w:w="0" w:type="auto"/>
            <w:tcBorders>
              <w:top w:val="nil"/>
              <w:left w:val="nil"/>
              <w:bottom w:val="nil"/>
              <w:right w:val="nil"/>
            </w:tcBorders>
            <w:tcMar>
              <w:top w:w="15" w:type="dxa"/>
              <w:left w:w="15" w:type="dxa"/>
              <w:bottom w:w="0" w:type="dxa"/>
              <w:right w:w="15" w:type="dxa"/>
            </w:tcMar>
            <w:vAlign w:val="center"/>
            <w:hideMark/>
          </w:tcPr>
          <w:p w14:paraId="059B4707" w14:textId="77777777" w:rsidR="004722A1" w:rsidRPr="00690046" w:rsidRDefault="004722A1" w:rsidP="00F43BB8">
            <w:pPr>
              <w:jc w:val="center"/>
              <w:rPr>
                <w:rFonts w:cstheme="minorHAnsi"/>
                <w:sz w:val="20"/>
                <w:szCs w:val="20"/>
              </w:rPr>
            </w:pPr>
            <w:r w:rsidRPr="00690046">
              <w:rPr>
                <w:rFonts w:cstheme="minorHAnsi"/>
                <w:sz w:val="20"/>
                <w:szCs w:val="20"/>
              </w:rPr>
              <w:t>30,360</w:t>
            </w:r>
          </w:p>
        </w:tc>
        <w:tc>
          <w:tcPr>
            <w:tcW w:w="0" w:type="auto"/>
            <w:tcBorders>
              <w:top w:val="nil"/>
              <w:left w:val="nil"/>
              <w:bottom w:val="nil"/>
              <w:right w:val="nil"/>
            </w:tcBorders>
            <w:tcMar>
              <w:top w:w="15" w:type="dxa"/>
              <w:left w:w="15" w:type="dxa"/>
              <w:bottom w:w="0" w:type="dxa"/>
              <w:right w:w="15" w:type="dxa"/>
            </w:tcMar>
            <w:vAlign w:val="center"/>
            <w:hideMark/>
          </w:tcPr>
          <w:p w14:paraId="31007EBB" w14:textId="77777777" w:rsidR="004722A1" w:rsidRPr="00690046" w:rsidRDefault="004722A1" w:rsidP="00F43BB8">
            <w:pPr>
              <w:jc w:val="center"/>
              <w:rPr>
                <w:rFonts w:cstheme="minorHAnsi"/>
                <w:sz w:val="20"/>
                <w:szCs w:val="20"/>
              </w:rPr>
            </w:pPr>
            <w:r w:rsidRPr="00690046">
              <w:rPr>
                <w:rFonts w:cstheme="minorHAnsi"/>
                <w:sz w:val="20"/>
                <w:szCs w:val="20"/>
              </w:rPr>
              <w:t>76</w:t>
            </w:r>
          </w:p>
        </w:tc>
        <w:tc>
          <w:tcPr>
            <w:tcW w:w="0" w:type="auto"/>
            <w:tcBorders>
              <w:top w:val="nil"/>
              <w:left w:val="nil"/>
              <w:bottom w:val="nil"/>
              <w:right w:val="nil"/>
            </w:tcBorders>
            <w:tcMar>
              <w:top w:w="15" w:type="dxa"/>
              <w:left w:w="15" w:type="dxa"/>
              <w:bottom w:w="0" w:type="dxa"/>
              <w:right w:w="15" w:type="dxa"/>
            </w:tcMar>
            <w:vAlign w:val="center"/>
            <w:hideMark/>
          </w:tcPr>
          <w:p w14:paraId="7B0AA5B2" w14:textId="77777777" w:rsidR="004722A1" w:rsidRPr="00690046" w:rsidRDefault="004722A1" w:rsidP="00F43BB8">
            <w:pPr>
              <w:jc w:val="center"/>
              <w:rPr>
                <w:rFonts w:cstheme="minorHAnsi"/>
                <w:sz w:val="20"/>
                <w:szCs w:val="20"/>
              </w:rPr>
            </w:pPr>
            <w:r w:rsidRPr="00690046">
              <w:rPr>
                <w:rFonts w:cstheme="minorHAnsi"/>
                <w:sz w:val="20"/>
                <w:szCs w:val="20"/>
              </w:rPr>
              <w:t>1,094</w:t>
            </w:r>
          </w:p>
        </w:tc>
        <w:tc>
          <w:tcPr>
            <w:tcW w:w="0" w:type="auto"/>
            <w:tcBorders>
              <w:top w:val="nil"/>
              <w:left w:val="nil"/>
              <w:bottom w:val="nil"/>
              <w:right w:val="nil"/>
            </w:tcBorders>
            <w:tcMar>
              <w:top w:w="15" w:type="dxa"/>
              <w:left w:w="15" w:type="dxa"/>
              <w:bottom w:w="0" w:type="dxa"/>
              <w:right w:w="15" w:type="dxa"/>
            </w:tcMar>
            <w:vAlign w:val="center"/>
            <w:hideMark/>
          </w:tcPr>
          <w:p w14:paraId="62838EBB" w14:textId="77777777" w:rsidR="004722A1" w:rsidRPr="00690046" w:rsidRDefault="004722A1" w:rsidP="00F43BB8">
            <w:pPr>
              <w:jc w:val="center"/>
              <w:rPr>
                <w:rFonts w:cstheme="minorHAnsi"/>
                <w:sz w:val="20"/>
                <w:szCs w:val="20"/>
              </w:rPr>
            </w:pPr>
            <w:r w:rsidRPr="00690046">
              <w:rPr>
                <w:rFonts w:cstheme="minorHAnsi"/>
                <w:sz w:val="20"/>
                <w:szCs w:val="20"/>
              </w:rPr>
              <w:t>2,530</w:t>
            </w:r>
          </w:p>
        </w:tc>
        <w:tc>
          <w:tcPr>
            <w:tcW w:w="0" w:type="auto"/>
            <w:tcBorders>
              <w:top w:val="nil"/>
              <w:left w:val="nil"/>
              <w:bottom w:val="nil"/>
              <w:right w:val="nil"/>
            </w:tcBorders>
            <w:tcMar>
              <w:top w:w="15" w:type="dxa"/>
              <w:left w:w="15" w:type="dxa"/>
              <w:bottom w:w="0" w:type="dxa"/>
              <w:right w:w="15" w:type="dxa"/>
            </w:tcMar>
            <w:vAlign w:val="center"/>
            <w:hideMark/>
          </w:tcPr>
          <w:p w14:paraId="6C077984" w14:textId="77777777" w:rsidR="004722A1" w:rsidRPr="00690046" w:rsidRDefault="004722A1" w:rsidP="00F43BB8">
            <w:pPr>
              <w:jc w:val="center"/>
              <w:rPr>
                <w:rFonts w:cstheme="minorHAnsi"/>
                <w:sz w:val="20"/>
                <w:szCs w:val="20"/>
              </w:rPr>
            </w:pPr>
            <w:r w:rsidRPr="00690046">
              <w:rPr>
                <w:rFonts w:cstheme="minorHAnsi"/>
                <w:sz w:val="20"/>
                <w:szCs w:val="20"/>
              </w:rPr>
              <w:t>LM</w:t>
            </w:r>
          </w:p>
        </w:tc>
        <w:tc>
          <w:tcPr>
            <w:tcW w:w="0" w:type="auto"/>
            <w:tcBorders>
              <w:top w:val="nil"/>
              <w:left w:val="nil"/>
              <w:bottom w:val="nil"/>
              <w:right w:val="nil"/>
            </w:tcBorders>
            <w:tcMar>
              <w:top w:w="15" w:type="dxa"/>
              <w:left w:w="15" w:type="dxa"/>
              <w:bottom w:w="0" w:type="dxa"/>
              <w:right w:w="15" w:type="dxa"/>
            </w:tcMar>
            <w:vAlign w:val="center"/>
            <w:hideMark/>
          </w:tcPr>
          <w:p w14:paraId="75CDB822" w14:textId="77777777" w:rsidR="004722A1" w:rsidRPr="00690046" w:rsidRDefault="004722A1" w:rsidP="00F43BB8">
            <w:pPr>
              <w:jc w:val="center"/>
              <w:rPr>
                <w:rFonts w:cstheme="minorHAnsi"/>
                <w:sz w:val="20"/>
                <w:szCs w:val="20"/>
              </w:rPr>
            </w:pPr>
            <w:r w:rsidRPr="00690046">
              <w:rPr>
                <w:rFonts w:cstheme="minorHAnsi"/>
                <w:sz w:val="20"/>
                <w:szCs w:val="20"/>
              </w:rPr>
              <w:t>34.6</w:t>
            </w:r>
          </w:p>
        </w:tc>
      </w:tr>
      <w:tr w:rsidR="004722A1" w:rsidRPr="00690046" w14:paraId="537A4C26"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456EE2AE" w14:textId="77777777" w:rsidR="004722A1" w:rsidRPr="00690046" w:rsidRDefault="004722A1" w:rsidP="00F43BB8">
            <w:pPr>
              <w:jc w:val="both"/>
              <w:rPr>
                <w:rFonts w:cstheme="minorHAnsi"/>
                <w:sz w:val="20"/>
                <w:szCs w:val="20"/>
              </w:rPr>
            </w:pPr>
            <w:r w:rsidRPr="00690046">
              <w:rPr>
                <w:rFonts w:cstheme="minorHAnsi"/>
                <w:sz w:val="20"/>
                <w:szCs w:val="20"/>
              </w:rPr>
              <w:t>Mauritius</w:t>
            </w:r>
          </w:p>
        </w:tc>
        <w:tc>
          <w:tcPr>
            <w:tcW w:w="0" w:type="auto"/>
            <w:tcBorders>
              <w:top w:val="nil"/>
              <w:left w:val="nil"/>
              <w:bottom w:val="nil"/>
              <w:right w:val="nil"/>
            </w:tcBorders>
            <w:tcMar>
              <w:top w:w="15" w:type="dxa"/>
              <w:left w:w="15" w:type="dxa"/>
              <w:bottom w:w="0" w:type="dxa"/>
              <w:right w:w="15" w:type="dxa"/>
            </w:tcMar>
            <w:vAlign w:val="center"/>
            <w:hideMark/>
          </w:tcPr>
          <w:p w14:paraId="49FB0FBE" w14:textId="77777777" w:rsidR="004722A1" w:rsidRPr="00690046" w:rsidRDefault="004722A1" w:rsidP="00F43BB8">
            <w:pPr>
              <w:jc w:val="center"/>
              <w:rPr>
                <w:rFonts w:cstheme="minorHAnsi"/>
                <w:sz w:val="20"/>
                <w:szCs w:val="20"/>
              </w:rPr>
            </w:pPr>
            <w:r w:rsidRPr="00690046">
              <w:rPr>
                <w:rFonts w:cstheme="minorHAnsi"/>
                <w:sz w:val="20"/>
                <w:szCs w:val="20"/>
              </w:rPr>
              <w:t>1,299,134</w:t>
            </w:r>
          </w:p>
        </w:tc>
        <w:tc>
          <w:tcPr>
            <w:tcW w:w="0" w:type="auto"/>
            <w:tcBorders>
              <w:top w:val="nil"/>
              <w:left w:val="nil"/>
              <w:bottom w:val="nil"/>
              <w:right w:val="nil"/>
            </w:tcBorders>
            <w:tcMar>
              <w:top w:w="15" w:type="dxa"/>
              <w:left w:w="15" w:type="dxa"/>
              <w:bottom w:w="0" w:type="dxa"/>
              <w:right w:w="15" w:type="dxa"/>
            </w:tcMar>
            <w:vAlign w:val="center"/>
            <w:hideMark/>
          </w:tcPr>
          <w:p w14:paraId="3F97C065" w14:textId="77777777" w:rsidR="004722A1" w:rsidRPr="00690046" w:rsidRDefault="004722A1" w:rsidP="00F43BB8">
            <w:pPr>
              <w:jc w:val="center"/>
              <w:rPr>
                <w:rFonts w:cstheme="minorHAnsi"/>
                <w:sz w:val="20"/>
                <w:szCs w:val="20"/>
              </w:rPr>
            </w:pPr>
            <w:r w:rsidRPr="00690046">
              <w:rPr>
                <w:rFonts w:cstheme="minorHAnsi"/>
                <w:sz w:val="20"/>
                <w:szCs w:val="20"/>
              </w:rPr>
              <w:t>155/195</w:t>
            </w:r>
          </w:p>
        </w:tc>
        <w:tc>
          <w:tcPr>
            <w:tcW w:w="0" w:type="auto"/>
            <w:tcBorders>
              <w:top w:val="nil"/>
              <w:left w:val="nil"/>
              <w:bottom w:val="nil"/>
              <w:right w:val="nil"/>
            </w:tcBorders>
            <w:tcMar>
              <w:top w:w="15" w:type="dxa"/>
              <w:left w:w="15" w:type="dxa"/>
              <w:bottom w:w="0" w:type="dxa"/>
              <w:right w:w="15" w:type="dxa"/>
            </w:tcMar>
            <w:vAlign w:val="center"/>
            <w:hideMark/>
          </w:tcPr>
          <w:p w14:paraId="3BBCAA66" w14:textId="77777777" w:rsidR="004722A1" w:rsidRPr="00690046" w:rsidRDefault="004722A1" w:rsidP="00F43BB8">
            <w:pPr>
              <w:jc w:val="center"/>
              <w:rPr>
                <w:rFonts w:cstheme="minorHAnsi"/>
                <w:sz w:val="20"/>
                <w:szCs w:val="20"/>
              </w:rPr>
            </w:pPr>
            <w:r w:rsidRPr="00690046">
              <w:rPr>
                <w:rFonts w:cstheme="minorHAnsi"/>
                <w:sz w:val="20"/>
                <w:szCs w:val="20"/>
              </w:rPr>
              <w:t>2,030</w:t>
            </w:r>
          </w:p>
        </w:tc>
        <w:tc>
          <w:tcPr>
            <w:tcW w:w="0" w:type="auto"/>
            <w:tcBorders>
              <w:top w:val="nil"/>
              <w:left w:val="nil"/>
              <w:bottom w:val="nil"/>
              <w:right w:val="nil"/>
            </w:tcBorders>
            <w:tcMar>
              <w:top w:w="15" w:type="dxa"/>
              <w:left w:w="15" w:type="dxa"/>
              <w:bottom w:w="0" w:type="dxa"/>
              <w:right w:w="15" w:type="dxa"/>
            </w:tcMar>
            <w:vAlign w:val="center"/>
            <w:hideMark/>
          </w:tcPr>
          <w:p w14:paraId="4FE1DE60" w14:textId="77777777" w:rsidR="004722A1" w:rsidRPr="00690046" w:rsidRDefault="004722A1" w:rsidP="00F43BB8">
            <w:pPr>
              <w:jc w:val="center"/>
              <w:rPr>
                <w:rFonts w:cstheme="minorHAnsi"/>
                <w:sz w:val="20"/>
                <w:szCs w:val="20"/>
              </w:rPr>
            </w:pPr>
            <w:r w:rsidRPr="00690046">
              <w:rPr>
                <w:rFonts w:cstheme="minorHAnsi"/>
                <w:sz w:val="20"/>
                <w:szCs w:val="20"/>
              </w:rPr>
              <w:t>640</w:t>
            </w:r>
          </w:p>
        </w:tc>
        <w:tc>
          <w:tcPr>
            <w:tcW w:w="0" w:type="auto"/>
            <w:tcBorders>
              <w:top w:val="nil"/>
              <w:left w:val="nil"/>
              <w:bottom w:val="nil"/>
              <w:right w:val="nil"/>
            </w:tcBorders>
            <w:tcMar>
              <w:top w:w="15" w:type="dxa"/>
              <w:left w:w="15" w:type="dxa"/>
              <w:bottom w:w="0" w:type="dxa"/>
              <w:right w:w="15" w:type="dxa"/>
            </w:tcMar>
            <w:vAlign w:val="center"/>
            <w:hideMark/>
          </w:tcPr>
          <w:p w14:paraId="271CE21E" w14:textId="77777777" w:rsidR="004722A1" w:rsidRPr="00690046" w:rsidRDefault="004722A1" w:rsidP="00F43BB8">
            <w:pPr>
              <w:jc w:val="center"/>
              <w:rPr>
                <w:rFonts w:cstheme="minorHAnsi"/>
                <w:sz w:val="20"/>
                <w:szCs w:val="20"/>
              </w:rPr>
            </w:pPr>
            <w:r w:rsidRPr="00690046">
              <w:rPr>
                <w:rFonts w:cstheme="minorHAnsi"/>
                <w:sz w:val="20"/>
                <w:szCs w:val="20"/>
              </w:rPr>
              <w:t>9,106</w:t>
            </w:r>
          </w:p>
        </w:tc>
        <w:tc>
          <w:tcPr>
            <w:tcW w:w="0" w:type="auto"/>
            <w:tcBorders>
              <w:top w:val="nil"/>
              <w:left w:val="nil"/>
              <w:bottom w:val="nil"/>
              <w:right w:val="nil"/>
            </w:tcBorders>
            <w:tcMar>
              <w:top w:w="15" w:type="dxa"/>
              <w:left w:w="15" w:type="dxa"/>
              <w:bottom w:w="0" w:type="dxa"/>
              <w:right w:w="15" w:type="dxa"/>
            </w:tcMar>
            <w:vAlign w:val="center"/>
            <w:hideMark/>
          </w:tcPr>
          <w:p w14:paraId="1A1B5931" w14:textId="77777777" w:rsidR="004722A1" w:rsidRPr="00690046" w:rsidRDefault="004722A1" w:rsidP="00F43BB8">
            <w:pPr>
              <w:jc w:val="center"/>
              <w:rPr>
                <w:rFonts w:cstheme="minorHAnsi"/>
                <w:sz w:val="20"/>
                <w:szCs w:val="20"/>
              </w:rPr>
            </w:pPr>
            <w:r w:rsidRPr="00690046">
              <w:rPr>
                <w:rFonts w:cstheme="minorHAnsi"/>
                <w:sz w:val="20"/>
                <w:szCs w:val="20"/>
              </w:rPr>
              <w:t>23,064</w:t>
            </w:r>
          </w:p>
        </w:tc>
        <w:tc>
          <w:tcPr>
            <w:tcW w:w="0" w:type="auto"/>
            <w:tcBorders>
              <w:top w:val="nil"/>
              <w:left w:val="nil"/>
              <w:bottom w:val="nil"/>
              <w:right w:val="nil"/>
            </w:tcBorders>
            <w:tcMar>
              <w:top w:w="15" w:type="dxa"/>
              <w:left w:w="15" w:type="dxa"/>
              <w:bottom w:w="0" w:type="dxa"/>
              <w:right w:w="15" w:type="dxa"/>
            </w:tcMar>
            <w:vAlign w:val="center"/>
            <w:hideMark/>
          </w:tcPr>
          <w:p w14:paraId="26395A6F" w14:textId="77777777" w:rsidR="004722A1" w:rsidRPr="00690046" w:rsidRDefault="004722A1" w:rsidP="00F43BB8">
            <w:pPr>
              <w:jc w:val="center"/>
              <w:rPr>
                <w:rFonts w:cstheme="minorHAnsi"/>
                <w:sz w:val="20"/>
                <w:szCs w:val="20"/>
              </w:rPr>
            </w:pPr>
            <w:r w:rsidRPr="00690046">
              <w:rPr>
                <w:rFonts w:cstheme="minorHAnsi"/>
                <w:sz w:val="20"/>
                <w:szCs w:val="20"/>
              </w:rPr>
              <w:t>UM</w:t>
            </w:r>
          </w:p>
        </w:tc>
        <w:tc>
          <w:tcPr>
            <w:tcW w:w="0" w:type="auto"/>
            <w:tcBorders>
              <w:top w:val="nil"/>
              <w:left w:val="nil"/>
              <w:bottom w:val="nil"/>
              <w:right w:val="nil"/>
            </w:tcBorders>
            <w:tcMar>
              <w:top w:w="15" w:type="dxa"/>
              <w:left w:w="15" w:type="dxa"/>
              <w:bottom w:w="0" w:type="dxa"/>
              <w:right w:w="15" w:type="dxa"/>
            </w:tcMar>
            <w:vAlign w:val="center"/>
            <w:hideMark/>
          </w:tcPr>
          <w:p w14:paraId="014F1F8E" w14:textId="77777777" w:rsidR="004722A1" w:rsidRPr="00690046" w:rsidRDefault="004722A1" w:rsidP="00F43BB8">
            <w:pPr>
              <w:jc w:val="center"/>
              <w:rPr>
                <w:rFonts w:cstheme="minorHAnsi"/>
                <w:sz w:val="20"/>
                <w:szCs w:val="20"/>
              </w:rPr>
            </w:pPr>
            <w:r w:rsidRPr="00690046">
              <w:rPr>
                <w:rFonts w:cstheme="minorHAnsi"/>
                <w:sz w:val="20"/>
                <w:szCs w:val="20"/>
              </w:rPr>
              <w:t>5.9</w:t>
            </w:r>
          </w:p>
        </w:tc>
      </w:tr>
      <w:tr w:rsidR="004722A1" w:rsidRPr="00690046" w14:paraId="33B10D83"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15C8252D" w14:textId="77777777" w:rsidR="004722A1" w:rsidRPr="00690046" w:rsidRDefault="004722A1" w:rsidP="00F43BB8">
            <w:pPr>
              <w:jc w:val="both"/>
              <w:rPr>
                <w:rFonts w:cstheme="minorHAnsi"/>
                <w:sz w:val="20"/>
                <w:szCs w:val="20"/>
              </w:rPr>
            </w:pPr>
            <w:r w:rsidRPr="00690046">
              <w:rPr>
                <w:rFonts w:cstheme="minorHAnsi"/>
                <w:sz w:val="20"/>
                <w:szCs w:val="20"/>
              </w:rPr>
              <w:t>Namibia</w:t>
            </w:r>
          </w:p>
        </w:tc>
        <w:tc>
          <w:tcPr>
            <w:tcW w:w="0" w:type="auto"/>
            <w:tcBorders>
              <w:top w:val="nil"/>
              <w:left w:val="nil"/>
              <w:bottom w:val="nil"/>
              <w:right w:val="nil"/>
            </w:tcBorders>
            <w:tcMar>
              <w:top w:w="15" w:type="dxa"/>
              <w:left w:w="15" w:type="dxa"/>
              <w:bottom w:w="0" w:type="dxa"/>
              <w:right w:w="15" w:type="dxa"/>
            </w:tcMar>
            <w:vAlign w:val="center"/>
            <w:hideMark/>
          </w:tcPr>
          <w:p w14:paraId="3A46E658" w14:textId="77777777" w:rsidR="004722A1" w:rsidRPr="00690046" w:rsidRDefault="004722A1" w:rsidP="00F43BB8">
            <w:pPr>
              <w:jc w:val="center"/>
              <w:rPr>
                <w:rFonts w:cstheme="minorHAnsi"/>
                <w:sz w:val="20"/>
                <w:szCs w:val="20"/>
              </w:rPr>
            </w:pPr>
            <w:r w:rsidRPr="00690046">
              <w:rPr>
                <w:rFonts w:cstheme="minorHAnsi"/>
                <w:sz w:val="20"/>
                <w:szCs w:val="20"/>
              </w:rPr>
              <w:t>2,549,182</w:t>
            </w:r>
          </w:p>
        </w:tc>
        <w:tc>
          <w:tcPr>
            <w:tcW w:w="0" w:type="auto"/>
            <w:tcBorders>
              <w:top w:val="nil"/>
              <w:left w:val="nil"/>
              <w:bottom w:val="nil"/>
              <w:right w:val="nil"/>
            </w:tcBorders>
            <w:tcMar>
              <w:top w:w="15" w:type="dxa"/>
              <w:left w:w="15" w:type="dxa"/>
              <w:bottom w:w="0" w:type="dxa"/>
              <w:right w:w="15" w:type="dxa"/>
            </w:tcMar>
            <w:vAlign w:val="center"/>
            <w:hideMark/>
          </w:tcPr>
          <w:p w14:paraId="4CFFA43F" w14:textId="77777777" w:rsidR="004722A1" w:rsidRPr="00690046" w:rsidRDefault="004722A1" w:rsidP="00F43BB8">
            <w:pPr>
              <w:jc w:val="center"/>
              <w:rPr>
                <w:rFonts w:cstheme="minorHAnsi"/>
                <w:sz w:val="20"/>
                <w:szCs w:val="20"/>
              </w:rPr>
            </w:pPr>
            <w:r w:rsidRPr="00690046">
              <w:rPr>
                <w:rFonts w:cstheme="minorHAnsi"/>
                <w:sz w:val="20"/>
                <w:szCs w:val="20"/>
              </w:rPr>
              <w:t>143/195</w:t>
            </w:r>
          </w:p>
        </w:tc>
        <w:tc>
          <w:tcPr>
            <w:tcW w:w="0" w:type="auto"/>
            <w:tcBorders>
              <w:top w:val="nil"/>
              <w:left w:val="nil"/>
              <w:bottom w:val="nil"/>
              <w:right w:val="nil"/>
            </w:tcBorders>
            <w:tcMar>
              <w:top w:w="15" w:type="dxa"/>
              <w:left w:w="15" w:type="dxa"/>
              <w:bottom w:w="0" w:type="dxa"/>
              <w:right w:w="15" w:type="dxa"/>
            </w:tcMar>
            <w:vAlign w:val="center"/>
            <w:hideMark/>
          </w:tcPr>
          <w:p w14:paraId="064CDC68" w14:textId="77777777" w:rsidR="004722A1" w:rsidRPr="00690046" w:rsidRDefault="004722A1" w:rsidP="00F43BB8">
            <w:pPr>
              <w:jc w:val="center"/>
              <w:rPr>
                <w:rFonts w:cstheme="minorHAnsi"/>
                <w:sz w:val="20"/>
                <w:szCs w:val="20"/>
              </w:rPr>
            </w:pPr>
            <w:r w:rsidRPr="00690046">
              <w:rPr>
                <w:rFonts w:cstheme="minorHAnsi"/>
                <w:sz w:val="20"/>
                <w:szCs w:val="20"/>
              </w:rPr>
              <w:t>823,290</w:t>
            </w:r>
          </w:p>
        </w:tc>
        <w:tc>
          <w:tcPr>
            <w:tcW w:w="0" w:type="auto"/>
            <w:tcBorders>
              <w:top w:val="nil"/>
              <w:left w:val="nil"/>
              <w:bottom w:val="nil"/>
              <w:right w:val="nil"/>
            </w:tcBorders>
            <w:tcMar>
              <w:top w:w="15" w:type="dxa"/>
              <w:left w:w="15" w:type="dxa"/>
              <w:bottom w:w="0" w:type="dxa"/>
              <w:right w:w="15" w:type="dxa"/>
            </w:tcMar>
            <w:vAlign w:val="center"/>
            <w:hideMark/>
          </w:tcPr>
          <w:p w14:paraId="4DB03B40" w14:textId="77777777" w:rsidR="004722A1" w:rsidRPr="00690046" w:rsidRDefault="004722A1" w:rsidP="00F43BB8">
            <w:pPr>
              <w:jc w:val="center"/>
              <w:rPr>
                <w:rFonts w:cstheme="minorHAnsi"/>
                <w:sz w:val="20"/>
                <w:szCs w:val="20"/>
              </w:rPr>
            </w:pPr>
            <w:r w:rsidRPr="00690046">
              <w:rPr>
                <w:rFonts w:cstheme="minorHAnsi"/>
                <w:sz w:val="20"/>
                <w:szCs w:val="20"/>
              </w:rPr>
              <w:t>3</w:t>
            </w:r>
          </w:p>
        </w:tc>
        <w:tc>
          <w:tcPr>
            <w:tcW w:w="0" w:type="auto"/>
            <w:tcBorders>
              <w:top w:val="nil"/>
              <w:left w:val="nil"/>
              <w:bottom w:val="nil"/>
              <w:right w:val="nil"/>
            </w:tcBorders>
            <w:tcMar>
              <w:top w:w="15" w:type="dxa"/>
              <w:left w:w="15" w:type="dxa"/>
              <w:bottom w:w="0" w:type="dxa"/>
              <w:right w:w="15" w:type="dxa"/>
            </w:tcMar>
            <w:vAlign w:val="center"/>
            <w:hideMark/>
          </w:tcPr>
          <w:p w14:paraId="7CDDEC4D" w14:textId="77777777" w:rsidR="004722A1" w:rsidRPr="00690046" w:rsidRDefault="004722A1" w:rsidP="00F43BB8">
            <w:pPr>
              <w:jc w:val="center"/>
              <w:rPr>
                <w:rFonts w:cstheme="minorHAnsi"/>
                <w:sz w:val="20"/>
                <w:szCs w:val="20"/>
              </w:rPr>
            </w:pPr>
            <w:r w:rsidRPr="00690046">
              <w:rPr>
                <w:rFonts w:cstheme="minorHAnsi"/>
                <w:sz w:val="20"/>
                <w:szCs w:val="20"/>
              </w:rPr>
              <w:t>4,866</w:t>
            </w:r>
          </w:p>
        </w:tc>
        <w:tc>
          <w:tcPr>
            <w:tcW w:w="0" w:type="auto"/>
            <w:tcBorders>
              <w:top w:val="nil"/>
              <w:left w:val="nil"/>
              <w:bottom w:val="nil"/>
              <w:right w:val="nil"/>
            </w:tcBorders>
            <w:tcMar>
              <w:top w:w="15" w:type="dxa"/>
              <w:left w:w="15" w:type="dxa"/>
              <w:bottom w:w="0" w:type="dxa"/>
              <w:right w:w="15" w:type="dxa"/>
            </w:tcMar>
            <w:vAlign w:val="center"/>
            <w:hideMark/>
          </w:tcPr>
          <w:p w14:paraId="68BF2EF2" w14:textId="77777777" w:rsidR="004722A1" w:rsidRPr="00690046" w:rsidRDefault="004722A1" w:rsidP="00F43BB8">
            <w:pPr>
              <w:jc w:val="center"/>
              <w:rPr>
                <w:rFonts w:cstheme="minorHAnsi"/>
                <w:sz w:val="20"/>
                <w:szCs w:val="20"/>
              </w:rPr>
            </w:pPr>
            <w:r w:rsidRPr="00690046">
              <w:rPr>
                <w:rFonts w:cstheme="minorHAnsi"/>
                <w:sz w:val="20"/>
                <w:szCs w:val="20"/>
              </w:rPr>
              <w:t>10,161</w:t>
            </w:r>
          </w:p>
        </w:tc>
        <w:tc>
          <w:tcPr>
            <w:tcW w:w="0" w:type="auto"/>
            <w:tcBorders>
              <w:top w:val="nil"/>
              <w:left w:val="nil"/>
              <w:bottom w:val="nil"/>
              <w:right w:val="nil"/>
            </w:tcBorders>
            <w:tcMar>
              <w:top w:w="15" w:type="dxa"/>
              <w:left w:w="15" w:type="dxa"/>
              <w:bottom w:w="0" w:type="dxa"/>
              <w:right w:w="15" w:type="dxa"/>
            </w:tcMar>
            <w:vAlign w:val="center"/>
            <w:hideMark/>
          </w:tcPr>
          <w:p w14:paraId="0978E630" w14:textId="77777777" w:rsidR="004722A1" w:rsidRPr="00690046" w:rsidRDefault="004722A1" w:rsidP="00F43BB8">
            <w:pPr>
              <w:jc w:val="center"/>
              <w:rPr>
                <w:rFonts w:cstheme="minorHAnsi"/>
                <w:sz w:val="20"/>
                <w:szCs w:val="20"/>
              </w:rPr>
            </w:pPr>
            <w:r w:rsidRPr="00690046">
              <w:rPr>
                <w:rFonts w:cstheme="minorHAnsi"/>
                <w:sz w:val="20"/>
                <w:szCs w:val="20"/>
              </w:rPr>
              <w:t>UM</w:t>
            </w:r>
          </w:p>
        </w:tc>
        <w:tc>
          <w:tcPr>
            <w:tcW w:w="0" w:type="auto"/>
            <w:tcBorders>
              <w:top w:val="nil"/>
              <w:left w:val="nil"/>
              <w:bottom w:val="nil"/>
              <w:right w:val="nil"/>
            </w:tcBorders>
            <w:tcMar>
              <w:top w:w="15" w:type="dxa"/>
              <w:left w:w="15" w:type="dxa"/>
              <w:bottom w:w="0" w:type="dxa"/>
              <w:right w:w="15" w:type="dxa"/>
            </w:tcMar>
            <w:vAlign w:val="center"/>
            <w:hideMark/>
          </w:tcPr>
          <w:p w14:paraId="7E2384F8" w14:textId="77777777" w:rsidR="004722A1" w:rsidRPr="00690046" w:rsidRDefault="004722A1" w:rsidP="00F43BB8">
            <w:pPr>
              <w:jc w:val="center"/>
              <w:rPr>
                <w:rFonts w:cstheme="minorHAnsi"/>
                <w:sz w:val="20"/>
                <w:szCs w:val="20"/>
              </w:rPr>
            </w:pPr>
            <w:r w:rsidRPr="00690046">
              <w:rPr>
                <w:rFonts w:cstheme="minorHAnsi"/>
                <w:sz w:val="20"/>
                <w:szCs w:val="20"/>
              </w:rPr>
              <w:t>35.8</w:t>
            </w:r>
          </w:p>
        </w:tc>
      </w:tr>
      <w:tr w:rsidR="004722A1" w:rsidRPr="00690046" w14:paraId="5818C71B" w14:textId="77777777" w:rsidTr="00F43BB8">
        <w:trPr>
          <w:trHeight w:val="280"/>
        </w:trPr>
        <w:tc>
          <w:tcPr>
            <w:tcW w:w="0" w:type="auto"/>
            <w:tcBorders>
              <w:top w:val="nil"/>
              <w:left w:val="nil"/>
              <w:bottom w:val="nil"/>
              <w:right w:val="nil"/>
            </w:tcBorders>
            <w:tcMar>
              <w:top w:w="15" w:type="dxa"/>
              <w:left w:w="15" w:type="dxa"/>
              <w:bottom w:w="0" w:type="dxa"/>
              <w:right w:w="15" w:type="dxa"/>
            </w:tcMar>
            <w:vAlign w:val="center"/>
            <w:hideMark/>
          </w:tcPr>
          <w:p w14:paraId="2A603854" w14:textId="77777777" w:rsidR="004722A1" w:rsidRPr="00690046" w:rsidRDefault="004722A1" w:rsidP="00F43BB8">
            <w:pPr>
              <w:jc w:val="both"/>
              <w:rPr>
                <w:rFonts w:cstheme="minorHAnsi"/>
                <w:sz w:val="20"/>
                <w:szCs w:val="20"/>
              </w:rPr>
            </w:pPr>
            <w:r w:rsidRPr="00690046">
              <w:rPr>
                <w:rFonts w:cstheme="minorHAnsi"/>
                <w:sz w:val="20"/>
                <w:szCs w:val="20"/>
              </w:rPr>
              <w:t>Sao Tome and Principe</w:t>
            </w:r>
          </w:p>
        </w:tc>
        <w:tc>
          <w:tcPr>
            <w:tcW w:w="0" w:type="auto"/>
            <w:tcBorders>
              <w:top w:val="nil"/>
              <w:left w:val="nil"/>
              <w:bottom w:val="nil"/>
              <w:right w:val="nil"/>
            </w:tcBorders>
            <w:tcMar>
              <w:top w:w="15" w:type="dxa"/>
              <w:left w:w="15" w:type="dxa"/>
              <w:bottom w:w="0" w:type="dxa"/>
              <w:right w:w="15" w:type="dxa"/>
            </w:tcMar>
            <w:vAlign w:val="center"/>
            <w:hideMark/>
          </w:tcPr>
          <w:p w14:paraId="485DAAE8" w14:textId="77777777" w:rsidR="004722A1" w:rsidRPr="00690046" w:rsidRDefault="004722A1" w:rsidP="00F43BB8">
            <w:pPr>
              <w:jc w:val="center"/>
              <w:rPr>
                <w:rFonts w:cstheme="minorHAnsi"/>
                <w:sz w:val="20"/>
                <w:szCs w:val="20"/>
              </w:rPr>
            </w:pPr>
            <w:r w:rsidRPr="00690046">
              <w:rPr>
                <w:rFonts w:cstheme="minorHAnsi"/>
                <w:sz w:val="20"/>
                <w:szCs w:val="20"/>
              </w:rPr>
              <w:t>225,155</w:t>
            </w:r>
          </w:p>
        </w:tc>
        <w:tc>
          <w:tcPr>
            <w:tcW w:w="0" w:type="auto"/>
            <w:tcBorders>
              <w:top w:val="nil"/>
              <w:left w:val="nil"/>
              <w:bottom w:val="nil"/>
              <w:right w:val="nil"/>
            </w:tcBorders>
            <w:tcMar>
              <w:top w:w="15" w:type="dxa"/>
              <w:left w:w="15" w:type="dxa"/>
              <w:bottom w:w="0" w:type="dxa"/>
              <w:right w:w="15" w:type="dxa"/>
            </w:tcMar>
            <w:vAlign w:val="center"/>
            <w:hideMark/>
          </w:tcPr>
          <w:p w14:paraId="4C726F8E" w14:textId="77777777" w:rsidR="004722A1" w:rsidRPr="00690046" w:rsidRDefault="004722A1" w:rsidP="00F43BB8">
            <w:pPr>
              <w:jc w:val="center"/>
              <w:rPr>
                <w:rFonts w:cstheme="minorHAnsi"/>
                <w:sz w:val="20"/>
                <w:szCs w:val="20"/>
              </w:rPr>
            </w:pPr>
            <w:r w:rsidRPr="00690046">
              <w:rPr>
                <w:rFonts w:cstheme="minorHAnsi"/>
                <w:sz w:val="20"/>
                <w:szCs w:val="20"/>
              </w:rPr>
              <w:t>176/195</w:t>
            </w:r>
          </w:p>
        </w:tc>
        <w:tc>
          <w:tcPr>
            <w:tcW w:w="0" w:type="auto"/>
            <w:tcBorders>
              <w:top w:val="nil"/>
              <w:left w:val="nil"/>
              <w:bottom w:val="nil"/>
              <w:right w:val="nil"/>
            </w:tcBorders>
            <w:tcMar>
              <w:top w:w="15" w:type="dxa"/>
              <w:left w:w="15" w:type="dxa"/>
              <w:bottom w:w="0" w:type="dxa"/>
              <w:right w:w="15" w:type="dxa"/>
            </w:tcMar>
            <w:vAlign w:val="center"/>
            <w:hideMark/>
          </w:tcPr>
          <w:p w14:paraId="5D2E7C4A" w14:textId="77777777" w:rsidR="004722A1" w:rsidRPr="00690046" w:rsidRDefault="004722A1" w:rsidP="00F43BB8">
            <w:pPr>
              <w:jc w:val="center"/>
              <w:rPr>
                <w:rFonts w:cstheme="minorHAnsi"/>
                <w:sz w:val="20"/>
                <w:szCs w:val="20"/>
              </w:rPr>
            </w:pPr>
            <w:r w:rsidRPr="00690046">
              <w:rPr>
                <w:rFonts w:cstheme="minorHAnsi"/>
                <w:sz w:val="20"/>
                <w:szCs w:val="20"/>
              </w:rPr>
              <w:t>960</w:t>
            </w:r>
          </w:p>
        </w:tc>
        <w:tc>
          <w:tcPr>
            <w:tcW w:w="0" w:type="auto"/>
            <w:tcBorders>
              <w:top w:val="nil"/>
              <w:left w:val="nil"/>
              <w:bottom w:val="nil"/>
              <w:right w:val="nil"/>
            </w:tcBorders>
            <w:tcMar>
              <w:top w:w="15" w:type="dxa"/>
              <w:left w:w="15" w:type="dxa"/>
              <w:bottom w:w="0" w:type="dxa"/>
              <w:right w:w="15" w:type="dxa"/>
            </w:tcMar>
            <w:vAlign w:val="center"/>
            <w:hideMark/>
          </w:tcPr>
          <w:p w14:paraId="5B631DB0" w14:textId="77777777" w:rsidR="004722A1" w:rsidRPr="00690046" w:rsidRDefault="004722A1" w:rsidP="00F43BB8">
            <w:pPr>
              <w:jc w:val="center"/>
              <w:rPr>
                <w:rFonts w:cstheme="minorHAnsi"/>
                <w:sz w:val="20"/>
                <w:szCs w:val="20"/>
              </w:rPr>
            </w:pPr>
            <w:r w:rsidRPr="00690046">
              <w:rPr>
                <w:rFonts w:cstheme="minorHAnsi"/>
                <w:sz w:val="20"/>
                <w:szCs w:val="20"/>
              </w:rPr>
              <w:t>235</w:t>
            </w:r>
          </w:p>
        </w:tc>
        <w:tc>
          <w:tcPr>
            <w:tcW w:w="0" w:type="auto"/>
            <w:tcBorders>
              <w:top w:val="nil"/>
              <w:left w:val="nil"/>
              <w:bottom w:val="nil"/>
              <w:right w:val="nil"/>
            </w:tcBorders>
            <w:tcMar>
              <w:top w:w="15" w:type="dxa"/>
              <w:left w:w="15" w:type="dxa"/>
              <w:bottom w:w="0" w:type="dxa"/>
              <w:right w:w="15" w:type="dxa"/>
            </w:tcMar>
            <w:vAlign w:val="center"/>
            <w:hideMark/>
          </w:tcPr>
          <w:p w14:paraId="0476DDFB" w14:textId="77777777" w:rsidR="004722A1" w:rsidRPr="00690046" w:rsidRDefault="004722A1" w:rsidP="00F43BB8">
            <w:pPr>
              <w:jc w:val="center"/>
              <w:rPr>
                <w:rFonts w:cstheme="minorHAnsi"/>
                <w:sz w:val="20"/>
                <w:szCs w:val="20"/>
              </w:rPr>
            </w:pPr>
            <w:r w:rsidRPr="00690046">
              <w:rPr>
                <w:rFonts w:cstheme="minorHAnsi"/>
                <w:sz w:val="20"/>
                <w:szCs w:val="20"/>
              </w:rPr>
              <w:t>2,361</w:t>
            </w:r>
          </w:p>
        </w:tc>
        <w:tc>
          <w:tcPr>
            <w:tcW w:w="0" w:type="auto"/>
            <w:tcBorders>
              <w:top w:val="nil"/>
              <w:left w:val="nil"/>
              <w:bottom w:val="nil"/>
              <w:right w:val="nil"/>
            </w:tcBorders>
            <w:tcMar>
              <w:top w:w="15" w:type="dxa"/>
              <w:left w:w="15" w:type="dxa"/>
              <w:bottom w:w="0" w:type="dxa"/>
              <w:right w:w="15" w:type="dxa"/>
            </w:tcMar>
            <w:vAlign w:val="center"/>
            <w:hideMark/>
          </w:tcPr>
          <w:p w14:paraId="5F2E8F05" w14:textId="77777777" w:rsidR="004722A1" w:rsidRPr="00690046" w:rsidRDefault="004722A1" w:rsidP="00F43BB8">
            <w:pPr>
              <w:jc w:val="center"/>
              <w:rPr>
                <w:rFonts w:cstheme="minorHAnsi"/>
                <w:sz w:val="20"/>
                <w:szCs w:val="20"/>
              </w:rPr>
            </w:pPr>
            <w:r w:rsidRPr="00690046">
              <w:rPr>
                <w:rFonts w:cstheme="minorHAnsi"/>
                <w:sz w:val="20"/>
                <w:szCs w:val="20"/>
              </w:rPr>
              <w:t>4,471</w:t>
            </w:r>
          </w:p>
        </w:tc>
        <w:tc>
          <w:tcPr>
            <w:tcW w:w="0" w:type="auto"/>
            <w:tcBorders>
              <w:top w:val="nil"/>
              <w:left w:val="nil"/>
              <w:bottom w:val="nil"/>
              <w:right w:val="nil"/>
            </w:tcBorders>
            <w:tcMar>
              <w:top w:w="15" w:type="dxa"/>
              <w:left w:w="15" w:type="dxa"/>
              <w:bottom w:w="0" w:type="dxa"/>
              <w:right w:w="15" w:type="dxa"/>
            </w:tcMar>
            <w:vAlign w:val="center"/>
            <w:hideMark/>
          </w:tcPr>
          <w:p w14:paraId="18318C6F" w14:textId="77777777" w:rsidR="004722A1" w:rsidRPr="00690046" w:rsidRDefault="004722A1" w:rsidP="00F43BB8">
            <w:pPr>
              <w:jc w:val="center"/>
              <w:rPr>
                <w:rFonts w:cstheme="minorHAnsi"/>
                <w:sz w:val="20"/>
                <w:szCs w:val="20"/>
              </w:rPr>
            </w:pPr>
            <w:r w:rsidRPr="00690046">
              <w:rPr>
                <w:rFonts w:cstheme="minorHAnsi"/>
                <w:sz w:val="20"/>
                <w:szCs w:val="20"/>
              </w:rPr>
              <w:t>LM</w:t>
            </w:r>
          </w:p>
        </w:tc>
        <w:tc>
          <w:tcPr>
            <w:tcW w:w="0" w:type="auto"/>
            <w:tcBorders>
              <w:top w:val="nil"/>
              <w:left w:val="nil"/>
              <w:bottom w:val="nil"/>
              <w:right w:val="nil"/>
            </w:tcBorders>
            <w:tcMar>
              <w:top w:w="15" w:type="dxa"/>
              <w:left w:w="15" w:type="dxa"/>
              <w:bottom w:w="0" w:type="dxa"/>
              <w:right w:w="15" w:type="dxa"/>
            </w:tcMar>
            <w:vAlign w:val="center"/>
            <w:hideMark/>
          </w:tcPr>
          <w:p w14:paraId="3FE53B17" w14:textId="77777777" w:rsidR="004722A1" w:rsidRPr="00690046" w:rsidRDefault="004722A1" w:rsidP="00F43BB8">
            <w:pPr>
              <w:jc w:val="center"/>
              <w:rPr>
                <w:rFonts w:cstheme="minorHAnsi"/>
                <w:sz w:val="20"/>
                <w:szCs w:val="20"/>
              </w:rPr>
            </w:pPr>
            <w:r w:rsidRPr="00690046">
              <w:rPr>
                <w:rFonts w:cstheme="minorHAnsi"/>
                <w:sz w:val="20"/>
                <w:szCs w:val="20"/>
              </w:rPr>
              <w:t>50.3</w:t>
            </w:r>
          </w:p>
        </w:tc>
      </w:tr>
      <w:tr w:rsidR="004722A1" w:rsidRPr="00690046" w14:paraId="350CD066" w14:textId="77777777" w:rsidTr="00F43BB8">
        <w:trPr>
          <w:trHeight w:val="280"/>
        </w:trPr>
        <w:tc>
          <w:tcPr>
            <w:tcW w:w="0" w:type="auto"/>
            <w:tcBorders>
              <w:top w:val="nil"/>
              <w:left w:val="nil"/>
              <w:bottom w:val="single" w:sz="4" w:space="0" w:color="auto"/>
              <w:right w:val="nil"/>
            </w:tcBorders>
            <w:tcMar>
              <w:top w:w="15" w:type="dxa"/>
              <w:left w:w="15" w:type="dxa"/>
              <w:bottom w:w="0" w:type="dxa"/>
              <w:right w:w="15" w:type="dxa"/>
            </w:tcMar>
            <w:vAlign w:val="center"/>
            <w:hideMark/>
          </w:tcPr>
          <w:p w14:paraId="499B4A46" w14:textId="77777777" w:rsidR="004722A1" w:rsidRPr="00690046" w:rsidRDefault="004722A1" w:rsidP="00F43BB8">
            <w:pPr>
              <w:jc w:val="both"/>
              <w:rPr>
                <w:rFonts w:cstheme="minorHAnsi"/>
                <w:sz w:val="20"/>
                <w:szCs w:val="20"/>
              </w:rPr>
            </w:pPr>
            <w:r w:rsidRPr="00690046">
              <w:rPr>
                <w:rFonts w:cstheme="minorHAnsi"/>
                <w:sz w:val="20"/>
                <w:szCs w:val="20"/>
              </w:rPr>
              <w:t>Seychelles</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657D35BF" w14:textId="77777777" w:rsidR="004722A1" w:rsidRPr="00690046" w:rsidRDefault="004722A1" w:rsidP="00F43BB8">
            <w:pPr>
              <w:jc w:val="center"/>
              <w:rPr>
                <w:rFonts w:cstheme="minorHAnsi"/>
                <w:sz w:val="20"/>
                <w:szCs w:val="20"/>
              </w:rPr>
            </w:pPr>
            <w:r w:rsidRPr="00690046">
              <w:rPr>
                <w:rFonts w:cstheme="minorHAnsi"/>
                <w:sz w:val="20"/>
                <w:szCs w:val="20"/>
              </w:rPr>
              <w:t>106,887</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0F83C3D2" w14:textId="77777777" w:rsidR="004722A1" w:rsidRPr="00690046" w:rsidRDefault="004722A1" w:rsidP="00F43BB8">
            <w:pPr>
              <w:jc w:val="center"/>
              <w:rPr>
                <w:rFonts w:cstheme="minorHAnsi"/>
                <w:sz w:val="20"/>
                <w:szCs w:val="20"/>
              </w:rPr>
            </w:pPr>
            <w:r w:rsidRPr="00690046">
              <w:rPr>
                <w:rFonts w:cstheme="minorHAnsi"/>
                <w:sz w:val="20"/>
                <w:szCs w:val="20"/>
              </w:rPr>
              <w:t>182/195</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4CFC0430" w14:textId="77777777" w:rsidR="004722A1" w:rsidRPr="00690046" w:rsidRDefault="004722A1" w:rsidP="00F43BB8">
            <w:pPr>
              <w:jc w:val="center"/>
              <w:rPr>
                <w:rFonts w:cstheme="minorHAnsi"/>
                <w:sz w:val="20"/>
                <w:szCs w:val="20"/>
              </w:rPr>
            </w:pPr>
            <w:r w:rsidRPr="00690046">
              <w:rPr>
                <w:rFonts w:cstheme="minorHAnsi"/>
                <w:sz w:val="20"/>
                <w:szCs w:val="20"/>
              </w:rPr>
              <w:t>460</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7B39886A" w14:textId="77777777" w:rsidR="004722A1" w:rsidRPr="00690046" w:rsidRDefault="004722A1" w:rsidP="00F43BB8">
            <w:pPr>
              <w:jc w:val="center"/>
              <w:rPr>
                <w:rFonts w:cstheme="minorHAnsi"/>
                <w:sz w:val="20"/>
                <w:szCs w:val="20"/>
              </w:rPr>
            </w:pPr>
            <w:r w:rsidRPr="00690046">
              <w:rPr>
                <w:rFonts w:cstheme="minorHAnsi"/>
                <w:sz w:val="20"/>
                <w:szCs w:val="20"/>
              </w:rPr>
              <w:t>232</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693348AF" w14:textId="77777777" w:rsidR="004722A1" w:rsidRPr="00690046" w:rsidRDefault="004722A1" w:rsidP="00F43BB8">
            <w:pPr>
              <w:jc w:val="center"/>
              <w:rPr>
                <w:rFonts w:cstheme="minorHAnsi"/>
                <w:sz w:val="20"/>
                <w:szCs w:val="20"/>
              </w:rPr>
            </w:pPr>
            <w:r w:rsidRPr="00690046">
              <w:rPr>
                <w:rFonts w:cstheme="minorHAnsi"/>
                <w:sz w:val="20"/>
                <w:szCs w:val="20"/>
              </w:rPr>
              <w:t>14,653</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6F785D47" w14:textId="77777777" w:rsidR="004722A1" w:rsidRPr="00690046" w:rsidRDefault="004722A1" w:rsidP="00F43BB8">
            <w:pPr>
              <w:jc w:val="center"/>
              <w:rPr>
                <w:rFonts w:cstheme="minorHAnsi"/>
                <w:sz w:val="20"/>
                <w:szCs w:val="20"/>
              </w:rPr>
            </w:pPr>
            <w:r w:rsidRPr="00690046">
              <w:rPr>
                <w:rFonts w:cstheme="minorHAnsi"/>
                <w:sz w:val="20"/>
                <w:szCs w:val="20"/>
              </w:rPr>
              <w:t>30,503</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779F68B9" w14:textId="77777777" w:rsidR="004722A1" w:rsidRPr="00690046" w:rsidRDefault="004722A1" w:rsidP="00F43BB8">
            <w:pPr>
              <w:jc w:val="center"/>
              <w:rPr>
                <w:rFonts w:cstheme="minorHAnsi"/>
                <w:sz w:val="20"/>
                <w:szCs w:val="20"/>
              </w:rPr>
            </w:pPr>
            <w:r w:rsidRPr="00690046">
              <w:rPr>
                <w:rFonts w:cstheme="minorHAnsi"/>
                <w:sz w:val="20"/>
                <w:szCs w:val="20"/>
              </w:rPr>
              <w:t>H</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39816BAE" w14:textId="77777777" w:rsidR="004722A1" w:rsidRPr="00690046" w:rsidRDefault="004722A1" w:rsidP="00F43BB8">
            <w:pPr>
              <w:jc w:val="center"/>
              <w:rPr>
                <w:rFonts w:cstheme="minorHAnsi"/>
                <w:sz w:val="20"/>
                <w:szCs w:val="20"/>
              </w:rPr>
            </w:pPr>
            <w:r w:rsidRPr="00690046">
              <w:rPr>
                <w:rFonts w:cstheme="minorHAnsi"/>
                <w:sz w:val="20"/>
                <w:szCs w:val="20"/>
              </w:rPr>
              <w:t>9.9</w:t>
            </w:r>
          </w:p>
        </w:tc>
      </w:tr>
      <w:tr w:rsidR="004722A1" w:rsidRPr="00690046" w14:paraId="1AA549BE" w14:textId="77777777" w:rsidTr="00F43BB8">
        <w:trPr>
          <w:trHeight w:val="340"/>
        </w:trPr>
        <w:tc>
          <w:tcPr>
            <w:tcW w:w="0" w:type="auto"/>
            <w:tcBorders>
              <w:top w:val="nil"/>
              <w:left w:val="nil"/>
              <w:bottom w:val="nil"/>
              <w:right w:val="nil"/>
            </w:tcBorders>
            <w:tcMar>
              <w:top w:w="15" w:type="dxa"/>
              <w:left w:w="15" w:type="dxa"/>
              <w:bottom w:w="0" w:type="dxa"/>
              <w:right w:w="15" w:type="dxa"/>
            </w:tcMar>
            <w:vAlign w:val="center"/>
            <w:hideMark/>
          </w:tcPr>
          <w:p w14:paraId="47A398E5" w14:textId="1A40BC5C" w:rsidR="004722A1" w:rsidRPr="00690046" w:rsidRDefault="004722A1" w:rsidP="00F43BB8">
            <w:pPr>
              <w:jc w:val="both"/>
              <w:rPr>
                <w:rFonts w:cstheme="minorHAnsi"/>
                <w:b/>
                <w:bCs/>
                <w:color w:val="000000"/>
                <w:sz w:val="20"/>
                <w:szCs w:val="20"/>
              </w:rPr>
            </w:pPr>
            <w:r w:rsidRPr="00690046">
              <w:rPr>
                <w:rFonts w:cstheme="minorHAnsi"/>
                <w:b/>
                <w:bCs/>
                <w:color w:val="000000"/>
                <w:sz w:val="20"/>
                <w:szCs w:val="20"/>
              </w:rPr>
              <w:t>A</w:t>
            </w:r>
            <w:r w:rsidR="00AA5EBC">
              <w:rPr>
                <w:rFonts w:cstheme="minorHAnsi"/>
                <w:b/>
                <w:bCs/>
                <w:color w:val="000000"/>
                <w:sz w:val="20"/>
                <w:szCs w:val="20"/>
              </w:rPr>
              <w:t>frican</w:t>
            </w:r>
            <w:r w:rsidR="00EA126F">
              <w:rPr>
                <w:rFonts w:cstheme="minorHAnsi"/>
                <w:b/>
                <w:bCs/>
                <w:color w:val="000000"/>
                <w:sz w:val="20"/>
                <w:szCs w:val="20"/>
              </w:rPr>
              <w:t xml:space="preserve"> </w:t>
            </w:r>
            <w:r w:rsidRPr="00690046">
              <w:rPr>
                <w:rFonts w:cstheme="minorHAnsi"/>
                <w:b/>
                <w:bCs/>
                <w:color w:val="000000"/>
                <w:sz w:val="20"/>
                <w:szCs w:val="20"/>
              </w:rPr>
              <w:t>S&amp;IS Mean</w:t>
            </w:r>
          </w:p>
        </w:tc>
        <w:tc>
          <w:tcPr>
            <w:tcW w:w="0" w:type="auto"/>
            <w:tcBorders>
              <w:top w:val="nil"/>
              <w:left w:val="nil"/>
              <w:bottom w:val="nil"/>
              <w:right w:val="nil"/>
            </w:tcBorders>
            <w:tcMar>
              <w:top w:w="15" w:type="dxa"/>
              <w:left w:w="15" w:type="dxa"/>
              <w:bottom w:w="0" w:type="dxa"/>
              <w:right w:w="15" w:type="dxa"/>
            </w:tcMar>
            <w:vAlign w:val="center"/>
            <w:hideMark/>
          </w:tcPr>
          <w:p w14:paraId="6A2D59BD" w14:textId="77777777" w:rsidR="004722A1" w:rsidRPr="00690046" w:rsidRDefault="004722A1" w:rsidP="00F43BB8">
            <w:pPr>
              <w:jc w:val="center"/>
              <w:rPr>
                <w:rFonts w:cstheme="minorHAnsi"/>
                <w:sz w:val="20"/>
                <w:szCs w:val="20"/>
              </w:rPr>
            </w:pPr>
            <w:r w:rsidRPr="00690046">
              <w:rPr>
                <w:rFonts w:cstheme="minorHAnsi"/>
                <w:sz w:val="20"/>
                <w:szCs w:val="20"/>
              </w:rPr>
              <w:t>1,542,071</w:t>
            </w:r>
          </w:p>
        </w:tc>
        <w:tc>
          <w:tcPr>
            <w:tcW w:w="0" w:type="auto"/>
            <w:tcBorders>
              <w:top w:val="nil"/>
              <w:left w:val="nil"/>
              <w:bottom w:val="nil"/>
              <w:right w:val="nil"/>
            </w:tcBorders>
            <w:tcMar>
              <w:top w:w="15" w:type="dxa"/>
              <w:left w:w="15" w:type="dxa"/>
              <w:bottom w:w="0" w:type="dxa"/>
              <w:right w:w="15" w:type="dxa"/>
            </w:tcMar>
            <w:vAlign w:val="center"/>
            <w:hideMark/>
          </w:tcPr>
          <w:p w14:paraId="68D88B9D" w14:textId="77777777" w:rsidR="004722A1" w:rsidRPr="00690046" w:rsidRDefault="004722A1" w:rsidP="00F43BB8">
            <w:pPr>
              <w:jc w:val="center"/>
              <w:rPr>
                <w:rFonts w:cstheme="minorHAnsi"/>
                <w:sz w:val="20"/>
                <w:szCs w:val="20"/>
              </w:rPr>
            </w:pPr>
            <w:r w:rsidRPr="00690046">
              <w:rPr>
                <w:rFonts w:cstheme="minorHAnsi"/>
                <w:sz w:val="20"/>
                <w:szCs w:val="20"/>
              </w:rPr>
              <w:t>-</w:t>
            </w:r>
          </w:p>
        </w:tc>
        <w:tc>
          <w:tcPr>
            <w:tcW w:w="0" w:type="auto"/>
            <w:tcBorders>
              <w:top w:val="nil"/>
              <w:left w:val="nil"/>
              <w:bottom w:val="nil"/>
              <w:right w:val="nil"/>
            </w:tcBorders>
            <w:tcMar>
              <w:top w:w="15" w:type="dxa"/>
              <w:left w:w="15" w:type="dxa"/>
              <w:bottom w:w="0" w:type="dxa"/>
              <w:right w:w="15" w:type="dxa"/>
            </w:tcMar>
            <w:vAlign w:val="center"/>
            <w:hideMark/>
          </w:tcPr>
          <w:p w14:paraId="5670EBB6" w14:textId="77777777" w:rsidR="004722A1" w:rsidRPr="00690046" w:rsidRDefault="004722A1" w:rsidP="00F43BB8">
            <w:pPr>
              <w:jc w:val="center"/>
              <w:rPr>
                <w:rFonts w:cstheme="minorHAnsi"/>
                <w:sz w:val="20"/>
                <w:szCs w:val="20"/>
              </w:rPr>
            </w:pPr>
            <w:r w:rsidRPr="00690046">
              <w:rPr>
                <w:rFonts w:cstheme="minorHAnsi"/>
                <w:sz w:val="20"/>
                <w:szCs w:val="20"/>
              </w:rPr>
              <w:t>128,147</w:t>
            </w:r>
          </w:p>
        </w:tc>
        <w:tc>
          <w:tcPr>
            <w:tcW w:w="0" w:type="auto"/>
            <w:tcBorders>
              <w:top w:val="nil"/>
              <w:left w:val="nil"/>
              <w:bottom w:val="nil"/>
              <w:right w:val="nil"/>
            </w:tcBorders>
            <w:tcMar>
              <w:top w:w="15" w:type="dxa"/>
              <w:left w:w="15" w:type="dxa"/>
              <w:bottom w:w="0" w:type="dxa"/>
              <w:right w:w="15" w:type="dxa"/>
            </w:tcMar>
            <w:vAlign w:val="center"/>
            <w:hideMark/>
          </w:tcPr>
          <w:p w14:paraId="450F919D" w14:textId="77777777" w:rsidR="004722A1" w:rsidRPr="00690046" w:rsidRDefault="004722A1" w:rsidP="00F43BB8">
            <w:pPr>
              <w:jc w:val="center"/>
              <w:rPr>
                <w:rFonts w:cstheme="minorHAnsi"/>
                <w:sz w:val="20"/>
                <w:szCs w:val="20"/>
              </w:rPr>
            </w:pPr>
            <w:r w:rsidRPr="00690046">
              <w:rPr>
                <w:rFonts w:cstheme="minorHAnsi"/>
                <w:sz w:val="20"/>
                <w:szCs w:val="20"/>
              </w:rPr>
              <w:t>165</w:t>
            </w:r>
          </w:p>
        </w:tc>
        <w:tc>
          <w:tcPr>
            <w:tcW w:w="0" w:type="auto"/>
            <w:tcBorders>
              <w:top w:val="nil"/>
              <w:left w:val="nil"/>
              <w:bottom w:val="nil"/>
              <w:right w:val="nil"/>
            </w:tcBorders>
            <w:tcMar>
              <w:top w:w="15" w:type="dxa"/>
              <w:left w:w="15" w:type="dxa"/>
              <w:bottom w:w="0" w:type="dxa"/>
              <w:right w:w="15" w:type="dxa"/>
            </w:tcMar>
            <w:vAlign w:val="center"/>
            <w:hideMark/>
          </w:tcPr>
          <w:p w14:paraId="01520E7A" w14:textId="77777777" w:rsidR="004722A1" w:rsidRPr="00690046" w:rsidRDefault="004722A1" w:rsidP="00F43BB8">
            <w:pPr>
              <w:jc w:val="center"/>
              <w:rPr>
                <w:rFonts w:cstheme="minorHAnsi"/>
                <w:sz w:val="20"/>
                <w:szCs w:val="20"/>
              </w:rPr>
            </w:pPr>
            <w:r w:rsidRPr="00690046">
              <w:rPr>
                <w:rFonts w:cstheme="minorHAnsi"/>
                <w:sz w:val="20"/>
                <w:szCs w:val="20"/>
              </w:rPr>
              <w:t>4,900</w:t>
            </w:r>
          </w:p>
        </w:tc>
        <w:tc>
          <w:tcPr>
            <w:tcW w:w="0" w:type="auto"/>
            <w:tcBorders>
              <w:top w:val="nil"/>
              <w:left w:val="nil"/>
              <w:bottom w:val="nil"/>
              <w:right w:val="nil"/>
            </w:tcBorders>
            <w:tcMar>
              <w:top w:w="15" w:type="dxa"/>
              <w:left w:w="15" w:type="dxa"/>
              <w:bottom w:w="0" w:type="dxa"/>
              <w:right w:w="15" w:type="dxa"/>
            </w:tcMar>
            <w:vAlign w:val="center"/>
            <w:hideMark/>
          </w:tcPr>
          <w:p w14:paraId="44021B03" w14:textId="77777777" w:rsidR="004722A1" w:rsidRPr="00690046" w:rsidRDefault="004722A1" w:rsidP="00F43BB8">
            <w:pPr>
              <w:jc w:val="center"/>
              <w:rPr>
                <w:rFonts w:cstheme="minorHAnsi"/>
                <w:sz w:val="20"/>
                <w:szCs w:val="20"/>
              </w:rPr>
            </w:pPr>
            <w:r w:rsidRPr="00690046">
              <w:rPr>
                <w:rFonts w:cstheme="minorHAnsi"/>
                <w:sz w:val="20"/>
                <w:szCs w:val="20"/>
              </w:rPr>
              <w:t>10,637</w:t>
            </w:r>
          </w:p>
        </w:tc>
        <w:tc>
          <w:tcPr>
            <w:tcW w:w="0" w:type="auto"/>
            <w:tcBorders>
              <w:top w:val="nil"/>
              <w:left w:val="nil"/>
              <w:bottom w:val="nil"/>
              <w:right w:val="nil"/>
            </w:tcBorders>
            <w:tcMar>
              <w:top w:w="15" w:type="dxa"/>
              <w:left w:w="15" w:type="dxa"/>
              <w:bottom w:w="0" w:type="dxa"/>
              <w:right w:w="15" w:type="dxa"/>
            </w:tcMar>
            <w:vAlign w:val="center"/>
            <w:hideMark/>
          </w:tcPr>
          <w:p w14:paraId="1FD320E1" w14:textId="77777777" w:rsidR="004722A1" w:rsidRPr="00690046" w:rsidRDefault="004722A1" w:rsidP="00F43BB8">
            <w:pPr>
              <w:jc w:val="center"/>
              <w:rPr>
                <w:rFonts w:cstheme="minorHAnsi"/>
                <w:sz w:val="20"/>
                <w:szCs w:val="20"/>
              </w:rPr>
            </w:pPr>
            <w:r w:rsidRPr="00690046">
              <w:rPr>
                <w:rFonts w:cstheme="minorHAnsi"/>
                <w:sz w:val="20"/>
                <w:szCs w:val="20"/>
              </w:rPr>
              <w:t>2.4</w:t>
            </w:r>
          </w:p>
        </w:tc>
        <w:tc>
          <w:tcPr>
            <w:tcW w:w="0" w:type="auto"/>
            <w:tcBorders>
              <w:top w:val="nil"/>
              <w:left w:val="nil"/>
              <w:bottom w:val="nil"/>
              <w:right w:val="nil"/>
            </w:tcBorders>
            <w:tcMar>
              <w:top w:w="15" w:type="dxa"/>
              <w:left w:w="15" w:type="dxa"/>
              <w:bottom w:w="0" w:type="dxa"/>
              <w:right w:w="15" w:type="dxa"/>
            </w:tcMar>
            <w:vAlign w:val="center"/>
            <w:hideMark/>
          </w:tcPr>
          <w:p w14:paraId="01A10E11" w14:textId="77777777" w:rsidR="004722A1" w:rsidRPr="00690046" w:rsidRDefault="004722A1" w:rsidP="00F43BB8">
            <w:pPr>
              <w:jc w:val="center"/>
              <w:rPr>
                <w:rFonts w:cstheme="minorHAnsi"/>
                <w:sz w:val="20"/>
                <w:szCs w:val="20"/>
              </w:rPr>
            </w:pPr>
            <w:r w:rsidRPr="00690046">
              <w:rPr>
                <w:rFonts w:cstheme="minorHAnsi"/>
                <w:sz w:val="20"/>
                <w:szCs w:val="20"/>
              </w:rPr>
              <w:t>23.3</w:t>
            </w:r>
          </w:p>
        </w:tc>
      </w:tr>
      <w:tr w:rsidR="004722A1" w:rsidRPr="00690046" w14:paraId="1A57E9D0" w14:textId="77777777" w:rsidTr="00F43BB8">
        <w:trPr>
          <w:trHeight w:val="340"/>
        </w:trPr>
        <w:tc>
          <w:tcPr>
            <w:tcW w:w="0" w:type="auto"/>
            <w:tcBorders>
              <w:top w:val="nil"/>
              <w:left w:val="nil"/>
              <w:bottom w:val="nil"/>
              <w:right w:val="nil"/>
            </w:tcBorders>
            <w:tcMar>
              <w:top w:w="15" w:type="dxa"/>
              <w:left w:w="15" w:type="dxa"/>
              <w:bottom w:w="0" w:type="dxa"/>
              <w:right w:w="15" w:type="dxa"/>
            </w:tcMar>
            <w:vAlign w:val="center"/>
            <w:hideMark/>
          </w:tcPr>
          <w:p w14:paraId="520AADE7" w14:textId="203FDB40" w:rsidR="004722A1" w:rsidRPr="00690046" w:rsidRDefault="004722A1" w:rsidP="00F43BB8">
            <w:pPr>
              <w:jc w:val="both"/>
              <w:rPr>
                <w:rFonts w:cstheme="minorHAnsi"/>
                <w:b/>
                <w:bCs/>
                <w:color w:val="000000"/>
                <w:sz w:val="20"/>
                <w:szCs w:val="20"/>
              </w:rPr>
            </w:pPr>
            <w:r w:rsidRPr="00690046">
              <w:rPr>
                <w:rFonts w:cstheme="minorHAnsi"/>
                <w:b/>
                <w:bCs/>
                <w:color w:val="000000"/>
                <w:sz w:val="20"/>
                <w:szCs w:val="20"/>
              </w:rPr>
              <w:t>A</w:t>
            </w:r>
            <w:r w:rsidR="00AA5EBC">
              <w:rPr>
                <w:rFonts w:cstheme="minorHAnsi"/>
                <w:b/>
                <w:bCs/>
                <w:color w:val="000000"/>
                <w:sz w:val="20"/>
                <w:szCs w:val="20"/>
              </w:rPr>
              <w:t>frican</w:t>
            </w:r>
            <w:r w:rsidRPr="00690046">
              <w:rPr>
                <w:rFonts w:cstheme="minorHAnsi"/>
                <w:b/>
                <w:bCs/>
                <w:color w:val="000000"/>
                <w:sz w:val="20"/>
                <w:szCs w:val="20"/>
              </w:rPr>
              <w:t xml:space="preserve"> non-S&amp;IS Mean</w:t>
            </w:r>
          </w:p>
        </w:tc>
        <w:tc>
          <w:tcPr>
            <w:tcW w:w="0" w:type="auto"/>
            <w:tcBorders>
              <w:top w:val="nil"/>
              <w:left w:val="nil"/>
              <w:bottom w:val="nil"/>
              <w:right w:val="nil"/>
            </w:tcBorders>
            <w:tcMar>
              <w:top w:w="15" w:type="dxa"/>
              <w:left w:w="15" w:type="dxa"/>
              <w:bottom w:w="0" w:type="dxa"/>
              <w:right w:w="15" w:type="dxa"/>
            </w:tcMar>
            <w:vAlign w:val="center"/>
            <w:hideMark/>
          </w:tcPr>
          <w:p w14:paraId="7EBE5EE1" w14:textId="77777777" w:rsidR="004722A1" w:rsidRPr="00690046" w:rsidRDefault="004722A1" w:rsidP="00F43BB8">
            <w:pPr>
              <w:jc w:val="center"/>
              <w:rPr>
                <w:rFonts w:cstheme="minorHAnsi"/>
                <w:sz w:val="20"/>
                <w:szCs w:val="20"/>
              </w:rPr>
            </w:pPr>
            <w:r w:rsidRPr="00690046">
              <w:rPr>
                <w:rFonts w:cstheme="minorHAnsi"/>
                <w:sz w:val="20"/>
                <w:szCs w:val="20"/>
              </w:rPr>
              <w:t>31,623,366</w:t>
            </w:r>
          </w:p>
        </w:tc>
        <w:tc>
          <w:tcPr>
            <w:tcW w:w="0" w:type="auto"/>
            <w:tcBorders>
              <w:top w:val="nil"/>
              <w:left w:val="nil"/>
              <w:bottom w:val="nil"/>
              <w:right w:val="nil"/>
            </w:tcBorders>
            <w:tcMar>
              <w:top w:w="15" w:type="dxa"/>
              <w:left w:w="15" w:type="dxa"/>
              <w:bottom w:w="0" w:type="dxa"/>
              <w:right w:w="15" w:type="dxa"/>
            </w:tcMar>
            <w:vAlign w:val="center"/>
            <w:hideMark/>
          </w:tcPr>
          <w:p w14:paraId="684ACBCE" w14:textId="77777777" w:rsidR="004722A1" w:rsidRPr="00690046" w:rsidRDefault="004722A1" w:rsidP="00F43BB8">
            <w:pPr>
              <w:jc w:val="center"/>
              <w:rPr>
                <w:rFonts w:cstheme="minorHAnsi"/>
                <w:sz w:val="20"/>
                <w:szCs w:val="20"/>
              </w:rPr>
            </w:pPr>
            <w:r w:rsidRPr="00690046">
              <w:rPr>
                <w:rFonts w:cstheme="minorHAnsi"/>
                <w:sz w:val="20"/>
                <w:szCs w:val="20"/>
              </w:rPr>
              <w:t>-</w:t>
            </w:r>
          </w:p>
        </w:tc>
        <w:tc>
          <w:tcPr>
            <w:tcW w:w="0" w:type="auto"/>
            <w:tcBorders>
              <w:top w:val="nil"/>
              <w:left w:val="nil"/>
              <w:bottom w:val="nil"/>
              <w:right w:val="nil"/>
            </w:tcBorders>
            <w:tcMar>
              <w:top w:w="15" w:type="dxa"/>
              <w:left w:w="15" w:type="dxa"/>
              <w:bottom w:w="0" w:type="dxa"/>
              <w:right w:w="15" w:type="dxa"/>
            </w:tcMar>
            <w:vAlign w:val="center"/>
            <w:hideMark/>
          </w:tcPr>
          <w:p w14:paraId="18799799" w14:textId="77777777" w:rsidR="004722A1" w:rsidRPr="00690046" w:rsidRDefault="004722A1" w:rsidP="00F43BB8">
            <w:pPr>
              <w:jc w:val="center"/>
              <w:rPr>
                <w:rFonts w:cstheme="minorHAnsi"/>
                <w:sz w:val="20"/>
                <w:szCs w:val="20"/>
              </w:rPr>
            </w:pPr>
            <w:r w:rsidRPr="00690046">
              <w:rPr>
                <w:rFonts w:cstheme="minorHAnsi"/>
                <w:sz w:val="20"/>
                <w:szCs w:val="20"/>
              </w:rPr>
              <w:t>696,460</w:t>
            </w:r>
          </w:p>
        </w:tc>
        <w:tc>
          <w:tcPr>
            <w:tcW w:w="0" w:type="auto"/>
            <w:tcBorders>
              <w:top w:val="nil"/>
              <w:left w:val="nil"/>
              <w:bottom w:val="nil"/>
              <w:right w:val="nil"/>
            </w:tcBorders>
            <w:tcMar>
              <w:top w:w="15" w:type="dxa"/>
              <w:left w:w="15" w:type="dxa"/>
              <w:bottom w:w="0" w:type="dxa"/>
              <w:right w:w="15" w:type="dxa"/>
            </w:tcMar>
            <w:vAlign w:val="center"/>
            <w:hideMark/>
          </w:tcPr>
          <w:p w14:paraId="0BB9826E" w14:textId="77777777" w:rsidR="004722A1" w:rsidRPr="00690046" w:rsidRDefault="004722A1" w:rsidP="00F43BB8">
            <w:pPr>
              <w:jc w:val="center"/>
              <w:rPr>
                <w:rFonts w:cstheme="minorHAnsi"/>
                <w:sz w:val="20"/>
                <w:szCs w:val="20"/>
              </w:rPr>
            </w:pPr>
            <w:r w:rsidRPr="00690046">
              <w:rPr>
                <w:rFonts w:cstheme="minorHAnsi"/>
                <w:sz w:val="20"/>
                <w:szCs w:val="20"/>
              </w:rPr>
              <w:t>93</w:t>
            </w:r>
          </w:p>
        </w:tc>
        <w:tc>
          <w:tcPr>
            <w:tcW w:w="0" w:type="auto"/>
            <w:tcBorders>
              <w:top w:val="nil"/>
              <w:left w:val="nil"/>
              <w:bottom w:val="nil"/>
              <w:right w:val="nil"/>
            </w:tcBorders>
            <w:tcMar>
              <w:top w:w="15" w:type="dxa"/>
              <w:left w:w="15" w:type="dxa"/>
              <w:bottom w:w="0" w:type="dxa"/>
              <w:right w:w="15" w:type="dxa"/>
            </w:tcMar>
            <w:vAlign w:val="center"/>
            <w:hideMark/>
          </w:tcPr>
          <w:p w14:paraId="66CD7220" w14:textId="77777777" w:rsidR="004722A1" w:rsidRPr="00690046" w:rsidRDefault="004722A1" w:rsidP="00F43BB8">
            <w:pPr>
              <w:jc w:val="center"/>
              <w:rPr>
                <w:rFonts w:cstheme="minorHAnsi"/>
                <w:sz w:val="20"/>
                <w:szCs w:val="20"/>
              </w:rPr>
            </w:pPr>
            <w:r w:rsidRPr="00690046">
              <w:rPr>
                <w:rFonts w:cstheme="minorHAnsi"/>
                <w:sz w:val="20"/>
                <w:szCs w:val="20"/>
              </w:rPr>
              <w:t>1,726</w:t>
            </w:r>
          </w:p>
        </w:tc>
        <w:tc>
          <w:tcPr>
            <w:tcW w:w="0" w:type="auto"/>
            <w:tcBorders>
              <w:top w:val="nil"/>
              <w:left w:val="nil"/>
              <w:bottom w:val="nil"/>
              <w:right w:val="nil"/>
            </w:tcBorders>
            <w:tcMar>
              <w:top w:w="15" w:type="dxa"/>
              <w:left w:w="15" w:type="dxa"/>
              <w:bottom w:w="0" w:type="dxa"/>
              <w:right w:w="15" w:type="dxa"/>
            </w:tcMar>
            <w:vAlign w:val="center"/>
            <w:hideMark/>
          </w:tcPr>
          <w:p w14:paraId="72A0305B" w14:textId="77777777" w:rsidR="004722A1" w:rsidRPr="00690046" w:rsidRDefault="004722A1" w:rsidP="00F43BB8">
            <w:pPr>
              <w:jc w:val="center"/>
              <w:rPr>
                <w:rFonts w:cstheme="minorHAnsi"/>
                <w:sz w:val="20"/>
                <w:szCs w:val="20"/>
              </w:rPr>
            </w:pPr>
            <w:r w:rsidRPr="00690046">
              <w:rPr>
                <w:rFonts w:cstheme="minorHAnsi"/>
                <w:sz w:val="20"/>
                <w:szCs w:val="20"/>
              </w:rPr>
              <w:t>4,698</w:t>
            </w:r>
          </w:p>
        </w:tc>
        <w:tc>
          <w:tcPr>
            <w:tcW w:w="0" w:type="auto"/>
            <w:tcBorders>
              <w:top w:val="nil"/>
              <w:left w:val="nil"/>
              <w:bottom w:val="nil"/>
              <w:right w:val="nil"/>
            </w:tcBorders>
            <w:tcMar>
              <w:top w:w="15" w:type="dxa"/>
              <w:left w:w="15" w:type="dxa"/>
              <w:bottom w:w="0" w:type="dxa"/>
              <w:right w:w="15" w:type="dxa"/>
            </w:tcMar>
            <w:vAlign w:val="center"/>
            <w:hideMark/>
          </w:tcPr>
          <w:p w14:paraId="066C0122" w14:textId="77777777" w:rsidR="004722A1" w:rsidRPr="00690046" w:rsidRDefault="004722A1" w:rsidP="00F43BB8">
            <w:pPr>
              <w:jc w:val="center"/>
              <w:rPr>
                <w:rFonts w:cstheme="minorHAnsi"/>
                <w:sz w:val="20"/>
                <w:szCs w:val="20"/>
              </w:rPr>
            </w:pPr>
            <w:r w:rsidRPr="00690046">
              <w:rPr>
                <w:rFonts w:cstheme="minorHAnsi"/>
                <w:sz w:val="20"/>
                <w:szCs w:val="20"/>
              </w:rPr>
              <w:t>1.5</w:t>
            </w:r>
          </w:p>
        </w:tc>
        <w:tc>
          <w:tcPr>
            <w:tcW w:w="0" w:type="auto"/>
            <w:tcBorders>
              <w:top w:val="nil"/>
              <w:left w:val="nil"/>
              <w:bottom w:val="nil"/>
              <w:right w:val="nil"/>
            </w:tcBorders>
            <w:tcMar>
              <w:top w:w="15" w:type="dxa"/>
              <w:left w:w="15" w:type="dxa"/>
              <w:bottom w:w="0" w:type="dxa"/>
              <w:right w:w="15" w:type="dxa"/>
            </w:tcMar>
            <w:vAlign w:val="center"/>
            <w:hideMark/>
          </w:tcPr>
          <w:p w14:paraId="78742261" w14:textId="77777777" w:rsidR="004722A1" w:rsidRPr="00690046" w:rsidRDefault="004722A1" w:rsidP="00F43BB8">
            <w:pPr>
              <w:jc w:val="center"/>
              <w:rPr>
                <w:rFonts w:cstheme="minorHAnsi"/>
                <w:sz w:val="20"/>
                <w:szCs w:val="20"/>
              </w:rPr>
            </w:pPr>
            <w:r w:rsidRPr="00690046">
              <w:rPr>
                <w:rFonts w:cstheme="minorHAnsi"/>
                <w:sz w:val="20"/>
                <w:szCs w:val="20"/>
              </w:rPr>
              <w:t>10.8</w:t>
            </w:r>
          </w:p>
        </w:tc>
      </w:tr>
      <w:tr w:rsidR="004722A1" w:rsidRPr="00690046" w14:paraId="68CD24DC" w14:textId="77777777" w:rsidTr="00F43BB8">
        <w:trPr>
          <w:trHeight w:val="340"/>
        </w:trPr>
        <w:tc>
          <w:tcPr>
            <w:tcW w:w="0" w:type="auto"/>
            <w:tcBorders>
              <w:top w:val="nil"/>
              <w:left w:val="nil"/>
              <w:bottom w:val="single" w:sz="4" w:space="0" w:color="auto"/>
              <w:right w:val="nil"/>
            </w:tcBorders>
            <w:tcMar>
              <w:top w:w="15" w:type="dxa"/>
              <w:left w:w="15" w:type="dxa"/>
              <w:bottom w:w="0" w:type="dxa"/>
              <w:right w:w="15" w:type="dxa"/>
            </w:tcMar>
            <w:vAlign w:val="center"/>
            <w:hideMark/>
          </w:tcPr>
          <w:p w14:paraId="39B18CBB" w14:textId="5B328E06" w:rsidR="004722A1" w:rsidRPr="00690046" w:rsidRDefault="004722A1" w:rsidP="00F43BB8">
            <w:pPr>
              <w:jc w:val="both"/>
              <w:rPr>
                <w:rFonts w:cstheme="minorHAnsi"/>
                <w:b/>
                <w:bCs/>
                <w:color w:val="000000"/>
                <w:sz w:val="20"/>
                <w:szCs w:val="20"/>
              </w:rPr>
            </w:pPr>
            <w:r w:rsidRPr="00690046">
              <w:rPr>
                <w:rFonts w:cstheme="minorHAnsi"/>
                <w:b/>
                <w:bCs/>
                <w:color w:val="000000"/>
                <w:sz w:val="20"/>
                <w:szCs w:val="20"/>
              </w:rPr>
              <w:t>A</w:t>
            </w:r>
            <w:r w:rsidR="00AA5EBC">
              <w:rPr>
                <w:rFonts w:cstheme="minorHAnsi"/>
                <w:b/>
                <w:bCs/>
                <w:color w:val="000000"/>
                <w:sz w:val="20"/>
                <w:szCs w:val="20"/>
              </w:rPr>
              <w:t>frica</w:t>
            </w:r>
            <w:r w:rsidRPr="00690046">
              <w:rPr>
                <w:rFonts w:cstheme="minorHAnsi"/>
                <w:b/>
                <w:bCs/>
                <w:color w:val="000000"/>
                <w:sz w:val="20"/>
                <w:szCs w:val="20"/>
              </w:rPr>
              <w:t xml:space="preserve"> Mean</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6B70B64D" w14:textId="77777777" w:rsidR="004722A1" w:rsidRPr="00690046" w:rsidRDefault="004722A1" w:rsidP="00F43BB8">
            <w:pPr>
              <w:jc w:val="center"/>
              <w:rPr>
                <w:rFonts w:cstheme="minorHAnsi"/>
                <w:sz w:val="20"/>
                <w:szCs w:val="20"/>
              </w:rPr>
            </w:pPr>
            <w:r w:rsidRPr="00690046">
              <w:rPr>
                <w:rFonts w:cstheme="minorHAnsi"/>
                <w:sz w:val="20"/>
                <w:szCs w:val="20"/>
              </w:rPr>
              <w:t>25,614,028</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5E0E960A" w14:textId="77777777" w:rsidR="004722A1" w:rsidRPr="00690046" w:rsidRDefault="004722A1" w:rsidP="00F43BB8">
            <w:pPr>
              <w:jc w:val="center"/>
              <w:rPr>
                <w:rFonts w:cstheme="minorHAnsi"/>
                <w:sz w:val="20"/>
                <w:szCs w:val="20"/>
              </w:rPr>
            </w:pPr>
            <w:r w:rsidRPr="00690046">
              <w:rPr>
                <w:rFonts w:cstheme="minorHAnsi"/>
                <w:sz w:val="20"/>
                <w:szCs w:val="20"/>
              </w:rPr>
              <w:t>-</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709EF763" w14:textId="77777777" w:rsidR="004722A1" w:rsidRPr="00690046" w:rsidRDefault="004722A1" w:rsidP="00F43BB8">
            <w:pPr>
              <w:jc w:val="center"/>
              <w:rPr>
                <w:rFonts w:cstheme="minorHAnsi"/>
                <w:sz w:val="20"/>
                <w:szCs w:val="20"/>
              </w:rPr>
            </w:pPr>
            <w:r w:rsidRPr="00690046">
              <w:rPr>
                <w:rFonts w:cstheme="minorHAnsi"/>
                <w:sz w:val="20"/>
                <w:szCs w:val="20"/>
              </w:rPr>
              <w:t>549,120</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1D85978A" w14:textId="77777777" w:rsidR="004722A1" w:rsidRPr="00690046" w:rsidRDefault="004722A1" w:rsidP="00F43BB8">
            <w:pPr>
              <w:jc w:val="center"/>
              <w:rPr>
                <w:rFonts w:cstheme="minorHAnsi"/>
                <w:sz w:val="20"/>
                <w:szCs w:val="20"/>
              </w:rPr>
            </w:pPr>
            <w:r w:rsidRPr="00690046">
              <w:rPr>
                <w:rFonts w:cstheme="minorHAnsi"/>
                <w:sz w:val="20"/>
                <w:szCs w:val="20"/>
              </w:rPr>
              <w:t>112</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2913454D" w14:textId="77777777" w:rsidR="004722A1" w:rsidRPr="00690046" w:rsidRDefault="004722A1" w:rsidP="00F43BB8">
            <w:pPr>
              <w:jc w:val="center"/>
              <w:rPr>
                <w:rFonts w:cstheme="minorHAnsi"/>
                <w:sz w:val="20"/>
                <w:szCs w:val="20"/>
              </w:rPr>
            </w:pPr>
            <w:r w:rsidRPr="00690046">
              <w:rPr>
                <w:rFonts w:cstheme="minorHAnsi"/>
                <w:sz w:val="20"/>
                <w:szCs w:val="20"/>
              </w:rPr>
              <w:t>2,580</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63566F57" w14:textId="77777777" w:rsidR="004722A1" w:rsidRPr="00690046" w:rsidRDefault="004722A1" w:rsidP="00F43BB8">
            <w:pPr>
              <w:jc w:val="center"/>
              <w:rPr>
                <w:rFonts w:cstheme="minorHAnsi"/>
                <w:sz w:val="20"/>
                <w:szCs w:val="20"/>
              </w:rPr>
            </w:pPr>
            <w:r w:rsidRPr="00690046">
              <w:rPr>
                <w:rFonts w:cstheme="minorHAnsi"/>
                <w:sz w:val="20"/>
                <w:szCs w:val="20"/>
              </w:rPr>
              <w:t>6,297</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05FA4AAE" w14:textId="77777777" w:rsidR="004722A1" w:rsidRPr="00690046" w:rsidRDefault="004722A1" w:rsidP="00F43BB8">
            <w:pPr>
              <w:jc w:val="center"/>
              <w:rPr>
                <w:rFonts w:cstheme="minorHAnsi"/>
                <w:sz w:val="20"/>
                <w:szCs w:val="20"/>
              </w:rPr>
            </w:pPr>
            <w:r w:rsidRPr="00690046">
              <w:rPr>
                <w:rFonts w:cstheme="minorHAnsi"/>
                <w:sz w:val="20"/>
                <w:szCs w:val="20"/>
              </w:rPr>
              <w:t>1.7</w:t>
            </w:r>
          </w:p>
        </w:tc>
        <w:tc>
          <w:tcPr>
            <w:tcW w:w="0" w:type="auto"/>
            <w:tcBorders>
              <w:top w:val="nil"/>
              <w:left w:val="nil"/>
              <w:bottom w:val="single" w:sz="4" w:space="0" w:color="auto"/>
              <w:right w:val="nil"/>
            </w:tcBorders>
            <w:tcMar>
              <w:top w:w="15" w:type="dxa"/>
              <w:left w:w="15" w:type="dxa"/>
              <w:bottom w:w="0" w:type="dxa"/>
              <w:right w:w="15" w:type="dxa"/>
            </w:tcMar>
            <w:vAlign w:val="center"/>
            <w:hideMark/>
          </w:tcPr>
          <w:p w14:paraId="6E0FA22A" w14:textId="77777777" w:rsidR="004722A1" w:rsidRPr="00690046" w:rsidRDefault="004722A1" w:rsidP="00F43BB8">
            <w:pPr>
              <w:jc w:val="center"/>
              <w:rPr>
                <w:rFonts w:cstheme="minorHAnsi"/>
                <w:sz w:val="20"/>
                <w:szCs w:val="20"/>
              </w:rPr>
            </w:pPr>
            <w:r w:rsidRPr="00690046">
              <w:rPr>
                <w:rFonts w:cstheme="minorHAnsi"/>
                <w:sz w:val="20"/>
                <w:szCs w:val="20"/>
              </w:rPr>
              <w:t>14.1</w:t>
            </w:r>
          </w:p>
        </w:tc>
      </w:tr>
      <w:tr w:rsidR="004722A1" w:rsidRPr="00690046" w14:paraId="6268A544" w14:textId="77777777" w:rsidTr="00F43BB8">
        <w:trPr>
          <w:trHeight w:val="720"/>
        </w:trPr>
        <w:tc>
          <w:tcPr>
            <w:tcW w:w="0" w:type="auto"/>
            <w:gridSpan w:val="9"/>
            <w:tcBorders>
              <w:top w:val="nil"/>
              <w:left w:val="nil"/>
              <w:bottom w:val="single" w:sz="8" w:space="0" w:color="auto"/>
              <w:right w:val="nil"/>
            </w:tcBorders>
            <w:tcMar>
              <w:top w:w="15" w:type="dxa"/>
              <w:left w:w="15" w:type="dxa"/>
              <w:bottom w:w="0" w:type="dxa"/>
              <w:right w:w="15" w:type="dxa"/>
            </w:tcMar>
            <w:hideMark/>
          </w:tcPr>
          <w:p w14:paraId="210BF2A7" w14:textId="09B0075C" w:rsidR="004722A1" w:rsidRPr="00690046" w:rsidRDefault="004722A1" w:rsidP="00F43BB8">
            <w:pPr>
              <w:rPr>
                <w:rFonts w:cstheme="minorHAnsi"/>
                <w:b/>
                <w:bCs/>
                <w:color w:val="000000"/>
                <w:sz w:val="20"/>
                <w:szCs w:val="20"/>
              </w:rPr>
            </w:pPr>
            <w:r w:rsidRPr="00690046">
              <w:rPr>
                <w:rFonts w:cstheme="minorHAnsi"/>
                <w:b/>
                <w:bCs/>
                <w:color w:val="000000"/>
                <w:sz w:val="20"/>
                <w:szCs w:val="20"/>
              </w:rPr>
              <w:t xml:space="preserve">Notes: </w:t>
            </w:r>
            <w:r w:rsidRPr="00690046">
              <w:rPr>
                <w:rFonts w:cstheme="minorHAnsi"/>
                <w:sz w:val="20"/>
                <w:szCs w:val="20"/>
              </w:rPr>
              <w:t>Population estimates and ranking from the UN World Population Prospects 2022. Country land size and GDP per capita from World Bank World Development Indicators. World Bank Analytical Country Classifications use GNI per capita. Data from Bank FY23 corresponding to 2021 calendar year.</w:t>
            </w:r>
            <w:r w:rsidRPr="00690046">
              <w:rPr>
                <w:rFonts w:cstheme="minorHAnsi"/>
                <w:b/>
                <w:bCs/>
                <w:color w:val="000000"/>
                <w:sz w:val="20"/>
                <w:szCs w:val="20"/>
              </w:rPr>
              <w:t xml:space="preserve"> </w:t>
            </w:r>
            <w:r w:rsidRPr="00690046">
              <w:rPr>
                <w:rFonts w:cstheme="minorHAnsi"/>
                <w:color w:val="000000"/>
                <w:sz w:val="20"/>
                <w:szCs w:val="20"/>
              </w:rPr>
              <w:t xml:space="preserve">Per capita development assistance for health values reflect the annual  average over the period 2010-2021 from the WHO GHED. </w:t>
            </w:r>
            <w:r w:rsidR="006A601A">
              <w:rPr>
                <w:rFonts w:cstheme="minorHAnsi"/>
                <w:color w:val="000000"/>
                <w:sz w:val="20"/>
                <w:szCs w:val="20"/>
              </w:rPr>
              <w:t>Table adapted from McGuire et al. (R&amp;R)</w:t>
            </w:r>
          </w:p>
        </w:tc>
      </w:tr>
    </w:tbl>
    <w:p w14:paraId="1512674D" w14:textId="77777777" w:rsidR="004722A1" w:rsidRDefault="004722A1" w:rsidP="00786E64">
      <w:pPr>
        <w:spacing w:line="276" w:lineRule="auto"/>
        <w:jc w:val="both"/>
        <w:rPr>
          <w:b/>
          <w:bCs/>
        </w:rPr>
      </w:pPr>
    </w:p>
    <w:p w14:paraId="3B27FC18" w14:textId="77777777" w:rsidR="004722A1" w:rsidRDefault="004722A1" w:rsidP="00786E64">
      <w:pPr>
        <w:spacing w:line="276" w:lineRule="auto"/>
        <w:jc w:val="both"/>
        <w:rPr>
          <w:b/>
          <w:bCs/>
        </w:rPr>
        <w:sectPr w:rsidR="004722A1" w:rsidSect="003E18DD">
          <w:pgSz w:w="16840" w:h="11900" w:orient="landscape"/>
          <w:pgMar w:top="1440" w:right="1440" w:bottom="1440" w:left="1440" w:header="720" w:footer="720" w:gutter="0"/>
          <w:cols w:space="720"/>
          <w:docGrid w:linePitch="360"/>
        </w:sectPr>
      </w:pPr>
    </w:p>
    <w:p w14:paraId="16F34434" w14:textId="77777777" w:rsidR="007530B3" w:rsidRDefault="007530B3" w:rsidP="00786E64">
      <w:pPr>
        <w:spacing w:line="276" w:lineRule="auto"/>
        <w:jc w:val="both"/>
        <w:rPr>
          <w:b/>
          <w:bCs/>
        </w:rPr>
      </w:pPr>
    </w:p>
    <w:p w14:paraId="6C3D4C20" w14:textId="77777777" w:rsidR="00786E64" w:rsidRDefault="00786E64" w:rsidP="00786E64">
      <w:pPr>
        <w:spacing w:line="276" w:lineRule="auto"/>
        <w:jc w:val="both"/>
      </w:pPr>
      <w:r>
        <w:rPr>
          <w:b/>
        </w:rPr>
        <w:t xml:space="preserve">Figure 2 </w:t>
      </w:r>
      <w:r>
        <w:t xml:space="preserve">shows African countries vulnerabilities, as measured by the Sachs et al. (2021) MVI, against GDP per capita. The top seven most vulnerable countries in Africa are S&amp;IS. </w:t>
      </w:r>
    </w:p>
    <w:p w14:paraId="069E472A" w14:textId="77777777" w:rsidR="00786E64" w:rsidRDefault="00786E64" w:rsidP="00786E64">
      <w:pPr>
        <w:spacing w:line="276" w:lineRule="auto"/>
        <w:jc w:val="both"/>
        <w:rPr>
          <w:b/>
          <w:bCs/>
        </w:rPr>
      </w:pPr>
    </w:p>
    <w:p w14:paraId="011CBA27" w14:textId="77777777" w:rsidR="00786E64" w:rsidRDefault="00786E64" w:rsidP="00786E64">
      <w:pPr>
        <w:keepNext/>
        <w:pBdr>
          <w:top w:val="nil"/>
          <w:left w:val="nil"/>
          <w:bottom w:val="nil"/>
          <w:right w:val="nil"/>
          <w:between w:val="nil"/>
        </w:pBdr>
        <w:spacing w:after="200"/>
        <w:jc w:val="center"/>
        <w:rPr>
          <w:b/>
          <w:color w:val="000000"/>
        </w:rPr>
      </w:pPr>
      <w:r>
        <w:rPr>
          <w:b/>
          <w:color w:val="000000"/>
        </w:rPr>
        <w:t>Figure 2: African Countries Multidimensional Vulnerability Index</w:t>
      </w:r>
    </w:p>
    <w:p w14:paraId="461E1DDE" w14:textId="77777777" w:rsidR="00786E64" w:rsidRPr="00300BF8" w:rsidRDefault="00786E64" w:rsidP="00786E64">
      <w:pPr>
        <w:keepNext/>
        <w:spacing w:line="276" w:lineRule="auto"/>
        <w:jc w:val="center"/>
      </w:pPr>
      <w:r w:rsidRPr="003A154E">
        <w:rPr>
          <w:noProof/>
        </w:rPr>
        <w:drawing>
          <wp:inline distT="0" distB="0" distL="0" distR="0" wp14:anchorId="4F689034" wp14:editId="0D8F093E">
            <wp:extent cx="5727700" cy="3703320"/>
            <wp:effectExtent l="0" t="0" r="0" b="5080"/>
            <wp:docPr id="1747640529" name="Picture 1"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529" name="Picture 1" descr="A graph with blue dots&#10;&#10;Description automatically generated"/>
                    <pic:cNvPicPr/>
                  </pic:nvPicPr>
                  <pic:blipFill>
                    <a:blip r:embed="rId12"/>
                    <a:stretch>
                      <a:fillRect/>
                    </a:stretch>
                  </pic:blipFill>
                  <pic:spPr>
                    <a:xfrm>
                      <a:off x="0" y="0"/>
                      <a:ext cx="5727700" cy="3703320"/>
                    </a:xfrm>
                    <a:prstGeom prst="rect">
                      <a:avLst/>
                    </a:prstGeom>
                  </pic:spPr>
                </pic:pic>
              </a:graphicData>
            </a:graphic>
          </wp:inline>
        </w:drawing>
      </w:r>
    </w:p>
    <w:p w14:paraId="1B2F9FF1" w14:textId="74E18101" w:rsidR="002F57EF" w:rsidRPr="003E18DD" w:rsidRDefault="00786E64" w:rsidP="003E18DD">
      <w:pPr>
        <w:rPr>
          <w:i/>
          <w:iCs/>
        </w:rPr>
      </w:pPr>
      <w:r w:rsidRPr="00300BF8">
        <w:rPr>
          <w:sz w:val="20"/>
          <w:szCs w:val="20"/>
        </w:rPr>
        <w:t>Source: Authors calculations based on Sachs et al. (2021)</w:t>
      </w:r>
      <w:r w:rsidR="00D61CBD" w:rsidRPr="00D61CBD">
        <w:rPr>
          <w:vertAlign w:val="superscript"/>
        </w:rPr>
        <w:t xml:space="preserve"> </w:t>
      </w:r>
      <w:r w:rsidR="00D61CBD">
        <w:rPr>
          <w:vertAlign w:val="superscript"/>
        </w:rPr>
        <w:t>5</w:t>
      </w:r>
      <w:r w:rsidR="002F57EF" w:rsidRPr="002F57EF">
        <w:rPr>
          <w:sz w:val="20"/>
          <w:szCs w:val="20"/>
        </w:rPr>
        <w:t>.</w:t>
      </w:r>
    </w:p>
    <w:p w14:paraId="414AED90" w14:textId="77777777" w:rsidR="00786E64" w:rsidRDefault="00786E64" w:rsidP="003E18DD">
      <w:pPr>
        <w:pStyle w:val="Caption"/>
        <w:rPr>
          <w:b/>
          <w:bCs/>
        </w:rPr>
      </w:pPr>
    </w:p>
    <w:p w14:paraId="728874A4" w14:textId="2444B95C" w:rsidR="00786E64" w:rsidRPr="00511ACF" w:rsidRDefault="00035F28" w:rsidP="00786E64">
      <w:pPr>
        <w:spacing w:line="276" w:lineRule="auto"/>
        <w:jc w:val="both"/>
      </w:pPr>
      <w:r>
        <w:rPr>
          <w:b/>
        </w:rPr>
        <w:t xml:space="preserve">Appendix C </w:t>
      </w:r>
      <w:r w:rsidR="00786E64">
        <w:t xml:space="preserve">shows the </w:t>
      </w:r>
      <w:r w:rsidR="00BE33AD">
        <w:t>HSR</w:t>
      </w:r>
      <w:r w:rsidR="00215062">
        <w:t xml:space="preserve"> scores</w:t>
      </w:r>
      <w:r w:rsidR="00786E64">
        <w:t xml:space="preserve"> of African S&amp;IS </w:t>
      </w:r>
      <w:r w:rsidR="00E17297">
        <w:t>from</w:t>
      </w:r>
      <w:r w:rsidR="009830CC">
        <w:t xml:space="preserve"> the IHR SPAR, GHS and </w:t>
      </w:r>
      <w:proofErr w:type="spellStart"/>
      <w:r w:rsidR="009830CC">
        <w:t>Karamagi</w:t>
      </w:r>
      <w:proofErr w:type="spellEnd"/>
      <w:r w:rsidR="009830CC">
        <w:t xml:space="preserve"> et al. (2021) indices</w:t>
      </w:r>
      <w:r w:rsidR="00786E64">
        <w:t>. Importantly, for all three metrics, African S&amp;IS hav</w:t>
      </w:r>
      <w:r w:rsidR="00B14F7F">
        <w:t>e</w:t>
      </w:r>
      <w:r w:rsidR="00786E64">
        <w:t xml:space="preserve"> lower mean resilience than their larger peers. </w:t>
      </w:r>
      <w:r w:rsidR="009A7EB5">
        <w:t>Consequently</w:t>
      </w:r>
      <w:r w:rsidR="00786E64">
        <w:t>, despite having higher national vulnerabilities to various exogeneous shocks, their health systems are estimated to have lower resilience, and therefore be worse equipped to cope with shocks and stressors.</w:t>
      </w:r>
    </w:p>
    <w:p w14:paraId="77EFB4C8" w14:textId="77777777" w:rsidR="00786E64" w:rsidRDefault="00786E64" w:rsidP="00786E64">
      <w:pPr>
        <w:rPr>
          <w:b/>
          <w:bCs/>
        </w:rPr>
      </w:pPr>
    </w:p>
    <w:p w14:paraId="41F74A94" w14:textId="251318EE" w:rsidR="00786E64" w:rsidRDefault="00786E64" w:rsidP="00786E64">
      <w:pPr>
        <w:spacing w:line="276" w:lineRule="auto"/>
        <w:jc w:val="both"/>
      </w:pPr>
      <w:r>
        <w:t xml:space="preserve">Finally, we plot the Global Burden of Disease Effective UHC Index and the </w:t>
      </w:r>
      <w:r w:rsidR="00F9751A">
        <w:t>HAQ</w:t>
      </w:r>
      <w:r>
        <w:t xml:space="preserve"> Index, representing</w:t>
      </w:r>
      <w:r w:rsidR="00D76D7F">
        <w:t xml:space="preserve"> partial</w:t>
      </w:r>
      <w:r>
        <w:t xml:space="preserve"> measures of health system performance, against the IHR and Global Health Security scores. </w:t>
      </w:r>
      <w:r w:rsidRPr="00845BD6">
        <w:rPr>
          <w:b/>
          <w:bCs/>
        </w:rPr>
        <w:t>Figures 3</w:t>
      </w:r>
      <w:r w:rsidR="00D31CDB">
        <w:rPr>
          <w:b/>
          <w:bCs/>
        </w:rPr>
        <w:t>(a)</w:t>
      </w:r>
      <w:r>
        <w:t xml:space="preserve"> and </w:t>
      </w:r>
      <w:r w:rsidR="00D31CDB">
        <w:rPr>
          <w:b/>
          <w:bCs/>
        </w:rPr>
        <w:t>3(b)</w:t>
      </w:r>
      <w:r>
        <w:rPr>
          <w:b/>
          <w:bCs/>
        </w:rPr>
        <w:t xml:space="preserve"> </w:t>
      </w:r>
      <w:r>
        <w:t xml:space="preserve">show the 2019 IHR SPAR scores against the UHC Index and Access and Quality Index respectively (see </w:t>
      </w:r>
      <w:r w:rsidRPr="00476417">
        <w:rPr>
          <w:b/>
          <w:bCs/>
        </w:rPr>
        <w:t xml:space="preserve">Appendix </w:t>
      </w:r>
      <w:r w:rsidR="00035F28">
        <w:rPr>
          <w:b/>
          <w:bCs/>
        </w:rPr>
        <w:t>D</w:t>
      </w:r>
      <w:r>
        <w:t xml:space="preserve"> for</w:t>
      </w:r>
      <w:r w:rsidR="00270B4E">
        <w:t xml:space="preserve"> the same graphs using</w:t>
      </w:r>
      <w:r>
        <w:t xml:space="preserve"> Global Health Security Score </w:t>
      </w:r>
      <w:r w:rsidR="00270B4E">
        <w:t xml:space="preserve">as </w:t>
      </w:r>
      <w:r w:rsidR="0008368B">
        <w:t xml:space="preserve">the </w:t>
      </w:r>
      <w:r w:rsidR="00270B4E">
        <w:t>measure of HSR</w:t>
      </w:r>
      <w:r>
        <w:t>).</w:t>
      </w:r>
      <w:r w:rsidR="00F40071">
        <w:t xml:space="preserve"> The graphs are split into four quadrants based on the mean IHR and UHC scores across all observations.</w:t>
      </w:r>
    </w:p>
    <w:p w14:paraId="2129C59E" w14:textId="77777777" w:rsidR="002F3A89" w:rsidRDefault="002F3A89" w:rsidP="00786E64">
      <w:pPr>
        <w:spacing w:line="276" w:lineRule="auto"/>
        <w:jc w:val="both"/>
      </w:pPr>
    </w:p>
    <w:p w14:paraId="7CBDDC99" w14:textId="02120649" w:rsidR="002F3A89" w:rsidRPr="00845BD6" w:rsidRDefault="002F3A89" w:rsidP="00786E64">
      <w:pPr>
        <w:spacing w:line="276" w:lineRule="auto"/>
        <w:jc w:val="both"/>
      </w:pPr>
      <w:r>
        <w:t xml:space="preserve">For both the UHC Index and HAQ Index, </w:t>
      </w:r>
      <w:r w:rsidR="00EA0625">
        <w:t xml:space="preserve">the majority of S&amp;IS are in the right-hand quadrants indicating above average scores. For the IHR scores, however, </w:t>
      </w:r>
      <w:r w:rsidR="00223E97">
        <w:t xml:space="preserve">a majority of </w:t>
      </w:r>
      <w:r w:rsidR="00EA0625">
        <w:t xml:space="preserve">S&amp;IS find themselves </w:t>
      </w:r>
      <w:r w:rsidR="00223E97">
        <w:t xml:space="preserve">below the average score. It is noteworthy that Namibia and Sao </w:t>
      </w:r>
      <w:r w:rsidR="00223E97">
        <w:lastRenderedPageBreak/>
        <w:t>Tome &amp; Principe, which are measured as having</w:t>
      </w:r>
      <w:r w:rsidR="00806001">
        <w:t>, within our sample of 12 of 14 African S&amp;IS,</w:t>
      </w:r>
      <w:r w:rsidR="00223E97">
        <w:t xml:space="preserve"> the lowest and highest vulnerabilities (</w:t>
      </w:r>
      <w:r w:rsidR="00223E97" w:rsidRPr="003E18DD">
        <w:rPr>
          <w:b/>
          <w:bCs/>
        </w:rPr>
        <w:t>Figure 2</w:t>
      </w:r>
      <w:r w:rsidR="00223E97">
        <w:t>), have above and below average IHR scores</w:t>
      </w:r>
      <w:r w:rsidR="0093185A">
        <w:t>, the opposite of what we might expect if a countries vulnerability was a significant determinant of having HSR as a central health system policy.</w:t>
      </w:r>
    </w:p>
    <w:p w14:paraId="46F4D539" w14:textId="77777777" w:rsidR="00786E64" w:rsidRDefault="00786E64" w:rsidP="00786E64">
      <w:pPr>
        <w:rPr>
          <w:b/>
          <w:bCs/>
        </w:rPr>
      </w:pPr>
    </w:p>
    <w:p w14:paraId="08C8FF54" w14:textId="46ADE534" w:rsidR="00F71186" w:rsidRDefault="00786E64" w:rsidP="003E18DD">
      <w:pPr>
        <w:pStyle w:val="Caption"/>
        <w:keepNext/>
        <w:jc w:val="center"/>
      </w:pPr>
      <w:r w:rsidRPr="00845BD6">
        <w:rPr>
          <w:b/>
          <w:bCs/>
          <w:i w:val="0"/>
          <w:iCs w:val="0"/>
          <w:color w:val="auto"/>
          <w:sz w:val="24"/>
          <w:szCs w:val="24"/>
        </w:rPr>
        <w:t xml:space="preserve">Figure </w:t>
      </w:r>
      <w:r>
        <w:rPr>
          <w:b/>
          <w:bCs/>
          <w:i w:val="0"/>
          <w:iCs w:val="0"/>
          <w:color w:val="auto"/>
          <w:sz w:val="24"/>
          <w:szCs w:val="24"/>
        </w:rPr>
        <w:t>3</w:t>
      </w:r>
      <w:r w:rsidR="00D31CDB">
        <w:rPr>
          <w:b/>
          <w:bCs/>
          <w:i w:val="0"/>
          <w:iCs w:val="0"/>
          <w:color w:val="auto"/>
          <w:sz w:val="24"/>
          <w:szCs w:val="24"/>
        </w:rPr>
        <w:t>(a)</w:t>
      </w:r>
      <w:r>
        <w:rPr>
          <w:b/>
          <w:bCs/>
          <w:i w:val="0"/>
          <w:iCs w:val="0"/>
          <w:color w:val="auto"/>
          <w:sz w:val="24"/>
          <w:szCs w:val="24"/>
        </w:rPr>
        <w:t>: IHR SPAR Score and GBD UHC Index</w:t>
      </w:r>
    </w:p>
    <w:p w14:paraId="656CB399" w14:textId="3A67A307" w:rsidR="00F71186" w:rsidRDefault="00F71186" w:rsidP="00786E64">
      <w:pPr>
        <w:jc w:val="center"/>
        <w:rPr>
          <w:b/>
          <w:bCs/>
        </w:rPr>
      </w:pPr>
      <w:bookmarkStart w:id="0" w:name="PasteStart"/>
      <w:bookmarkStart w:id="1" w:name="PasteEnd"/>
      <w:bookmarkEnd w:id="0"/>
      <w:bookmarkEnd w:id="1"/>
      <w:r>
        <w:rPr>
          <w:b/>
          <w:bCs/>
          <w:noProof/>
        </w:rPr>
        <w:drawing>
          <wp:inline distT="0" distB="0" distL="0" distR="0" wp14:anchorId="34E62660" wp14:editId="6998B7C5">
            <wp:extent cx="4910667" cy="3273597"/>
            <wp:effectExtent l="0" t="0" r="4445" b="3175"/>
            <wp:docPr id="1292982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82623" name="Picture 1292982623"/>
                    <pic:cNvPicPr/>
                  </pic:nvPicPr>
                  <pic:blipFill>
                    <a:blip r:embed="rId13">
                      <a:extLst>
                        <a:ext uri="{28A0092B-C50C-407E-A947-70E740481C1C}">
                          <a14:useLocalDpi xmlns:a14="http://schemas.microsoft.com/office/drawing/2010/main" val="0"/>
                        </a:ext>
                      </a:extLst>
                    </a:blip>
                    <a:stretch>
                      <a:fillRect/>
                    </a:stretch>
                  </pic:blipFill>
                  <pic:spPr>
                    <a:xfrm>
                      <a:off x="0" y="0"/>
                      <a:ext cx="4945267" cy="3296662"/>
                    </a:xfrm>
                    <a:prstGeom prst="rect">
                      <a:avLst/>
                    </a:prstGeom>
                  </pic:spPr>
                </pic:pic>
              </a:graphicData>
            </a:graphic>
          </wp:inline>
        </w:drawing>
      </w:r>
    </w:p>
    <w:p w14:paraId="5D22AC79" w14:textId="77777777" w:rsidR="00786E64" w:rsidRPr="00271C0F" w:rsidRDefault="00786E64" w:rsidP="00786E64">
      <w:pPr>
        <w:pStyle w:val="Caption"/>
        <w:rPr>
          <w:i w:val="0"/>
          <w:iCs w:val="0"/>
          <w:color w:val="auto"/>
          <w:sz w:val="20"/>
          <w:szCs w:val="20"/>
        </w:rPr>
      </w:pPr>
      <w:r w:rsidRPr="00300BF8">
        <w:rPr>
          <w:i w:val="0"/>
          <w:iCs w:val="0"/>
          <w:color w:val="auto"/>
          <w:sz w:val="20"/>
          <w:szCs w:val="20"/>
        </w:rPr>
        <w:t>Source: Authors calculations</w:t>
      </w:r>
    </w:p>
    <w:p w14:paraId="163F8EE0" w14:textId="3B208660" w:rsidR="00786E64" w:rsidRPr="00790008" w:rsidRDefault="00786E64" w:rsidP="00786E64">
      <w:pPr>
        <w:pStyle w:val="Caption"/>
        <w:keepNext/>
        <w:jc w:val="center"/>
        <w:rPr>
          <w:b/>
          <w:bCs/>
          <w:i w:val="0"/>
          <w:iCs w:val="0"/>
          <w:color w:val="auto"/>
          <w:sz w:val="24"/>
          <w:szCs w:val="24"/>
        </w:rPr>
      </w:pPr>
      <w:r w:rsidRPr="00790008">
        <w:rPr>
          <w:b/>
          <w:bCs/>
          <w:i w:val="0"/>
          <w:iCs w:val="0"/>
          <w:color w:val="auto"/>
          <w:sz w:val="24"/>
          <w:szCs w:val="24"/>
        </w:rPr>
        <w:t xml:space="preserve">Figure </w:t>
      </w:r>
      <w:r w:rsidR="00D31CDB">
        <w:rPr>
          <w:b/>
          <w:bCs/>
          <w:i w:val="0"/>
          <w:iCs w:val="0"/>
          <w:color w:val="auto"/>
          <w:sz w:val="24"/>
          <w:szCs w:val="24"/>
        </w:rPr>
        <w:t>3(b)</w:t>
      </w:r>
      <w:r w:rsidRPr="00790008">
        <w:rPr>
          <w:b/>
          <w:bCs/>
          <w:i w:val="0"/>
          <w:iCs w:val="0"/>
          <w:color w:val="auto"/>
          <w:sz w:val="24"/>
          <w:szCs w:val="24"/>
        </w:rPr>
        <w:t>:</w:t>
      </w:r>
      <w:r>
        <w:rPr>
          <w:b/>
          <w:bCs/>
          <w:i w:val="0"/>
          <w:iCs w:val="0"/>
          <w:color w:val="auto"/>
          <w:sz w:val="24"/>
          <w:szCs w:val="24"/>
        </w:rPr>
        <w:t xml:space="preserve"> IHR SPAR Score and GBD Access &amp; Quality Index</w:t>
      </w:r>
    </w:p>
    <w:p w14:paraId="1F58F6F3" w14:textId="0B679E80" w:rsidR="00786E64" w:rsidRDefault="00F71186" w:rsidP="00786E64">
      <w:pPr>
        <w:keepNext/>
        <w:jc w:val="center"/>
      </w:pPr>
      <w:r>
        <w:rPr>
          <w:noProof/>
        </w:rPr>
        <w:drawing>
          <wp:inline distT="0" distB="0" distL="0" distR="0" wp14:anchorId="1BEE3BC6" wp14:editId="02709DDA">
            <wp:extent cx="4864371" cy="3242733"/>
            <wp:effectExtent l="0" t="0" r="0" b="0"/>
            <wp:docPr id="20929782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78263" name="Picture 2092978263"/>
                    <pic:cNvPicPr/>
                  </pic:nvPicPr>
                  <pic:blipFill>
                    <a:blip r:embed="rId14">
                      <a:extLst>
                        <a:ext uri="{28A0092B-C50C-407E-A947-70E740481C1C}">
                          <a14:useLocalDpi xmlns:a14="http://schemas.microsoft.com/office/drawing/2010/main" val="0"/>
                        </a:ext>
                      </a:extLst>
                    </a:blip>
                    <a:stretch>
                      <a:fillRect/>
                    </a:stretch>
                  </pic:blipFill>
                  <pic:spPr>
                    <a:xfrm>
                      <a:off x="0" y="0"/>
                      <a:ext cx="4883267" cy="3255330"/>
                    </a:xfrm>
                    <a:prstGeom prst="rect">
                      <a:avLst/>
                    </a:prstGeom>
                  </pic:spPr>
                </pic:pic>
              </a:graphicData>
            </a:graphic>
          </wp:inline>
        </w:drawing>
      </w:r>
    </w:p>
    <w:p w14:paraId="33069E5F" w14:textId="6D595AF7" w:rsidR="00786E64" w:rsidRPr="003A4480" w:rsidRDefault="00786E64" w:rsidP="00786E64">
      <w:pPr>
        <w:pStyle w:val="Caption"/>
        <w:rPr>
          <w:i w:val="0"/>
          <w:iCs w:val="0"/>
          <w:color w:val="auto"/>
          <w:sz w:val="20"/>
          <w:szCs w:val="20"/>
        </w:rPr>
      </w:pPr>
      <w:r w:rsidRPr="00300BF8">
        <w:rPr>
          <w:i w:val="0"/>
          <w:iCs w:val="0"/>
          <w:color w:val="auto"/>
          <w:sz w:val="20"/>
          <w:szCs w:val="20"/>
        </w:rPr>
        <w:t>Source: Authors calculations</w:t>
      </w:r>
    </w:p>
    <w:p w14:paraId="288D6903" w14:textId="45FA8A84" w:rsidR="008D6290" w:rsidRDefault="00EA0625" w:rsidP="00786E64">
      <w:pPr>
        <w:spacing w:line="276" w:lineRule="auto"/>
        <w:jc w:val="both"/>
      </w:pPr>
      <w:r>
        <w:lastRenderedPageBreak/>
        <w:t>Therefore,</w:t>
      </w:r>
      <w:r w:rsidR="00FB747B">
        <w:t xml:space="preserve"> </w:t>
      </w:r>
      <w:r w:rsidR="00786E64">
        <w:t xml:space="preserve">while there </w:t>
      </w:r>
      <w:r w:rsidR="00FB747B">
        <w:t>is</w:t>
      </w:r>
      <w:r w:rsidR="008F584D">
        <w:t xml:space="preserve"> </w:t>
      </w:r>
      <w:r w:rsidR="00786E64">
        <w:t>a positive relationship between</w:t>
      </w:r>
      <w:r w:rsidR="00E756CA">
        <w:t xml:space="preserve"> these measures of</w:t>
      </w:r>
      <w:r w:rsidR="00786E64">
        <w:t xml:space="preserve"> health system performance and resilience, it is not a given that high performing health systems will have greater </w:t>
      </w:r>
      <w:r w:rsidR="00BE33AD">
        <w:t>HSR</w:t>
      </w:r>
      <w:r w:rsidR="00786E64">
        <w:t xml:space="preserve">. </w:t>
      </w:r>
      <w:r w:rsidR="00240585">
        <w:t xml:space="preserve">The </w:t>
      </w:r>
      <w:proofErr w:type="spellStart"/>
      <w:r w:rsidR="00240585">
        <w:t>pearson’s</w:t>
      </w:r>
      <w:proofErr w:type="spellEnd"/>
      <w:r w:rsidR="00240585">
        <w:t xml:space="preserve"> pairwise correlation coefficients are 0.49 and 0.40 between IHR SPAR score and GBD UHC Index and GBD HAQ Index respectively, </w:t>
      </w:r>
      <w:r w:rsidR="003B3FD7">
        <w:t xml:space="preserve">providing suggestive evidence that health system performance and HSR as distinct concepts </w:t>
      </w:r>
      <w:r w:rsidR="00EF077D">
        <w:t xml:space="preserve">as measured by these indicators in this sample. </w:t>
      </w:r>
      <w:r w:rsidR="00EE17CF">
        <w:t>Consequently, we can see that v</w:t>
      </w:r>
      <w:r w:rsidR="008F584D">
        <w:t xml:space="preserve">ulnerable health systems, as with our illustrative example of </w:t>
      </w:r>
      <w:r w:rsidR="00786E64">
        <w:t>African S&amp;IS</w:t>
      </w:r>
      <w:r w:rsidR="008F584D">
        <w:t>,</w:t>
      </w:r>
      <w:r w:rsidR="0082050C">
        <w:t xml:space="preserve"> </w:t>
      </w:r>
      <w:r w:rsidR="00680081">
        <w:t xml:space="preserve">can </w:t>
      </w:r>
      <w:r w:rsidR="0082050C">
        <w:t>have</w:t>
      </w:r>
      <w:r w:rsidR="0086623A">
        <w:t xml:space="preserve"> </w:t>
      </w:r>
      <w:r w:rsidR="00786E64">
        <w:t xml:space="preserve">lower </w:t>
      </w:r>
      <w:r w:rsidR="00BE33AD">
        <w:t>HSR</w:t>
      </w:r>
      <w:r w:rsidR="00786E64">
        <w:t>, as measured by IHR SPAR and Global Health Security Ind</w:t>
      </w:r>
      <w:r w:rsidR="008F3B3C">
        <w:t>ices</w:t>
      </w:r>
      <w:r w:rsidR="00786E64">
        <w:t>.</w:t>
      </w:r>
    </w:p>
    <w:p w14:paraId="712D9362" w14:textId="77777777" w:rsidR="008D6290" w:rsidRDefault="008D6290" w:rsidP="00786E64">
      <w:pPr>
        <w:rPr>
          <w:b/>
          <w:bCs/>
        </w:rPr>
      </w:pPr>
    </w:p>
    <w:p w14:paraId="722FCCBC" w14:textId="77777777" w:rsidR="00786E64" w:rsidRDefault="00786E64" w:rsidP="00786E64">
      <w:pPr>
        <w:pStyle w:val="ListParagraph"/>
        <w:numPr>
          <w:ilvl w:val="0"/>
          <w:numId w:val="1"/>
        </w:numPr>
        <w:rPr>
          <w:b/>
          <w:bCs/>
        </w:rPr>
      </w:pPr>
      <w:r>
        <w:rPr>
          <w:b/>
          <w:bCs/>
        </w:rPr>
        <w:t>Discussion</w:t>
      </w:r>
    </w:p>
    <w:p w14:paraId="42761B1E" w14:textId="77777777" w:rsidR="005139CA" w:rsidRDefault="005139CA" w:rsidP="00786E64">
      <w:pPr>
        <w:spacing w:line="276" w:lineRule="auto"/>
        <w:jc w:val="both"/>
      </w:pPr>
    </w:p>
    <w:p w14:paraId="379B4C75" w14:textId="2CCBB06B" w:rsidR="00786E64" w:rsidRDefault="005139CA" w:rsidP="00786E64">
      <w:pPr>
        <w:spacing w:line="276" w:lineRule="auto"/>
        <w:jc w:val="both"/>
      </w:pPr>
      <w:r>
        <w:t>The issues of vulnerability and resilience have long been considered in the context of S&amp;IS (Briguglio, 1995; 2004; 2014; Briguglio et al. 2004; 2008; 2009). Briguglio (2009; 2014) developed a framework and indices for measuring economic vulnerability and resilience, where economic vulnerability refers to states inherent characteristics which influence exposure to exogenous shocks and resilience refers to policy measures influencing the ability to mitigate potential shocks.</w:t>
      </w:r>
      <w:r w:rsidR="00F31826">
        <w:t xml:space="preserve"> </w:t>
      </w:r>
      <w:r w:rsidR="004963FD" w:rsidRPr="004963FD">
        <w:t>Many</w:t>
      </w:r>
      <w:r w:rsidR="004963FD">
        <w:t xml:space="preserve"> countries</w:t>
      </w:r>
      <w:r w:rsidR="00BC037A">
        <w:t xml:space="preserve"> face </w:t>
      </w:r>
      <w:r w:rsidR="004963FD">
        <w:t>‘</w:t>
      </w:r>
      <w:r w:rsidR="00BC037A">
        <w:t>structural vulnerabilities</w:t>
      </w:r>
      <w:r w:rsidR="004963FD">
        <w:t xml:space="preserve">’ – </w:t>
      </w:r>
      <w:r w:rsidR="00BC037A">
        <w:t>exposure to exogenous shocks</w:t>
      </w:r>
      <w:r w:rsidR="004963FD">
        <w:t xml:space="preserve"> – which</w:t>
      </w:r>
      <w:r w:rsidR="00786E64">
        <w:t xml:space="preserve"> pose significant threats either by directly impacting health system functionality</w:t>
      </w:r>
      <w:r w:rsidR="00032B83">
        <w:t xml:space="preserve"> (supply-side impacts)</w:t>
      </w:r>
      <w:r w:rsidR="00786E64">
        <w:t xml:space="preserve"> or imposing additional demands and burdens on them</w:t>
      </w:r>
      <w:r w:rsidR="00032B83">
        <w:t xml:space="preserve"> (demand-side impacts)</w:t>
      </w:r>
      <w:r w:rsidR="00786E64">
        <w:t>.</w:t>
      </w:r>
      <w:r w:rsidR="00B87706">
        <w:t xml:space="preserve"> However, as highlighted in our illustrative example</w:t>
      </w:r>
      <w:r w:rsidR="00552016">
        <w:t xml:space="preserve"> (figures 2 &amp; 3)</w:t>
      </w:r>
      <w:r w:rsidR="00B87706">
        <w:t xml:space="preserve">, vulnerabilities </w:t>
      </w:r>
      <w:r w:rsidR="003244A0">
        <w:t>and</w:t>
      </w:r>
      <w:r w:rsidR="00B87706">
        <w:t xml:space="preserve"> exposure to </w:t>
      </w:r>
      <w:r w:rsidR="003244A0">
        <w:t xml:space="preserve">shocks does not </w:t>
      </w:r>
      <w:r w:rsidR="00B87706">
        <w:t>automatically result in health systems building resilience</w:t>
      </w:r>
      <w:r w:rsidR="003244A0">
        <w:t>,</w:t>
      </w:r>
      <w:r w:rsidR="00B87706">
        <w:t xml:space="preserve"> which is a</w:t>
      </w:r>
      <w:r w:rsidR="00933E83">
        <w:t xml:space="preserve"> </w:t>
      </w:r>
      <w:r w:rsidR="00B87706">
        <w:t>policy choice.</w:t>
      </w:r>
      <w:r w:rsidR="00933E83">
        <w:t xml:space="preserve"> </w:t>
      </w:r>
      <w:r w:rsidR="003244A0">
        <w:t xml:space="preserve">Further, </w:t>
      </w:r>
      <w:r w:rsidR="00A16A48">
        <w:t>many standard measures of health system performance will not be informative about the level of HSR.</w:t>
      </w:r>
      <w:r w:rsidR="00D1102E">
        <w:t xml:space="preserve"> </w:t>
      </w:r>
      <w:r w:rsidR="00786E64">
        <w:t xml:space="preserve">Recent global shocks have led to the concept of resilience being increasingly applied to </w:t>
      </w:r>
      <w:r w:rsidR="006070CB">
        <w:t xml:space="preserve">a wider set of </w:t>
      </w:r>
      <w:r w:rsidR="00786E64">
        <w:t xml:space="preserve">health systems, where resilience refers to the policy-induced ability to withstand, recover from or adjust to exogeneous shocks. This </w:t>
      </w:r>
      <w:r w:rsidR="00BC037A">
        <w:t>may be</w:t>
      </w:r>
      <w:r w:rsidR="00786E64">
        <w:t xml:space="preserve"> particularly pertinent for </w:t>
      </w:r>
      <w:r w:rsidR="006070CB">
        <w:t xml:space="preserve">health care systems </w:t>
      </w:r>
      <w:r w:rsidR="00786E64">
        <w:t>which face heightened ‘structural’ vulnerabilities and exposure to exogeneous shocks</w:t>
      </w:r>
      <w:r w:rsidR="00B87706">
        <w:t>.</w:t>
      </w:r>
      <w:r w:rsidR="00BC037A">
        <w:t xml:space="preserve"> </w:t>
      </w:r>
      <w:r w:rsidR="00933E83">
        <w:t>However, vulnerabilities and risks are dynamic, and as seen from the COVID-19 pandemic,</w:t>
      </w:r>
      <w:r w:rsidR="00A07DB3">
        <w:t xml:space="preserve"> which exposed weaknesses in even the best performing national health systems,</w:t>
      </w:r>
      <w:r w:rsidR="00933E83">
        <w:t xml:space="preserve"> no system is immune to shocks and stressors.</w:t>
      </w:r>
    </w:p>
    <w:p w14:paraId="3BF99639" w14:textId="77777777" w:rsidR="00931790" w:rsidRDefault="00931790" w:rsidP="00786E64">
      <w:pPr>
        <w:spacing w:line="276" w:lineRule="auto"/>
        <w:jc w:val="both"/>
      </w:pPr>
    </w:p>
    <w:p w14:paraId="19C1404F" w14:textId="376978A4" w:rsidR="004004F6" w:rsidRDefault="00AB2AC2" w:rsidP="00786E64">
      <w:pPr>
        <w:spacing w:line="276" w:lineRule="auto"/>
        <w:jc w:val="both"/>
      </w:pPr>
      <w:r>
        <w:t>Using an illustrative example of African S&amp;IS, t</w:t>
      </w:r>
      <w:r w:rsidR="00931790">
        <w:t xml:space="preserve">his paper </w:t>
      </w:r>
      <w:r w:rsidR="0063585C">
        <w:t>provides an argument</w:t>
      </w:r>
      <w:r w:rsidR="00931790">
        <w:t xml:space="preserve"> that </w:t>
      </w:r>
      <w:r w:rsidR="00BE33AD">
        <w:t>HSR</w:t>
      </w:r>
      <w:r w:rsidR="0063585C">
        <w:t xml:space="preserve"> </w:t>
      </w:r>
      <w:r w:rsidR="00931790">
        <w:t>is distinct from health system performance, and that</w:t>
      </w:r>
      <w:r w:rsidR="004D46D4">
        <w:t xml:space="preserve"> it is not given that a</w:t>
      </w:r>
      <w:r w:rsidR="00FC35B1">
        <w:t xml:space="preserve"> well-performing health </w:t>
      </w:r>
      <w:r w:rsidR="004D46D4">
        <w:t>is a</w:t>
      </w:r>
      <w:r w:rsidR="00FC35B1">
        <w:t xml:space="preserve"> resilien</w:t>
      </w:r>
      <w:r w:rsidR="004D46D4">
        <w:t>t health system</w:t>
      </w:r>
      <w:r w:rsidR="00FC35B1">
        <w:t xml:space="preserve">. </w:t>
      </w:r>
      <w:r w:rsidR="00CA5B37">
        <w:t xml:space="preserve">This represents the first cross-country comparison exploring HSR within the context of countries assessed </w:t>
      </w:r>
      <w:r w:rsidR="00E165B4">
        <w:t xml:space="preserve">level of </w:t>
      </w:r>
      <w:r w:rsidR="00CA5B37">
        <w:t>vulnerabilities</w:t>
      </w:r>
      <w:r w:rsidR="00E165B4">
        <w:t xml:space="preserve"> to shocks</w:t>
      </w:r>
      <w:r w:rsidR="00CA5B37">
        <w:t xml:space="preserve">. </w:t>
      </w:r>
      <w:r w:rsidR="00E101A0">
        <w:t>Fo</w:t>
      </w:r>
      <w:r w:rsidR="00FC35B1">
        <w:t xml:space="preserve">llowing the </w:t>
      </w:r>
      <w:r w:rsidR="00C63443">
        <w:t xml:space="preserve">growing evidence </w:t>
      </w:r>
      <w:r w:rsidR="00FC35B1">
        <w:t>that S&amp;IS are disproportionately exposed to exogeneous shocks,</w:t>
      </w:r>
      <w:r w:rsidR="004D46D4">
        <w:t xml:space="preserve"> </w:t>
      </w:r>
      <w:r w:rsidR="00C63443">
        <w:t xml:space="preserve">we test the hypothesis that they respond to this by building HSR. However, it does not appear to be the case that nations with high risk exposure automatically increase HSR. </w:t>
      </w:r>
      <w:r w:rsidR="0063585C">
        <w:rPr>
          <w:rFonts w:cs="Helvetica Neue"/>
          <w:color w:val="000000"/>
          <w:kern w:val="0"/>
        </w:rPr>
        <w:t>E</w:t>
      </w:r>
      <w:r w:rsidRPr="00AB2AC2">
        <w:rPr>
          <w:rFonts w:cs="Helvetica Neue"/>
          <w:color w:val="000000"/>
          <w:kern w:val="0"/>
        </w:rPr>
        <w:t>ven in circumstances where health system vulnerabilities are well recognised</w:t>
      </w:r>
      <w:r w:rsidR="0063585C">
        <w:rPr>
          <w:rFonts w:cs="Helvetica Neue"/>
          <w:color w:val="000000"/>
          <w:kern w:val="0"/>
        </w:rPr>
        <w:t xml:space="preserve"> – such as the structural vulnerabilities facing S&amp;IS – </w:t>
      </w:r>
      <w:r w:rsidRPr="00AB2AC2">
        <w:rPr>
          <w:rFonts w:cs="Helvetica Neue"/>
          <w:color w:val="000000"/>
          <w:kern w:val="0"/>
        </w:rPr>
        <w:t>this does not necessarily lead to</w:t>
      </w:r>
      <w:r w:rsidR="00E04D9D">
        <w:rPr>
          <w:rFonts w:cs="Helvetica Neue"/>
          <w:color w:val="000000"/>
          <w:kern w:val="0"/>
        </w:rPr>
        <w:t xml:space="preserve"> </w:t>
      </w:r>
      <w:r w:rsidR="00E04D9D">
        <w:rPr>
          <w:rFonts w:cs="Helvetica Neue"/>
          <w:color w:val="000000"/>
          <w:kern w:val="0"/>
        </w:rPr>
        <w:lastRenderedPageBreak/>
        <w:t>higher levels of</w:t>
      </w:r>
      <w:r w:rsidRPr="00AB2AC2">
        <w:rPr>
          <w:rFonts w:cs="Helvetica Neue"/>
          <w:color w:val="000000"/>
          <w:kern w:val="0"/>
        </w:rPr>
        <w:t xml:space="preserve"> promotion of system resilience. </w:t>
      </w:r>
      <w:r w:rsidR="00EA077D">
        <w:t>Given the higher vulnerabilities faced by these countries, in addition to the higher performance of their health systems as measured by the UHC and HAQ Indices, this suggests that the low HSR index scores represent a policy choice, rather than there being a constraint preventing the attainment of higher scores.</w:t>
      </w:r>
      <w:r w:rsidR="00DD753E">
        <w:t xml:space="preserve"> </w:t>
      </w:r>
    </w:p>
    <w:p w14:paraId="3C4F93B4" w14:textId="77777777" w:rsidR="004004F6" w:rsidRDefault="004004F6" w:rsidP="00786E64">
      <w:pPr>
        <w:spacing w:line="276" w:lineRule="auto"/>
        <w:jc w:val="both"/>
      </w:pPr>
    </w:p>
    <w:p w14:paraId="75B9A79D" w14:textId="6445FB26" w:rsidR="00EE1C00" w:rsidRDefault="00FC767D" w:rsidP="00EE1C00">
      <w:pPr>
        <w:spacing w:line="276" w:lineRule="auto"/>
        <w:jc w:val="both"/>
      </w:pPr>
      <w:r>
        <w:t>The development of indices such as the UVI and MVI reflects a growing appreciation that income-based measures such as GDP/GNI fail to reflect the fundamental differences in systemic risks countries face</w:t>
      </w:r>
      <w:r w:rsidR="00917F25" w:rsidRPr="003E18DD">
        <w:rPr>
          <w:vertAlign w:val="superscript"/>
        </w:rPr>
        <w:t>7</w:t>
      </w:r>
      <w:r>
        <w:t>. The Commonwealth (2021) proposed combining the UVI with GDP to establish a new system for country-classification system, ‘GDP+’, incorporating the concepts of vulnerability and resilience alongside income-based measures.</w:t>
      </w:r>
      <w:r w:rsidR="00A63ED1">
        <w:t xml:space="preserve"> </w:t>
      </w:r>
      <w:r w:rsidR="00A63ED1" w:rsidRPr="003E18DD">
        <w:rPr>
          <w:b/>
          <w:bCs/>
        </w:rPr>
        <w:t>Table 1</w:t>
      </w:r>
      <w:r w:rsidR="00A63ED1">
        <w:rPr>
          <w:b/>
          <w:bCs/>
        </w:rPr>
        <w:t xml:space="preserve"> </w:t>
      </w:r>
      <w:r w:rsidR="00EE1C00" w:rsidRPr="003E18DD">
        <w:t xml:space="preserve">shows </w:t>
      </w:r>
      <w:r w:rsidR="00A63ED1">
        <w:t xml:space="preserve">that African S&amp;IS have over double the development assistance for health (DAH) per capita than African non-S&amp;IS, despite having a higher average level of economic development. </w:t>
      </w:r>
      <w:r w:rsidR="001158A6">
        <w:t>However, this introduces another vulnerability, as Official Development Assistance (ODA) has fallen by 70% between 2021-2025</w:t>
      </w:r>
      <w:r w:rsidR="003B0A7D">
        <w:t xml:space="preserve"> (African CDC, 2025)</w:t>
      </w:r>
      <w:r w:rsidR="001158A6">
        <w:t xml:space="preserve">. </w:t>
      </w:r>
      <w:r w:rsidR="00EE1C00">
        <w:t>For the most part, existing vulnerability indices are used for ranking or classification purposes and not for resource allocation. The Global Fund, for example, only considers country’s disease burden and economic capacity (Global Fund, 2023). Sao Tome and Principe is expected to transition out of GAVI and Global Fund assistance in the near future, despite it having the second highest level of donor financing for health per capita in Africa over the last decade (annual average of US$53 per capita). Because of the higher per capita DAH African S&amp;IS currently benefit from, loosing access or reductions in this source of health financing could potentially crowd-out other health priorities such as non-communicable diseases and further de-prioritise enhancing health system resilience in these countries.</w:t>
      </w:r>
    </w:p>
    <w:p w14:paraId="15B5CA85" w14:textId="77777777" w:rsidR="00F402B0" w:rsidRDefault="00F402B0" w:rsidP="00786E64">
      <w:pPr>
        <w:spacing w:line="276" w:lineRule="auto"/>
        <w:jc w:val="both"/>
      </w:pPr>
    </w:p>
    <w:p w14:paraId="62F2E8D5" w14:textId="5B3A892F" w:rsidR="0097315F" w:rsidRDefault="0097315F" w:rsidP="0097315F">
      <w:pPr>
        <w:spacing w:line="276" w:lineRule="auto"/>
        <w:jc w:val="both"/>
      </w:pPr>
      <w:r>
        <w:t>In attempting to build health system resilience, African S&amp;IS should make a number of considerations. Each country should identify the relative significance of their country-specific vulnerabilities and how these might impact their health systems. Although we have presented an aggregate multidimension vulnerability index, each S&amp;IS will face idiosyncratic risk exposures which may pose distinct problems for health systems. For example, geographic isolation may pose challenges for Comoros, Cape Verde and Sao Tome Principe, but not Botswana and Djibouti. Among natural hazards, drought has the highest historical average annual occurrence for Cape Verde, epidemics for Guinea-Bissau and insect infestation and floods for Seychelles (FAO, 2021). Recommendations for building health system resilience must recognise the commonalities of the problems facing these countries while appreciating their differences.</w:t>
      </w:r>
    </w:p>
    <w:p w14:paraId="39617831" w14:textId="77777777" w:rsidR="001864EE" w:rsidRDefault="001864EE" w:rsidP="0097315F">
      <w:pPr>
        <w:spacing w:line="276" w:lineRule="auto"/>
        <w:jc w:val="both"/>
      </w:pPr>
    </w:p>
    <w:p w14:paraId="5C51704B" w14:textId="77777777" w:rsidR="00AB5151" w:rsidRDefault="00AB5151" w:rsidP="0097315F">
      <w:pPr>
        <w:spacing w:line="276" w:lineRule="auto"/>
        <w:jc w:val="both"/>
      </w:pPr>
    </w:p>
    <w:p w14:paraId="34FD6495" w14:textId="77777777" w:rsidR="00AB5151" w:rsidRDefault="00AB5151" w:rsidP="0097315F">
      <w:pPr>
        <w:spacing w:line="276" w:lineRule="auto"/>
        <w:jc w:val="both"/>
      </w:pPr>
    </w:p>
    <w:p w14:paraId="1F46A6BF" w14:textId="77777777" w:rsidR="00AB5151" w:rsidRDefault="00AB5151" w:rsidP="0097315F">
      <w:pPr>
        <w:spacing w:line="276" w:lineRule="auto"/>
        <w:jc w:val="both"/>
      </w:pPr>
    </w:p>
    <w:p w14:paraId="698860F8" w14:textId="6BC0DD42" w:rsidR="001676CB" w:rsidRDefault="001864EE" w:rsidP="001864EE">
      <w:pPr>
        <w:spacing w:line="276" w:lineRule="auto"/>
        <w:jc w:val="both"/>
      </w:pPr>
      <w:r>
        <w:lastRenderedPageBreak/>
        <w:t>Relatedly, African S&amp;IS should seek to build regional collaboration and interconnectedness to enhance health system resilience, as “resilience is not self-sufficiency” (Kruk et al. 2017). Such collaboration may be among S&amp;IS, such as pooled procurement mechanisms to benefit from collective bargaining and economies of scale. However, this may be more challenging for African S&amp;IS than Caribbean S&amp;IS</w:t>
      </w:r>
      <w:r w:rsidR="0077522E">
        <w:t>, for example,</w:t>
      </w:r>
      <w:r>
        <w:t xml:space="preserve"> due to the wider geographical dispersion of these countries. Alternatively, African S</w:t>
      </w:r>
      <w:r w:rsidR="00AB5151">
        <w:t>&amp;</w:t>
      </w:r>
      <w:r>
        <w:t xml:space="preserve">IS </w:t>
      </w:r>
      <w:proofErr w:type="spellStart"/>
      <w:r>
        <w:t>may</w:t>
      </w:r>
      <w:proofErr w:type="spellEnd"/>
      <w:r>
        <w:t xml:space="preserve"> partner with larger countries for specialist overseas care or telemedicine services. </w:t>
      </w:r>
    </w:p>
    <w:p w14:paraId="33200609" w14:textId="77777777" w:rsidR="001676CB" w:rsidRDefault="001676CB" w:rsidP="001864EE">
      <w:pPr>
        <w:spacing w:line="276" w:lineRule="auto"/>
        <w:jc w:val="both"/>
      </w:pPr>
    </w:p>
    <w:p w14:paraId="788D9087" w14:textId="30BF39FA" w:rsidR="001864EE" w:rsidRDefault="001864EE" w:rsidP="001864EE">
      <w:pPr>
        <w:spacing w:line="276" w:lineRule="auto"/>
        <w:jc w:val="both"/>
      </w:pPr>
      <w:r>
        <w:t>A unique opportunity S&amp;IS may have to reduce a vulnerability and enhance health system resilience is through the elimination of neglected tropical diseases. The impact of outbreaks on S&amp;IS has been seen where, for instance, an estimated &gt;50% of the populations of Mauritius and Comoros infected in 2005-06 (Wahid et al. 2017). While investing in elimination and surveillance may not bear immediate returns, it strengthens long-term resilience.</w:t>
      </w:r>
    </w:p>
    <w:p w14:paraId="47E818E0" w14:textId="77777777" w:rsidR="009528A2" w:rsidRDefault="009528A2" w:rsidP="0097315F">
      <w:pPr>
        <w:spacing w:line="276" w:lineRule="auto"/>
        <w:jc w:val="both"/>
      </w:pPr>
    </w:p>
    <w:p w14:paraId="23AD97F7" w14:textId="77777777" w:rsidR="009528A2" w:rsidRDefault="009528A2" w:rsidP="009528A2">
      <w:pPr>
        <w:spacing w:line="276" w:lineRule="auto"/>
        <w:jc w:val="both"/>
      </w:pPr>
      <w:r>
        <w:t>However, it should be considered that there may be underlying reasons as to why African</w:t>
      </w:r>
    </w:p>
    <w:p w14:paraId="1484D524" w14:textId="5A0827BA" w:rsidR="009528A2" w:rsidRDefault="009528A2" w:rsidP="009528A2">
      <w:pPr>
        <w:spacing w:line="276" w:lineRule="auto"/>
        <w:jc w:val="both"/>
      </w:pPr>
      <w:r>
        <w:t xml:space="preserve">S&amp;IS are currently assessed as having lower health system resilience. </w:t>
      </w:r>
      <w:proofErr w:type="spellStart"/>
      <w:r>
        <w:t>Mee</w:t>
      </w:r>
      <w:r w:rsidR="003A0148">
        <w:t>s</w:t>
      </w:r>
      <w:r>
        <w:t>sen</w:t>
      </w:r>
      <w:proofErr w:type="spellEnd"/>
      <w:r>
        <w:t xml:space="preserve"> et al. (2024) highlight that there may be additional difficulties in implementing health system strengthening (HSS) in S&amp;IS health systems. This hints that S&amp; IS may not only face higher idiosyncratic vulnerabilities and exposures to shocks, but may face additional barriers in building health system resilience. Farrugia (1993) suggests the relatively smaller administrations of S&amp;IS results in multifunctional roles and more demands on personnel. This may lead to a prioritisation of immediate policy concerns rather than contingency planning. However, this same issue likely increases the difficulty of responding to crises, increasing the benefits of risk mitigation. Given the policy importance of building resilient health systems for S&amp;IS, future research should seek to understand better the constraints of doing so in such settings.</w:t>
      </w:r>
    </w:p>
    <w:p w14:paraId="423CF97A" w14:textId="77777777" w:rsidR="0097315F" w:rsidRDefault="0097315F" w:rsidP="00786E64">
      <w:pPr>
        <w:spacing w:line="276" w:lineRule="auto"/>
        <w:jc w:val="both"/>
      </w:pPr>
    </w:p>
    <w:p w14:paraId="09B4CBE2" w14:textId="08798681" w:rsidR="00EA43EF" w:rsidRDefault="00101930" w:rsidP="00786E64">
      <w:pPr>
        <w:spacing w:line="276" w:lineRule="auto"/>
        <w:jc w:val="both"/>
      </w:pPr>
      <w:r>
        <w:t xml:space="preserve">This paper takes a broad perspective </w:t>
      </w:r>
      <w:r w:rsidR="00EA43EF">
        <w:t xml:space="preserve">when considering health system </w:t>
      </w:r>
      <w:r w:rsidR="00E51B1D">
        <w:t xml:space="preserve">vulnerability </w:t>
      </w:r>
      <w:r w:rsidR="00EA43EF">
        <w:t xml:space="preserve">and resilience issues. </w:t>
      </w:r>
      <w:r w:rsidR="0063585C">
        <w:t>However</w:t>
      </w:r>
      <w:r w:rsidR="00EA43EF">
        <w:t xml:space="preserve">, system vulnerabilities may be idiosyncratic, requiring specific </w:t>
      </w:r>
      <w:r w:rsidR="0063585C">
        <w:t>policy-</w:t>
      </w:r>
      <w:r w:rsidR="00EA43EF">
        <w:t xml:space="preserve">responses. </w:t>
      </w:r>
      <w:r w:rsidR="0063585C">
        <w:t xml:space="preserve">While cross-country indicators measuring vulnerability and </w:t>
      </w:r>
      <w:r w:rsidR="00BE33AD">
        <w:t>HSR</w:t>
      </w:r>
      <w:r w:rsidR="0063585C">
        <w:t xml:space="preserve"> may be of use from a comparative benchmarking perspective, </w:t>
      </w:r>
      <w:r w:rsidR="00EA43EF">
        <w:t xml:space="preserve">policy makers </w:t>
      </w:r>
      <w:r w:rsidR="0063585C">
        <w:t>must</w:t>
      </w:r>
      <w:r w:rsidR="00EA43EF">
        <w:t xml:space="preserve"> recognise that country</w:t>
      </w:r>
      <w:r w:rsidR="0063585C">
        <w:t>-</w:t>
      </w:r>
      <w:r w:rsidR="00EA43EF">
        <w:t xml:space="preserve">specific vulnerabilities </w:t>
      </w:r>
      <w:r w:rsidR="0063585C">
        <w:t xml:space="preserve">require system </w:t>
      </w:r>
      <w:r w:rsidR="00EA43EF">
        <w:t>specific policies</w:t>
      </w:r>
      <w:r w:rsidR="0063585C">
        <w:t xml:space="preserve"> to build resilience</w:t>
      </w:r>
      <w:r w:rsidR="00EA43EF">
        <w:t xml:space="preserve">. </w:t>
      </w:r>
    </w:p>
    <w:p w14:paraId="01A0D44B" w14:textId="77777777" w:rsidR="004004F6" w:rsidRDefault="004004F6" w:rsidP="00786E64">
      <w:pPr>
        <w:spacing w:line="276" w:lineRule="auto"/>
        <w:jc w:val="both"/>
      </w:pPr>
    </w:p>
    <w:p w14:paraId="2D1A935A" w14:textId="4F045D89" w:rsidR="004004F6" w:rsidRDefault="004004F6" w:rsidP="00786E64">
      <w:pPr>
        <w:spacing w:line="276" w:lineRule="auto"/>
        <w:jc w:val="both"/>
      </w:pPr>
      <w:r>
        <w:t xml:space="preserve">It is worth highlighting that this illustrative study remains descriptive, rather than making any statements based on statistical inference. While the differences in average HSR scores are small between African S&amp;IS and non-S&amp;IS, every independently calculated resilience index has African S&amp;IS as having, on average, lower resilience than larger African states. Given that African S&amp;IS are both hypothesised and measured – by the UN </w:t>
      </w:r>
      <w:r>
        <w:lastRenderedPageBreak/>
        <w:t>MVI – as being more vulnerable, their level of resilience is clearly not commensurate with their exposure to risk. While the indices provide no indication of the ‘right’ level of resilience, the information makes clear that larger African states have lower vulnerability and higher current levels of HSR than S&amp;IS.</w:t>
      </w:r>
    </w:p>
    <w:p w14:paraId="65CB830E" w14:textId="77777777" w:rsidR="00786E64" w:rsidRDefault="00786E64" w:rsidP="00786E64">
      <w:pPr>
        <w:spacing w:line="276" w:lineRule="auto"/>
        <w:jc w:val="both"/>
      </w:pPr>
    </w:p>
    <w:p w14:paraId="4B6F9ADC" w14:textId="505C2C17" w:rsidR="00786E64" w:rsidRDefault="006F5E9A" w:rsidP="00786E64">
      <w:pPr>
        <w:spacing w:line="276" w:lineRule="auto"/>
        <w:jc w:val="both"/>
      </w:pPr>
      <w:r>
        <w:t>T</w:t>
      </w:r>
      <w:r w:rsidR="00786E64">
        <w:t xml:space="preserve">here remains a need for greater conceptual clarity, for both country vulnerabilities and </w:t>
      </w:r>
      <w:r w:rsidR="00BE33AD">
        <w:t>HSR</w:t>
      </w:r>
      <w:r w:rsidR="00786E64">
        <w:t xml:space="preserve">. </w:t>
      </w:r>
      <w:r w:rsidR="00BE33AD">
        <w:t>HSR</w:t>
      </w:r>
      <w:r w:rsidR="00786E64">
        <w:t xml:space="preserve">, particularly, as a concept is in its infancy with continuing debate about its theoretical foundation. Current indices and attempts to measure </w:t>
      </w:r>
      <w:r w:rsidR="00BE33AD">
        <w:t>HSR</w:t>
      </w:r>
      <w:r w:rsidR="00BA023D">
        <w:t xml:space="preserve"> are almost exclusively based on preparedness, and</w:t>
      </w:r>
      <w:r w:rsidR="00786E64">
        <w:t xml:space="preserve"> have been </w:t>
      </w:r>
      <w:r w:rsidR="004F118E">
        <w:t xml:space="preserve">highlighted as having little predictive power in terms of the impact of and response to shocks </w:t>
      </w:r>
      <w:r w:rsidR="00786E64">
        <w:t xml:space="preserve">(Razavi et al. 2020; Abbey et al. 2020; Biddle et al. 2020). Ideally, measures of </w:t>
      </w:r>
      <w:r w:rsidR="00BE33AD">
        <w:t>HSR</w:t>
      </w:r>
      <w:r w:rsidR="00786E64">
        <w:t xml:space="preserve"> would relate to</w:t>
      </w:r>
      <w:r w:rsidR="00921D69">
        <w:t xml:space="preserve"> factors that influence</w:t>
      </w:r>
      <w:r w:rsidR="00786E64">
        <w:t xml:space="preserve"> the expected trajectory health </w:t>
      </w:r>
      <w:r w:rsidR="00BD5675">
        <w:t>system objectives</w:t>
      </w:r>
      <w:r w:rsidR="00786E64">
        <w:t xml:space="preserve"> take after a shock.</w:t>
      </w:r>
      <w:r w:rsidR="00BA023D">
        <w:t xml:space="preserve"> </w:t>
      </w:r>
      <w:r w:rsidR="00A67606">
        <w:t>T</w:t>
      </w:r>
      <w:r w:rsidR="00BA023D">
        <w:t xml:space="preserve">his requires information on the counterfactual trajectory </w:t>
      </w:r>
      <w:r w:rsidR="004F118E">
        <w:t>health system</w:t>
      </w:r>
      <w:r w:rsidR="00A67606">
        <w:t>s</w:t>
      </w:r>
      <w:r w:rsidR="004F118E">
        <w:t xml:space="preserve"> would take in</w:t>
      </w:r>
      <w:r w:rsidR="00A67606">
        <w:t xml:space="preserve"> presence or absence of certain policies or actions</w:t>
      </w:r>
      <w:r w:rsidR="006533BB">
        <w:t>, in order to identify the important components of building HSR.</w:t>
      </w:r>
      <w:r w:rsidR="004F118E">
        <w:t xml:space="preserve"> </w:t>
      </w:r>
      <w:r w:rsidR="00786E64">
        <w:t xml:space="preserve">Given the idiosyncratic nature of shocks, this is no easy feat. Current indices of </w:t>
      </w:r>
      <w:r w:rsidR="00BE33AD">
        <w:t>HSR</w:t>
      </w:r>
      <w:r w:rsidR="00786E64">
        <w:t xml:space="preserve"> appear to lack proper theoretical justifications for variable selection. Greater conceptual clarity is a pre-requisite to ensuring robust measurement. Only then can international research efforts to build rigorous and accepted measures of </w:t>
      </w:r>
      <w:r w:rsidR="00BE33AD">
        <w:t>HSR</w:t>
      </w:r>
      <w:r w:rsidR="00786E64">
        <w:t xml:space="preserve"> take place.</w:t>
      </w:r>
      <w:r w:rsidR="00B74473">
        <w:t xml:space="preserve"> These challenges in identifying and generating evidence on health system constructs and policies which proactively build HSR may explain why, to date, most country-level efforts </w:t>
      </w:r>
      <w:r w:rsidR="00552523">
        <w:t>have been</w:t>
      </w:r>
      <w:r w:rsidR="00B74473">
        <w:t xml:space="preserve"> restricted to developing preparedness plans</w:t>
      </w:r>
      <w:r w:rsidR="00CB6793">
        <w:t xml:space="preserve"> to respond to an</w:t>
      </w:r>
      <w:r w:rsidR="00C17356">
        <w:t xml:space="preserve"> specifically-outlined</w:t>
      </w:r>
      <w:r w:rsidR="00CB6793">
        <w:t xml:space="preserve"> adverse event</w:t>
      </w:r>
      <w:r w:rsidR="00B74473">
        <w:t>.</w:t>
      </w:r>
      <w:r w:rsidR="00C17356">
        <w:t xml:space="preserve"> Further evidence is required in terms of how discretionary health spending can be allocated to</w:t>
      </w:r>
      <w:r w:rsidR="00C47F50">
        <w:t>wards health system inputs to</w:t>
      </w:r>
      <w:r w:rsidR="00C17356">
        <w:t xml:space="preserve"> improve HSR.</w:t>
      </w:r>
    </w:p>
    <w:p w14:paraId="5F8E528A" w14:textId="77777777" w:rsidR="009E6085" w:rsidRDefault="009E6085" w:rsidP="009E6085">
      <w:pPr>
        <w:jc w:val="both"/>
      </w:pPr>
    </w:p>
    <w:p w14:paraId="7201545E" w14:textId="1C0B43F0" w:rsidR="009E6085" w:rsidRPr="00F43BB8" w:rsidRDefault="009E6085" w:rsidP="009E6085">
      <w:pPr>
        <w:spacing w:line="276" w:lineRule="auto"/>
        <w:jc w:val="both"/>
      </w:pPr>
      <w:r w:rsidRPr="00097AC1">
        <w:rPr>
          <w:b/>
          <w:bCs/>
        </w:rPr>
        <w:t>Figure 1</w:t>
      </w:r>
      <w:r>
        <w:t xml:space="preserve"> raises several </w:t>
      </w:r>
      <w:r w:rsidR="00D47670">
        <w:t xml:space="preserve">of these and </w:t>
      </w:r>
      <w:r>
        <w:t xml:space="preserve">additional policy questions. What is the threshold for a shock considered to test resilience and distinguishing a shock from a stressor? Is a health system which faces a sharper decrease in capacity for a shorter duration considered more resilient than one which has a smaller reduction in capacity but takes longer to recover i.e. how important is the curvature? </w:t>
      </w:r>
      <w:r w:rsidRPr="00193CE8">
        <w:t>What</w:t>
      </w:r>
      <w:r>
        <w:t xml:space="preserve"> is the relevant time-frame for assessing recovery progress post-shock? It has been noted that “weak health systems cannot be resilient” (Kieny et al. 2014). However, a weak system may quickly return to its previous (low) capacity. This introduces the concept of a minimum acceptable level not captured in the figure. Given shocks are often one-time events which may only impact one or a few countries, how do we assess how well a system has dealt with each distinct shock, against how we might expect it to?</w:t>
      </w:r>
    </w:p>
    <w:p w14:paraId="1394BD8B" w14:textId="77777777" w:rsidR="00786E64" w:rsidRDefault="00786E64" w:rsidP="00786E64">
      <w:pPr>
        <w:spacing w:line="276" w:lineRule="auto"/>
        <w:jc w:val="both"/>
      </w:pPr>
    </w:p>
    <w:p w14:paraId="4C384C3F" w14:textId="26FF614E" w:rsidR="00786E64" w:rsidRDefault="00786E64" w:rsidP="00786E64">
      <w:pPr>
        <w:spacing w:line="276" w:lineRule="auto"/>
        <w:jc w:val="both"/>
      </w:pPr>
      <w:r>
        <w:t xml:space="preserve">Although distinct concepts, the relationship between health system </w:t>
      </w:r>
      <w:r w:rsidR="000425DD">
        <w:t xml:space="preserve">capacity, </w:t>
      </w:r>
      <w:r>
        <w:t xml:space="preserve">performance and resilience </w:t>
      </w:r>
      <w:r w:rsidR="00783792">
        <w:t>warrant</w:t>
      </w:r>
      <w:r>
        <w:t xml:space="preserve"> further examined. On-going shocks to a health system lacking resilience will inevitably impact longer-term performance. For instance, exogeneous shocks which worsen working conditions or increase demands on health </w:t>
      </w:r>
      <w:r>
        <w:lastRenderedPageBreak/>
        <w:t>workers may increase health worker attrition rates, placing further stress on those who remain (Lin et al. 2022; Witter et al. 2023).</w:t>
      </w:r>
    </w:p>
    <w:p w14:paraId="26D1E30E" w14:textId="77777777" w:rsidR="00786E64" w:rsidRDefault="00786E64" w:rsidP="00786E64">
      <w:pPr>
        <w:spacing w:line="276" w:lineRule="auto"/>
        <w:jc w:val="both"/>
      </w:pPr>
    </w:p>
    <w:p w14:paraId="6C4D94AC" w14:textId="711451EA" w:rsidR="005333F2" w:rsidRPr="005333F2" w:rsidRDefault="005333F2" w:rsidP="005333F2">
      <w:pPr>
        <w:pStyle w:val="ListParagraph"/>
        <w:numPr>
          <w:ilvl w:val="0"/>
          <w:numId w:val="1"/>
        </w:numPr>
        <w:spacing w:line="276" w:lineRule="auto"/>
        <w:jc w:val="both"/>
        <w:rPr>
          <w:b/>
          <w:bCs/>
        </w:rPr>
      </w:pPr>
      <w:r w:rsidRPr="005333F2">
        <w:rPr>
          <w:b/>
          <w:bCs/>
        </w:rPr>
        <w:t xml:space="preserve">Conclusion </w:t>
      </w:r>
    </w:p>
    <w:p w14:paraId="7255F022" w14:textId="77777777" w:rsidR="005333F2" w:rsidRDefault="005333F2" w:rsidP="00786E64">
      <w:pPr>
        <w:spacing w:line="276" w:lineRule="auto"/>
        <w:jc w:val="both"/>
      </w:pPr>
    </w:p>
    <w:p w14:paraId="5D006594" w14:textId="31A925D3" w:rsidR="00786E64" w:rsidRDefault="00786E64" w:rsidP="00786E64">
      <w:pPr>
        <w:spacing w:line="276" w:lineRule="auto"/>
        <w:jc w:val="both"/>
      </w:pPr>
      <w:r>
        <w:t xml:space="preserve">Planning for future ‘unforeseen events’, which involve a high degree of uncertainty, is rarely prioritised. Particularly in circumstances when </w:t>
      </w:r>
      <w:r w:rsidR="00EB5D06">
        <w:t>low- and middle-income country’s</w:t>
      </w:r>
      <w:r>
        <w:t xml:space="preserve"> health systems face many, more immediate current problems. However, given the policy import</w:t>
      </w:r>
      <w:r w:rsidR="00064DB5">
        <w:t>ance</w:t>
      </w:r>
      <w:r>
        <w:t xml:space="preserve"> and the relative str</w:t>
      </w:r>
      <w:r w:rsidR="00680273">
        <w:t xml:space="preserve">ength </w:t>
      </w:r>
      <w:r>
        <w:t xml:space="preserve">of health systems in some S&amp;IS, this provides a strong foundation and rationale for increasing attention towards </w:t>
      </w:r>
      <w:r w:rsidR="00BE33AD">
        <w:t>HSR</w:t>
      </w:r>
      <w:r>
        <w:t xml:space="preserve"> in these settings. While much analytical work remains to be done on the concepts and measurement of vulnerability and </w:t>
      </w:r>
      <w:r w:rsidR="00BE33AD">
        <w:t>HSR</w:t>
      </w:r>
      <w:r>
        <w:t xml:space="preserve">, S&amp;IS health policymakers </w:t>
      </w:r>
      <w:r w:rsidR="0071453A">
        <w:t xml:space="preserve">likely </w:t>
      </w:r>
      <w:r>
        <w:t xml:space="preserve">cannot afford to wait for academic clarity. These countries should be viewed as global priorities for building </w:t>
      </w:r>
      <w:r w:rsidR="00BE33AD">
        <w:t>HSR</w:t>
      </w:r>
      <w:r>
        <w:t xml:space="preserve">. Lessons learnt of what works and what doesn’t in these settings can </w:t>
      </w:r>
      <w:r w:rsidR="00A961A2">
        <w:t xml:space="preserve">subsequently </w:t>
      </w:r>
      <w:r>
        <w:t>be used by and applied to the wider health community.</w:t>
      </w:r>
    </w:p>
    <w:p w14:paraId="012558B5" w14:textId="77777777" w:rsidR="00264BBD" w:rsidRDefault="00264BBD" w:rsidP="00786E64">
      <w:pPr>
        <w:jc w:val="both"/>
      </w:pPr>
    </w:p>
    <w:p w14:paraId="51E6F064" w14:textId="77777777" w:rsidR="00D93847" w:rsidRDefault="00D93847" w:rsidP="00786E64">
      <w:pPr>
        <w:jc w:val="both"/>
      </w:pPr>
    </w:p>
    <w:p w14:paraId="72E3D7E3" w14:textId="77777777" w:rsidR="00D93847" w:rsidRDefault="00D93847" w:rsidP="00786E64">
      <w:pPr>
        <w:jc w:val="both"/>
      </w:pPr>
    </w:p>
    <w:p w14:paraId="4660F819" w14:textId="77777777" w:rsidR="00D93847" w:rsidRDefault="00D93847" w:rsidP="00786E64">
      <w:pPr>
        <w:jc w:val="both"/>
      </w:pPr>
    </w:p>
    <w:p w14:paraId="49D0EA96" w14:textId="77777777" w:rsidR="00D93847" w:rsidRDefault="00D93847" w:rsidP="00786E64">
      <w:pPr>
        <w:jc w:val="both"/>
      </w:pPr>
    </w:p>
    <w:p w14:paraId="7B6D80DA" w14:textId="77777777" w:rsidR="00D93847" w:rsidRDefault="00D93847" w:rsidP="00786E64">
      <w:pPr>
        <w:jc w:val="both"/>
      </w:pPr>
    </w:p>
    <w:p w14:paraId="01BA0360" w14:textId="77777777" w:rsidR="00D93847" w:rsidRDefault="00D93847" w:rsidP="00786E64">
      <w:pPr>
        <w:jc w:val="both"/>
      </w:pPr>
    </w:p>
    <w:p w14:paraId="1FF21B44" w14:textId="77777777" w:rsidR="00D93847" w:rsidRDefault="00D93847" w:rsidP="00786E64">
      <w:pPr>
        <w:jc w:val="both"/>
      </w:pPr>
    </w:p>
    <w:p w14:paraId="54590E4F" w14:textId="77777777" w:rsidR="00D93847" w:rsidRDefault="00D93847" w:rsidP="00786E64">
      <w:pPr>
        <w:jc w:val="both"/>
      </w:pPr>
    </w:p>
    <w:p w14:paraId="07D4B54F" w14:textId="77777777" w:rsidR="00D93847" w:rsidRDefault="00D93847" w:rsidP="00786E64">
      <w:pPr>
        <w:jc w:val="both"/>
      </w:pPr>
    </w:p>
    <w:p w14:paraId="535EC089" w14:textId="77777777" w:rsidR="00D93847" w:rsidRDefault="00D93847" w:rsidP="00786E64">
      <w:pPr>
        <w:jc w:val="both"/>
      </w:pPr>
    </w:p>
    <w:p w14:paraId="138FF231" w14:textId="77777777" w:rsidR="00D93847" w:rsidRDefault="00D93847" w:rsidP="00786E64">
      <w:pPr>
        <w:jc w:val="both"/>
      </w:pPr>
    </w:p>
    <w:p w14:paraId="1CB5DF30" w14:textId="77777777" w:rsidR="00D93847" w:rsidRDefault="00D93847" w:rsidP="00786E64">
      <w:pPr>
        <w:jc w:val="both"/>
      </w:pPr>
    </w:p>
    <w:p w14:paraId="1A70E27D" w14:textId="77777777" w:rsidR="00D93847" w:rsidRDefault="00D93847" w:rsidP="00786E64">
      <w:pPr>
        <w:jc w:val="both"/>
      </w:pPr>
    </w:p>
    <w:p w14:paraId="580A36E5" w14:textId="77777777" w:rsidR="00D93847" w:rsidRDefault="00D93847" w:rsidP="00786E64">
      <w:pPr>
        <w:jc w:val="both"/>
      </w:pPr>
    </w:p>
    <w:p w14:paraId="6F4CCB63" w14:textId="77777777" w:rsidR="00D93847" w:rsidRDefault="00D93847" w:rsidP="00786E64">
      <w:pPr>
        <w:jc w:val="both"/>
      </w:pPr>
    </w:p>
    <w:p w14:paraId="1D3305FF" w14:textId="77777777" w:rsidR="00D93847" w:rsidRDefault="00D93847" w:rsidP="00786E64">
      <w:pPr>
        <w:jc w:val="both"/>
      </w:pPr>
    </w:p>
    <w:p w14:paraId="5EA1927B" w14:textId="77777777" w:rsidR="00D93847" w:rsidRDefault="00D93847" w:rsidP="00786E64">
      <w:pPr>
        <w:jc w:val="both"/>
      </w:pPr>
    </w:p>
    <w:p w14:paraId="2023D5B6" w14:textId="77777777" w:rsidR="00D93847" w:rsidRDefault="00D93847" w:rsidP="00786E64">
      <w:pPr>
        <w:jc w:val="both"/>
      </w:pPr>
    </w:p>
    <w:p w14:paraId="07F311FE" w14:textId="77777777" w:rsidR="00D93847" w:rsidRDefault="00D93847" w:rsidP="00786E64">
      <w:pPr>
        <w:jc w:val="both"/>
      </w:pPr>
    </w:p>
    <w:p w14:paraId="645999C9" w14:textId="77777777" w:rsidR="00D93847" w:rsidRDefault="00D93847" w:rsidP="00786E64">
      <w:pPr>
        <w:jc w:val="both"/>
      </w:pPr>
    </w:p>
    <w:p w14:paraId="734C728E" w14:textId="77777777" w:rsidR="00D93847" w:rsidRDefault="00D93847" w:rsidP="00786E64">
      <w:pPr>
        <w:jc w:val="both"/>
      </w:pPr>
    </w:p>
    <w:p w14:paraId="106FBA1E" w14:textId="77777777" w:rsidR="00D93847" w:rsidRDefault="00D93847" w:rsidP="00786E64">
      <w:pPr>
        <w:jc w:val="both"/>
      </w:pPr>
    </w:p>
    <w:p w14:paraId="2A4CABF8" w14:textId="77777777" w:rsidR="00D93847" w:rsidRDefault="00D93847" w:rsidP="00786E64">
      <w:pPr>
        <w:jc w:val="both"/>
      </w:pPr>
    </w:p>
    <w:p w14:paraId="49EC4E49" w14:textId="77777777" w:rsidR="00D93847" w:rsidRDefault="00D93847" w:rsidP="00786E64">
      <w:pPr>
        <w:jc w:val="both"/>
      </w:pPr>
    </w:p>
    <w:p w14:paraId="2ED70434" w14:textId="77777777" w:rsidR="00D93847" w:rsidRDefault="00D93847" w:rsidP="00786E64">
      <w:pPr>
        <w:jc w:val="both"/>
      </w:pPr>
    </w:p>
    <w:p w14:paraId="2E973B35" w14:textId="77777777" w:rsidR="00D93847" w:rsidRDefault="00D93847" w:rsidP="00786E64">
      <w:pPr>
        <w:jc w:val="both"/>
      </w:pPr>
    </w:p>
    <w:p w14:paraId="2034674A" w14:textId="77777777" w:rsidR="00D93847" w:rsidRDefault="00D93847" w:rsidP="00786E64">
      <w:pPr>
        <w:jc w:val="both"/>
      </w:pPr>
    </w:p>
    <w:p w14:paraId="4025C6F3" w14:textId="77777777" w:rsidR="00475797" w:rsidRDefault="00475797" w:rsidP="00786E64">
      <w:pPr>
        <w:jc w:val="both"/>
      </w:pPr>
    </w:p>
    <w:p w14:paraId="08368A14" w14:textId="77777777" w:rsidR="00A83046" w:rsidRDefault="00A83046" w:rsidP="00786E64">
      <w:pPr>
        <w:jc w:val="both"/>
      </w:pPr>
    </w:p>
    <w:p w14:paraId="729E1BF1" w14:textId="3220BB32" w:rsidR="00A83046" w:rsidRPr="00A83046" w:rsidRDefault="00A83046" w:rsidP="00786E64">
      <w:pPr>
        <w:jc w:val="both"/>
        <w:rPr>
          <w:b/>
          <w:bCs/>
        </w:rPr>
      </w:pPr>
      <w:r w:rsidRPr="00A83046">
        <w:rPr>
          <w:b/>
          <w:bCs/>
        </w:rPr>
        <w:lastRenderedPageBreak/>
        <w:t>Endnotes</w:t>
      </w:r>
    </w:p>
    <w:p w14:paraId="6342DBF9" w14:textId="77777777" w:rsidR="005333F2" w:rsidRDefault="005333F2" w:rsidP="00786E64">
      <w:pPr>
        <w:jc w:val="both"/>
      </w:pPr>
    </w:p>
    <w:p w14:paraId="5A6BC7DE" w14:textId="77777777" w:rsidR="00A83046" w:rsidRPr="00A83046" w:rsidRDefault="00A83046" w:rsidP="00A83046">
      <w:pPr>
        <w:pStyle w:val="ListParagraph"/>
        <w:numPr>
          <w:ilvl w:val="0"/>
          <w:numId w:val="17"/>
        </w:numPr>
        <w:jc w:val="both"/>
        <w:rPr>
          <w:b/>
          <w:bCs/>
          <w:sz w:val="20"/>
          <w:szCs w:val="20"/>
        </w:rPr>
      </w:pPr>
      <w:r w:rsidRPr="00A83046">
        <w:rPr>
          <w:sz w:val="20"/>
          <w:szCs w:val="20"/>
        </w:rPr>
        <w:t>Wide-spread recognition of small island developing states (SIDS) as a distinct group first occurred at the UN Conference on Environment and Development (UNCED) in 1992. Since then, UN SIDS member countries have participated in several meetings and developed programmes to facilitate their sustainable development. Since 2001, work on UN SIDS has been led by the United Nations Office of the High Representative for the Least Developed Countries, Landlocked Developing Countries, and Small Island Developing States (UN-OHRLLS). Aiyar (2008) notes that such a grouping reflects the view of SIDS being comparable with least developed countries.</w:t>
      </w:r>
    </w:p>
    <w:p w14:paraId="6E407C94" w14:textId="77777777" w:rsidR="00132C99" w:rsidRPr="00A83046" w:rsidRDefault="00132C99" w:rsidP="00132C99">
      <w:pPr>
        <w:pStyle w:val="ListParagraph"/>
        <w:numPr>
          <w:ilvl w:val="0"/>
          <w:numId w:val="17"/>
        </w:numPr>
        <w:jc w:val="both"/>
        <w:rPr>
          <w:b/>
          <w:bCs/>
          <w:sz w:val="20"/>
          <w:szCs w:val="20"/>
        </w:rPr>
      </w:pPr>
      <w:r w:rsidRPr="00A83046">
        <w:rPr>
          <w:color w:val="000000"/>
          <w:sz w:val="20"/>
          <w:szCs w:val="20"/>
        </w:rPr>
        <w:t>As noted in Dell, Jones &amp; Olken (2015), climate can be “thought of as referring to a distribution of outcomes, which can be summarized by averages over several decades, while weather refers to a particular realization from that distribution and can provide substantial variability”.</w:t>
      </w:r>
    </w:p>
    <w:p w14:paraId="2F4EE1CB" w14:textId="77777777" w:rsidR="00132C99" w:rsidRPr="003E18DD" w:rsidRDefault="00132C99" w:rsidP="00132C99">
      <w:pPr>
        <w:pStyle w:val="ListParagraph"/>
        <w:numPr>
          <w:ilvl w:val="0"/>
          <w:numId w:val="17"/>
        </w:numPr>
        <w:jc w:val="both"/>
        <w:rPr>
          <w:b/>
          <w:bCs/>
          <w:sz w:val="20"/>
          <w:szCs w:val="20"/>
        </w:rPr>
      </w:pPr>
      <w:r w:rsidRPr="00A83046">
        <w:rPr>
          <w:rFonts w:ascii="Calibri" w:hAnsi="Calibri" w:cs="Calibri"/>
          <w:sz w:val="20"/>
          <w:szCs w:val="20"/>
        </w:rPr>
        <w:t>They are missing damage cost data for Equatorial Guinea, Gabon, Guinea-Bissau and Sao Tome and Principe.</w:t>
      </w:r>
    </w:p>
    <w:p w14:paraId="12892256" w14:textId="410E6E3B" w:rsidR="005A2DDF" w:rsidRPr="005A2DDF" w:rsidRDefault="00A83046" w:rsidP="00132C99">
      <w:pPr>
        <w:pStyle w:val="ListParagraph"/>
        <w:numPr>
          <w:ilvl w:val="0"/>
          <w:numId w:val="17"/>
        </w:numPr>
        <w:jc w:val="both"/>
        <w:rPr>
          <w:b/>
          <w:bCs/>
        </w:rPr>
      </w:pPr>
      <w:r w:rsidRPr="00A83046">
        <w:rPr>
          <w:sz w:val="20"/>
          <w:szCs w:val="20"/>
        </w:rPr>
        <w:t>See McGuire et al. (</w:t>
      </w:r>
      <w:r w:rsidR="000A0442">
        <w:rPr>
          <w:i/>
          <w:iCs/>
          <w:sz w:val="20"/>
          <w:szCs w:val="20"/>
        </w:rPr>
        <w:t>R&amp;R</w:t>
      </w:r>
      <w:r w:rsidRPr="00A83046">
        <w:rPr>
          <w:sz w:val="20"/>
          <w:szCs w:val="20"/>
        </w:rPr>
        <w:t>) for more details on the fourteen African S&amp;IS.</w:t>
      </w:r>
    </w:p>
    <w:p w14:paraId="5852F07A" w14:textId="08589B80" w:rsidR="00F1410E" w:rsidRPr="003E18DD" w:rsidRDefault="00F1410E" w:rsidP="00275508">
      <w:pPr>
        <w:pStyle w:val="ListParagraph"/>
        <w:numPr>
          <w:ilvl w:val="0"/>
          <w:numId w:val="17"/>
        </w:numPr>
        <w:jc w:val="both"/>
        <w:rPr>
          <w:sz w:val="20"/>
          <w:szCs w:val="20"/>
        </w:rPr>
      </w:pPr>
      <w:r>
        <w:rPr>
          <w:sz w:val="20"/>
          <w:szCs w:val="20"/>
        </w:rPr>
        <w:t xml:space="preserve">We are missing data on the Structural Development dimension (one of the 3 dimensions used to aggregate the MVI) for nine non-S&amp;IS countries; Kenya, Liberia, Libya, Madagascar, Malawi, Mali, Mauritania, Morocco and Mozambique, and two S&amp;IS; Lesotho and Mauritius. </w:t>
      </w:r>
      <w:r w:rsidR="00A04138">
        <w:rPr>
          <w:sz w:val="20"/>
          <w:szCs w:val="20"/>
        </w:rPr>
        <w:t>Although an aggregate MVI score could be constructed for all countries using the 2 remaining dimensions (economic vulnerability and environmental vulnerability) for all countries, given countries face unique sets of vulnerabilities, we have omitted these countries</w:t>
      </w:r>
      <w:r w:rsidR="00E627A1">
        <w:rPr>
          <w:sz w:val="20"/>
          <w:szCs w:val="20"/>
        </w:rPr>
        <w:t xml:space="preserve"> and use the total MVI for all other countries with full data</w:t>
      </w:r>
      <w:r w:rsidR="00A04138">
        <w:rPr>
          <w:sz w:val="20"/>
          <w:szCs w:val="20"/>
        </w:rPr>
        <w:t>.</w:t>
      </w:r>
      <w:r>
        <w:rPr>
          <w:sz w:val="20"/>
          <w:szCs w:val="20"/>
        </w:rPr>
        <w:t xml:space="preserve"> </w:t>
      </w:r>
      <w:r w:rsidR="00003568">
        <w:rPr>
          <w:sz w:val="20"/>
          <w:szCs w:val="20"/>
        </w:rPr>
        <w:t>We do not expect this to change the substantive findings of the analysis</w:t>
      </w:r>
      <w:r w:rsidR="00434DF5">
        <w:rPr>
          <w:sz w:val="20"/>
          <w:szCs w:val="20"/>
        </w:rPr>
        <w:t>.</w:t>
      </w:r>
    </w:p>
    <w:p w14:paraId="35BA65A2" w14:textId="2CD5EB37" w:rsidR="00917F25" w:rsidRPr="003E18DD" w:rsidRDefault="00917F25" w:rsidP="003E18DD">
      <w:pPr>
        <w:pStyle w:val="ListParagraph"/>
        <w:numPr>
          <w:ilvl w:val="0"/>
          <w:numId w:val="17"/>
        </w:numPr>
        <w:jc w:val="both"/>
        <w:rPr>
          <w:sz w:val="20"/>
          <w:szCs w:val="20"/>
        </w:rPr>
      </w:pPr>
      <w:r>
        <w:rPr>
          <w:sz w:val="20"/>
          <w:szCs w:val="20"/>
        </w:rPr>
        <w:t>For the HAQ Index the 1</w:t>
      </w:r>
      <w:r w:rsidRPr="003E18DD">
        <w:rPr>
          <w:sz w:val="20"/>
          <w:szCs w:val="20"/>
          <w:vertAlign w:val="superscript"/>
        </w:rPr>
        <w:t>st</w:t>
      </w:r>
      <w:r>
        <w:rPr>
          <w:sz w:val="20"/>
          <w:szCs w:val="20"/>
        </w:rPr>
        <w:t xml:space="preserve"> and 99</w:t>
      </w:r>
      <w:r w:rsidRPr="003E18DD">
        <w:rPr>
          <w:sz w:val="20"/>
          <w:szCs w:val="20"/>
          <w:vertAlign w:val="superscript"/>
        </w:rPr>
        <w:t>th</w:t>
      </w:r>
      <w:r>
        <w:rPr>
          <w:sz w:val="20"/>
          <w:szCs w:val="20"/>
        </w:rPr>
        <w:t xml:space="preserve"> percentile of scores were used to scale scores between 0-100 within each of the 32 mortality cause categories across the full data period 1990-2019, then aggregated for each age group. Therefore the HAQ Index gives an ordinal ranking of countries health systems access and quality with respect to the worst and best performers over this 30 year period. A comparable anchoring approach was used for the Effective UHC Index using the 2.5</w:t>
      </w:r>
      <w:r w:rsidRPr="003E18DD">
        <w:rPr>
          <w:sz w:val="20"/>
          <w:szCs w:val="20"/>
          <w:vertAlign w:val="superscript"/>
        </w:rPr>
        <w:t>th</w:t>
      </w:r>
      <w:r>
        <w:rPr>
          <w:sz w:val="20"/>
          <w:szCs w:val="20"/>
        </w:rPr>
        <w:t xml:space="preserve"> and 97.5</w:t>
      </w:r>
      <w:r w:rsidRPr="003E18DD">
        <w:rPr>
          <w:sz w:val="20"/>
          <w:szCs w:val="20"/>
          <w:vertAlign w:val="superscript"/>
        </w:rPr>
        <w:t>th</w:t>
      </w:r>
      <w:r>
        <w:rPr>
          <w:sz w:val="20"/>
          <w:szCs w:val="20"/>
        </w:rPr>
        <w:t xml:space="preserve"> percentiles.</w:t>
      </w:r>
    </w:p>
    <w:p w14:paraId="685BD405" w14:textId="7912DB04" w:rsidR="006B7B66" w:rsidRDefault="005A2DDF" w:rsidP="003E18DD">
      <w:pPr>
        <w:pStyle w:val="ListParagraph"/>
        <w:numPr>
          <w:ilvl w:val="0"/>
          <w:numId w:val="17"/>
        </w:numPr>
        <w:jc w:val="both"/>
      </w:pPr>
      <w:r w:rsidRPr="005A2DDF">
        <w:rPr>
          <w:rFonts w:ascii="Calibri" w:hAnsi="Calibri" w:cs="Calibri"/>
          <w:sz w:val="20"/>
          <w:szCs w:val="20"/>
        </w:rPr>
        <w:t>As a result, there is growing demand for development partners to consider factors beyond (per capita) income levels as the primary eligibility criterion determining access to concessional finance and development support. Recognising this, the IMF lending framework introduced a ‘small country exception’ in 2010, increasing the eligibility threshold for accessing IMF financing facilities for select S&amp;IS (</w:t>
      </w:r>
      <w:r w:rsidRPr="005A2DDF">
        <w:rPr>
          <w:rFonts w:ascii="Calibri" w:hAnsi="Calibri" w:cs="Calibri"/>
          <w:bCs/>
          <w:sz w:val="20"/>
          <w:szCs w:val="20"/>
        </w:rPr>
        <w:t>IMF, 2022</w:t>
      </w:r>
      <w:r w:rsidRPr="005A2DDF">
        <w:rPr>
          <w:rFonts w:ascii="Calibri" w:hAnsi="Calibri" w:cs="Calibri"/>
          <w:sz w:val="20"/>
          <w:szCs w:val="20"/>
        </w:rPr>
        <w:t xml:space="preserve">). </w:t>
      </w:r>
      <w:r w:rsidRPr="005A2DDF">
        <w:rPr>
          <w:rFonts w:ascii="Calibri" w:hAnsi="Calibri" w:cs="Calibri"/>
          <w:color w:val="000000"/>
          <w:sz w:val="20"/>
          <w:szCs w:val="20"/>
        </w:rPr>
        <w:t>Specifically, this relates to the Poverty Reduction and Growth Trust (PRGT) where S&amp;IS are eligible if 1) they do not have the capacity to easily access international financial markets; 2) per capital GNI is less than twice the International Development Association (IDA) operational threshold for small states or less than five times the IDA threshold for microstates (IMF, 2013). The standard IDA threshold is $1,205 (World Bank, 2022). Another IMF facility – the Catastrophe Containment and Relief Trust (CCRT) – may benefit S&amp;IS as it provides financing to states where a shock has directly affected at least one-third of the population and destroyed over ¼ of a states’ productive capacity, or caused damage worth in excess of 100% of GDP.</w:t>
      </w:r>
      <w:r w:rsidRPr="005A2DDF">
        <w:rPr>
          <w:rFonts w:ascii="Calibri" w:hAnsi="Calibri" w:cs="Calibri"/>
          <w:sz w:val="20"/>
          <w:szCs w:val="20"/>
        </w:rPr>
        <w:t xml:space="preserve"> Similarly, 13 S&amp;IS have access to IDA assistance under the ‘small island economies exception, despite having per capita GNIs on average four times the eligibility threshold (World Bank, 2016).</w:t>
      </w:r>
    </w:p>
    <w:p w14:paraId="050654CF" w14:textId="77777777" w:rsidR="006B7B66" w:rsidRDefault="006B7B66" w:rsidP="00786E64">
      <w:pPr>
        <w:jc w:val="both"/>
      </w:pPr>
    </w:p>
    <w:p w14:paraId="25B4695D" w14:textId="77777777" w:rsidR="006B7B66" w:rsidRDefault="006B7B66" w:rsidP="00786E64">
      <w:pPr>
        <w:jc w:val="both"/>
      </w:pPr>
    </w:p>
    <w:p w14:paraId="0F1B163C" w14:textId="77777777" w:rsidR="006B7B66" w:rsidRDefault="006B7B66" w:rsidP="00786E64">
      <w:pPr>
        <w:jc w:val="both"/>
      </w:pPr>
    </w:p>
    <w:p w14:paraId="6F8764AF" w14:textId="77777777" w:rsidR="006B7B66" w:rsidRDefault="006B7B66" w:rsidP="00786E64">
      <w:pPr>
        <w:jc w:val="both"/>
      </w:pPr>
    </w:p>
    <w:p w14:paraId="6DCB13FC" w14:textId="77777777" w:rsidR="006B7B66" w:rsidRDefault="006B7B66" w:rsidP="00786E64">
      <w:pPr>
        <w:jc w:val="both"/>
      </w:pPr>
    </w:p>
    <w:p w14:paraId="66358E0B" w14:textId="77777777" w:rsidR="000A2026" w:rsidRDefault="000A2026" w:rsidP="00786E64">
      <w:pPr>
        <w:jc w:val="both"/>
      </w:pPr>
    </w:p>
    <w:p w14:paraId="476C7D0E" w14:textId="77777777" w:rsidR="006B7B66" w:rsidRDefault="006B7B66" w:rsidP="00786E64">
      <w:pPr>
        <w:jc w:val="both"/>
      </w:pPr>
    </w:p>
    <w:p w14:paraId="550288E3" w14:textId="77777777" w:rsidR="0005376C" w:rsidRDefault="0005376C" w:rsidP="00786E64">
      <w:pPr>
        <w:jc w:val="both"/>
      </w:pPr>
    </w:p>
    <w:p w14:paraId="63B6832B" w14:textId="77777777" w:rsidR="006D1913" w:rsidRDefault="006D1913" w:rsidP="00786E64">
      <w:pPr>
        <w:jc w:val="both"/>
      </w:pPr>
    </w:p>
    <w:p w14:paraId="5388DB16" w14:textId="77777777" w:rsidR="00E43EBE" w:rsidRDefault="00E43EBE" w:rsidP="00786E64">
      <w:pPr>
        <w:jc w:val="both"/>
      </w:pPr>
    </w:p>
    <w:p w14:paraId="05B94728" w14:textId="77777777" w:rsidR="00411FBF" w:rsidRDefault="00411FBF" w:rsidP="00786E64">
      <w:pPr>
        <w:jc w:val="both"/>
      </w:pPr>
    </w:p>
    <w:p w14:paraId="22ADC0AA" w14:textId="0B310B32" w:rsidR="00786E64" w:rsidRPr="00F65DCC" w:rsidRDefault="00786E64" w:rsidP="00786E64">
      <w:pPr>
        <w:jc w:val="both"/>
        <w:rPr>
          <w:b/>
          <w:bCs/>
        </w:rPr>
      </w:pPr>
      <w:r w:rsidRPr="00FD7EC6">
        <w:rPr>
          <w:b/>
          <w:bCs/>
        </w:rPr>
        <w:lastRenderedPageBreak/>
        <w:t>References</w:t>
      </w:r>
    </w:p>
    <w:p w14:paraId="7EC4FB2B" w14:textId="77777777" w:rsidR="00786E64" w:rsidRDefault="00786E64" w:rsidP="00786E64">
      <w:pPr>
        <w:jc w:val="both"/>
      </w:pPr>
    </w:p>
    <w:p w14:paraId="65E4906A" w14:textId="77777777" w:rsidR="00786E64" w:rsidRDefault="00786E64" w:rsidP="00786E64">
      <w:pPr>
        <w:jc w:val="both"/>
      </w:pPr>
      <w:r>
        <w:t>Atkins, J., S. Mazzi and C. Easter, 2000: Commonwealth vulnerability index for developing countries: the position of small states. Economic Paper No. 40, Commonwealth Secretariat, London, 64 pp.</w:t>
      </w:r>
    </w:p>
    <w:p w14:paraId="0C850CA6" w14:textId="77777777" w:rsidR="00786E64" w:rsidRDefault="00786E64" w:rsidP="00786E64">
      <w:pPr>
        <w:jc w:val="both"/>
      </w:pPr>
    </w:p>
    <w:p w14:paraId="7F6A0379" w14:textId="34B61CF2" w:rsidR="00F768FE" w:rsidRPr="003E18DD" w:rsidRDefault="00F768FE" w:rsidP="00786E64">
      <w:pPr>
        <w:jc w:val="both"/>
        <w:rPr>
          <w:i/>
          <w:iCs/>
        </w:rPr>
      </w:pPr>
      <w:r>
        <w:t xml:space="preserve">Africa Centre for Disease Control. (2025). Africa’s Health Financing in a New Era – April, 2025. </w:t>
      </w:r>
    </w:p>
    <w:p w14:paraId="619D058B" w14:textId="77777777" w:rsidR="00F768FE" w:rsidRDefault="00F768FE" w:rsidP="00786E64">
      <w:pPr>
        <w:jc w:val="both"/>
      </w:pPr>
    </w:p>
    <w:p w14:paraId="6743037C" w14:textId="77777777" w:rsidR="00786E64" w:rsidRDefault="00786E64" w:rsidP="00786E64">
      <w:pPr>
        <w:jc w:val="both"/>
      </w:pPr>
      <w:proofErr w:type="spellStart"/>
      <w:r w:rsidRPr="003E18DD">
        <w:rPr>
          <w:lang w:val="fr-BE"/>
        </w:rPr>
        <w:t>Barasa</w:t>
      </w:r>
      <w:proofErr w:type="spellEnd"/>
      <w:r w:rsidRPr="003E18DD">
        <w:rPr>
          <w:lang w:val="fr-BE"/>
        </w:rPr>
        <w:t xml:space="preserve">, E. </w:t>
      </w:r>
      <w:proofErr w:type="spellStart"/>
      <w:r w:rsidRPr="003E18DD">
        <w:rPr>
          <w:lang w:val="fr-BE"/>
        </w:rPr>
        <w:t>Mbau</w:t>
      </w:r>
      <w:proofErr w:type="spellEnd"/>
      <w:r w:rsidRPr="003E18DD">
        <w:rPr>
          <w:lang w:val="fr-BE"/>
        </w:rPr>
        <w:t xml:space="preserve">, R. Gilson, L. (2018). </w:t>
      </w:r>
      <w:r>
        <w:t xml:space="preserve">What is resilience and how can it be nurtured? A systematic review of empirical literature on organizational resilience. </w:t>
      </w:r>
      <w:r w:rsidRPr="00593BD2">
        <w:rPr>
          <w:i/>
          <w:iCs/>
        </w:rPr>
        <w:t>International journal of health policy and management</w:t>
      </w:r>
      <w:r>
        <w:t>. 7(6), p.491.</w:t>
      </w:r>
    </w:p>
    <w:p w14:paraId="10E99B52" w14:textId="77777777" w:rsidR="00786E64" w:rsidRDefault="00786E64" w:rsidP="00786E64">
      <w:pPr>
        <w:jc w:val="both"/>
      </w:pPr>
    </w:p>
    <w:p w14:paraId="6CF84226" w14:textId="77777777" w:rsidR="00786E64" w:rsidRDefault="00786E64" w:rsidP="00786E64">
      <w:r>
        <w:t xml:space="preserve">Blanchet, K. (2015). Thinking shift on health systems: from blueprint health programmes towards resilience of health systems. </w:t>
      </w:r>
      <w:r w:rsidRPr="002C7C44">
        <w:rPr>
          <w:i/>
          <w:iCs/>
        </w:rPr>
        <w:t xml:space="preserve">International Journal of Health Policy Management. </w:t>
      </w:r>
      <w:r>
        <w:t xml:space="preserve">4, 307–309. </w:t>
      </w:r>
    </w:p>
    <w:p w14:paraId="0B0E8FD6" w14:textId="77777777" w:rsidR="00786E64" w:rsidRDefault="00786E64" w:rsidP="00786E64">
      <w:pPr>
        <w:jc w:val="both"/>
      </w:pPr>
    </w:p>
    <w:p w14:paraId="48B0CB1A" w14:textId="77777777" w:rsidR="00786E64" w:rsidRPr="00340A0E" w:rsidRDefault="00786E64" w:rsidP="00786E64">
      <w:pPr>
        <w:jc w:val="both"/>
      </w:pPr>
      <w:r>
        <w:t xml:space="preserve">Briguglio, L. (1995). Small Island Developing States and Their Economic Vulnerabilities. </w:t>
      </w:r>
      <w:r>
        <w:rPr>
          <w:i/>
          <w:iCs/>
        </w:rPr>
        <w:t xml:space="preserve">World Development. </w:t>
      </w:r>
    </w:p>
    <w:p w14:paraId="416C6D6D" w14:textId="77777777" w:rsidR="00786E64" w:rsidRDefault="00786E64" w:rsidP="00786E64">
      <w:pPr>
        <w:jc w:val="both"/>
      </w:pPr>
    </w:p>
    <w:p w14:paraId="77AEC549" w14:textId="77777777" w:rsidR="00786E64" w:rsidRDefault="00786E64" w:rsidP="00786E64">
      <w:pPr>
        <w:jc w:val="both"/>
      </w:pPr>
      <w:r>
        <w:t>Briguglio, L. (2004). Economic Vulnerability and Resilience: Concepts and Measurements. In Briguglio, L. and Kisanga, E.J. (eds), Vulnerability and Resilience of Small States. Commonwealth Secretariat and the University of Malta, 43-53.</w:t>
      </w:r>
    </w:p>
    <w:p w14:paraId="06D387CB" w14:textId="77777777" w:rsidR="00786E64" w:rsidRDefault="00786E64" w:rsidP="00786E64">
      <w:pPr>
        <w:jc w:val="both"/>
      </w:pPr>
    </w:p>
    <w:p w14:paraId="7C0D3D66" w14:textId="77777777" w:rsidR="00786E64" w:rsidRDefault="00786E64" w:rsidP="00786E64">
      <w:pPr>
        <w:jc w:val="both"/>
      </w:pPr>
      <w:r>
        <w:t>Briguglio, L. (2014). A vulnerability and resilience framework for small states. Report prepared for the Commonwealth Secretariat.</w:t>
      </w:r>
    </w:p>
    <w:p w14:paraId="22F97D46" w14:textId="77777777" w:rsidR="00786E64" w:rsidRDefault="00786E64" w:rsidP="00786E64">
      <w:pPr>
        <w:jc w:val="both"/>
      </w:pPr>
    </w:p>
    <w:p w14:paraId="5847ACA3" w14:textId="77777777" w:rsidR="00786E64" w:rsidRDefault="00786E64" w:rsidP="00786E64">
      <w:pPr>
        <w:jc w:val="both"/>
      </w:pPr>
      <w:r>
        <w:t xml:space="preserve">Briguglio, L. (2009). Conceptualising and Measuring Economic Vulnerability and Resilience. </w:t>
      </w:r>
      <w:proofErr w:type="spellStart"/>
      <w:r>
        <w:t>Powerpoint</w:t>
      </w:r>
      <w:proofErr w:type="spellEnd"/>
      <w:r>
        <w:t xml:space="preserve"> Deck Prepared for the Conference “Small States and the State”. University of Malta.</w:t>
      </w:r>
    </w:p>
    <w:p w14:paraId="50B6CA9F" w14:textId="77777777" w:rsidR="00786E64" w:rsidRDefault="00786E64" w:rsidP="00786E64">
      <w:pPr>
        <w:jc w:val="both"/>
      </w:pPr>
    </w:p>
    <w:p w14:paraId="0F8814B3" w14:textId="77777777" w:rsidR="00786E64" w:rsidRDefault="00786E64" w:rsidP="00786E64">
      <w:pPr>
        <w:jc w:val="both"/>
      </w:pPr>
      <w:r>
        <w:t>Briguglio, L. (2018). Handbook of Small States Economic, Social and Environmental Issues. Routledge.</w:t>
      </w:r>
    </w:p>
    <w:p w14:paraId="728ECFD2" w14:textId="77777777" w:rsidR="00786E64" w:rsidRDefault="00786E64" w:rsidP="00786E64">
      <w:pPr>
        <w:jc w:val="both"/>
      </w:pPr>
    </w:p>
    <w:p w14:paraId="6BC79F5A" w14:textId="77777777" w:rsidR="00786E64" w:rsidRDefault="00786E64" w:rsidP="00786E64">
      <w:pPr>
        <w:jc w:val="both"/>
      </w:pPr>
      <w:r>
        <w:rPr>
          <w:color w:val="000000"/>
        </w:rPr>
        <w:t xml:space="preserve">Briguglio, L. (2022). </w:t>
      </w:r>
      <w:r>
        <w:t>Economic Growth of Small Developing States—A Literature Review. Independent Evaluation Office Background Paper. International Monetary Fund.</w:t>
      </w:r>
    </w:p>
    <w:p w14:paraId="64392778" w14:textId="77777777" w:rsidR="00786E64" w:rsidRDefault="00786E64" w:rsidP="00786E64">
      <w:pPr>
        <w:jc w:val="both"/>
      </w:pPr>
    </w:p>
    <w:p w14:paraId="7FAC1675" w14:textId="77777777" w:rsidR="00786E64" w:rsidRDefault="00786E64" w:rsidP="00786E64">
      <w:r>
        <w:t>Briguglio, L. Kisanga, E. (2004). Vulnerability and Resilience of Small States. Islands and Small States Institute of the University of Malta and the Commonwealth Secretariat, London. ISBN: 99909-49-22-0.</w:t>
      </w:r>
      <w:r>
        <w:rPr>
          <w:rFonts w:ascii="Times" w:hAnsi="Times"/>
          <w:b/>
          <w:bCs/>
          <w:sz w:val="22"/>
          <w:szCs w:val="22"/>
        </w:rPr>
        <w:t xml:space="preserve"> </w:t>
      </w:r>
    </w:p>
    <w:p w14:paraId="07E68DFA" w14:textId="77777777" w:rsidR="00786E64" w:rsidRDefault="00786E64" w:rsidP="00786E64">
      <w:pPr>
        <w:jc w:val="both"/>
      </w:pPr>
    </w:p>
    <w:p w14:paraId="32E172E2" w14:textId="77777777" w:rsidR="00786E64" w:rsidRDefault="00786E64" w:rsidP="00786E64">
      <w:pPr>
        <w:jc w:val="both"/>
      </w:pPr>
      <w:r>
        <w:t>Briguglio, L. Cordina, G. Farrugia, N. Vella, S. (2008). Economic vulnerability and resilience concepts and measurements, WIDER Research Paper, No. 2008/55, ISBN 978-92-9230-103-3, The United Nations University World Institute for Development Economics Research.</w:t>
      </w:r>
    </w:p>
    <w:p w14:paraId="0E011163" w14:textId="77777777" w:rsidR="00786E64" w:rsidRDefault="00786E64" w:rsidP="00786E64">
      <w:pPr>
        <w:jc w:val="both"/>
      </w:pPr>
    </w:p>
    <w:p w14:paraId="5A04A8CD" w14:textId="77777777" w:rsidR="00786E64" w:rsidRDefault="00786E64" w:rsidP="00786E64">
      <w:pPr>
        <w:jc w:val="both"/>
      </w:pPr>
      <w:r>
        <w:lastRenderedPageBreak/>
        <w:t xml:space="preserve">Briguglio, L. Cordina, G. Farrugia, N. Vella, S. (2009). Economic Vulnerability and Resilience: Concepts and Measurements, </w:t>
      </w:r>
      <w:r w:rsidRPr="008A2237">
        <w:rPr>
          <w:i/>
          <w:iCs/>
        </w:rPr>
        <w:t>Oxford Development Studies</w:t>
      </w:r>
      <w:r>
        <w:t>. 37:3, 229-247.</w:t>
      </w:r>
    </w:p>
    <w:p w14:paraId="7FCCB642" w14:textId="77777777" w:rsidR="00786E64" w:rsidRDefault="00786E64" w:rsidP="00786E64">
      <w:pPr>
        <w:jc w:val="both"/>
      </w:pPr>
    </w:p>
    <w:p w14:paraId="6B78F07E" w14:textId="77777777" w:rsidR="00786E64" w:rsidRPr="009D2FAB" w:rsidRDefault="00786E64" w:rsidP="00786E64">
      <w:pPr>
        <w:jc w:val="both"/>
        <w:rPr>
          <w:rFonts w:ascii="Arial" w:hAnsi="Arial" w:cs="Arial"/>
          <w:sz w:val="18"/>
          <w:szCs w:val="18"/>
        </w:rPr>
      </w:pPr>
      <w:r>
        <w:t xml:space="preserve">Central Bank of Swaziland (2016) ‘Annual Report 2015/16’, Central Bank of Swaziland: </w:t>
      </w:r>
      <w:r w:rsidRPr="007418C1">
        <w:t xml:space="preserve">Mbabane. </w:t>
      </w:r>
    </w:p>
    <w:p w14:paraId="51179068" w14:textId="77777777" w:rsidR="00786E64" w:rsidRDefault="00786E64" w:rsidP="00786E64">
      <w:pPr>
        <w:jc w:val="both"/>
      </w:pPr>
    </w:p>
    <w:p w14:paraId="100BC744" w14:textId="77777777" w:rsidR="00786E64" w:rsidRDefault="00786E64" w:rsidP="00786E64">
      <w:pPr>
        <w:jc w:val="both"/>
      </w:pPr>
      <w:r>
        <w:t>The Commonwealth. (2021). The Commonwealth Universal Vulnerability Index: For a Global Consensus on the Definition and Measurement of Vulnerability.</w:t>
      </w:r>
    </w:p>
    <w:p w14:paraId="2EE83B3E" w14:textId="77777777" w:rsidR="00786E64" w:rsidRDefault="00786E64" w:rsidP="00786E64">
      <w:pPr>
        <w:jc w:val="both"/>
      </w:pPr>
    </w:p>
    <w:p w14:paraId="1E359490" w14:textId="77777777" w:rsidR="00786E64" w:rsidRDefault="00786E64" w:rsidP="00786E64">
      <w:pPr>
        <w:jc w:val="both"/>
        <w:rPr>
          <w:color w:val="000000"/>
        </w:rPr>
      </w:pPr>
      <w:r>
        <w:rPr>
          <w:color w:val="000000"/>
        </w:rPr>
        <w:t>Collier, P. Dollar, D. (1999). ‘Aid, Risk, and the Special Concerns of Small States’. Development Research Group, The World Bank, Washington, DC.</w:t>
      </w:r>
    </w:p>
    <w:p w14:paraId="08912664" w14:textId="77777777" w:rsidR="00786E64" w:rsidRDefault="00786E64" w:rsidP="00786E64">
      <w:pPr>
        <w:jc w:val="both"/>
        <w:rPr>
          <w:color w:val="000000"/>
        </w:rPr>
      </w:pPr>
    </w:p>
    <w:p w14:paraId="437A8825" w14:textId="77777777" w:rsidR="00786E64" w:rsidRDefault="00786E64" w:rsidP="00786E64">
      <w:pPr>
        <w:jc w:val="both"/>
      </w:pPr>
      <w:r>
        <w:rPr>
          <w:color w:val="000000"/>
        </w:rPr>
        <w:t xml:space="preserve">Collier, P. (2007). </w:t>
      </w:r>
      <w:r>
        <w:t xml:space="preserve">Africa’s Economic Growth: Opportunities and Constraints. </w:t>
      </w:r>
      <w:r>
        <w:rPr>
          <w:i/>
          <w:iCs/>
        </w:rPr>
        <w:t xml:space="preserve">African Development Review. </w:t>
      </w:r>
      <w:r>
        <w:t xml:space="preserve">19(1): 6-25. </w:t>
      </w:r>
    </w:p>
    <w:p w14:paraId="4EC5C7A9" w14:textId="77777777" w:rsidR="00786E64" w:rsidRDefault="00786E64" w:rsidP="00786E64">
      <w:pPr>
        <w:jc w:val="both"/>
      </w:pPr>
    </w:p>
    <w:p w14:paraId="14897E88" w14:textId="77777777" w:rsidR="00786E64" w:rsidRDefault="00786E64" w:rsidP="00786E64">
      <w:pPr>
        <w:spacing w:line="276" w:lineRule="auto"/>
        <w:jc w:val="both"/>
      </w:pPr>
      <w:proofErr w:type="spellStart"/>
      <w:r>
        <w:t>Domerland</w:t>
      </w:r>
      <w:proofErr w:type="spellEnd"/>
      <w:r>
        <w:t xml:space="preserve">, D. Sander, F. (2007). Growth in African Small States. </w:t>
      </w:r>
      <w:r>
        <w:rPr>
          <w:i/>
          <w:iCs/>
        </w:rPr>
        <w:t xml:space="preserve">PRMED, </w:t>
      </w:r>
      <w:r>
        <w:t>The World Bank.</w:t>
      </w:r>
    </w:p>
    <w:p w14:paraId="79C7DC9A" w14:textId="77777777" w:rsidR="00786E64" w:rsidRDefault="00786E64" w:rsidP="00786E64">
      <w:pPr>
        <w:jc w:val="both"/>
      </w:pPr>
    </w:p>
    <w:p w14:paraId="0366FECE" w14:textId="77777777" w:rsidR="00786E64" w:rsidRDefault="00786E64" w:rsidP="00786E64">
      <w:pPr>
        <w:jc w:val="both"/>
        <w:rPr>
          <w:color w:val="000000"/>
        </w:rPr>
      </w:pPr>
      <w:r>
        <w:rPr>
          <w:color w:val="000000"/>
        </w:rPr>
        <w:t xml:space="preserve">Easterly, W. Kraay, W. (2000). Small States, Small Problems? Income, Growth, and Volatility in Small States?. </w:t>
      </w:r>
      <w:r>
        <w:rPr>
          <w:i/>
          <w:color w:val="000000"/>
        </w:rPr>
        <w:t>World Development</w:t>
      </w:r>
      <w:r>
        <w:rPr>
          <w:color w:val="000000"/>
        </w:rPr>
        <w:t>. 28(11): 2013-27.</w:t>
      </w:r>
    </w:p>
    <w:p w14:paraId="2149C5E2" w14:textId="77777777" w:rsidR="00786E64" w:rsidRDefault="00786E64" w:rsidP="00786E64">
      <w:pPr>
        <w:jc w:val="both"/>
        <w:rPr>
          <w:color w:val="000000"/>
        </w:rPr>
      </w:pPr>
    </w:p>
    <w:p w14:paraId="2639268D" w14:textId="77777777" w:rsidR="00786E64" w:rsidRDefault="00786E64" w:rsidP="00786E64">
      <w:pPr>
        <w:jc w:val="both"/>
        <w:rPr>
          <w:color w:val="000000"/>
        </w:rPr>
      </w:pPr>
      <w:r>
        <w:rPr>
          <w:color w:val="000000"/>
        </w:rPr>
        <w:t>The European Investment Bank. (2020). The EIB Covid-19 Economic Vulnerability Index.</w:t>
      </w:r>
    </w:p>
    <w:p w14:paraId="5717233C" w14:textId="77777777" w:rsidR="00786E64" w:rsidRDefault="00786E64" w:rsidP="00786E64">
      <w:pPr>
        <w:jc w:val="both"/>
      </w:pPr>
    </w:p>
    <w:p w14:paraId="2DAFAC16" w14:textId="77777777" w:rsidR="00786E64" w:rsidRDefault="00786E64" w:rsidP="00786E64">
      <w:pPr>
        <w:jc w:val="both"/>
        <w:rPr>
          <w:rFonts w:cstheme="minorHAnsi"/>
          <w:shd w:val="clear" w:color="auto" w:fill="FFFFFF"/>
        </w:rPr>
      </w:pPr>
      <w:r>
        <w:rPr>
          <w:color w:val="000000"/>
        </w:rPr>
        <w:t xml:space="preserve">Favaro, E. (2008). </w:t>
      </w:r>
      <w:r w:rsidRPr="00CD3F97">
        <w:rPr>
          <w:iCs/>
          <w:color w:val="000000"/>
        </w:rPr>
        <w:t>Small States Smart Solutions</w:t>
      </w:r>
      <w:r>
        <w:rPr>
          <w:iCs/>
          <w:color w:val="000000"/>
        </w:rPr>
        <w:t xml:space="preserve">: </w:t>
      </w:r>
      <w:r>
        <w:rPr>
          <w:shd w:val="clear" w:color="auto" w:fill="FAFAFA"/>
        </w:rPr>
        <w:t xml:space="preserve">Improving Connectivity and Increasing the Effectiveness of Public Services. </w:t>
      </w:r>
      <w:r w:rsidRPr="00CD3F97">
        <w:rPr>
          <w:rFonts w:cstheme="minorHAnsi"/>
        </w:rPr>
        <w:t>World Bank Publications - Books</w:t>
      </w:r>
      <w:r w:rsidRPr="007D0852">
        <w:rPr>
          <w:rFonts w:cstheme="minorHAnsi"/>
          <w:shd w:val="clear" w:color="auto" w:fill="FFFFFF"/>
        </w:rPr>
        <w:t>, The World Bank Group, number 6416.</w:t>
      </w:r>
    </w:p>
    <w:p w14:paraId="47698210" w14:textId="77777777" w:rsidR="00786E64" w:rsidRDefault="00786E64" w:rsidP="00786E64">
      <w:pPr>
        <w:jc w:val="both"/>
        <w:rPr>
          <w:rFonts w:cstheme="minorHAnsi"/>
          <w:shd w:val="clear" w:color="auto" w:fill="FFFFFF"/>
        </w:rPr>
      </w:pPr>
    </w:p>
    <w:p w14:paraId="35AF70E3" w14:textId="77777777" w:rsidR="00786E64" w:rsidRDefault="00786E64" w:rsidP="00786E64">
      <w:pPr>
        <w:jc w:val="both"/>
        <w:rPr>
          <w:rFonts w:cstheme="minorHAnsi"/>
          <w:shd w:val="clear" w:color="auto" w:fill="FFFFFF"/>
        </w:rPr>
      </w:pPr>
      <w:r>
        <w:rPr>
          <w:rFonts w:cstheme="minorHAnsi"/>
          <w:shd w:val="clear" w:color="auto" w:fill="FFFFFF"/>
        </w:rPr>
        <w:t xml:space="preserve">The Global Fund. (2023). </w:t>
      </w:r>
      <w:r>
        <w:t xml:space="preserve">Description of the 2023-2025 Allocation Methodology Date published: 18 January 2023. [accessed December 2023: </w:t>
      </w:r>
      <w:hyperlink r:id="rId15" w:history="1">
        <w:r w:rsidRPr="005A50E7">
          <w:rPr>
            <w:rStyle w:val="Hyperlink"/>
          </w:rPr>
          <w:t>https://www.theglobalfund.org/media/12675/fundingmodel_2023-2025-allocations_methodology_en.pdf</w:t>
        </w:r>
      </w:hyperlink>
      <w:r>
        <w:t xml:space="preserve">] </w:t>
      </w:r>
    </w:p>
    <w:p w14:paraId="268A7C79" w14:textId="77777777" w:rsidR="00786E64" w:rsidRDefault="00786E64" w:rsidP="00786E64">
      <w:pPr>
        <w:jc w:val="both"/>
        <w:rPr>
          <w:rFonts w:cstheme="minorHAnsi"/>
          <w:shd w:val="clear" w:color="auto" w:fill="FFFFFF"/>
        </w:rPr>
      </w:pPr>
    </w:p>
    <w:p w14:paraId="29D5F6CA" w14:textId="77777777" w:rsidR="00786E64" w:rsidRDefault="00786E64" w:rsidP="00786E64">
      <w:pPr>
        <w:jc w:val="both"/>
        <w:rPr>
          <w:i/>
          <w:iCs/>
        </w:rPr>
      </w:pPr>
      <w:r>
        <w:rPr>
          <w:rFonts w:cstheme="minorHAnsi"/>
          <w:shd w:val="clear" w:color="auto" w:fill="FFFFFF"/>
        </w:rPr>
        <w:t xml:space="preserve">Gooding, K. Bertone, M. </w:t>
      </w:r>
      <w:proofErr w:type="spellStart"/>
      <w:r>
        <w:rPr>
          <w:rFonts w:cstheme="minorHAnsi"/>
          <w:shd w:val="clear" w:color="auto" w:fill="FFFFFF"/>
        </w:rPr>
        <w:t>Loffreda</w:t>
      </w:r>
      <w:proofErr w:type="spellEnd"/>
      <w:r>
        <w:rPr>
          <w:rFonts w:cstheme="minorHAnsi"/>
          <w:shd w:val="clear" w:color="auto" w:fill="FFFFFF"/>
        </w:rPr>
        <w:t xml:space="preserve">, G. Witter, S. (2022). </w:t>
      </w:r>
      <w:r>
        <w:t xml:space="preserve">Strengthening coordination for shock preparedness and response: lessons for health system resilience. </w:t>
      </w:r>
      <w:proofErr w:type="spellStart"/>
      <w:r>
        <w:t>ReBUILD</w:t>
      </w:r>
      <w:proofErr w:type="spellEnd"/>
      <w:r>
        <w:t xml:space="preserve"> for Resilience. </w:t>
      </w:r>
      <w:r>
        <w:rPr>
          <w:i/>
          <w:iCs/>
        </w:rPr>
        <w:t>Working Paper.</w:t>
      </w:r>
    </w:p>
    <w:p w14:paraId="10696C24" w14:textId="77777777" w:rsidR="00786E64" w:rsidRDefault="00786E64" w:rsidP="00786E64">
      <w:pPr>
        <w:jc w:val="both"/>
        <w:rPr>
          <w:i/>
          <w:iCs/>
        </w:rPr>
      </w:pPr>
    </w:p>
    <w:p w14:paraId="376662DE" w14:textId="77777777" w:rsidR="00786E64" w:rsidRPr="005367E4" w:rsidRDefault="00786E64" w:rsidP="00786E64">
      <w:pPr>
        <w:jc w:val="both"/>
        <w:rPr>
          <w:rFonts w:cs="Times New Roman"/>
        </w:rPr>
      </w:pPr>
      <w:r>
        <w:t xml:space="preserve">Gilson, L. Barasa, E. Nxumalo, N. </w:t>
      </w:r>
      <w:r w:rsidRPr="005367E4">
        <w:rPr>
          <w:rFonts w:ascii="HelveticaLTStd" w:hAnsi="HelveticaLTStd"/>
        </w:rPr>
        <w:t>et al</w:t>
      </w:r>
      <w:r>
        <w:t xml:space="preserve">. (2017). Everyday resilience in district health systems: emerging insights from the front lines in Kenya and South Africa. </w:t>
      </w:r>
      <w:r w:rsidRPr="005367E4">
        <w:rPr>
          <w:i/>
          <w:iCs/>
        </w:rPr>
        <w:t>BMJ Global Health.</w:t>
      </w:r>
    </w:p>
    <w:p w14:paraId="6DEBA48E" w14:textId="77777777" w:rsidR="00786E64" w:rsidRDefault="00786E64" w:rsidP="00786E64">
      <w:pPr>
        <w:jc w:val="both"/>
      </w:pPr>
    </w:p>
    <w:p w14:paraId="0414C77D" w14:textId="77777777" w:rsidR="00786E64" w:rsidRPr="003B4184" w:rsidRDefault="00786E64" w:rsidP="00786E64">
      <w:pPr>
        <w:jc w:val="both"/>
      </w:pPr>
      <w:proofErr w:type="spellStart"/>
      <w:r>
        <w:t>Guillaumont</w:t>
      </w:r>
      <w:proofErr w:type="spellEnd"/>
      <w:r>
        <w:t xml:space="preserve">, P. (2008). An Economic Vulnerability Index: Its Design and Use for International Development Policy. </w:t>
      </w:r>
      <w:r>
        <w:rPr>
          <w:i/>
          <w:iCs/>
        </w:rPr>
        <w:t xml:space="preserve">WIDER Working Paper Series. </w:t>
      </w:r>
    </w:p>
    <w:p w14:paraId="2C35A91A" w14:textId="77777777" w:rsidR="00786E64" w:rsidRDefault="00786E64" w:rsidP="00786E64">
      <w:pPr>
        <w:jc w:val="both"/>
      </w:pPr>
    </w:p>
    <w:p w14:paraId="21A5281C" w14:textId="77777777" w:rsidR="00786E64" w:rsidRDefault="00786E64" w:rsidP="00786E64">
      <w:pPr>
        <w:jc w:val="both"/>
      </w:pPr>
      <w:r>
        <w:t>The European Central Bank. (2020). The EIB COVID-19 Economic Vulnerability Index – An analysis of countries outside the European Union.</w:t>
      </w:r>
    </w:p>
    <w:p w14:paraId="58006F98" w14:textId="77777777" w:rsidR="00786E64" w:rsidRDefault="00786E64" w:rsidP="00786E64">
      <w:pPr>
        <w:jc w:val="both"/>
      </w:pPr>
    </w:p>
    <w:p w14:paraId="23C6079E" w14:textId="77777777" w:rsidR="00786E64" w:rsidRDefault="00786E64" w:rsidP="00786E64">
      <w:pPr>
        <w:jc w:val="both"/>
      </w:pPr>
      <w:r>
        <w:lastRenderedPageBreak/>
        <w:t xml:space="preserve">Hanefeld, J. Mayhew, S. </w:t>
      </w:r>
      <w:proofErr w:type="spellStart"/>
      <w:r>
        <w:t>Legido</w:t>
      </w:r>
      <w:proofErr w:type="spellEnd"/>
      <w:r>
        <w:t xml:space="preserve">-Quigley, H. et al. (2018). Towards an understanding of resilience: responding to health systems shocks. </w:t>
      </w:r>
      <w:r>
        <w:rPr>
          <w:i/>
          <w:iCs/>
        </w:rPr>
        <w:t xml:space="preserve">Health Policy and Planning. </w:t>
      </w:r>
    </w:p>
    <w:p w14:paraId="7F1EF35D" w14:textId="77777777" w:rsidR="00786E64" w:rsidRDefault="00786E64" w:rsidP="00786E64">
      <w:pPr>
        <w:jc w:val="both"/>
      </w:pPr>
    </w:p>
    <w:p w14:paraId="616B351D" w14:textId="77777777" w:rsidR="00786E64" w:rsidRDefault="00786E64" w:rsidP="00786E64">
      <w:pPr>
        <w:jc w:val="both"/>
      </w:pPr>
      <w:r>
        <w:t xml:space="preserve">Hausmann, R. (2001). Prisoners of Geography. </w:t>
      </w:r>
      <w:r>
        <w:rPr>
          <w:i/>
          <w:iCs/>
        </w:rPr>
        <w:t xml:space="preserve">Foreign Policy. </w:t>
      </w:r>
      <w:r>
        <w:t>122. 44-53.</w:t>
      </w:r>
    </w:p>
    <w:p w14:paraId="68E17CD0" w14:textId="77777777" w:rsidR="00786E64" w:rsidRDefault="00786E64" w:rsidP="00786E64">
      <w:pPr>
        <w:jc w:val="both"/>
      </w:pPr>
    </w:p>
    <w:p w14:paraId="2D7E2B41" w14:textId="77777777" w:rsidR="00786E64" w:rsidRDefault="00786E64" w:rsidP="00786E64">
      <w:pPr>
        <w:jc w:val="both"/>
      </w:pPr>
      <w:proofErr w:type="spellStart"/>
      <w:r>
        <w:t>Horscroft</w:t>
      </w:r>
      <w:proofErr w:type="spellEnd"/>
      <w:r>
        <w:t xml:space="preserve">, V. Small Economies and Special and Differential Treatment: Strengthening the Evidence, Countering the Fallacies. In Commonwealth Small States: Issue and Prospects. By Kisanga and </w:t>
      </w:r>
      <w:proofErr w:type="spellStart"/>
      <w:r>
        <w:t>Danchie</w:t>
      </w:r>
      <w:proofErr w:type="spellEnd"/>
      <w:r>
        <w:t>. Commonwealth Secretariat. 2007.</w:t>
      </w:r>
    </w:p>
    <w:p w14:paraId="5C4E2179" w14:textId="77777777" w:rsidR="00786E64" w:rsidRDefault="00786E64" w:rsidP="00786E64">
      <w:pPr>
        <w:jc w:val="both"/>
      </w:pPr>
    </w:p>
    <w:p w14:paraId="3C66F606" w14:textId="77777777" w:rsidR="00786E64" w:rsidRDefault="00786E64" w:rsidP="00786E64">
      <w:pPr>
        <w:jc w:val="both"/>
      </w:pPr>
      <w:r>
        <w:t>International Monetary Fund. (2016). Small States' Resilience to Natural Disasters and Climate Change - Role for the IMF.</w:t>
      </w:r>
    </w:p>
    <w:p w14:paraId="11010FE1" w14:textId="77777777" w:rsidR="006260F5" w:rsidRDefault="006260F5" w:rsidP="00786E64">
      <w:pPr>
        <w:jc w:val="both"/>
      </w:pPr>
    </w:p>
    <w:p w14:paraId="29B5EF8F" w14:textId="789D4AFE" w:rsidR="006260F5" w:rsidRDefault="006260F5" w:rsidP="00786E64">
      <w:pPr>
        <w:jc w:val="both"/>
      </w:pPr>
      <w:r>
        <w:t>International Monetary Fund. (2022). The IMF Framework for Engagement with Small States.</w:t>
      </w:r>
    </w:p>
    <w:p w14:paraId="368295AD" w14:textId="77777777" w:rsidR="006260F5" w:rsidRDefault="006260F5" w:rsidP="00786E64">
      <w:pPr>
        <w:jc w:val="both"/>
      </w:pPr>
    </w:p>
    <w:p w14:paraId="74633317" w14:textId="77777777" w:rsidR="00786E64" w:rsidRPr="003E18DD" w:rsidRDefault="00786E64" w:rsidP="00786E64">
      <w:pPr>
        <w:jc w:val="both"/>
        <w:rPr>
          <w:lang w:val="en-US"/>
        </w:rPr>
      </w:pPr>
      <w:proofErr w:type="spellStart"/>
      <w:r>
        <w:t>Karamagi</w:t>
      </w:r>
      <w:proofErr w:type="spellEnd"/>
      <w:r>
        <w:t xml:space="preserve"> HC, Titi-</w:t>
      </w:r>
      <w:proofErr w:type="spellStart"/>
      <w:r>
        <w:t>Ofei</w:t>
      </w:r>
      <w:proofErr w:type="spellEnd"/>
      <w:r>
        <w:t xml:space="preserve"> R, Kipruto HK, Seydi AB-W, </w:t>
      </w:r>
      <w:proofErr w:type="spellStart"/>
      <w:r>
        <w:t>Droti</w:t>
      </w:r>
      <w:proofErr w:type="spellEnd"/>
      <w:r>
        <w:t xml:space="preserve"> B, </w:t>
      </w:r>
      <w:proofErr w:type="spellStart"/>
      <w:r>
        <w:t>Talisuna</w:t>
      </w:r>
      <w:proofErr w:type="spellEnd"/>
      <w:r>
        <w:t xml:space="preserve"> A, et al. (2022) On the resilience of health systems: A methodological exploration across countries in the WHO African Region. </w:t>
      </w:r>
      <w:proofErr w:type="spellStart"/>
      <w:r w:rsidRPr="003E18DD">
        <w:rPr>
          <w:i/>
          <w:iCs/>
          <w:lang w:val="en-US"/>
        </w:rPr>
        <w:t>PLoS</w:t>
      </w:r>
      <w:proofErr w:type="spellEnd"/>
      <w:r w:rsidRPr="003E18DD">
        <w:rPr>
          <w:i/>
          <w:iCs/>
          <w:lang w:val="en-US"/>
        </w:rPr>
        <w:t xml:space="preserve"> ONE</w:t>
      </w:r>
      <w:r w:rsidRPr="003E18DD">
        <w:rPr>
          <w:lang w:val="en-US"/>
        </w:rPr>
        <w:t>. 17(2): e0261904.</w:t>
      </w:r>
    </w:p>
    <w:p w14:paraId="1CABE016" w14:textId="77777777" w:rsidR="00786E64" w:rsidRPr="003E18DD" w:rsidRDefault="00786E64" w:rsidP="00786E64">
      <w:pPr>
        <w:jc w:val="both"/>
        <w:rPr>
          <w:lang w:val="en-US"/>
        </w:rPr>
      </w:pPr>
    </w:p>
    <w:p w14:paraId="08C060AC" w14:textId="77777777" w:rsidR="00786E64" w:rsidRDefault="00786E64" w:rsidP="00786E64">
      <w:pPr>
        <w:jc w:val="both"/>
      </w:pPr>
      <w:proofErr w:type="spellStart"/>
      <w:r w:rsidRPr="003E18DD">
        <w:rPr>
          <w:lang w:val="fr-BE"/>
        </w:rPr>
        <w:t>Kassim</w:t>
      </w:r>
      <w:proofErr w:type="spellEnd"/>
      <w:r w:rsidRPr="003E18DD">
        <w:rPr>
          <w:lang w:val="fr-BE"/>
        </w:rPr>
        <w:t xml:space="preserve">, S. </w:t>
      </w:r>
      <w:proofErr w:type="spellStart"/>
      <w:r w:rsidRPr="003E18DD">
        <w:rPr>
          <w:lang w:val="fr-BE"/>
        </w:rPr>
        <w:t>Alolga</w:t>
      </w:r>
      <w:proofErr w:type="spellEnd"/>
      <w:r w:rsidRPr="003E18DD">
        <w:rPr>
          <w:lang w:val="fr-BE"/>
        </w:rPr>
        <w:t xml:space="preserve">, R. </w:t>
      </w:r>
      <w:proofErr w:type="spellStart"/>
      <w:r w:rsidRPr="003E18DD">
        <w:rPr>
          <w:lang w:val="fr-BE"/>
        </w:rPr>
        <w:t>Assanhou</w:t>
      </w:r>
      <w:proofErr w:type="spellEnd"/>
      <w:r w:rsidRPr="003E18DD">
        <w:rPr>
          <w:lang w:val="fr-BE"/>
        </w:rPr>
        <w:t xml:space="preserve">, A. et al. </w:t>
      </w:r>
      <w:r>
        <w:t xml:space="preserve">(2015). Medicine pricing: Impact on accessibility and affordability of medicines vis a vis the product origin as pharmaco-economic drivers in Comoros. </w:t>
      </w:r>
      <w:r>
        <w:rPr>
          <w:i/>
          <w:iCs/>
        </w:rPr>
        <w:t>Journal of public health and epidemiology</w:t>
      </w:r>
      <w:r>
        <w:t xml:space="preserve">. 7. </w:t>
      </w:r>
    </w:p>
    <w:p w14:paraId="57494E32" w14:textId="77777777" w:rsidR="00786E64" w:rsidRDefault="00786E64" w:rsidP="00786E64">
      <w:pPr>
        <w:jc w:val="both"/>
      </w:pPr>
    </w:p>
    <w:p w14:paraId="3249B858" w14:textId="77777777" w:rsidR="00786E64" w:rsidRPr="00396D9D" w:rsidRDefault="00786E64" w:rsidP="00786E64">
      <w:pPr>
        <w:jc w:val="both"/>
      </w:pPr>
      <w:r>
        <w:t xml:space="preserve">Kieny, M-P. Evans, D. </w:t>
      </w:r>
      <w:proofErr w:type="spellStart"/>
      <w:r>
        <w:t>Schmets</w:t>
      </w:r>
      <w:proofErr w:type="spellEnd"/>
      <w:r>
        <w:t xml:space="preserve">, G. </w:t>
      </w:r>
      <w:proofErr w:type="spellStart"/>
      <w:r>
        <w:t>Kadandale</w:t>
      </w:r>
      <w:proofErr w:type="spellEnd"/>
      <w:r>
        <w:t xml:space="preserve">, S. (2014). Health-system resilience: reflections on the Ebola crisis in western Africa. </w:t>
      </w:r>
      <w:r>
        <w:rPr>
          <w:i/>
          <w:iCs/>
        </w:rPr>
        <w:t xml:space="preserve">Bulletin of the World Health Organisations. </w:t>
      </w:r>
    </w:p>
    <w:p w14:paraId="5131DC30" w14:textId="77777777" w:rsidR="00786E64" w:rsidRDefault="00786E64" w:rsidP="00786E64">
      <w:pPr>
        <w:jc w:val="both"/>
      </w:pPr>
    </w:p>
    <w:p w14:paraId="00D8FD93" w14:textId="77777777" w:rsidR="00786E64" w:rsidRDefault="00786E64" w:rsidP="00786E64">
      <w:pPr>
        <w:jc w:val="both"/>
      </w:pPr>
      <w:r>
        <w:t xml:space="preserve">Kluge, H., Martin-Moreno, J.M., </w:t>
      </w:r>
      <w:proofErr w:type="spellStart"/>
      <w:r>
        <w:t>Emiroglu</w:t>
      </w:r>
      <w:proofErr w:type="spellEnd"/>
      <w:r>
        <w:t xml:space="preserve">, N., Rodier, G., Kelley, E., </w:t>
      </w:r>
      <w:proofErr w:type="spellStart"/>
      <w:r>
        <w:t>Vujnovic</w:t>
      </w:r>
      <w:proofErr w:type="spellEnd"/>
      <w:r>
        <w:t xml:space="preserve">, M., et al. (2018). Strengthening global health security by embedding the International Health Regulations requirements into national health systems. </w:t>
      </w:r>
      <w:r w:rsidRPr="00180E4A">
        <w:rPr>
          <w:i/>
          <w:iCs/>
        </w:rPr>
        <w:t>BMJ Global Health</w:t>
      </w:r>
      <w:r>
        <w:t xml:space="preserve">. 3, e000656. </w:t>
      </w:r>
    </w:p>
    <w:p w14:paraId="1F84A59B" w14:textId="77777777" w:rsidR="00786E64" w:rsidRDefault="00786E64" w:rsidP="00786E64"/>
    <w:p w14:paraId="3ED1DD70" w14:textId="77777777" w:rsidR="00786E64" w:rsidRDefault="00786E64" w:rsidP="00786E64">
      <w:r>
        <w:t xml:space="preserve">Kruk, M. Myers, M. </w:t>
      </w:r>
      <w:proofErr w:type="spellStart"/>
      <w:r>
        <w:t>Varpilah</w:t>
      </w:r>
      <w:proofErr w:type="spellEnd"/>
      <w:r>
        <w:t>, T. Dahn, B. (2015).</w:t>
      </w:r>
      <w:r w:rsidRPr="00FA6122">
        <w:t xml:space="preserve"> </w:t>
      </w:r>
      <w:r>
        <w:t xml:space="preserve">What is a resilient health system? Lessons from Ebola. </w:t>
      </w:r>
      <w:r>
        <w:rPr>
          <w:i/>
          <w:iCs/>
        </w:rPr>
        <w:t xml:space="preserve">Lancet. </w:t>
      </w:r>
      <w:r>
        <w:t>385. 1910-1912.</w:t>
      </w:r>
    </w:p>
    <w:p w14:paraId="75DAE806" w14:textId="77777777" w:rsidR="00786E64" w:rsidRDefault="00786E64" w:rsidP="00786E64">
      <w:pPr>
        <w:jc w:val="both"/>
        <w:rPr>
          <w:color w:val="000000"/>
        </w:rPr>
      </w:pPr>
    </w:p>
    <w:p w14:paraId="6A043739" w14:textId="77777777" w:rsidR="00786E64" w:rsidRPr="00043171" w:rsidRDefault="00786E64" w:rsidP="00786E64">
      <w:pPr>
        <w:jc w:val="both"/>
      </w:pPr>
      <w:r w:rsidRPr="003E18DD">
        <w:rPr>
          <w:lang w:val="fr-BE"/>
        </w:rPr>
        <w:t xml:space="preserve">Lal, A. </w:t>
      </w:r>
      <w:proofErr w:type="spellStart"/>
      <w:r w:rsidRPr="003E18DD">
        <w:rPr>
          <w:lang w:val="fr-BE"/>
        </w:rPr>
        <w:t>Erondu</w:t>
      </w:r>
      <w:proofErr w:type="spellEnd"/>
      <w:r w:rsidRPr="003E18DD">
        <w:rPr>
          <w:lang w:val="fr-BE"/>
        </w:rPr>
        <w:t xml:space="preserve">, N. Heymann, D. </w:t>
      </w:r>
      <w:proofErr w:type="spellStart"/>
      <w:r w:rsidRPr="003E18DD">
        <w:rPr>
          <w:lang w:val="fr-BE"/>
        </w:rPr>
        <w:t>Gitahi</w:t>
      </w:r>
      <w:proofErr w:type="spellEnd"/>
      <w:r w:rsidRPr="003E18DD">
        <w:rPr>
          <w:lang w:val="fr-BE"/>
        </w:rPr>
        <w:t xml:space="preserve">, G. Yates, R. (2021). </w:t>
      </w:r>
      <w:r>
        <w:t xml:space="preserve">Fragmented health systems in COVID-19: rectifying the misalignment between global health security and universal health coverage’. </w:t>
      </w:r>
      <w:r w:rsidRPr="00043171">
        <w:rPr>
          <w:i/>
          <w:iCs/>
        </w:rPr>
        <w:t>Lancet</w:t>
      </w:r>
      <w:r>
        <w:rPr>
          <w:i/>
          <w:iCs/>
        </w:rPr>
        <w:t>.</w:t>
      </w:r>
      <w:r w:rsidRPr="00043171">
        <w:rPr>
          <w:i/>
          <w:iCs/>
        </w:rPr>
        <w:t xml:space="preserve"> </w:t>
      </w:r>
      <w:r>
        <w:t>397(10268),pp. P61–67.</w:t>
      </w:r>
    </w:p>
    <w:p w14:paraId="3EC76817" w14:textId="77777777" w:rsidR="00786E64" w:rsidRDefault="00786E64" w:rsidP="00786E64">
      <w:pPr>
        <w:jc w:val="both"/>
        <w:rPr>
          <w:color w:val="000000"/>
        </w:rPr>
      </w:pPr>
    </w:p>
    <w:p w14:paraId="02F100CB" w14:textId="77777777" w:rsidR="00786E64" w:rsidRDefault="00786E64" w:rsidP="00786E64">
      <w:pPr>
        <w:jc w:val="both"/>
      </w:pPr>
      <w:r>
        <w:rPr>
          <w:color w:val="000000"/>
        </w:rPr>
        <w:t xml:space="preserve">Magagula, S. (2017). </w:t>
      </w:r>
      <w:r>
        <w:t>A case study of the Swaziland Essential Health Care Package. EQUINET Discussion Paper 112.</w:t>
      </w:r>
    </w:p>
    <w:p w14:paraId="3A6973B5" w14:textId="77777777" w:rsidR="00B86134" w:rsidRDefault="00B86134" w:rsidP="00786E64">
      <w:pPr>
        <w:jc w:val="both"/>
      </w:pPr>
    </w:p>
    <w:p w14:paraId="1D91EA65" w14:textId="197B7179" w:rsidR="00B86134" w:rsidRPr="00B86134" w:rsidRDefault="00B86134" w:rsidP="003E18DD">
      <w:pPr>
        <w:jc w:val="both"/>
      </w:pPr>
      <w:proofErr w:type="spellStart"/>
      <w:r w:rsidRPr="00B86134">
        <w:t>Mackenbach</w:t>
      </w:r>
      <w:proofErr w:type="spellEnd"/>
      <w:r w:rsidRPr="00B86134">
        <w:t xml:space="preserve"> JP, Hoffmann R, Khoshaba B, et al.</w:t>
      </w:r>
      <w:r>
        <w:t xml:space="preserve"> (2013).</w:t>
      </w:r>
      <w:r w:rsidRPr="00B86134">
        <w:t xml:space="preserve"> Using ‘amenable mortality’ as indicator of healthcare effectiveness in international comparisons: results of a validation study. </w:t>
      </w:r>
      <w:r w:rsidRPr="003E18DD">
        <w:rPr>
          <w:i/>
          <w:iCs/>
        </w:rPr>
        <w:t>Journal of Epidemiological Community Health</w:t>
      </w:r>
      <w:r>
        <w:t>.</w:t>
      </w:r>
      <w:r w:rsidRPr="00B86134">
        <w:t xml:space="preserve"> 67: 139–46.</w:t>
      </w:r>
    </w:p>
    <w:p w14:paraId="67A8430C" w14:textId="77777777" w:rsidR="00B86134" w:rsidRDefault="00B86134" w:rsidP="00786E64">
      <w:pPr>
        <w:jc w:val="both"/>
        <w:rPr>
          <w:color w:val="000000"/>
        </w:rPr>
      </w:pPr>
    </w:p>
    <w:p w14:paraId="72B81554" w14:textId="77777777" w:rsidR="00786E64" w:rsidRDefault="00786E64" w:rsidP="00786E64">
      <w:pPr>
        <w:jc w:val="both"/>
        <w:rPr>
          <w:color w:val="000000"/>
        </w:rPr>
      </w:pPr>
    </w:p>
    <w:p w14:paraId="1B173074" w14:textId="77777777" w:rsidR="00786E64" w:rsidRDefault="00786E64" w:rsidP="00786E64">
      <w:pPr>
        <w:jc w:val="both"/>
        <w:rPr>
          <w:i/>
        </w:rPr>
      </w:pPr>
      <w:r>
        <w:rPr>
          <w:color w:val="000000"/>
        </w:rPr>
        <w:lastRenderedPageBreak/>
        <w:t xml:space="preserve">McGuire, A. Wharton, G. Besley, S. </w:t>
      </w:r>
      <w:proofErr w:type="spellStart"/>
      <w:r>
        <w:rPr>
          <w:color w:val="000000"/>
        </w:rPr>
        <w:t>Kourouklis</w:t>
      </w:r>
      <w:proofErr w:type="spellEnd"/>
      <w:r>
        <w:rPr>
          <w:color w:val="000000"/>
        </w:rPr>
        <w:t xml:space="preserve">, D. Jofre-Bonet, M. (2022). </w:t>
      </w:r>
      <w:r>
        <w:t xml:space="preserve">Healthcare Sustainability and Resilience Index: Quantifying sustainable and resilient healthcare systems. </w:t>
      </w:r>
      <w:r>
        <w:rPr>
          <w:i/>
        </w:rPr>
        <w:t>LSE Working Paper.</w:t>
      </w:r>
    </w:p>
    <w:p w14:paraId="63AAA2FD" w14:textId="77777777" w:rsidR="00786E64" w:rsidRDefault="00786E64" w:rsidP="00786E64">
      <w:pPr>
        <w:jc w:val="both"/>
        <w:rPr>
          <w:i/>
        </w:rPr>
      </w:pPr>
    </w:p>
    <w:p w14:paraId="243B9D60" w14:textId="77777777" w:rsidR="00786E64" w:rsidRDefault="00786E64" w:rsidP="00786E64">
      <w:pPr>
        <w:jc w:val="both"/>
        <w:rPr>
          <w:iCs/>
        </w:rPr>
      </w:pPr>
      <w:r>
        <w:rPr>
          <w:iCs/>
        </w:rPr>
        <w:t xml:space="preserve">McGuire, F. Mohan, S. Rao, M. </w:t>
      </w:r>
      <w:proofErr w:type="spellStart"/>
      <w:r>
        <w:rPr>
          <w:iCs/>
        </w:rPr>
        <w:t>Nabyonga</w:t>
      </w:r>
      <w:proofErr w:type="spellEnd"/>
      <w:r>
        <w:rPr>
          <w:iCs/>
        </w:rPr>
        <w:t xml:space="preserve">-Orem, J. </w:t>
      </w:r>
      <w:proofErr w:type="spellStart"/>
      <w:r>
        <w:rPr>
          <w:iCs/>
        </w:rPr>
        <w:t>Nundoochan</w:t>
      </w:r>
      <w:proofErr w:type="spellEnd"/>
      <w:r>
        <w:rPr>
          <w:iCs/>
        </w:rPr>
        <w:t xml:space="preserve">, A. </w:t>
      </w:r>
      <w:proofErr w:type="spellStart"/>
      <w:r>
        <w:rPr>
          <w:iCs/>
        </w:rPr>
        <w:t>Kataika</w:t>
      </w:r>
      <w:proofErr w:type="spellEnd"/>
      <w:r>
        <w:rPr>
          <w:iCs/>
        </w:rPr>
        <w:t>, E. Drummond, M. Bland, S. Revill, P. (</w:t>
      </w:r>
      <w:r w:rsidRPr="00143259">
        <w:rPr>
          <w:i/>
        </w:rPr>
        <w:t>Submitted</w:t>
      </w:r>
      <w:r>
        <w:rPr>
          <w:iCs/>
        </w:rPr>
        <w:t xml:space="preserve">). </w:t>
      </w:r>
      <w:r w:rsidRPr="000B3891">
        <w:rPr>
          <w:iCs/>
        </w:rPr>
        <w:t>Health</w:t>
      </w:r>
      <w:r>
        <w:t xml:space="preserve"> </w:t>
      </w:r>
      <w:r w:rsidRPr="00FE5755">
        <w:t>Financing</w:t>
      </w:r>
      <w:r>
        <w:t xml:space="preserve"> and Systems in</w:t>
      </w:r>
      <w:r w:rsidRPr="00FE5755">
        <w:t xml:space="preserve"> African Small and Island States: </w:t>
      </w:r>
      <w:r>
        <w:t xml:space="preserve">Unique </w:t>
      </w:r>
      <w:r w:rsidRPr="00FE5755">
        <w:t>Challenges and Opportunities</w:t>
      </w:r>
      <w:r>
        <w:t xml:space="preserve"> in achieving Universal Health Coverage.</w:t>
      </w:r>
    </w:p>
    <w:p w14:paraId="1E114112" w14:textId="77777777" w:rsidR="00786E64" w:rsidRPr="000B3891" w:rsidRDefault="00786E64" w:rsidP="00786E64">
      <w:pPr>
        <w:jc w:val="both"/>
        <w:rPr>
          <w:iCs/>
        </w:rPr>
      </w:pPr>
    </w:p>
    <w:p w14:paraId="16FA172C" w14:textId="77777777" w:rsidR="00786E64" w:rsidRDefault="00786E64" w:rsidP="00786E64">
      <w:pPr>
        <w:jc w:val="both"/>
        <w:rPr>
          <w:i/>
          <w:iCs/>
        </w:rPr>
      </w:pPr>
      <w:proofErr w:type="spellStart"/>
      <w:r>
        <w:rPr>
          <w:color w:val="000000"/>
        </w:rPr>
        <w:t>Meessen</w:t>
      </w:r>
      <w:proofErr w:type="spellEnd"/>
      <w:r>
        <w:rPr>
          <w:color w:val="000000"/>
        </w:rPr>
        <w:t xml:space="preserve">, B. Ancia, A. Gill, D. </w:t>
      </w:r>
      <w:proofErr w:type="spellStart"/>
      <w:r>
        <w:rPr>
          <w:color w:val="000000"/>
        </w:rPr>
        <w:t>LaFoucade</w:t>
      </w:r>
      <w:proofErr w:type="spellEnd"/>
      <w:r>
        <w:rPr>
          <w:color w:val="000000"/>
        </w:rPr>
        <w:t xml:space="preserve">, A. </w:t>
      </w:r>
      <w:proofErr w:type="spellStart"/>
      <w:r>
        <w:rPr>
          <w:color w:val="000000"/>
        </w:rPr>
        <w:t>Lalta</w:t>
      </w:r>
      <w:proofErr w:type="spellEnd"/>
      <w:r>
        <w:rPr>
          <w:color w:val="000000"/>
        </w:rPr>
        <w:t xml:space="preserve">, S. Sandoval, G. Waqa, G. (2024). </w:t>
      </w:r>
      <w:r>
        <w:t xml:space="preserve">When one size does not fit all: Aid and health system strengthening for small island developing states. </w:t>
      </w:r>
      <w:r>
        <w:rPr>
          <w:i/>
          <w:iCs/>
        </w:rPr>
        <w:t>Health Policy and Planning.</w:t>
      </w:r>
    </w:p>
    <w:p w14:paraId="1357BF57" w14:textId="77777777" w:rsidR="00786E64" w:rsidRDefault="00786E64" w:rsidP="00786E64">
      <w:pPr>
        <w:jc w:val="both"/>
        <w:rPr>
          <w:i/>
          <w:iCs/>
        </w:rPr>
      </w:pPr>
    </w:p>
    <w:p w14:paraId="2854239B" w14:textId="77777777" w:rsidR="00786E64" w:rsidRPr="00F7273D" w:rsidRDefault="00786E64" w:rsidP="00786E64">
      <w:pPr>
        <w:jc w:val="both"/>
      </w:pPr>
      <w:proofErr w:type="spellStart"/>
      <w:r>
        <w:t>Mboussou</w:t>
      </w:r>
      <w:proofErr w:type="spellEnd"/>
      <w:r>
        <w:t xml:space="preserve">, F. </w:t>
      </w:r>
      <w:proofErr w:type="spellStart"/>
      <w:r>
        <w:t>Ndumbi</w:t>
      </w:r>
      <w:proofErr w:type="spellEnd"/>
      <w:r>
        <w:t xml:space="preserve">, P. Ngom, R. (2019). Infectious disease outbreaks in the African region: overview of events reported to the World Health organization in 2018. </w:t>
      </w:r>
      <w:r>
        <w:rPr>
          <w:i/>
        </w:rPr>
        <w:t>Epidemiology &amp; Infect</w:t>
      </w:r>
      <w:r>
        <w:t>ion</w:t>
      </w:r>
      <w:r>
        <w:rPr>
          <w:i/>
        </w:rPr>
        <w:t>.</w:t>
      </w:r>
    </w:p>
    <w:p w14:paraId="3EE6B139" w14:textId="77777777" w:rsidR="00786E64" w:rsidRDefault="00786E64" w:rsidP="00786E64">
      <w:pPr>
        <w:jc w:val="both"/>
        <w:rPr>
          <w:i/>
          <w:iCs/>
        </w:rPr>
      </w:pPr>
    </w:p>
    <w:p w14:paraId="3329AF39" w14:textId="77777777" w:rsidR="00786E64" w:rsidRPr="009D2FAB" w:rsidRDefault="00786E64" w:rsidP="00786E64">
      <w:pPr>
        <w:rPr>
          <w:sz w:val="18"/>
          <w:szCs w:val="18"/>
        </w:rPr>
      </w:pPr>
      <w:r>
        <w:t>MOEPD (2016) ‘Economic Bulletin’, 18</w:t>
      </w:r>
      <w:proofErr w:type="spellStart"/>
      <w:r>
        <w:rPr>
          <w:position w:val="10"/>
          <w:sz w:val="14"/>
          <w:szCs w:val="14"/>
        </w:rPr>
        <w:t>th</w:t>
      </w:r>
      <w:proofErr w:type="spellEnd"/>
      <w:r>
        <w:rPr>
          <w:position w:val="10"/>
          <w:sz w:val="14"/>
          <w:szCs w:val="14"/>
        </w:rPr>
        <w:t xml:space="preserve"> </w:t>
      </w:r>
      <w:r>
        <w:t>ed</w:t>
      </w:r>
      <w:r>
        <w:rPr>
          <w:rFonts w:ascii="Arial,Italic" w:hAnsi="Arial,Italic"/>
        </w:rPr>
        <w:t xml:space="preserve">, </w:t>
      </w:r>
      <w:r>
        <w:t xml:space="preserve">Government of Swaziland: Mbabane. </w:t>
      </w:r>
    </w:p>
    <w:p w14:paraId="6133FD8A" w14:textId="77777777" w:rsidR="00786E64" w:rsidRDefault="00786E64" w:rsidP="00786E64"/>
    <w:p w14:paraId="22927D30" w14:textId="77777777" w:rsidR="00786E64" w:rsidRDefault="00786E64" w:rsidP="00786E64">
      <w:r>
        <w:t>Newton-Lewis, T. Witter, S. Gooding, K. et al. (2021). What is a Shock-Responsive Health System? Maintains Working Paper.</w:t>
      </w:r>
    </w:p>
    <w:p w14:paraId="68D95D0C" w14:textId="77777777" w:rsidR="00786E64" w:rsidRDefault="00786E64" w:rsidP="00786E64"/>
    <w:p w14:paraId="75D3818E" w14:textId="77777777" w:rsidR="00786E64" w:rsidRDefault="00786E64" w:rsidP="00786E64">
      <w:pPr>
        <w:jc w:val="both"/>
        <w:rPr>
          <w:i/>
        </w:rPr>
      </w:pPr>
      <w:r>
        <w:t xml:space="preserve">Oppenheim, B. Gallivan, M. Madhav, N. (2019). Assessing global preparedness for the next pandemic: development and application of an Epidemic Preparedness Index. </w:t>
      </w:r>
      <w:r>
        <w:rPr>
          <w:i/>
        </w:rPr>
        <w:t>BMJ Global Health.</w:t>
      </w:r>
    </w:p>
    <w:p w14:paraId="4E1E0984" w14:textId="77777777" w:rsidR="00786E64" w:rsidRDefault="00786E64" w:rsidP="00786E64"/>
    <w:p w14:paraId="715FDA34" w14:textId="77777777" w:rsidR="00786E64" w:rsidRPr="007A5FBF" w:rsidRDefault="00786E64" w:rsidP="00786E64">
      <w:pPr>
        <w:jc w:val="both"/>
        <w:rPr>
          <w:rStyle w:val="c9dxtc"/>
          <w:rFonts w:cstheme="minorHAnsi"/>
        </w:rPr>
      </w:pPr>
      <w:r w:rsidRPr="007A5FBF">
        <w:rPr>
          <w:rStyle w:val="c9dxtc"/>
          <w:rFonts w:cstheme="minorHAnsi"/>
        </w:rPr>
        <w:t xml:space="preserve">Rahman, M. </w:t>
      </w:r>
      <w:proofErr w:type="spellStart"/>
      <w:r w:rsidRPr="007A5FBF">
        <w:rPr>
          <w:rStyle w:val="c9dxtc"/>
          <w:rFonts w:cstheme="minorHAnsi"/>
        </w:rPr>
        <w:t>Anbarci</w:t>
      </w:r>
      <w:proofErr w:type="spellEnd"/>
      <w:r w:rsidRPr="007A5FBF">
        <w:rPr>
          <w:rStyle w:val="c9dxtc"/>
          <w:rFonts w:cstheme="minorHAnsi"/>
        </w:rPr>
        <w:t xml:space="preserve">, N. </w:t>
      </w:r>
      <w:proofErr w:type="spellStart"/>
      <w:r w:rsidRPr="007A5FBF">
        <w:rPr>
          <w:rStyle w:val="c9dxtc"/>
          <w:rFonts w:cstheme="minorHAnsi"/>
        </w:rPr>
        <w:t>Ulubasogli</w:t>
      </w:r>
      <w:proofErr w:type="spellEnd"/>
      <w:r w:rsidRPr="007A5FBF">
        <w:rPr>
          <w:rStyle w:val="c9dxtc"/>
          <w:rFonts w:cstheme="minorHAnsi"/>
        </w:rPr>
        <w:t xml:space="preserve">, M. (2022). </w:t>
      </w:r>
      <w:r w:rsidRPr="007A5FBF">
        <w:rPr>
          <w:rFonts w:cstheme="minorHAnsi"/>
        </w:rPr>
        <w:t xml:space="preserve">Storm autocracies: Islands as natural experiments. </w:t>
      </w:r>
      <w:r w:rsidRPr="003B018B">
        <w:rPr>
          <w:rStyle w:val="c9dxtc"/>
          <w:rFonts w:cstheme="minorHAnsi"/>
        </w:rPr>
        <w:t>Journal of Development Economics.</w:t>
      </w:r>
      <w:r w:rsidRPr="007A5FBF">
        <w:rPr>
          <w:rStyle w:val="c9dxtc"/>
          <w:rFonts w:cstheme="minorHAnsi"/>
        </w:rPr>
        <w:t xml:space="preserve"> </w:t>
      </w:r>
    </w:p>
    <w:p w14:paraId="0542E126" w14:textId="77777777" w:rsidR="00786E64" w:rsidRDefault="00786E64" w:rsidP="00786E64"/>
    <w:p w14:paraId="71C423A0" w14:textId="77777777" w:rsidR="00786E64" w:rsidRDefault="00786E64" w:rsidP="00786E64">
      <w:pPr>
        <w:jc w:val="both"/>
      </w:pPr>
      <w:r>
        <w:t xml:space="preserve">Razavi, A. Collins, S. Wilson, A. Okereke, E. (2021). Evaluating implementation of International Health Regulations core capacities: using the Electronic States Parties Self-Assessment Annual Reporting Tool (e-SPAR) to monitor progress with Joint External Evaluation indicators. </w:t>
      </w:r>
      <w:r>
        <w:rPr>
          <w:i/>
        </w:rPr>
        <w:t xml:space="preserve">Globalization and Health. </w:t>
      </w:r>
      <w:r>
        <w:t xml:space="preserve">17. 69. </w:t>
      </w:r>
    </w:p>
    <w:p w14:paraId="0C97B381" w14:textId="77777777" w:rsidR="00786E64" w:rsidRDefault="00786E64" w:rsidP="00786E64">
      <w:pPr>
        <w:jc w:val="both"/>
      </w:pPr>
    </w:p>
    <w:p w14:paraId="32CE1170" w14:textId="77777777" w:rsidR="00786E64" w:rsidRPr="006E34B4" w:rsidRDefault="00786E64" w:rsidP="00786E64">
      <w:pPr>
        <w:jc w:val="both"/>
        <w:rPr>
          <w:color w:val="000000"/>
        </w:rPr>
      </w:pPr>
      <w:r>
        <w:rPr>
          <w:color w:val="000000"/>
        </w:rPr>
        <w:t xml:space="preserve">Rodrik, D. (1998). Why Do More Open Countries Have Bigger Governments?. </w:t>
      </w:r>
      <w:r>
        <w:rPr>
          <w:i/>
          <w:color w:val="000000"/>
        </w:rPr>
        <w:t xml:space="preserve">Journal of Political Economy. </w:t>
      </w:r>
      <w:r>
        <w:rPr>
          <w:color w:val="000000"/>
        </w:rPr>
        <w:t>106 (5): 997–1032.</w:t>
      </w:r>
    </w:p>
    <w:p w14:paraId="267FCAA8" w14:textId="77777777" w:rsidR="00786E64" w:rsidRDefault="00786E64" w:rsidP="00786E64"/>
    <w:p w14:paraId="0F8E6820" w14:textId="77777777" w:rsidR="00786E64" w:rsidRDefault="00786E64" w:rsidP="00786E64">
      <w:pPr>
        <w:jc w:val="both"/>
      </w:pPr>
      <w:r w:rsidRPr="00097BEF">
        <w:t>Lozano, R. et al. (2020).</w:t>
      </w:r>
      <w:r>
        <w:t xml:space="preserve"> Measuring universal health coverage based on an index of effective coverage of health services in 204 countries and territories, 1990–2019: a systematic analysis for the Global Burden of Disease Study 2019. </w:t>
      </w:r>
      <w:r>
        <w:rPr>
          <w:i/>
          <w:iCs/>
        </w:rPr>
        <w:t xml:space="preserve">Lancet. </w:t>
      </w:r>
      <w:r w:rsidRPr="00097BEF">
        <w:rPr>
          <w:rFonts w:ascii="AppleSystemUIFontBold" w:hAnsi="AppleSystemUIFontBold" w:cs="AppleSystemUIFontBold"/>
        </w:rPr>
        <w:t xml:space="preserve">396: 1250–84. </w:t>
      </w:r>
      <w:r w:rsidRPr="00097BEF">
        <w:t xml:space="preserve">https://doi.org/10.1016/ S0140-6736(20)30750-9 </w:t>
      </w:r>
    </w:p>
    <w:p w14:paraId="653D45FA" w14:textId="77777777" w:rsidR="00786E64" w:rsidRDefault="00786E64" w:rsidP="00786E64">
      <w:pPr>
        <w:jc w:val="both"/>
      </w:pPr>
    </w:p>
    <w:p w14:paraId="7AB2640E" w14:textId="77777777" w:rsidR="00786E64" w:rsidRDefault="00786E64" w:rsidP="00786E64">
      <w:pPr>
        <w:jc w:val="both"/>
      </w:pPr>
      <w:r>
        <w:t xml:space="preserve">Haakenstad, A. (2022). </w:t>
      </w:r>
      <w:r w:rsidRPr="00097BEF">
        <w:t>GBD 2019 Healthcare Access and Quality Collaborators. Assessing performance of the Healthcare Access and Quality Index, overall and by select age groups, for 204 countries and territories, 1990–2019: a systematic analysis from the Global Burden of Disease Study 2019. </w:t>
      </w:r>
      <w:r w:rsidRPr="00097BEF">
        <w:rPr>
          <w:i/>
          <w:iCs/>
        </w:rPr>
        <w:t>The Lancet Global Health.</w:t>
      </w:r>
      <w:r w:rsidRPr="00097BEF">
        <w:t> </w:t>
      </w:r>
      <w:proofErr w:type="spellStart"/>
      <w:r w:rsidRPr="00097BEF">
        <w:t>doi</w:t>
      </w:r>
      <w:proofErr w:type="spellEnd"/>
      <w:r w:rsidRPr="00097BEF">
        <w:t>: 10.1016/S2214-109X(22)00429-6.</w:t>
      </w:r>
    </w:p>
    <w:p w14:paraId="28B55DEE" w14:textId="77777777" w:rsidR="00786E64" w:rsidRDefault="00786E64" w:rsidP="00786E64">
      <w:pPr>
        <w:jc w:val="both"/>
      </w:pPr>
    </w:p>
    <w:p w14:paraId="50E13C11" w14:textId="77777777" w:rsidR="00786E64" w:rsidRDefault="00786E64" w:rsidP="00786E64">
      <w:pPr>
        <w:jc w:val="both"/>
        <w:rPr>
          <w:i/>
          <w:iCs/>
        </w:rPr>
      </w:pPr>
      <w:r>
        <w:t xml:space="preserve">Sachs, J. Massa, I. Marinescu, S. Lafortune, G. (2021). The Decade of Action and Small Island Developing States: Measuring and addressing SIDS’ vulnerabilities to accelerate SDG progress. </w:t>
      </w:r>
      <w:r>
        <w:rPr>
          <w:i/>
          <w:iCs/>
        </w:rPr>
        <w:t>Working Paper.</w:t>
      </w:r>
    </w:p>
    <w:p w14:paraId="6BCA3263" w14:textId="77777777" w:rsidR="00786E64" w:rsidRDefault="00786E64" w:rsidP="00786E64">
      <w:pPr>
        <w:jc w:val="both"/>
        <w:rPr>
          <w:i/>
          <w:iCs/>
        </w:rPr>
      </w:pPr>
    </w:p>
    <w:p w14:paraId="46FBF47A" w14:textId="77777777" w:rsidR="00786E64" w:rsidRDefault="00786E64" w:rsidP="00786E64">
      <w:pPr>
        <w:jc w:val="both"/>
        <w:rPr>
          <w:i/>
        </w:rPr>
      </w:pPr>
      <w:proofErr w:type="spellStart"/>
      <w:r>
        <w:t>Sochas</w:t>
      </w:r>
      <w:proofErr w:type="spellEnd"/>
      <w:r>
        <w:t xml:space="preserve">, L. Channon, A. Nam, S. (2017). Counting indirect crisis-related deaths in the context of a low-resilience health system: the case of maternal and neonatal health during the Ebola epidemic in Sierra Leone. </w:t>
      </w:r>
      <w:r>
        <w:rPr>
          <w:i/>
        </w:rPr>
        <w:t>Health Policy &amp; Planning.</w:t>
      </w:r>
    </w:p>
    <w:p w14:paraId="4ADED78B" w14:textId="77777777" w:rsidR="00786E64" w:rsidRDefault="00786E64" w:rsidP="00786E64">
      <w:pPr>
        <w:jc w:val="both"/>
        <w:rPr>
          <w:i/>
        </w:rPr>
      </w:pPr>
    </w:p>
    <w:p w14:paraId="61FFC690" w14:textId="77777777" w:rsidR="00786E64" w:rsidRPr="00097BEF" w:rsidRDefault="00786E64" w:rsidP="00786E64">
      <w:pPr>
        <w:jc w:val="both"/>
      </w:pPr>
      <w:r>
        <w:t>University of Notre Dame Global Adaptation Initiative. (2023). University of Notre Dame Global Adaptation Initiative Country Index Technical Report.</w:t>
      </w:r>
    </w:p>
    <w:p w14:paraId="2C715EB3" w14:textId="77777777" w:rsidR="00786E64" w:rsidRDefault="00786E64" w:rsidP="00786E64"/>
    <w:p w14:paraId="144AD172" w14:textId="77777777" w:rsidR="00786E64" w:rsidRDefault="00786E64" w:rsidP="00786E64">
      <w:pPr>
        <w:jc w:val="both"/>
        <w:rPr>
          <w:i/>
          <w:iCs/>
        </w:rPr>
      </w:pPr>
      <w:r w:rsidRPr="004F03C3">
        <w:t xml:space="preserve">Winters &amp; Martin (2004). When comparative advantage is not enough: business costs in small remote economies. </w:t>
      </w:r>
      <w:r w:rsidRPr="004F03C3">
        <w:rPr>
          <w:i/>
          <w:iCs/>
        </w:rPr>
        <w:t>World Trade Review.</w:t>
      </w:r>
    </w:p>
    <w:p w14:paraId="1551C2C8" w14:textId="77777777" w:rsidR="00786E64" w:rsidRDefault="00786E64" w:rsidP="00786E64">
      <w:pPr>
        <w:jc w:val="both"/>
        <w:rPr>
          <w:i/>
          <w:iCs/>
        </w:rPr>
      </w:pPr>
    </w:p>
    <w:p w14:paraId="7CAA2741" w14:textId="77777777" w:rsidR="00786E64" w:rsidRDefault="00786E64" w:rsidP="00786E64">
      <w:pPr>
        <w:jc w:val="both"/>
        <w:rPr>
          <w:i/>
          <w:iCs/>
        </w:rPr>
      </w:pPr>
      <w:r>
        <w:t xml:space="preserve">Witter, S. Thomas, S. Topp, S. Barasa, E. Chopra, M. Cobos, D. Blanchet, K. Teddy, G. Atun, R. Ager, A. (2023). Health system resilience: a critical review and reconceptualization. </w:t>
      </w:r>
      <w:r>
        <w:rPr>
          <w:i/>
          <w:iCs/>
        </w:rPr>
        <w:t>The Lancet Global Health.</w:t>
      </w:r>
    </w:p>
    <w:p w14:paraId="26B0D616" w14:textId="77777777" w:rsidR="00786E64" w:rsidRDefault="00786E64" w:rsidP="00786E64">
      <w:pPr>
        <w:jc w:val="both"/>
        <w:rPr>
          <w:i/>
          <w:iCs/>
        </w:rPr>
      </w:pPr>
    </w:p>
    <w:p w14:paraId="6911CC00" w14:textId="77777777" w:rsidR="00786E64" w:rsidRDefault="00786E64" w:rsidP="00786E64">
      <w:r w:rsidRPr="00BD458E">
        <w:rPr>
          <w:rFonts w:cstheme="minorHAnsi"/>
        </w:rPr>
        <w:t>World Bank. (2016).</w:t>
      </w:r>
      <w:r>
        <w:rPr>
          <w:rFonts w:cstheme="minorHAnsi"/>
        </w:rPr>
        <w:t xml:space="preserve"> </w:t>
      </w:r>
      <w:r>
        <w:t>Approach Paper Clustered Country Program Evaluation For Small States.</w:t>
      </w:r>
    </w:p>
    <w:p w14:paraId="0948765C" w14:textId="77777777" w:rsidR="00786E64" w:rsidRDefault="00786E64" w:rsidP="00786E64"/>
    <w:p w14:paraId="3BF15B1F" w14:textId="77777777" w:rsidR="00786E64" w:rsidRDefault="00786E64" w:rsidP="00786E64">
      <w:r>
        <w:t>World Bank. (2022). World Bank Group Support to Small States.</w:t>
      </w:r>
    </w:p>
    <w:p w14:paraId="35419AD7" w14:textId="77777777" w:rsidR="00786E64" w:rsidRDefault="00786E64" w:rsidP="00786E64"/>
    <w:p w14:paraId="30DDF722" w14:textId="77777777" w:rsidR="00786E64" w:rsidRPr="00737DD9" w:rsidRDefault="00786E64" w:rsidP="00786E64">
      <w:r>
        <w:t xml:space="preserve">World Bank. (2008). </w:t>
      </w:r>
      <w:r w:rsidRPr="0012471F">
        <w:rPr>
          <w:rFonts w:cstheme="minorHAnsi"/>
        </w:rPr>
        <w:t>The Growth Report</w:t>
      </w:r>
      <w:r>
        <w:rPr>
          <w:rFonts w:cstheme="minorHAnsi"/>
        </w:rPr>
        <w:t xml:space="preserve">: </w:t>
      </w:r>
      <w:r w:rsidRPr="0012471F">
        <w:rPr>
          <w:rFonts w:cstheme="minorHAnsi"/>
        </w:rPr>
        <w:t>Strategies for Sustained Growth and Inclusive Development</w:t>
      </w:r>
      <w:r>
        <w:rPr>
          <w:rFonts w:cstheme="minorHAnsi"/>
        </w:rPr>
        <w:t>.</w:t>
      </w:r>
    </w:p>
    <w:p w14:paraId="4E5EA2B3" w14:textId="77777777" w:rsidR="00786E64" w:rsidRDefault="00786E64" w:rsidP="00786E64"/>
    <w:p w14:paraId="1F949495" w14:textId="77777777" w:rsidR="00786E64" w:rsidRPr="00FC5EAF" w:rsidRDefault="00786E64" w:rsidP="00786E64">
      <w:pPr>
        <w:jc w:val="both"/>
        <w:rPr>
          <w:rFonts w:cstheme="minorHAnsi"/>
        </w:rPr>
      </w:pPr>
      <w:r w:rsidRPr="00AD154E">
        <w:rPr>
          <w:rFonts w:cstheme="minorHAnsi"/>
        </w:rPr>
        <w:t xml:space="preserve">World Health Organisation. (2021). </w:t>
      </w:r>
      <w:r>
        <w:t>Second round of the national pulse survey on continuity of essential health services during the COVID-19 pandemic: January-March 2021 Interim report.</w:t>
      </w:r>
    </w:p>
    <w:p w14:paraId="2214CCA8" w14:textId="77777777" w:rsidR="00786E64" w:rsidRDefault="00786E64" w:rsidP="00786E64"/>
    <w:p w14:paraId="12FC092C" w14:textId="77777777" w:rsidR="00786E64" w:rsidRPr="00394C2F" w:rsidRDefault="00786E64" w:rsidP="00786E64">
      <w:pPr>
        <w:rPr>
          <w:rFonts w:cstheme="minorHAnsi"/>
        </w:rPr>
      </w:pPr>
      <w:r>
        <w:rPr>
          <w:rFonts w:cstheme="minorHAnsi"/>
        </w:rPr>
        <w:t>World Health Organisation. (2022). Country Cooperation Strategy 2022-2026 Eswatini.</w:t>
      </w:r>
    </w:p>
    <w:p w14:paraId="69F8A30A" w14:textId="77777777" w:rsidR="00786E64" w:rsidRDefault="00786E64" w:rsidP="00786E64"/>
    <w:p w14:paraId="0293B078" w14:textId="77777777" w:rsidR="00786E64" w:rsidRDefault="00786E64" w:rsidP="00786E64">
      <w:r>
        <w:t xml:space="preserve">World Health Organisation. (2022). Measuring the climate resilience of health systems. </w:t>
      </w:r>
    </w:p>
    <w:p w14:paraId="6BF27378" w14:textId="77777777" w:rsidR="00786E64" w:rsidRDefault="00786E64" w:rsidP="00786E64"/>
    <w:p w14:paraId="4F44C378" w14:textId="77777777" w:rsidR="00786E64" w:rsidRDefault="00786E64" w:rsidP="00786E64">
      <w:pPr>
        <w:jc w:val="both"/>
        <w:rPr>
          <w:i/>
          <w:iCs/>
        </w:rPr>
      </w:pPr>
      <w:r>
        <w:t xml:space="preserve">Lin, T. Werner, K. Kak, M. Herbst, C. (2022). Health-care worker retention in post-conflict settings: a systematic literature review. </w:t>
      </w:r>
      <w:r>
        <w:rPr>
          <w:i/>
          <w:iCs/>
        </w:rPr>
        <w:t>Health Policy and Planning.</w:t>
      </w:r>
    </w:p>
    <w:p w14:paraId="1C0BBC9F" w14:textId="77777777" w:rsidR="00786E64" w:rsidRDefault="00786E64" w:rsidP="00786E64">
      <w:pPr>
        <w:jc w:val="both"/>
        <w:rPr>
          <w:i/>
          <w:iCs/>
        </w:rPr>
      </w:pPr>
    </w:p>
    <w:p w14:paraId="094FD411" w14:textId="77777777" w:rsidR="00786E64" w:rsidRPr="00452565" w:rsidRDefault="00786E64" w:rsidP="00786E64">
      <w:pPr>
        <w:jc w:val="both"/>
        <w:rPr>
          <w:i/>
          <w:iCs/>
        </w:rPr>
      </w:pPr>
      <w:r w:rsidRPr="00452565">
        <w:t>W</w:t>
      </w:r>
      <w:r>
        <w:t xml:space="preserve">itter, S. </w:t>
      </w:r>
      <w:proofErr w:type="spellStart"/>
      <w:r>
        <w:t>Wurje</w:t>
      </w:r>
      <w:proofErr w:type="spellEnd"/>
      <w:r>
        <w:t xml:space="preserve">, H. </w:t>
      </w:r>
      <w:proofErr w:type="spellStart"/>
      <w:r>
        <w:t>Chandiwana</w:t>
      </w:r>
      <w:proofErr w:type="spellEnd"/>
      <w:r>
        <w:t>, P. et al. (2023). How do health workers experience and cope with shocks? Learning from four fragile and conflict-affected health systems in Uganda, Sierra Leone, Zimbabwe and Cambodia.</w:t>
      </w:r>
      <w:r w:rsidRPr="00452565">
        <w:rPr>
          <w:i/>
          <w:iCs/>
        </w:rPr>
        <w:t xml:space="preserve"> </w:t>
      </w:r>
      <w:r>
        <w:rPr>
          <w:i/>
          <w:iCs/>
        </w:rPr>
        <w:t>Health Policy and Planning.</w:t>
      </w:r>
    </w:p>
    <w:p w14:paraId="56873B69" w14:textId="77777777" w:rsidR="00786E64" w:rsidRDefault="00786E64" w:rsidP="00786E64"/>
    <w:p w14:paraId="1CFEFD91" w14:textId="77777777" w:rsidR="00786E64" w:rsidRPr="008D321F" w:rsidRDefault="00786E64" w:rsidP="00786E64">
      <w:pPr>
        <w:jc w:val="both"/>
        <w:rPr>
          <w:i/>
          <w:iCs/>
        </w:rPr>
      </w:pPr>
      <w:r>
        <w:t xml:space="preserve">Wahid, B. Ali, A. </w:t>
      </w:r>
      <w:proofErr w:type="spellStart"/>
      <w:r>
        <w:t>Radique</w:t>
      </w:r>
      <w:proofErr w:type="spellEnd"/>
      <w:r>
        <w:t xml:space="preserve">, S. Idrees, M. (2017). Global expansion of chikungunya virus: mapping the 64-year history. </w:t>
      </w:r>
      <w:r>
        <w:rPr>
          <w:i/>
          <w:iCs/>
        </w:rPr>
        <w:t>International Journal of Infectious Diseases.</w:t>
      </w:r>
    </w:p>
    <w:p w14:paraId="7D527605" w14:textId="77777777" w:rsidR="00786E64" w:rsidRDefault="00786E64" w:rsidP="00786E64"/>
    <w:p w14:paraId="5F868F8E" w14:textId="77777777" w:rsidR="00786E64" w:rsidRDefault="00786E64" w:rsidP="00786E64">
      <w:pPr>
        <w:jc w:val="both"/>
      </w:pPr>
      <w:r>
        <w:t xml:space="preserve">Razavi, A. </w:t>
      </w:r>
      <w:proofErr w:type="spellStart"/>
      <w:r>
        <w:t>Erondu</w:t>
      </w:r>
      <w:proofErr w:type="spellEnd"/>
      <w:r>
        <w:t>, N. Okereke, E. (2020). The Global Health Security Index: what value does it add? BMJ Global Health.</w:t>
      </w:r>
    </w:p>
    <w:p w14:paraId="483E3073" w14:textId="77777777" w:rsidR="00786E64" w:rsidRDefault="00786E64" w:rsidP="00786E64"/>
    <w:p w14:paraId="14D57AE8" w14:textId="77777777" w:rsidR="00786E64" w:rsidRPr="00087A96" w:rsidRDefault="00786E64" w:rsidP="00786E64">
      <w:pPr>
        <w:jc w:val="both"/>
        <w:rPr>
          <w:rStyle w:val="c9dxtc"/>
          <w:rFonts w:cstheme="minorHAnsi"/>
          <w:color w:val="212121"/>
        </w:rPr>
      </w:pPr>
      <w:r>
        <w:rPr>
          <w:rStyle w:val="c9dxtc"/>
          <w:rFonts w:cstheme="minorHAnsi"/>
          <w:color w:val="212121"/>
        </w:rPr>
        <w:t xml:space="preserve">Farrugia, C. (1993). </w:t>
      </w:r>
      <w:r>
        <w:t xml:space="preserve">The Special Working Environment of Senior Administrators in Small States. </w:t>
      </w:r>
      <w:r>
        <w:rPr>
          <w:i/>
          <w:iCs/>
        </w:rPr>
        <w:t xml:space="preserve">World Development. </w:t>
      </w:r>
      <w:r>
        <w:t>21(2): 221-226.</w:t>
      </w:r>
    </w:p>
    <w:p w14:paraId="5CD8C290" w14:textId="77777777" w:rsidR="00786E64" w:rsidRDefault="00786E64" w:rsidP="00786E64"/>
    <w:p w14:paraId="02ACF591" w14:textId="77777777" w:rsidR="00786E64" w:rsidRDefault="00786E64" w:rsidP="00786E64">
      <w:pPr>
        <w:jc w:val="both"/>
        <w:rPr>
          <w:rFonts w:cstheme="minorHAnsi"/>
          <w:i/>
          <w:iCs/>
        </w:rPr>
      </w:pPr>
      <w:r w:rsidRPr="00FC2061">
        <w:rPr>
          <w:rFonts w:cstheme="minorHAnsi"/>
        </w:rPr>
        <w:t>Biddle,</w:t>
      </w:r>
      <w:r>
        <w:rPr>
          <w:rFonts w:cstheme="minorHAnsi"/>
        </w:rPr>
        <w:t xml:space="preserve"> L. Wahedi, K. Bozorgmehr, K. (2020). Health System Resilience: a literature review of empirical research. </w:t>
      </w:r>
      <w:r>
        <w:rPr>
          <w:rFonts w:cstheme="minorHAnsi"/>
          <w:i/>
          <w:iCs/>
        </w:rPr>
        <w:t xml:space="preserve">Health Policy and Planning. </w:t>
      </w:r>
    </w:p>
    <w:p w14:paraId="40557AB1" w14:textId="77777777" w:rsidR="00786E64" w:rsidRDefault="00786E64" w:rsidP="00786E64">
      <w:pPr>
        <w:jc w:val="both"/>
        <w:rPr>
          <w:rFonts w:cstheme="minorHAnsi"/>
          <w:i/>
          <w:iCs/>
        </w:rPr>
      </w:pPr>
    </w:p>
    <w:p w14:paraId="2A50A8ED" w14:textId="77777777" w:rsidR="00786E64" w:rsidRDefault="00786E64" w:rsidP="00786E64">
      <w:pPr>
        <w:jc w:val="both"/>
        <w:rPr>
          <w:rFonts w:cs="AppleSystemUIFontBold"/>
          <w:i/>
          <w:iCs/>
          <w:color w:val="000000" w:themeColor="text1"/>
        </w:rPr>
      </w:pPr>
      <w:r>
        <w:rPr>
          <w:rFonts w:cstheme="minorHAnsi"/>
        </w:rPr>
        <w:t xml:space="preserve">Abbey, E. Khalifa, B. Oduwole, M. Ayeh, S. </w:t>
      </w:r>
      <w:proofErr w:type="spellStart"/>
      <w:r>
        <w:rPr>
          <w:rFonts w:cstheme="minorHAnsi"/>
        </w:rPr>
        <w:t>Nudotor</w:t>
      </w:r>
      <w:proofErr w:type="spellEnd"/>
      <w:r>
        <w:rPr>
          <w:rFonts w:cstheme="minorHAnsi"/>
        </w:rPr>
        <w:t xml:space="preserve">, R. Salia, E. (2020). </w:t>
      </w:r>
      <w:r w:rsidRPr="00FC2061">
        <w:rPr>
          <w:rFonts w:cs="AppleSystemUIFontBold"/>
          <w:color w:val="000000" w:themeColor="text1"/>
        </w:rPr>
        <w:t>The Global Health Security Index is not predictive of coronavirus pandemic responses among Organization for Economic Cooperation and Development countries</w:t>
      </w:r>
      <w:r>
        <w:rPr>
          <w:rFonts w:cs="AppleSystemUIFontBold"/>
          <w:color w:val="000000" w:themeColor="text1"/>
        </w:rPr>
        <w:t xml:space="preserve">. </w:t>
      </w:r>
      <w:r>
        <w:rPr>
          <w:rFonts w:cs="AppleSystemUIFontBold"/>
          <w:i/>
          <w:iCs/>
          <w:color w:val="000000" w:themeColor="text1"/>
        </w:rPr>
        <w:t>PLOS One.</w:t>
      </w:r>
    </w:p>
    <w:p w14:paraId="46CB845A" w14:textId="77777777" w:rsidR="009C7434" w:rsidRDefault="009C7434" w:rsidP="00786E64">
      <w:pPr>
        <w:jc w:val="both"/>
        <w:rPr>
          <w:rFonts w:cs="AppleSystemUIFontBold"/>
          <w:i/>
          <w:iCs/>
          <w:color w:val="000000" w:themeColor="text1"/>
        </w:rPr>
      </w:pPr>
    </w:p>
    <w:p w14:paraId="47AEA54E" w14:textId="22AE6E31" w:rsidR="00D20FBE" w:rsidRPr="003E18DD" w:rsidRDefault="00D20FBE" w:rsidP="00786E64">
      <w:pPr>
        <w:jc w:val="both"/>
        <w:rPr>
          <w:rFonts w:cs="AppleSystemUIFontBold"/>
          <w:color w:val="000000" w:themeColor="text1"/>
        </w:rPr>
      </w:pPr>
      <w:r>
        <w:rPr>
          <w:rFonts w:cs="AppleSystemUIFontBold"/>
          <w:color w:val="000000" w:themeColor="text1"/>
        </w:rPr>
        <w:t xml:space="preserve">Smith, P. </w:t>
      </w:r>
      <w:proofErr w:type="spellStart"/>
      <w:r>
        <w:rPr>
          <w:rFonts w:cs="AppleSystemUIFontBold"/>
          <w:color w:val="000000" w:themeColor="text1"/>
        </w:rPr>
        <w:t>Papanicolas</w:t>
      </w:r>
      <w:proofErr w:type="spellEnd"/>
      <w:r>
        <w:rPr>
          <w:rFonts w:cs="AppleSystemUIFontBold"/>
          <w:color w:val="000000" w:themeColor="text1"/>
        </w:rPr>
        <w:t xml:space="preserve">, I. (2012). </w:t>
      </w:r>
      <w:r>
        <w:t xml:space="preserve">Health system performance comparison: an agenda for policy, information and research. World Health Organisation. </w:t>
      </w:r>
    </w:p>
    <w:p w14:paraId="736D67A8" w14:textId="77777777" w:rsidR="00786E64" w:rsidRDefault="00786E64" w:rsidP="00786E64">
      <w:pPr>
        <w:rPr>
          <w:rFonts w:cs="AppleSystemUIFontBold"/>
          <w:color w:val="000000" w:themeColor="text1"/>
        </w:rPr>
      </w:pPr>
    </w:p>
    <w:p w14:paraId="3E688D29" w14:textId="586310EF" w:rsidR="00D20FBE" w:rsidRPr="003E18DD" w:rsidRDefault="00D20FBE" w:rsidP="003E18DD">
      <w:pPr>
        <w:jc w:val="both"/>
      </w:pPr>
      <w:proofErr w:type="spellStart"/>
      <w:r>
        <w:t>Papanicolas</w:t>
      </w:r>
      <w:proofErr w:type="spellEnd"/>
      <w:r>
        <w:t xml:space="preserve">, I. Rajan, D. </w:t>
      </w:r>
      <w:proofErr w:type="spellStart"/>
      <w:r>
        <w:t>Karanikolos</w:t>
      </w:r>
      <w:proofErr w:type="spellEnd"/>
      <w:r>
        <w:t xml:space="preserve">, M. Soucat, A. Figueras, J. editors. Health system performance assessment: a framework for policy analysis. Geneva: World Health Organization; 2022 (Health Policy Series, No. 57). Licence: </w:t>
      </w:r>
      <w:r>
        <w:rPr>
          <w:color w:val="154D6A"/>
        </w:rPr>
        <w:t>CC BY-NC-SA 3.0 IGO</w:t>
      </w:r>
      <w:r>
        <w:t>.</w:t>
      </w:r>
    </w:p>
    <w:p w14:paraId="472E96E2" w14:textId="77777777" w:rsidR="00786E64" w:rsidRDefault="00786E64" w:rsidP="00786E64">
      <w:pPr>
        <w:rPr>
          <w:rFonts w:cs="AppleSystemUIFontBold"/>
          <w:color w:val="000000" w:themeColor="text1"/>
        </w:rPr>
      </w:pPr>
    </w:p>
    <w:p w14:paraId="615F49DF" w14:textId="77777777" w:rsidR="00786E64" w:rsidRDefault="00786E64" w:rsidP="00786E64">
      <w:pPr>
        <w:rPr>
          <w:rFonts w:cs="AppleSystemUIFontBold"/>
          <w:color w:val="000000" w:themeColor="text1"/>
        </w:rPr>
      </w:pPr>
    </w:p>
    <w:p w14:paraId="1FA1CDD3" w14:textId="77777777" w:rsidR="00786E64" w:rsidRDefault="00786E64" w:rsidP="00786E64">
      <w:pPr>
        <w:rPr>
          <w:rFonts w:cs="AppleSystemUIFontBold"/>
          <w:color w:val="000000" w:themeColor="text1"/>
        </w:rPr>
      </w:pPr>
    </w:p>
    <w:p w14:paraId="1D61DB04" w14:textId="77777777" w:rsidR="00786E64" w:rsidRDefault="00786E64" w:rsidP="00786E64">
      <w:pPr>
        <w:rPr>
          <w:rFonts w:cs="AppleSystemUIFontBold"/>
          <w:color w:val="000000" w:themeColor="text1"/>
        </w:rPr>
      </w:pPr>
    </w:p>
    <w:p w14:paraId="343C420F" w14:textId="77777777" w:rsidR="00716AEA" w:rsidRDefault="00716AEA" w:rsidP="00786E64">
      <w:pPr>
        <w:rPr>
          <w:rFonts w:cs="AppleSystemUIFontBold"/>
          <w:color w:val="000000" w:themeColor="text1"/>
        </w:rPr>
      </w:pPr>
    </w:p>
    <w:p w14:paraId="690F40AE" w14:textId="77777777" w:rsidR="00716AEA" w:rsidRDefault="00716AEA" w:rsidP="00786E64">
      <w:pPr>
        <w:rPr>
          <w:rFonts w:cs="AppleSystemUIFontBold"/>
          <w:color w:val="000000" w:themeColor="text1"/>
        </w:rPr>
      </w:pPr>
    </w:p>
    <w:p w14:paraId="41321F85" w14:textId="77777777" w:rsidR="00716AEA" w:rsidRDefault="00716AEA" w:rsidP="00786E64">
      <w:pPr>
        <w:rPr>
          <w:rFonts w:cs="AppleSystemUIFontBold"/>
          <w:color w:val="000000" w:themeColor="text1"/>
        </w:rPr>
      </w:pPr>
    </w:p>
    <w:p w14:paraId="26E8A3B2" w14:textId="77777777" w:rsidR="00716AEA" w:rsidRDefault="00716AEA" w:rsidP="00786E64">
      <w:pPr>
        <w:rPr>
          <w:rFonts w:cs="AppleSystemUIFontBold"/>
          <w:color w:val="000000" w:themeColor="text1"/>
        </w:rPr>
      </w:pPr>
    </w:p>
    <w:p w14:paraId="3D14956E" w14:textId="77777777" w:rsidR="00716AEA" w:rsidRDefault="00716AEA" w:rsidP="00786E64">
      <w:pPr>
        <w:rPr>
          <w:rFonts w:cs="AppleSystemUIFontBold"/>
          <w:color w:val="000000" w:themeColor="text1"/>
        </w:rPr>
      </w:pPr>
    </w:p>
    <w:p w14:paraId="1E84EBB6" w14:textId="77777777" w:rsidR="00716AEA" w:rsidRDefault="00716AEA" w:rsidP="00786E64">
      <w:pPr>
        <w:rPr>
          <w:rFonts w:cs="AppleSystemUIFontBold"/>
          <w:color w:val="000000" w:themeColor="text1"/>
        </w:rPr>
      </w:pPr>
    </w:p>
    <w:p w14:paraId="57858DD8" w14:textId="77777777" w:rsidR="00716AEA" w:rsidRDefault="00716AEA" w:rsidP="00786E64">
      <w:pPr>
        <w:rPr>
          <w:rFonts w:cs="AppleSystemUIFontBold"/>
          <w:color w:val="000000" w:themeColor="text1"/>
        </w:rPr>
      </w:pPr>
    </w:p>
    <w:p w14:paraId="34187D64" w14:textId="77777777" w:rsidR="00716AEA" w:rsidRDefault="00716AEA" w:rsidP="00786E64">
      <w:pPr>
        <w:rPr>
          <w:rFonts w:cs="AppleSystemUIFontBold"/>
          <w:color w:val="000000" w:themeColor="text1"/>
        </w:rPr>
      </w:pPr>
    </w:p>
    <w:p w14:paraId="5271BD92" w14:textId="77777777" w:rsidR="00716AEA" w:rsidRDefault="00716AEA" w:rsidP="00786E64">
      <w:pPr>
        <w:rPr>
          <w:rFonts w:cs="AppleSystemUIFontBold"/>
          <w:color w:val="000000" w:themeColor="text1"/>
        </w:rPr>
      </w:pPr>
    </w:p>
    <w:p w14:paraId="571BAAF1" w14:textId="77777777" w:rsidR="00716AEA" w:rsidRDefault="00716AEA" w:rsidP="00786E64">
      <w:pPr>
        <w:rPr>
          <w:rFonts w:cs="AppleSystemUIFontBold"/>
          <w:color w:val="000000" w:themeColor="text1"/>
        </w:rPr>
      </w:pPr>
    </w:p>
    <w:p w14:paraId="68AFF8A7" w14:textId="77777777" w:rsidR="00716AEA" w:rsidRDefault="00716AEA" w:rsidP="00786E64">
      <w:pPr>
        <w:rPr>
          <w:rFonts w:cs="AppleSystemUIFontBold"/>
          <w:color w:val="000000" w:themeColor="text1"/>
        </w:rPr>
      </w:pPr>
    </w:p>
    <w:p w14:paraId="3DA90AC6" w14:textId="77777777" w:rsidR="00716AEA" w:rsidRDefault="00716AEA" w:rsidP="00786E64">
      <w:pPr>
        <w:rPr>
          <w:rFonts w:cs="AppleSystemUIFontBold"/>
          <w:color w:val="000000" w:themeColor="text1"/>
        </w:rPr>
      </w:pPr>
    </w:p>
    <w:p w14:paraId="771EEF18" w14:textId="77777777" w:rsidR="00716AEA" w:rsidRDefault="00716AEA" w:rsidP="00786E64">
      <w:pPr>
        <w:rPr>
          <w:rFonts w:cs="AppleSystemUIFontBold"/>
          <w:color w:val="000000" w:themeColor="text1"/>
        </w:rPr>
      </w:pPr>
    </w:p>
    <w:p w14:paraId="16084889" w14:textId="77777777" w:rsidR="00716AEA" w:rsidRDefault="00716AEA" w:rsidP="00786E64">
      <w:pPr>
        <w:rPr>
          <w:rFonts w:cs="AppleSystemUIFontBold"/>
          <w:color w:val="000000" w:themeColor="text1"/>
        </w:rPr>
      </w:pPr>
    </w:p>
    <w:p w14:paraId="07E66A4D" w14:textId="77777777" w:rsidR="00716AEA" w:rsidRDefault="00716AEA" w:rsidP="00786E64">
      <w:pPr>
        <w:rPr>
          <w:rFonts w:cs="AppleSystemUIFontBold"/>
          <w:color w:val="000000" w:themeColor="text1"/>
        </w:rPr>
      </w:pPr>
    </w:p>
    <w:p w14:paraId="73F15BC1" w14:textId="77777777" w:rsidR="00716AEA" w:rsidRDefault="00716AEA" w:rsidP="00786E64">
      <w:pPr>
        <w:rPr>
          <w:rFonts w:cs="AppleSystemUIFontBold"/>
          <w:color w:val="000000" w:themeColor="text1"/>
        </w:rPr>
      </w:pPr>
    </w:p>
    <w:p w14:paraId="4EE5F15D" w14:textId="77777777" w:rsidR="00716AEA" w:rsidRDefault="00716AEA" w:rsidP="00786E64">
      <w:pPr>
        <w:rPr>
          <w:rFonts w:cs="AppleSystemUIFontBold"/>
          <w:color w:val="000000" w:themeColor="text1"/>
        </w:rPr>
      </w:pPr>
    </w:p>
    <w:p w14:paraId="72E7E163" w14:textId="77777777" w:rsidR="00716AEA" w:rsidRDefault="00716AEA" w:rsidP="00786E64">
      <w:pPr>
        <w:rPr>
          <w:rFonts w:cs="AppleSystemUIFontBold"/>
          <w:color w:val="000000" w:themeColor="text1"/>
        </w:rPr>
      </w:pPr>
    </w:p>
    <w:p w14:paraId="5E2949E7" w14:textId="77777777" w:rsidR="00716AEA" w:rsidRDefault="00716AEA" w:rsidP="00786E64">
      <w:pPr>
        <w:rPr>
          <w:rFonts w:cs="AppleSystemUIFontBold"/>
          <w:color w:val="000000" w:themeColor="text1"/>
        </w:rPr>
      </w:pPr>
    </w:p>
    <w:p w14:paraId="6B35A40C" w14:textId="77777777" w:rsidR="00716AEA" w:rsidRDefault="00716AEA" w:rsidP="00786E64">
      <w:pPr>
        <w:rPr>
          <w:rFonts w:cs="AppleSystemUIFontBold"/>
          <w:color w:val="000000" w:themeColor="text1"/>
        </w:rPr>
      </w:pPr>
    </w:p>
    <w:p w14:paraId="414D707A" w14:textId="77777777" w:rsidR="00716AEA" w:rsidRDefault="00716AEA" w:rsidP="00786E64">
      <w:pPr>
        <w:rPr>
          <w:rFonts w:cs="AppleSystemUIFontBold"/>
          <w:color w:val="000000" w:themeColor="text1"/>
        </w:rPr>
      </w:pPr>
    </w:p>
    <w:p w14:paraId="183E45CC" w14:textId="77777777" w:rsidR="00716AEA" w:rsidRDefault="00716AEA" w:rsidP="00786E64">
      <w:pPr>
        <w:rPr>
          <w:rFonts w:cs="AppleSystemUIFontBold"/>
          <w:color w:val="000000" w:themeColor="text1"/>
        </w:rPr>
      </w:pPr>
    </w:p>
    <w:p w14:paraId="6741385F" w14:textId="77777777" w:rsidR="00716AEA" w:rsidRDefault="00716AEA" w:rsidP="00786E64">
      <w:pPr>
        <w:rPr>
          <w:rFonts w:cs="AppleSystemUIFontBold"/>
          <w:color w:val="000000" w:themeColor="text1"/>
        </w:rPr>
      </w:pPr>
    </w:p>
    <w:p w14:paraId="7D62BA97" w14:textId="77777777" w:rsidR="00716AEA" w:rsidRDefault="00716AEA" w:rsidP="00786E64">
      <w:pPr>
        <w:rPr>
          <w:rFonts w:cs="AppleSystemUIFontBold"/>
          <w:color w:val="000000" w:themeColor="text1"/>
        </w:rPr>
      </w:pPr>
    </w:p>
    <w:p w14:paraId="5E68E4DA" w14:textId="77777777" w:rsidR="00716AEA" w:rsidRDefault="00716AEA" w:rsidP="00786E64">
      <w:pPr>
        <w:rPr>
          <w:rFonts w:cs="AppleSystemUIFontBold"/>
          <w:color w:val="000000" w:themeColor="text1"/>
        </w:rPr>
      </w:pPr>
    </w:p>
    <w:p w14:paraId="68EAA11A" w14:textId="77777777" w:rsidR="00716AEA" w:rsidRDefault="00716AEA" w:rsidP="00786E64">
      <w:pPr>
        <w:rPr>
          <w:rFonts w:cs="AppleSystemUIFontBold"/>
          <w:color w:val="000000" w:themeColor="text1"/>
        </w:rPr>
      </w:pPr>
    </w:p>
    <w:p w14:paraId="0682F463" w14:textId="77777777" w:rsidR="00716AEA" w:rsidRDefault="00716AEA" w:rsidP="00716AEA">
      <w:pPr>
        <w:rPr>
          <w:rFonts w:cstheme="minorHAnsi"/>
          <w:b/>
          <w:bCs/>
        </w:rPr>
      </w:pPr>
      <w:r>
        <w:rPr>
          <w:rFonts w:cstheme="minorHAnsi"/>
          <w:b/>
          <w:bCs/>
        </w:rPr>
        <w:lastRenderedPageBreak/>
        <w:t>Appendix</w:t>
      </w:r>
    </w:p>
    <w:p w14:paraId="68E6201A" w14:textId="77777777" w:rsidR="00716AEA" w:rsidRDefault="00716AEA" w:rsidP="00716AEA">
      <w:pPr>
        <w:rPr>
          <w:rFonts w:cstheme="minorHAnsi"/>
          <w:b/>
          <w:bCs/>
        </w:rPr>
      </w:pPr>
    </w:p>
    <w:p w14:paraId="5F6A70BE" w14:textId="77777777" w:rsidR="00716AEA" w:rsidRPr="00043B13" w:rsidRDefault="00716AEA" w:rsidP="00716AEA">
      <w:pPr>
        <w:rPr>
          <w:b/>
        </w:rPr>
      </w:pPr>
      <w:r>
        <w:rPr>
          <w:b/>
        </w:rPr>
        <w:t xml:space="preserve">Appendix A: </w:t>
      </w:r>
      <w:r>
        <w:rPr>
          <w:b/>
          <w:color w:val="000000"/>
        </w:rPr>
        <w:t>Vulnerabilities and challenges facing Small and Island States</w:t>
      </w:r>
    </w:p>
    <w:p w14:paraId="11740710" w14:textId="77777777" w:rsidR="00716AEA" w:rsidRDefault="00716AEA" w:rsidP="00716AEA">
      <w:pPr>
        <w:rPr>
          <w:rFonts w:cstheme="minorHAnsi"/>
          <w:b/>
          <w:bCs/>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2958"/>
        <w:gridCol w:w="3292"/>
      </w:tblGrid>
      <w:tr w:rsidR="00716AEA" w14:paraId="0280ACCB" w14:textId="77777777" w:rsidTr="00302C5C">
        <w:tc>
          <w:tcPr>
            <w:tcW w:w="2760" w:type="dxa"/>
          </w:tcPr>
          <w:p w14:paraId="2B3FA2B7" w14:textId="77777777" w:rsidR="00716AEA" w:rsidRDefault="00716AEA" w:rsidP="00302C5C">
            <w:pPr>
              <w:spacing w:line="276" w:lineRule="auto"/>
              <w:rPr>
                <w:b/>
              </w:rPr>
            </w:pPr>
            <w:r>
              <w:rPr>
                <w:b/>
              </w:rPr>
              <w:t>Theme</w:t>
            </w:r>
          </w:p>
        </w:tc>
        <w:tc>
          <w:tcPr>
            <w:tcW w:w="2958" w:type="dxa"/>
          </w:tcPr>
          <w:p w14:paraId="43521F45" w14:textId="77777777" w:rsidR="00716AEA" w:rsidRDefault="00716AEA" w:rsidP="00302C5C">
            <w:pPr>
              <w:spacing w:line="276" w:lineRule="auto"/>
              <w:rPr>
                <w:b/>
              </w:rPr>
            </w:pPr>
            <w:r>
              <w:rPr>
                <w:b/>
              </w:rPr>
              <w:t>Vulnerability</w:t>
            </w:r>
          </w:p>
        </w:tc>
        <w:tc>
          <w:tcPr>
            <w:tcW w:w="3292" w:type="dxa"/>
          </w:tcPr>
          <w:p w14:paraId="40867D46" w14:textId="77777777" w:rsidR="00716AEA" w:rsidRDefault="00716AEA" w:rsidP="00302C5C">
            <w:pPr>
              <w:spacing w:line="276" w:lineRule="auto"/>
              <w:rPr>
                <w:b/>
              </w:rPr>
            </w:pPr>
            <w:r>
              <w:rPr>
                <w:b/>
              </w:rPr>
              <w:t>Resulting challenges</w:t>
            </w:r>
          </w:p>
        </w:tc>
      </w:tr>
      <w:tr w:rsidR="00716AEA" w14:paraId="47E27D4D" w14:textId="77777777" w:rsidTr="00302C5C">
        <w:tc>
          <w:tcPr>
            <w:tcW w:w="2760" w:type="dxa"/>
          </w:tcPr>
          <w:p w14:paraId="1D718A5E" w14:textId="77777777" w:rsidR="00716AEA" w:rsidRDefault="00716AEA" w:rsidP="00302C5C">
            <w:pPr>
              <w:spacing w:line="276" w:lineRule="auto"/>
            </w:pPr>
            <w:r>
              <w:t>Economic</w:t>
            </w:r>
          </w:p>
        </w:tc>
        <w:tc>
          <w:tcPr>
            <w:tcW w:w="2958" w:type="dxa"/>
          </w:tcPr>
          <w:p w14:paraId="27D5E87B" w14:textId="77777777" w:rsidR="00716AEA" w:rsidRDefault="00716AEA" w:rsidP="00302C5C">
            <w:pPr>
              <w:rPr>
                <w:highlight w:val="white"/>
              </w:rPr>
            </w:pPr>
            <w:r>
              <w:rPr>
                <w:highlight w:val="white"/>
              </w:rPr>
              <w:t>• Small population</w:t>
            </w:r>
          </w:p>
          <w:p w14:paraId="5444873B" w14:textId="77777777" w:rsidR="00716AEA" w:rsidRDefault="00716AEA" w:rsidP="00302C5C">
            <w:pPr>
              <w:rPr>
                <w:highlight w:val="white"/>
              </w:rPr>
            </w:pPr>
            <w:r>
              <w:rPr>
                <w:highlight w:val="white"/>
              </w:rPr>
              <w:t>• Often remote or isolated (islands or landlocked)</w:t>
            </w:r>
          </w:p>
          <w:p w14:paraId="6404C663" w14:textId="77777777" w:rsidR="00716AEA" w:rsidRDefault="00716AEA" w:rsidP="00302C5C">
            <w:r>
              <w:rPr>
                <w:highlight w:val="white"/>
              </w:rPr>
              <w:t>• Limited resource endowments</w:t>
            </w:r>
          </w:p>
        </w:tc>
        <w:tc>
          <w:tcPr>
            <w:tcW w:w="3292" w:type="dxa"/>
          </w:tcPr>
          <w:p w14:paraId="263BA9A5" w14:textId="77777777" w:rsidR="00716AEA" w:rsidRDefault="00716AEA" w:rsidP="00302C5C">
            <w:pPr>
              <w:spacing w:line="276" w:lineRule="auto"/>
              <w:rPr>
                <w:highlight w:val="white"/>
              </w:rPr>
            </w:pPr>
            <w:r>
              <w:rPr>
                <w:highlight w:val="white"/>
              </w:rPr>
              <w:t>• Small domestic market</w:t>
            </w:r>
          </w:p>
          <w:p w14:paraId="59E7E513" w14:textId="77777777" w:rsidR="00716AEA" w:rsidRDefault="00716AEA" w:rsidP="00302C5C">
            <w:pPr>
              <w:spacing w:line="276" w:lineRule="auto"/>
              <w:rPr>
                <w:highlight w:val="white"/>
              </w:rPr>
            </w:pPr>
            <w:r>
              <w:rPr>
                <w:highlight w:val="white"/>
              </w:rPr>
              <w:t>• Significant trade transaction costs</w:t>
            </w:r>
          </w:p>
          <w:p w14:paraId="304BE458" w14:textId="77777777" w:rsidR="00716AEA" w:rsidRDefault="00716AEA" w:rsidP="00302C5C">
            <w:pPr>
              <w:spacing w:line="276" w:lineRule="auto"/>
              <w:rPr>
                <w:highlight w:val="white"/>
              </w:rPr>
            </w:pPr>
            <w:r>
              <w:rPr>
                <w:highlight w:val="white"/>
              </w:rPr>
              <w:t>• Inability to benefit from economies of scale in production of goods and provision of public services</w:t>
            </w:r>
          </w:p>
          <w:p w14:paraId="6A83C0A9" w14:textId="77777777" w:rsidR="00716AEA" w:rsidRDefault="00716AEA" w:rsidP="00302C5C">
            <w:pPr>
              <w:spacing w:line="276" w:lineRule="auto"/>
              <w:rPr>
                <w:highlight w:val="white"/>
              </w:rPr>
            </w:pPr>
            <w:r>
              <w:rPr>
                <w:highlight w:val="white"/>
              </w:rPr>
              <w:t>• High production costs</w:t>
            </w:r>
          </w:p>
          <w:p w14:paraId="5B82F22D" w14:textId="77777777" w:rsidR="00716AEA" w:rsidRDefault="00716AEA" w:rsidP="00302C5C">
            <w:pPr>
              <w:spacing w:line="276" w:lineRule="auto"/>
              <w:rPr>
                <w:highlight w:val="white"/>
              </w:rPr>
            </w:pPr>
            <w:r>
              <w:rPr>
                <w:highlight w:val="white"/>
              </w:rPr>
              <w:t>• Highly dependent on trade</w:t>
            </w:r>
          </w:p>
          <w:p w14:paraId="49919FEF" w14:textId="77777777" w:rsidR="00716AEA" w:rsidRDefault="00716AEA" w:rsidP="00302C5C">
            <w:pPr>
              <w:spacing w:line="276" w:lineRule="auto"/>
              <w:rPr>
                <w:highlight w:val="white"/>
              </w:rPr>
            </w:pPr>
            <w:r>
              <w:rPr>
                <w:highlight w:val="white"/>
              </w:rPr>
              <w:t>• Uncompetitive exports</w:t>
            </w:r>
          </w:p>
          <w:p w14:paraId="72B169C4" w14:textId="77777777" w:rsidR="00716AEA" w:rsidRDefault="00716AEA" w:rsidP="00302C5C">
            <w:pPr>
              <w:spacing w:line="276" w:lineRule="auto"/>
              <w:rPr>
                <w:highlight w:val="white"/>
              </w:rPr>
            </w:pPr>
            <w:r>
              <w:rPr>
                <w:highlight w:val="white"/>
              </w:rPr>
              <w:t>• Concentrated export bases directed to small number of markets</w:t>
            </w:r>
          </w:p>
          <w:p w14:paraId="1B336B28" w14:textId="77777777" w:rsidR="00716AEA" w:rsidRDefault="00716AEA" w:rsidP="00302C5C">
            <w:pPr>
              <w:spacing w:line="276" w:lineRule="auto"/>
              <w:rPr>
                <w:highlight w:val="white"/>
              </w:rPr>
            </w:pPr>
            <w:r>
              <w:rPr>
                <w:highlight w:val="white"/>
              </w:rPr>
              <w:t>• Few importers with large market power</w:t>
            </w:r>
          </w:p>
          <w:p w14:paraId="1EA2A70A" w14:textId="77777777" w:rsidR="00716AEA" w:rsidRDefault="00716AEA" w:rsidP="00302C5C">
            <w:pPr>
              <w:spacing w:line="276" w:lineRule="auto"/>
              <w:rPr>
                <w:highlight w:val="white"/>
              </w:rPr>
            </w:pPr>
            <w:r>
              <w:rPr>
                <w:highlight w:val="white"/>
              </w:rPr>
              <w:t>• Constrained access to international capital/investment</w:t>
            </w:r>
          </w:p>
          <w:p w14:paraId="60EEE560" w14:textId="77777777" w:rsidR="00716AEA" w:rsidRDefault="00716AEA" w:rsidP="00302C5C">
            <w:pPr>
              <w:spacing w:line="276" w:lineRule="auto"/>
              <w:rPr>
                <w:highlight w:val="white"/>
              </w:rPr>
            </w:pPr>
            <w:r>
              <w:rPr>
                <w:highlight w:val="white"/>
              </w:rPr>
              <w:t>• Vulnerability to external economic shocks</w:t>
            </w:r>
          </w:p>
        </w:tc>
      </w:tr>
      <w:tr w:rsidR="00716AEA" w14:paraId="491DE276" w14:textId="77777777" w:rsidTr="00302C5C">
        <w:tc>
          <w:tcPr>
            <w:tcW w:w="2760" w:type="dxa"/>
          </w:tcPr>
          <w:p w14:paraId="56EDBC40" w14:textId="77777777" w:rsidR="00716AEA" w:rsidRDefault="00716AEA" w:rsidP="00302C5C">
            <w:pPr>
              <w:spacing w:line="276" w:lineRule="auto"/>
            </w:pPr>
            <w:r>
              <w:t>Social</w:t>
            </w:r>
          </w:p>
        </w:tc>
        <w:tc>
          <w:tcPr>
            <w:tcW w:w="2958" w:type="dxa"/>
          </w:tcPr>
          <w:p w14:paraId="795BD5D0" w14:textId="77777777" w:rsidR="00716AEA" w:rsidRDefault="00716AEA" w:rsidP="00302C5C">
            <w:pPr>
              <w:spacing w:line="276" w:lineRule="auto"/>
              <w:rPr>
                <w:highlight w:val="white"/>
              </w:rPr>
            </w:pPr>
            <w:r>
              <w:rPr>
                <w:highlight w:val="white"/>
              </w:rPr>
              <w:t>• High fixed cost of higher education</w:t>
            </w:r>
          </w:p>
          <w:p w14:paraId="53268259" w14:textId="77777777" w:rsidR="00716AEA" w:rsidRDefault="00716AEA" w:rsidP="00302C5C">
            <w:pPr>
              <w:spacing w:line="276" w:lineRule="auto"/>
              <w:rPr>
                <w:highlight w:val="white"/>
              </w:rPr>
            </w:pPr>
            <w:r>
              <w:rPr>
                <w:highlight w:val="white"/>
              </w:rPr>
              <w:t>• Limited labour market</w:t>
            </w:r>
          </w:p>
        </w:tc>
        <w:tc>
          <w:tcPr>
            <w:tcW w:w="3292" w:type="dxa"/>
          </w:tcPr>
          <w:p w14:paraId="07637EDB" w14:textId="77777777" w:rsidR="00716AEA" w:rsidRDefault="00716AEA" w:rsidP="00302C5C">
            <w:pPr>
              <w:spacing w:line="276" w:lineRule="auto"/>
              <w:rPr>
                <w:highlight w:val="white"/>
              </w:rPr>
            </w:pPr>
            <w:r>
              <w:rPr>
                <w:highlight w:val="white"/>
              </w:rPr>
              <w:t>• Potential for brain drain</w:t>
            </w:r>
          </w:p>
          <w:p w14:paraId="0F0647F7" w14:textId="77777777" w:rsidR="00716AEA" w:rsidRDefault="00716AEA" w:rsidP="00302C5C">
            <w:pPr>
              <w:spacing w:line="276" w:lineRule="auto"/>
              <w:rPr>
                <w:highlight w:val="white"/>
              </w:rPr>
            </w:pPr>
            <w:r>
              <w:rPr>
                <w:highlight w:val="white"/>
              </w:rPr>
              <w:t>• Shortage of skilled labour impacting state capacity</w:t>
            </w:r>
          </w:p>
          <w:p w14:paraId="7F038F3D" w14:textId="77777777" w:rsidR="00716AEA" w:rsidRDefault="00716AEA" w:rsidP="00302C5C">
            <w:pPr>
              <w:spacing w:line="276" w:lineRule="auto"/>
              <w:rPr>
                <w:highlight w:val="white"/>
              </w:rPr>
            </w:pPr>
            <w:r>
              <w:rPr>
                <w:highlight w:val="white"/>
              </w:rPr>
              <w:t>• Lack of specialist services</w:t>
            </w:r>
          </w:p>
          <w:p w14:paraId="469B266C" w14:textId="77777777" w:rsidR="00716AEA" w:rsidRDefault="00716AEA" w:rsidP="00302C5C">
            <w:pPr>
              <w:spacing w:line="276" w:lineRule="auto"/>
            </w:pPr>
          </w:p>
        </w:tc>
      </w:tr>
      <w:tr w:rsidR="00716AEA" w14:paraId="34905B5A" w14:textId="77777777" w:rsidTr="00302C5C">
        <w:tc>
          <w:tcPr>
            <w:tcW w:w="2760" w:type="dxa"/>
          </w:tcPr>
          <w:p w14:paraId="1A85B1EB" w14:textId="77777777" w:rsidR="00716AEA" w:rsidRDefault="00716AEA" w:rsidP="00302C5C">
            <w:pPr>
              <w:spacing w:line="276" w:lineRule="auto"/>
            </w:pPr>
            <w:r>
              <w:t>Environmental</w:t>
            </w:r>
          </w:p>
        </w:tc>
        <w:tc>
          <w:tcPr>
            <w:tcW w:w="2958" w:type="dxa"/>
          </w:tcPr>
          <w:p w14:paraId="1607512D" w14:textId="77777777" w:rsidR="00716AEA" w:rsidRDefault="00716AEA" w:rsidP="00302C5C">
            <w:pPr>
              <w:spacing w:line="276" w:lineRule="auto"/>
              <w:rPr>
                <w:highlight w:val="white"/>
              </w:rPr>
            </w:pPr>
            <w:r>
              <w:rPr>
                <w:highlight w:val="white"/>
              </w:rPr>
              <w:t>• Geographically concentrated populations</w:t>
            </w:r>
          </w:p>
          <w:p w14:paraId="31C1E5CB" w14:textId="77777777" w:rsidR="00716AEA" w:rsidRDefault="00716AEA" w:rsidP="00302C5C">
            <w:pPr>
              <w:spacing w:line="276" w:lineRule="auto"/>
            </w:pPr>
            <w:r>
              <w:rPr>
                <w:highlight w:val="white"/>
              </w:rPr>
              <w:t xml:space="preserve">• Exposure to climate and environmental risk </w:t>
            </w:r>
          </w:p>
        </w:tc>
        <w:tc>
          <w:tcPr>
            <w:tcW w:w="3292" w:type="dxa"/>
          </w:tcPr>
          <w:p w14:paraId="76996A4B" w14:textId="77777777" w:rsidR="00716AEA" w:rsidRDefault="00716AEA" w:rsidP="00302C5C">
            <w:pPr>
              <w:spacing w:line="276" w:lineRule="auto"/>
              <w:rPr>
                <w:highlight w:val="white"/>
              </w:rPr>
            </w:pPr>
            <w:r>
              <w:rPr>
                <w:highlight w:val="white"/>
              </w:rPr>
              <w:t>• Vulnerability to natural disasters</w:t>
            </w:r>
          </w:p>
          <w:p w14:paraId="768FBF5F" w14:textId="77777777" w:rsidR="00716AEA" w:rsidRDefault="00716AEA" w:rsidP="00302C5C">
            <w:pPr>
              <w:spacing w:line="276" w:lineRule="auto"/>
              <w:rPr>
                <w:highlight w:val="white"/>
              </w:rPr>
            </w:pPr>
            <w:r>
              <w:rPr>
                <w:highlight w:val="white"/>
              </w:rPr>
              <w:t>• Lower tourism revenue, which may be significant source of income</w:t>
            </w:r>
          </w:p>
          <w:p w14:paraId="03AD9095" w14:textId="77777777" w:rsidR="00716AEA" w:rsidRDefault="00716AEA" w:rsidP="00302C5C">
            <w:pPr>
              <w:spacing w:line="276" w:lineRule="auto"/>
            </w:pPr>
            <w:r>
              <w:rPr>
                <w:highlight w:val="white"/>
              </w:rPr>
              <w:t xml:space="preserve">• Reduced arable land </w:t>
            </w:r>
          </w:p>
        </w:tc>
      </w:tr>
    </w:tbl>
    <w:p w14:paraId="210D6084" w14:textId="77777777" w:rsidR="00716AEA" w:rsidRDefault="00716AEA" w:rsidP="00716AEA">
      <w:pPr>
        <w:rPr>
          <w:rFonts w:cstheme="minorHAnsi"/>
          <w:b/>
          <w:bCs/>
        </w:rPr>
      </w:pPr>
    </w:p>
    <w:p w14:paraId="193C731C" w14:textId="77777777" w:rsidR="00716AEA" w:rsidRDefault="00716AEA" w:rsidP="00716AEA">
      <w:pPr>
        <w:rPr>
          <w:rFonts w:cstheme="minorHAnsi"/>
          <w:b/>
          <w:bCs/>
        </w:rPr>
      </w:pPr>
    </w:p>
    <w:p w14:paraId="3F18B3C4" w14:textId="77777777" w:rsidR="00716AEA" w:rsidRDefault="00716AEA" w:rsidP="00716AEA">
      <w:pPr>
        <w:rPr>
          <w:rFonts w:cstheme="minorHAnsi"/>
          <w:b/>
          <w:bCs/>
        </w:rPr>
      </w:pPr>
    </w:p>
    <w:p w14:paraId="31B541B1" w14:textId="77777777" w:rsidR="00716AEA" w:rsidRDefault="00716AEA" w:rsidP="00716AEA">
      <w:pPr>
        <w:rPr>
          <w:rFonts w:cstheme="minorHAnsi"/>
          <w:b/>
          <w:bCs/>
        </w:rPr>
      </w:pPr>
    </w:p>
    <w:p w14:paraId="11A5F4D3" w14:textId="77777777" w:rsidR="00716AEA" w:rsidRDefault="00716AEA" w:rsidP="00716AEA">
      <w:pPr>
        <w:rPr>
          <w:rFonts w:cstheme="minorHAnsi"/>
          <w:b/>
          <w:bCs/>
        </w:rPr>
      </w:pPr>
    </w:p>
    <w:p w14:paraId="26AE0E1B" w14:textId="77777777" w:rsidR="00716AEA" w:rsidRDefault="00716AEA" w:rsidP="00716AEA">
      <w:pPr>
        <w:rPr>
          <w:rFonts w:cstheme="minorHAnsi"/>
          <w:b/>
          <w:bCs/>
        </w:rPr>
      </w:pPr>
    </w:p>
    <w:p w14:paraId="7E5FF846" w14:textId="77777777" w:rsidR="00716AEA" w:rsidRDefault="00716AEA" w:rsidP="00716AEA">
      <w:pPr>
        <w:rPr>
          <w:b/>
        </w:rPr>
      </w:pPr>
      <w:r>
        <w:rPr>
          <w:b/>
        </w:rPr>
        <w:lastRenderedPageBreak/>
        <w:t>Appendix B: Literature on the vulnerabilities of Small and Island States</w:t>
      </w:r>
    </w:p>
    <w:p w14:paraId="42C486CC" w14:textId="77777777" w:rsidR="00716AEA" w:rsidRDefault="00716AEA" w:rsidP="00716AEA"/>
    <w:p w14:paraId="08741335" w14:textId="77777777" w:rsidR="00716AEA" w:rsidRDefault="00716AEA" w:rsidP="00716AEA">
      <w:pPr>
        <w:spacing w:line="276" w:lineRule="auto"/>
        <w:jc w:val="both"/>
      </w:pPr>
      <w:r>
        <w:t xml:space="preserve">An extensive literature has examined the various unique challenges facing S&amp;IS and their impacts. </w:t>
      </w:r>
    </w:p>
    <w:p w14:paraId="68119C96" w14:textId="77777777" w:rsidR="00716AEA" w:rsidRDefault="00716AEA" w:rsidP="00716AEA">
      <w:pPr>
        <w:spacing w:line="276" w:lineRule="auto"/>
        <w:jc w:val="both"/>
      </w:pPr>
    </w:p>
    <w:p w14:paraId="06B11983" w14:textId="77777777" w:rsidR="00716AEA" w:rsidRDefault="00716AEA" w:rsidP="00716AEA">
      <w:pPr>
        <w:numPr>
          <w:ilvl w:val="0"/>
          <w:numId w:val="4"/>
        </w:numPr>
        <w:pBdr>
          <w:top w:val="nil"/>
          <w:left w:val="nil"/>
          <w:bottom w:val="nil"/>
          <w:right w:val="nil"/>
          <w:between w:val="nil"/>
        </w:pBdr>
        <w:spacing w:line="276" w:lineRule="auto"/>
        <w:jc w:val="both"/>
      </w:pPr>
      <w:r>
        <w:rPr>
          <w:b/>
          <w:color w:val="000000"/>
        </w:rPr>
        <w:t>Small states may suffer from diseconomies of scale in both the production of goods and provision of public services, resulting in high costs (Winters &amp; Martin, 2004).</w:t>
      </w:r>
      <w:r>
        <w:rPr>
          <w:color w:val="000000"/>
        </w:rPr>
        <w:t xml:space="preserve"> Both have indivisibilities that result in increasing returns to scale. There are notably high fixed costs in areas such as transport, defence, and higher education. Smaller populations also results in a smaller spread of the cost of public expenditure. The indivisibility of expenditure on the provision of public goods particularly impacts infrastructural spending, often resulting in public budgets heavily leaning towards recurrent expenditures. The economies of scale constraints and indivisibilities also impact private investment and expenditure. This combined with the small internal markets also results in public sectors often becoming one of the primary employers in S&amp;IS. Favaro (2008) notes the average share of government GDP expenditure is 19.4% in S&amp;IS compared to 15.7% in ‘large’ states.</w:t>
      </w:r>
    </w:p>
    <w:p w14:paraId="532C6319" w14:textId="77777777" w:rsidR="00716AEA" w:rsidRDefault="00716AEA" w:rsidP="00716AEA">
      <w:pPr>
        <w:pBdr>
          <w:top w:val="nil"/>
          <w:left w:val="nil"/>
          <w:bottom w:val="nil"/>
          <w:right w:val="nil"/>
          <w:between w:val="nil"/>
        </w:pBdr>
        <w:spacing w:line="276" w:lineRule="auto"/>
        <w:ind w:left="720"/>
        <w:jc w:val="both"/>
        <w:rPr>
          <w:color w:val="000000"/>
        </w:rPr>
      </w:pPr>
    </w:p>
    <w:p w14:paraId="68E28BDF" w14:textId="77777777" w:rsidR="00716AEA" w:rsidRDefault="00716AEA" w:rsidP="00716AEA">
      <w:pPr>
        <w:numPr>
          <w:ilvl w:val="0"/>
          <w:numId w:val="4"/>
        </w:numPr>
        <w:pBdr>
          <w:top w:val="nil"/>
          <w:left w:val="nil"/>
          <w:bottom w:val="nil"/>
          <w:right w:val="nil"/>
          <w:between w:val="nil"/>
        </w:pBdr>
        <w:spacing w:line="276" w:lineRule="auto"/>
        <w:jc w:val="both"/>
      </w:pPr>
      <w:r>
        <w:rPr>
          <w:b/>
          <w:color w:val="000000"/>
        </w:rPr>
        <w:t>Many S&amp;IS are geographically remote (islands or landlocked), reducing their ability to integrate with the world economy.</w:t>
      </w:r>
      <w:r>
        <w:rPr>
          <w:color w:val="000000"/>
        </w:rPr>
        <w:t xml:space="preserve"> Theory suggests distance from major markets increases the cost of foreign trade (imports and exports), thereby reducing export competitiveness and foreign direct investment (Brito, 2015). This makes clear that the challenges faced by the Pacific islands are very different from those faced by Caribbean islands which are in close proximity to the USA, which in turn are different from those faced by landlocked mountainous countries like Bhutan.</w:t>
      </w:r>
    </w:p>
    <w:p w14:paraId="561CE964" w14:textId="77777777" w:rsidR="00716AEA" w:rsidRDefault="00716AEA" w:rsidP="00716AEA">
      <w:pPr>
        <w:spacing w:line="276" w:lineRule="auto"/>
        <w:jc w:val="both"/>
      </w:pPr>
    </w:p>
    <w:p w14:paraId="2E327314" w14:textId="77777777" w:rsidR="00716AEA" w:rsidRDefault="00716AEA" w:rsidP="00716AEA">
      <w:pPr>
        <w:numPr>
          <w:ilvl w:val="0"/>
          <w:numId w:val="4"/>
        </w:numPr>
        <w:pBdr>
          <w:top w:val="nil"/>
          <w:left w:val="nil"/>
          <w:bottom w:val="nil"/>
          <w:right w:val="nil"/>
          <w:between w:val="nil"/>
        </w:pBdr>
        <w:spacing w:line="276" w:lineRule="auto"/>
        <w:jc w:val="both"/>
      </w:pPr>
      <w:r>
        <w:rPr>
          <w:b/>
          <w:color w:val="000000"/>
        </w:rPr>
        <w:t xml:space="preserve">Many S&amp;IS suffer from climate and </w:t>
      </w:r>
      <w:sdt>
        <w:sdtPr>
          <w:tag w:val="goog_rdk_19"/>
          <w:id w:val="-1466193707"/>
        </w:sdtPr>
        <w:sdtContent/>
      </w:sdt>
      <w:r>
        <w:rPr>
          <w:b/>
          <w:color w:val="000000"/>
        </w:rPr>
        <w:t>environment issues.</w:t>
      </w:r>
      <w:r>
        <w:rPr>
          <w:color w:val="000000"/>
        </w:rPr>
        <w:t xml:space="preserve"> Specifically, many S&amp;ISs are in regions vulnerable to natural hazards such as hurricanes, cyclones, droughts, and volcanic eruptions. Added to the less diversified economies this can have severe state-wide economic consequences. The annual cost of natural disasters in S&amp;ISs is close to 2% of GDP, more than four times suffered in larger countries (IMF, 2016). </w:t>
      </w:r>
      <w:proofErr w:type="spellStart"/>
      <w:r>
        <w:rPr>
          <w:color w:val="000000"/>
        </w:rPr>
        <w:t>Domeland</w:t>
      </w:r>
      <w:proofErr w:type="spellEnd"/>
      <w:r>
        <w:rPr>
          <w:color w:val="000000"/>
        </w:rPr>
        <w:t xml:space="preserve"> and Sander (2007) highlight this difference within Africa, with S&amp;ISs suffering damage costs of 58.25% of GDP compared to 8.43% for larger </w:t>
      </w:r>
      <w:sdt>
        <w:sdtPr>
          <w:tag w:val="goog_rdk_20"/>
          <w:id w:val="2112625973"/>
        </w:sdtPr>
        <w:sdtContent/>
      </w:sdt>
      <w:r>
        <w:rPr>
          <w:color w:val="000000"/>
        </w:rPr>
        <w:t>states.</w:t>
      </w:r>
    </w:p>
    <w:p w14:paraId="60758042" w14:textId="77777777" w:rsidR="00716AEA" w:rsidRDefault="00716AEA" w:rsidP="00716AEA">
      <w:pPr>
        <w:spacing w:line="276" w:lineRule="auto"/>
        <w:jc w:val="both"/>
      </w:pPr>
    </w:p>
    <w:p w14:paraId="16C65472" w14:textId="77777777" w:rsidR="00716AEA" w:rsidRDefault="00716AEA" w:rsidP="00716AEA">
      <w:pPr>
        <w:spacing w:line="276" w:lineRule="auto"/>
        <w:jc w:val="both"/>
      </w:pPr>
      <w:r>
        <w:t>These structural disadvantages have several consequences:</w:t>
      </w:r>
    </w:p>
    <w:p w14:paraId="51A2658A" w14:textId="77777777" w:rsidR="00716AEA" w:rsidRDefault="00716AEA" w:rsidP="00716AEA">
      <w:pPr>
        <w:spacing w:line="276" w:lineRule="auto"/>
        <w:jc w:val="both"/>
      </w:pPr>
    </w:p>
    <w:p w14:paraId="5E1E4DF3" w14:textId="77777777" w:rsidR="00716AEA" w:rsidRDefault="00716AEA" w:rsidP="00716AEA">
      <w:pPr>
        <w:numPr>
          <w:ilvl w:val="0"/>
          <w:numId w:val="5"/>
        </w:numPr>
        <w:pBdr>
          <w:top w:val="nil"/>
          <w:left w:val="nil"/>
          <w:bottom w:val="nil"/>
          <w:right w:val="nil"/>
          <w:between w:val="nil"/>
        </w:pBdr>
        <w:spacing w:line="276" w:lineRule="auto"/>
        <w:jc w:val="both"/>
      </w:pPr>
      <w:r>
        <w:rPr>
          <w:b/>
          <w:color w:val="000000"/>
        </w:rPr>
        <w:t>S&amp;IS have higher growth volatility due to disadvantage 1 and 2.</w:t>
      </w:r>
      <w:r>
        <w:rPr>
          <w:color w:val="000000"/>
        </w:rPr>
        <w:t xml:space="preserve"> S&amp;IS are typically dependent on only a small number of economic activities. This over-</w:t>
      </w:r>
      <w:r>
        <w:rPr>
          <w:color w:val="000000"/>
        </w:rPr>
        <w:lastRenderedPageBreak/>
        <w:t xml:space="preserve">reliance on a limited number of sectors means the economic health of a small number of sectors has a strong determining impact on the overall economic situation. S&amp;IS generally have very open economies due to the need to import essentially which cannot be internally produced. This exposes S&amp;IS to changes in the global economic outlook and trade shocks. Additionally, as noted, the impact of periodic natural disasters has a significant economic impact. The World Bank (2005) noted that volatility (measured as standard deviation of growth rate of per capital GDP) in S&amp;IS was 3.9, as opposed to 1.4 in LICs and 1.5 in MICs. This can result in fiscal policies and public expenditure with a large procyclical trend due to revenue volatility and unforeseen significant costs. </w:t>
      </w:r>
    </w:p>
    <w:p w14:paraId="4BA155EB" w14:textId="77777777" w:rsidR="00716AEA" w:rsidRDefault="00716AEA" w:rsidP="00716AEA">
      <w:pPr>
        <w:pBdr>
          <w:top w:val="nil"/>
          <w:left w:val="nil"/>
          <w:bottom w:val="nil"/>
          <w:right w:val="nil"/>
          <w:between w:val="nil"/>
        </w:pBdr>
        <w:spacing w:line="276" w:lineRule="auto"/>
        <w:ind w:left="720"/>
        <w:jc w:val="both"/>
        <w:rPr>
          <w:color w:val="000000"/>
        </w:rPr>
      </w:pPr>
    </w:p>
    <w:p w14:paraId="0769EEC4" w14:textId="77777777" w:rsidR="00716AEA" w:rsidRDefault="00716AEA" w:rsidP="00716AEA">
      <w:pPr>
        <w:numPr>
          <w:ilvl w:val="0"/>
          <w:numId w:val="5"/>
        </w:numPr>
        <w:pBdr>
          <w:top w:val="nil"/>
          <w:left w:val="nil"/>
          <w:bottom w:val="nil"/>
          <w:right w:val="nil"/>
          <w:between w:val="nil"/>
        </w:pBdr>
        <w:spacing w:line="276" w:lineRule="auto"/>
        <w:jc w:val="both"/>
      </w:pPr>
      <w:r>
        <w:rPr>
          <w:b/>
          <w:color w:val="000000"/>
        </w:rPr>
        <w:t>Many S&amp;IS suffer from brain drain.</w:t>
      </w:r>
      <w:r>
        <w:rPr>
          <w:color w:val="000000"/>
        </w:rPr>
        <w:t xml:space="preserve"> This is due to the high costs for S&amp;IS of developing tertiary education and the limited opportunities for high-skilled employment. Beiner et al. (2008) suggest that S&amp;IS may be relatively good at producing skilled workers, but that this human capital is frequently lost as they fail to retain them. </w:t>
      </w:r>
      <w:proofErr w:type="spellStart"/>
      <w:r>
        <w:rPr>
          <w:color w:val="000000"/>
        </w:rPr>
        <w:t>Docquier</w:t>
      </w:r>
      <w:proofErr w:type="spellEnd"/>
      <w:r>
        <w:rPr>
          <w:color w:val="000000"/>
        </w:rPr>
        <w:t xml:space="preserve"> &amp; </w:t>
      </w:r>
      <w:proofErr w:type="spellStart"/>
      <w:r>
        <w:rPr>
          <w:color w:val="000000"/>
        </w:rPr>
        <w:t>Marfouk</w:t>
      </w:r>
      <w:proofErr w:type="spellEnd"/>
      <w:r>
        <w:rPr>
          <w:color w:val="000000"/>
        </w:rPr>
        <w:t xml:space="preserve"> (2005) note that 86% and 83% of college graduates </w:t>
      </w:r>
      <w:sdt>
        <w:sdtPr>
          <w:tag w:val="goog_rdk_21"/>
          <w:id w:val="140771099"/>
        </w:sdtPr>
        <w:sdtContent/>
      </w:sdt>
      <w:r>
        <w:rPr>
          <w:color w:val="000000"/>
        </w:rPr>
        <w:t>migrate from Guyana and Jamaica respectively. This is particularly problematic as many S&amp;IS lack natural resources, and therefore rely strongly on human capital for economic growth (Armstrong &amp; Read, 2003). This brain drain results in limited government administrative and technical capacity in many S&amp;IS.</w:t>
      </w:r>
    </w:p>
    <w:p w14:paraId="05F9993E" w14:textId="77777777" w:rsidR="00716AEA" w:rsidRDefault="00716AEA" w:rsidP="00716AEA">
      <w:pPr>
        <w:pBdr>
          <w:top w:val="nil"/>
          <w:left w:val="nil"/>
          <w:bottom w:val="nil"/>
          <w:right w:val="nil"/>
          <w:between w:val="nil"/>
        </w:pBdr>
        <w:spacing w:line="276" w:lineRule="auto"/>
        <w:ind w:left="720"/>
        <w:jc w:val="both"/>
        <w:rPr>
          <w:color w:val="000000"/>
        </w:rPr>
      </w:pPr>
    </w:p>
    <w:p w14:paraId="5378904D" w14:textId="77777777" w:rsidR="00716AEA" w:rsidRDefault="00716AEA" w:rsidP="00716AEA">
      <w:pPr>
        <w:numPr>
          <w:ilvl w:val="0"/>
          <w:numId w:val="5"/>
        </w:numPr>
        <w:pBdr>
          <w:top w:val="nil"/>
          <w:left w:val="nil"/>
          <w:bottom w:val="nil"/>
          <w:right w:val="nil"/>
          <w:between w:val="nil"/>
        </w:pBdr>
        <w:spacing w:line="276" w:lineRule="auto"/>
        <w:jc w:val="both"/>
      </w:pPr>
      <w:r>
        <w:rPr>
          <w:b/>
          <w:color w:val="000000"/>
        </w:rPr>
        <w:t>S&amp;IS often suffer from fiscal imbalances due to the inability to diversify tax revenue sources and a heavy reliance on trade taxes.</w:t>
      </w:r>
      <w:r>
        <w:rPr>
          <w:color w:val="000000"/>
        </w:rPr>
        <w:t xml:space="preserve"> This imbalance often results in high public debt to GDP ratios (Aiyar, 2008). Additionally, the World Trade Organisation (WTO), established in 1995, follows the key principles of multilateral trade liberalisation and non-discrimination. This has seen some S&amp;IS suffering ‘preference erosion’ as preferential trade agreements (PTA) expire; and PTAs lose value with the global falling of trade tariffs (World Bank, 2008).</w:t>
      </w:r>
    </w:p>
    <w:p w14:paraId="5344BD54" w14:textId="77777777" w:rsidR="00716AEA" w:rsidRDefault="00716AEA" w:rsidP="00716AEA">
      <w:pPr>
        <w:spacing w:line="276" w:lineRule="auto"/>
        <w:jc w:val="both"/>
      </w:pPr>
    </w:p>
    <w:p w14:paraId="0F2013D0" w14:textId="77777777" w:rsidR="00716AEA" w:rsidRDefault="00716AEA" w:rsidP="00716AEA">
      <w:pPr>
        <w:numPr>
          <w:ilvl w:val="0"/>
          <w:numId w:val="5"/>
        </w:numPr>
        <w:pBdr>
          <w:top w:val="nil"/>
          <w:left w:val="nil"/>
          <w:bottom w:val="nil"/>
          <w:right w:val="nil"/>
          <w:between w:val="nil"/>
        </w:pBdr>
        <w:spacing w:line="276" w:lineRule="auto"/>
        <w:jc w:val="both"/>
      </w:pPr>
      <w:r>
        <w:rPr>
          <w:b/>
          <w:color w:val="000000"/>
        </w:rPr>
        <w:t>Many S&amp;IS are now in a long-term state of aid dependence.</w:t>
      </w:r>
      <w:r>
        <w:rPr>
          <w:color w:val="000000"/>
        </w:rPr>
        <w:t xml:space="preserve"> A World Bank evaluation (IEG, 2006) showed that the average net aid received by small states was $201.1 per capita, as against only $12.3 per capita for all developing countries and $18.1 per capita for all developing countries excluding China and India. In other words, small states averaged more than 16 times as much aid as developing countries as a whole. Measured as a proportion of gross national income, average net aid was 14.8% for small states as against just 1.1% for all developing countries. That is, small states got 14 times as much aid in relation to their GNI. All pacific island states have risen to middle-income status largely with the help of huge aid flows. Related to aid-dependence there is also a dependence on remittances.</w:t>
      </w:r>
    </w:p>
    <w:p w14:paraId="5CA4D34D" w14:textId="77777777" w:rsidR="00716AEA" w:rsidRDefault="00716AEA" w:rsidP="00716AEA">
      <w:pPr>
        <w:spacing w:line="276" w:lineRule="auto"/>
        <w:jc w:val="both"/>
      </w:pPr>
    </w:p>
    <w:p w14:paraId="3A4B086A" w14:textId="77777777" w:rsidR="00716AEA" w:rsidRDefault="00716AEA" w:rsidP="00716AEA">
      <w:pPr>
        <w:spacing w:line="276" w:lineRule="auto"/>
        <w:jc w:val="both"/>
      </w:pPr>
      <w:r>
        <w:lastRenderedPageBreak/>
        <w:t>However, research in the 90s and early 2000s cast doubt on the narrative that S&amp;IS suffer a natural development disadvantage. A number of studies empirically examined the hypothesis that S&amp;IS were developmentally worse off, finding limited evidence supporting this. A World Bank-Commonwealth review showed that between 1990–2005, small states had on average slower economic growth (3.5% per year) than all developing countries (4.2%) (Briguglio et al. 2005). However, Easterly &amp; Kraay (2000) found that in 1960—95 small states grew as fast as large ones. The World Bank (2008) concluded that S&amp;IS did not have lower GDP or slower growth relative to larger states. Easterly &amp; Kraay (2000) argue that S&amp;IS should not be considered differently from other states. They find that S&amp;IS have higher GDP and similar growth trajectories to other states. However, they do identify that S&amp;IS have higher growth volatility, due to greater trade openness. As a result of their study, they suggest S&amp;IS should receive similar policy advice as larger states.</w:t>
      </w:r>
    </w:p>
    <w:p w14:paraId="6B8EA35F" w14:textId="77777777" w:rsidR="00716AEA" w:rsidRDefault="00716AEA" w:rsidP="00716AEA">
      <w:pPr>
        <w:spacing w:line="276" w:lineRule="auto"/>
      </w:pPr>
    </w:p>
    <w:p w14:paraId="5A1E5DAF" w14:textId="77777777" w:rsidR="00716AEA" w:rsidRDefault="00716AEA" w:rsidP="00716AEA">
      <w:pPr>
        <w:spacing w:line="276" w:lineRule="auto"/>
        <w:jc w:val="both"/>
      </w:pPr>
      <w:r>
        <w:t>Acknowledging that S&amp;IS have higher GDP than larger states, Aiyar (2008) argues that S&amp;IS have been relatively over-aided (relate back to the point that IEG, 2006 found S&amp;IS receive orders of magnitude more aid per capita than developing countries as a whole). Additionally, he points to a relatively low number of S&amp;IS being both heavily indebted and poor (of 41 countries covered by the Heavily Indebted Poor Countries (HIPC) initiative, only five are small – Comoros, Gambia, Guinea-Bissau, Guyana and Sao Tome and Principe (Aiyar, 2008). He also shows that economic differences among small states are more dramatic than average differences between small and large states, suggesting size is not a key determinant of economic success</w:t>
      </w:r>
      <w:r>
        <w:rPr>
          <w:vertAlign w:val="superscript"/>
        </w:rPr>
        <w:footnoteReference w:id="1"/>
      </w:r>
      <w:r>
        <w:t xml:space="preserve">. These differences among small states suggest that policies and institutions matter more than size. </w:t>
      </w:r>
      <w:proofErr w:type="spellStart"/>
      <w:r>
        <w:t>Domeland</w:t>
      </w:r>
      <w:proofErr w:type="spellEnd"/>
      <w:r>
        <w:t xml:space="preserve"> &amp; Sander (2007) note that AU S&amp;IS which have developed strong governance and institutions, such as Botswana and Mauritius, have benefited, while those that have not, such as Comoros and Guinea-Bissau, have remained poor.</w:t>
      </w:r>
    </w:p>
    <w:p w14:paraId="59FCEB3F" w14:textId="77777777" w:rsidR="00716AEA" w:rsidRDefault="00716AEA" w:rsidP="00716AEA">
      <w:pPr>
        <w:spacing w:line="276" w:lineRule="auto"/>
        <w:jc w:val="both"/>
      </w:pPr>
    </w:p>
    <w:p w14:paraId="56D9C692" w14:textId="77777777" w:rsidR="00716AEA" w:rsidRDefault="00716AEA" w:rsidP="00716AEA">
      <w:pPr>
        <w:spacing w:line="276" w:lineRule="auto"/>
        <w:jc w:val="both"/>
      </w:pPr>
      <w:r>
        <w:t>Therefore, empirical evidence generally does not find strong evidence that smallness is a disadvantage, from an economic perspective. This suggests that while S&amp;IS may have disadvantages, there are reasons why they do not appear to be economically lagging. Favaro (2008) refers to these as ‘compensating factors’. Additionally, S&amp;IS may also have some inherent advantages</w:t>
      </w:r>
      <w:r>
        <w:rPr>
          <w:vertAlign w:val="superscript"/>
        </w:rPr>
        <w:footnoteReference w:id="2"/>
      </w:r>
      <w:r>
        <w:t>.</w:t>
      </w:r>
    </w:p>
    <w:p w14:paraId="7BA3C473" w14:textId="77777777" w:rsidR="00716AEA" w:rsidRDefault="00716AEA" w:rsidP="00716AEA">
      <w:pPr>
        <w:spacing w:line="276" w:lineRule="auto"/>
        <w:jc w:val="both"/>
      </w:pPr>
    </w:p>
    <w:p w14:paraId="54B461D1" w14:textId="77777777" w:rsidR="00716AEA" w:rsidRDefault="00716AEA" w:rsidP="00716AEA">
      <w:pPr>
        <w:spacing w:line="276" w:lineRule="auto"/>
        <w:jc w:val="both"/>
      </w:pPr>
      <w:r>
        <w:t>African S&amp;IS have high levels political stability. This is reflected in African S&amp;IS only having a 3% probability of state failure (measured by coup, civil war, genocide), while the probability is 26% for all sub-Saharan states (</w:t>
      </w:r>
      <w:proofErr w:type="spellStart"/>
      <w:r>
        <w:t>Domeland</w:t>
      </w:r>
      <w:proofErr w:type="spellEnd"/>
      <w:r>
        <w:t xml:space="preserve"> &amp; Sander, 2007). This lower incidence of conflict holds even after controlling for degree of ethnic fractionalisation, suggesting there is a state size specific factor (</w:t>
      </w:r>
      <w:proofErr w:type="spellStart"/>
      <w:r>
        <w:t>Domeland</w:t>
      </w:r>
      <w:proofErr w:type="spellEnd"/>
      <w:r>
        <w:t xml:space="preserve"> &amp; Sander, 2007). Additionally, African S&amp;IS have superior good governance indicators as measured by voice and accountability, government effectiveness, regulatory quality, rule of law and corruption (Kauffman et al. 2006). </w:t>
      </w:r>
      <w:proofErr w:type="spellStart"/>
      <w:r>
        <w:t>Rogrigues</w:t>
      </w:r>
      <w:proofErr w:type="spellEnd"/>
      <w:r>
        <w:t xml:space="preserve"> Sanches et al. (2021) note that smallness results in closer links between populations and politicians while Cheeseman (2021) notes being an island can insulate from the ‘politics of belonging’.</w:t>
      </w:r>
    </w:p>
    <w:p w14:paraId="27197A4D" w14:textId="77777777" w:rsidR="00716AEA" w:rsidRDefault="00716AEA" w:rsidP="00716AEA">
      <w:pPr>
        <w:spacing w:line="276" w:lineRule="auto"/>
        <w:jc w:val="both"/>
      </w:pPr>
    </w:p>
    <w:p w14:paraId="17759A9E" w14:textId="77777777" w:rsidR="00716AEA" w:rsidRDefault="00716AEA" w:rsidP="00716AEA">
      <w:pPr>
        <w:spacing w:line="276" w:lineRule="auto"/>
        <w:jc w:val="both"/>
      </w:pPr>
      <w:r>
        <w:t xml:space="preserve"> A large literature has examined the impact of social capital and cohesion on economic growth (and a number of other outcomes such as health, education etc.). Baldacchino (2005) argue ‘social capital’ theory makes for a more informed understanding of how many (though not all) S&amp;IS manage to generate good standards of living. Briguglio (2016) contends that improvements in social conditions, a requisite for improvement in social capital, could reduce the harm arising from a S&amp;IS exposure to external shocks because it affects the extent to economic apparatus without the hindrance of civil unrest. </w:t>
      </w:r>
    </w:p>
    <w:p w14:paraId="15B94D2F" w14:textId="77777777" w:rsidR="00716AEA" w:rsidRDefault="00716AEA" w:rsidP="00716AEA">
      <w:pPr>
        <w:spacing w:line="276" w:lineRule="auto"/>
        <w:jc w:val="both"/>
      </w:pPr>
    </w:p>
    <w:p w14:paraId="00D2B6E1" w14:textId="77777777" w:rsidR="00716AEA" w:rsidRDefault="00716AEA" w:rsidP="00716AEA">
      <w:pPr>
        <w:spacing w:line="276" w:lineRule="auto"/>
        <w:jc w:val="both"/>
      </w:pPr>
      <w:r>
        <w:t>Briguglio (2022), in a document outlining the literature on economic growth and development of S&amp;IS, breaks the literature into three thematic types:</w:t>
      </w:r>
    </w:p>
    <w:p w14:paraId="2EBE8F0F" w14:textId="77777777" w:rsidR="00716AEA" w:rsidRDefault="00716AEA" w:rsidP="00716AEA">
      <w:pPr>
        <w:numPr>
          <w:ilvl w:val="0"/>
          <w:numId w:val="6"/>
        </w:numPr>
        <w:pBdr>
          <w:top w:val="nil"/>
          <w:left w:val="nil"/>
          <w:bottom w:val="nil"/>
          <w:right w:val="nil"/>
          <w:between w:val="nil"/>
        </w:pBdr>
        <w:spacing w:line="276" w:lineRule="auto"/>
        <w:jc w:val="both"/>
      </w:pPr>
      <w:r>
        <w:rPr>
          <w:color w:val="000000"/>
        </w:rPr>
        <w:t>One emphasises the structural weaknesses of S&amp;IS and adopts a fatalistic stance that these handicaps are insurmountable.</w:t>
      </w:r>
    </w:p>
    <w:p w14:paraId="5F830A91" w14:textId="77777777" w:rsidR="00716AEA" w:rsidRDefault="00716AEA" w:rsidP="00716AEA">
      <w:pPr>
        <w:numPr>
          <w:ilvl w:val="0"/>
          <w:numId w:val="6"/>
        </w:numPr>
        <w:pBdr>
          <w:top w:val="nil"/>
          <w:left w:val="nil"/>
          <w:bottom w:val="nil"/>
          <w:right w:val="nil"/>
          <w:between w:val="nil"/>
        </w:pBdr>
        <w:spacing w:line="276" w:lineRule="auto"/>
        <w:jc w:val="both"/>
      </w:pPr>
      <w:r>
        <w:rPr>
          <w:color w:val="000000"/>
        </w:rPr>
        <w:t>One arguing that S&amp;IS have inherent weaknesses, but that these can be addressed with appropriate economic and social policies.</w:t>
      </w:r>
    </w:p>
    <w:p w14:paraId="41393308" w14:textId="77777777" w:rsidR="00716AEA" w:rsidRPr="00476417" w:rsidRDefault="00716AEA" w:rsidP="00716AEA">
      <w:pPr>
        <w:numPr>
          <w:ilvl w:val="0"/>
          <w:numId w:val="6"/>
        </w:numPr>
        <w:pBdr>
          <w:top w:val="nil"/>
          <w:left w:val="nil"/>
          <w:bottom w:val="nil"/>
          <w:right w:val="nil"/>
          <w:between w:val="nil"/>
        </w:pBdr>
        <w:spacing w:line="276" w:lineRule="auto"/>
        <w:jc w:val="both"/>
      </w:pPr>
      <w:r w:rsidRPr="00BA7F0E">
        <w:rPr>
          <w:color w:val="000000"/>
        </w:rPr>
        <w:t>One that argues S&amp;IS are no different to larger states and there should be no fundamental difference in economic policies pursued and approach to development (beyond the idiosyncratic differences each state globally takes based on its comparative advantages and disadvantages).</w:t>
      </w:r>
    </w:p>
    <w:p w14:paraId="4A678DAD" w14:textId="77777777" w:rsidR="00716AEA" w:rsidRDefault="00716AEA" w:rsidP="00716AEA">
      <w:pPr>
        <w:pBdr>
          <w:top w:val="nil"/>
          <w:left w:val="nil"/>
          <w:bottom w:val="nil"/>
          <w:right w:val="nil"/>
          <w:between w:val="nil"/>
        </w:pBdr>
        <w:spacing w:line="276" w:lineRule="auto"/>
        <w:jc w:val="both"/>
        <w:rPr>
          <w:color w:val="000000"/>
        </w:rPr>
      </w:pPr>
    </w:p>
    <w:p w14:paraId="01B3028A" w14:textId="77777777" w:rsidR="00716AEA" w:rsidRDefault="00716AEA" w:rsidP="00716AEA">
      <w:pPr>
        <w:pBdr>
          <w:top w:val="nil"/>
          <w:left w:val="nil"/>
          <w:bottom w:val="nil"/>
          <w:right w:val="nil"/>
          <w:between w:val="nil"/>
        </w:pBdr>
        <w:spacing w:line="276" w:lineRule="auto"/>
        <w:jc w:val="both"/>
        <w:rPr>
          <w:color w:val="000000"/>
        </w:rPr>
      </w:pPr>
    </w:p>
    <w:p w14:paraId="4B750FB2" w14:textId="77777777" w:rsidR="00716AEA" w:rsidRDefault="00716AEA" w:rsidP="00716AEA">
      <w:pPr>
        <w:pBdr>
          <w:top w:val="nil"/>
          <w:left w:val="nil"/>
          <w:bottom w:val="nil"/>
          <w:right w:val="nil"/>
          <w:between w:val="nil"/>
        </w:pBdr>
        <w:spacing w:line="276" w:lineRule="auto"/>
        <w:jc w:val="both"/>
        <w:rPr>
          <w:color w:val="000000"/>
        </w:rPr>
      </w:pPr>
    </w:p>
    <w:p w14:paraId="64E7F5E8" w14:textId="77777777" w:rsidR="00716AEA" w:rsidRDefault="00716AEA" w:rsidP="00716AEA">
      <w:pPr>
        <w:pBdr>
          <w:top w:val="nil"/>
          <w:left w:val="nil"/>
          <w:bottom w:val="nil"/>
          <w:right w:val="nil"/>
          <w:between w:val="nil"/>
        </w:pBdr>
        <w:spacing w:line="276" w:lineRule="auto"/>
        <w:jc w:val="both"/>
        <w:rPr>
          <w:color w:val="000000"/>
        </w:rPr>
      </w:pPr>
    </w:p>
    <w:p w14:paraId="31D1B8BF" w14:textId="77777777" w:rsidR="00716AEA" w:rsidRDefault="00716AEA" w:rsidP="00716AEA">
      <w:pPr>
        <w:pBdr>
          <w:top w:val="nil"/>
          <w:left w:val="nil"/>
          <w:bottom w:val="nil"/>
          <w:right w:val="nil"/>
          <w:between w:val="nil"/>
        </w:pBdr>
        <w:spacing w:line="276" w:lineRule="auto"/>
        <w:jc w:val="both"/>
        <w:rPr>
          <w:color w:val="000000"/>
        </w:rPr>
      </w:pPr>
    </w:p>
    <w:p w14:paraId="55A94DB4" w14:textId="77777777" w:rsidR="00716AEA" w:rsidRDefault="00716AEA" w:rsidP="00716AEA">
      <w:pPr>
        <w:pBdr>
          <w:top w:val="nil"/>
          <w:left w:val="nil"/>
          <w:bottom w:val="nil"/>
          <w:right w:val="nil"/>
          <w:between w:val="nil"/>
        </w:pBdr>
        <w:spacing w:line="276" w:lineRule="auto"/>
        <w:jc w:val="both"/>
        <w:rPr>
          <w:color w:val="000000"/>
        </w:rPr>
      </w:pPr>
    </w:p>
    <w:p w14:paraId="5B16D5D2" w14:textId="77777777" w:rsidR="00716AEA" w:rsidRDefault="00716AEA" w:rsidP="00716AEA">
      <w:pPr>
        <w:pBdr>
          <w:top w:val="nil"/>
          <w:left w:val="nil"/>
          <w:bottom w:val="nil"/>
          <w:right w:val="nil"/>
          <w:between w:val="nil"/>
        </w:pBdr>
        <w:spacing w:line="276" w:lineRule="auto"/>
        <w:jc w:val="both"/>
        <w:rPr>
          <w:color w:val="000000"/>
        </w:rPr>
      </w:pPr>
    </w:p>
    <w:p w14:paraId="1615B48E" w14:textId="77777777" w:rsidR="00716AEA" w:rsidRDefault="00716AEA" w:rsidP="00716AEA">
      <w:pPr>
        <w:pBdr>
          <w:top w:val="nil"/>
          <w:left w:val="nil"/>
          <w:bottom w:val="nil"/>
          <w:right w:val="nil"/>
          <w:between w:val="nil"/>
        </w:pBdr>
        <w:spacing w:line="276" w:lineRule="auto"/>
        <w:jc w:val="both"/>
        <w:rPr>
          <w:color w:val="000000"/>
        </w:rPr>
      </w:pPr>
    </w:p>
    <w:p w14:paraId="59BC6834" w14:textId="77777777" w:rsidR="00716AEA" w:rsidRDefault="00716AEA" w:rsidP="00716AEA">
      <w:pPr>
        <w:pBdr>
          <w:top w:val="nil"/>
          <w:left w:val="nil"/>
          <w:bottom w:val="nil"/>
          <w:right w:val="nil"/>
          <w:between w:val="nil"/>
        </w:pBdr>
        <w:spacing w:line="276" w:lineRule="auto"/>
        <w:jc w:val="both"/>
        <w:rPr>
          <w:color w:val="000000"/>
        </w:rPr>
      </w:pPr>
    </w:p>
    <w:p w14:paraId="2BF66AB5" w14:textId="77777777" w:rsidR="00716AEA" w:rsidRDefault="00716AEA" w:rsidP="00716AEA">
      <w:pPr>
        <w:pBdr>
          <w:top w:val="nil"/>
          <w:left w:val="nil"/>
          <w:bottom w:val="nil"/>
          <w:right w:val="nil"/>
          <w:between w:val="nil"/>
        </w:pBdr>
        <w:spacing w:line="276" w:lineRule="auto"/>
        <w:jc w:val="both"/>
        <w:rPr>
          <w:color w:val="000000"/>
        </w:rPr>
      </w:pPr>
    </w:p>
    <w:p w14:paraId="27687719" w14:textId="77777777" w:rsidR="00716AEA" w:rsidRDefault="00716AEA" w:rsidP="00716AEA">
      <w:pPr>
        <w:pBdr>
          <w:top w:val="nil"/>
          <w:left w:val="nil"/>
          <w:bottom w:val="nil"/>
          <w:right w:val="nil"/>
          <w:between w:val="nil"/>
        </w:pBdr>
        <w:spacing w:line="276" w:lineRule="auto"/>
        <w:jc w:val="both"/>
        <w:rPr>
          <w:color w:val="000000"/>
        </w:rPr>
      </w:pPr>
    </w:p>
    <w:p w14:paraId="6DADCFA6" w14:textId="77777777" w:rsidR="00716AEA" w:rsidRDefault="00716AEA" w:rsidP="00716AEA">
      <w:pPr>
        <w:pBdr>
          <w:top w:val="nil"/>
          <w:left w:val="nil"/>
          <w:bottom w:val="nil"/>
          <w:right w:val="nil"/>
          <w:between w:val="nil"/>
        </w:pBdr>
        <w:spacing w:line="276" w:lineRule="auto"/>
        <w:jc w:val="both"/>
        <w:rPr>
          <w:color w:val="000000"/>
        </w:rPr>
        <w:sectPr w:rsidR="00716AEA" w:rsidSect="00716AEA">
          <w:footerReference w:type="even" r:id="rId16"/>
          <w:footerReference w:type="default" r:id="rId17"/>
          <w:pgSz w:w="11900" w:h="16840"/>
          <w:pgMar w:top="1440" w:right="1440" w:bottom="1440" w:left="1440" w:header="720" w:footer="720" w:gutter="0"/>
          <w:cols w:space="720"/>
          <w:docGrid w:linePitch="360"/>
        </w:sectPr>
      </w:pPr>
    </w:p>
    <w:p w14:paraId="4003FDC7" w14:textId="77777777" w:rsidR="00716AEA" w:rsidRPr="00D23B25" w:rsidRDefault="00716AEA" w:rsidP="00716AEA">
      <w:pPr>
        <w:pBdr>
          <w:top w:val="nil"/>
          <w:left w:val="nil"/>
          <w:bottom w:val="nil"/>
          <w:right w:val="nil"/>
          <w:between w:val="nil"/>
        </w:pBdr>
        <w:spacing w:line="276" w:lineRule="auto"/>
        <w:jc w:val="both"/>
        <w:rPr>
          <w:b/>
          <w:bCs/>
          <w:color w:val="000000"/>
        </w:rPr>
      </w:pPr>
      <w:r w:rsidRPr="00035F28">
        <w:rPr>
          <w:b/>
          <w:bCs/>
          <w:color w:val="000000"/>
        </w:rPr>
        <w:lastRenderedPageBreak/>
        <w:t>Appendix C</w:t>
      </w:r>
    </w:p>
    <w:tbl>
      <w:tblPr>
        <w:tblW w:w="13960" w:type="dxa"/>
        <w:tblLayout w:type="fixed"/>
        <w:tblLook w:val="0400" w:firstRow="0" w:lastRow="0" w:firstColumn="0" w:lastColumn="0" w:noHBand="0" w:noVBand="1"/>
      </w:tblPr>
      <w:tblGrid>
        <w:gridCol w:w="1399"/>
        <w:gridCol w:w="2100"/>
        <w:gridCol w:w="2079"/>
        <w:gridCol w:w="2062"/>
        <w:gridCol w:w="1937"/>
        <w:gridCol w:w="1926"/>
        <w:gridCol w:w="2457"/>
      </w:tblGrid>
      <w:tr w:rsidR="00716AEA" w14:paraId="47ABC386" w14:textId="77777777" w:rsidTr="00302C5C">
        <w:trPr>
          <w:trHeight w:val="294"/>
        </w:trPr>
        <w:tc>
          <w:tcPr>
            <w:tcW w:w="13960" w:type="dxa"/>
            <w:gridSpan w:val="7"/>
            <w:tcBorders>
              <w:top w:val="single" w:sz="8" w:space="0" w:color="000000"/>
              <w:left w:val="nil"/>
              <w:bottom w:val="single" w:sz="4" w:space="0" w:color="000000"/>
              <w:right w:val="nil"/>
            </w:tcBorders>
            <w:tcMar>
              <w:top w:w="15" w:type="dxa"/>
              <w:left w:w="15" w:type="dxa"/>
              <w:bottom w:w="0" w:type="dxa"/>
              <w:right w:w="15" w:type="dxa"/>
            </w:tcMar>
            <w:vAlign w:val="bottom"/>
          </w:tcPr>
          <w:p w14:paraId="742B997A" w14:textId="77777777" w:rsidR="00716AEA" w:rsidRDefault="00716AEA" w:rsidP="00302C5C">
            <w:pPr>
              <w:jc w:val="center"/>
              <w:rPr>
                <w:b/>
                <w:color w:val="000000"/>
                <w:sz w:val="20"/>
                <w:szCs w:val="20"/>
              </w:rPr>
            </w:pPr>
            <w:r>
              <w:rPr>
                <w:b/>
                <w:color w:val="000000"/>
                <w:sz w:val="20"/>
                <w:szCs w:val="20"/>
              </w:rPr>
              <w:t xml:space="preserve">Health System Resilience Measures (IHR SPAR, GHS, </w:t>
            </w:r>
            <w:proofErr w:type="spellStart"/>
            <w:r>
              <w:rPr>
                <w:b/>
                <w:color w:val="000000"/>
                <w:sz w:val="20"/>
                <w:szCs w:val="20"/>
              </w:rPr>
              <w:t>Karamagi</w:t>
            </w:r>
            <w:proofErr w:type="spellEnd"/>
            <w:r>
              <w:rPr>
                <w:b/>
                <w:color w:val="000000"/>
                <w:sz w:val="20"/>
                <w:szCs w:val="20"/>
              </w:rPr>
              <w:t xml:space="preserve"> et al. (2022))</w:t>
            </w:r>
          </w:p>
        </w:tc>
      </w:tr>
      <w:tr w:rsidR="00716AEA" w14:paraId="3BB4A9DA" w14:textId="77777777" w:rsidTr="00302C5C">
        <w:trPr>
          <w:trHeight w:val="1250"/>
        </w:trPr>
        <w:tc>
          <w:tcPr>
            <w:tcW w:w="1399" w:type="dxa"/>
            <w:tcBorders>
              <w:top w:val="nil"/>
              <w:left w:val="nil"/>
              <w:bottom w:val="single" w:sz="4" w:space="0" w:color="000000"/>
              <w:right w:val="nil"/>
            </w:tcBorders>
            <w:tcMar>
              <w:top w:w="15" w:type="dxa"/>
              <w:left w:w="15" w:type="dxa"/>
              <w:bottom w:w="0" w:type="dxa"/>
              <w:right w:w="15" w:type="dxa"/>
            </w:tcMar>
            <w:vAlign w:val="center"/>
          </w:tcPr>
          <w:p w14:paraId="2378BC3B" w14:textId="77777777" w:rsidR="00716AEA" w:rsidRDefault="00716AEA" w:rsidP="00302C5C">
            <w:pPr>
              <w:jc w:val="both"/>
              <w:rPr>
                <w:b/>
                <w:color w:val="000000"/>
                <w:sz w:val="20"/>
                <w:szCs w:val="20"/>
              </w:rPr>
            </w:pPr>
            <w:r>
              <w:rPr>
                <w:b/>
                <w:color w:val="000000"/>
                <w:sz w:val="20"/>
                <w:szCs w:val="20"/>
              </w:rPr>
              <w:t>Country</w:t>
            </w:r>
          </w:p>
        </w:tc>
        <w:tc>
          <w:tcPr>
            <w:tcW w:w="2100" w:type="dxa"/>
            <w:tcBorders>
              <w:top w:val="nil"/>
              <w:left w:val="nil"/>
              <w:bottom w:val="single" w:sz="4" w:space="0" w:color="000000"/>
              <w:right w:val="nil"/>
            </w:tcBorders>
            <w:tcMar>
              <w:top w:w="15" w:type="dxa"/>
              <w:left w:w="15" w:type="dxa"/>
              <w:bottom w:w="0" w:type="dxa"/>
              <w:right w:w="15" w:type="dxa"/>
            </w:tcMar>
            <w:vAlign w:val="center"/>
          </w:tcPr>
          <w:p w14:paraId="69D9E106" w14:textId="77777777" w:rsidR="00716AEA" w:rsidRDefault="00716AEA" w:rsidP="00302C5C">
            <w:pPr>
              <w:jc w:val="center"/>
              <w:rPr>
                <w:b/>
                <w:color w:val="000000"/>
                <w:sz w:val="20"/>
                <w:szCs w:val="20"/>
              </w:rPr>
            </w:pPr>
            <w:r>
              <w:rPr>
                <w:b/>
                <w:color w:val="000000"/>
                <w:sz w:val="20"/>
                <w:szCs w:val="20"/>
              </w:rPr>
              <w:t>Average of 13 IHR core capacity scores (2018)</w:t>
            </w:r>
          </w:p>
        </w:tc>
        <w:tc>
          <w:tcPr>
            <w:tcW w:w="2079" w:type="dxa"/>
            <w:tcBorders>
              <w:top w:val="nil"/>
              <w:left w:val="nil"/>
              <w:bottom w:val="single" w:sz="4" w:space="0" w:color="000000"/>
              <w:right w:val="nil"/>
            </w:tcBorders>
            <w:tcMar>
              <w:top w:w="15" w:type="dxa"/>
              <w:left w:w="15" w:type="dxa"/>
              <w:bottom w:w="0" w:type="dxa"/>
              <w:right w:w="15" w:type="dxa"/>
            </w:tcMar>
            <w:vAlign w:val="center"/>
          </w:tcPr>
          <w:p w14:paraId="669A88DB" w14:textId="77777777" w:rsidR="00716AEA" w:rsidRDefault="00716AEA" w:rsidP="00302C5C">
            <w:pPr>
              <w:jc w:val="center"/>
              <w:rPr>
                <w:b/>
                <w:color w:val="000000"/>
                <w:sz w:val="20"/>
                <w:szCs w:val="20"/>
              </w:rPr>
            </w:pPr>
            <w:r>
              <w:rPr>
                <w:b/>
                <w:color w:val="000000"/>
                <w:sz w:val="20"/>
                <w:szCs w:val="20"/>
              </w:rPr>
              <w:t>Average of 13 IHR core capacity scores (2019)</w:t>
            </w:r>
          </w:p>
        </w:tc>
        <w:tc>
          <w:tcPr>
            <w:tcW w:w="2062" w:type="dxa"/>
            <w:tcBorders>
              <w:top w:val="nil"/>
              <w:left w:val="nil"/>
              <w:bottom w:val="single" w:sz="4" w:space="0" w:color="000000"/>
              <w:right w:val="nil"/>
            </w:tcBorders>
            <w:tcMar>
              <w:top w:w="15" w:type="dxa"/>
              <w:left w:w="15" w:type="dxa"/>
              <w:bottom w:w="0" w:type="dxa"/>
              <w:right w:w="15" w:type="dxa"/>
            </w:tcMar>
            <w:vAlign w:val="center"/>
          </w:tcPr>
          <w:p w14:paraId="5181260E" w14:textId="77777777" w:rsidR="00716AEA" w:rsidRDefault="00716AEA" w:rsidP="00302C5C">
            <w:pPr>
              <w:jc w:val="center"/>
              <w:rPr>
                <w:b/>
                <w:color w:val="000000"/>
                <w:sz w:val="20"/>
                <w:szCs w:val="20"/>
              </w:rPr>
            </w:pPr>
            <w:r>
              <w:rPr>
                <w:b/>
                <w:color w:val="000000"/>
                <w:sz w:val="20"/>
                <w:szCs w:val="20"/>
              </w:rPr>
              <w:t>Average of 13 IHR core capacity scores (2020)</w:t>
            </w:r>
          </w:p>
        </w:tc>
        <w:tc>
          <w:tcPr>
            <w:tcW w:w="1937" w:type="dxa"/>
            <w:tcBorders>
              <w:top w:val="nil"/>
              <w:left w:val="nil"/>
              <w:bottom w:val="single" w:sz="4" w:space="0" w:color="000000"/>
              <w:right w:val="nil"/>
            </w:tcBorders>
            <w:tcMar>
              <w:top w:w="15" w:type="dxa"/>
              <w:left w:w="15" w:type="dxa"/>
              <w:bottom w:w="0" w:type="dxa"/>
              <w:right w:w="15" w:type="dxa"/>
            </w:tcMar>
            <w:vAlign w:val="center"/>
          </w:tcPr>
          <w:p w14:paraId="629DC186" w14:textId="77777777" w:rsidR="00716AEA" w:rsidRDefault="00716AEA" w:rsidP="00302C5C">
            <w:pPr>
              <w:jc w:val="center"/>
              <w:rPr>
                <w:b/>
                <w:color w:val="000000"/>
                <w:sz w:val="20"/>
                <w:szCs w:val="20"/>
              </w:rPr>
            </w:pPr>
            <w:r>
              <w:rPr>
                <w:b/>
                <w:color w:val="000000"/>
                <w:sz w:val="20"/>
                <w:szCs w:val="20"/>
              </w:rPr>
              <w:t>Global Health Security 2019: Overall Index</w:t>
            </w:r>
          </w:p>
        </w:tc>
        <w:tc>
          <w:tcPr>
            <w:tcW w:w="1926" w:type="dxa"/>
            <w:tcBorders>
              <w:top w:val="nil"/>
              <w:left w:val="nil"/>
              <w:bottom w:val="single" w:sz="4" w:space="0" w:color="000000"/>
              <w:right w:val="nil"/>
            </w:tcBorders>
            <w:tcMar>
              <w:top w:w="15" w:type="dxa"/>
              <w:left w:w="15" w:type="dxa"/>
              <w:bottom w:w="0" w:type="dxa"/>
              <w:right w:w="15" w:type="dxa"/>
            </w:tcMar>
            <w:vAlign w:val="center"/>
          </w:tcPr>
          <w:p w14:paraId="591614BC" w14:textId="77777777" w:rsidR="00716AEA" w:rsidRDefault="00716AEA" w:rsidP="00302C5C">
            <w:pPr>
              <w:jc w:val="center"/>
              <w:rPr>
                <w:b/>
                <w:color w:val="000000"/>
                <w:sz w:val="20"/>
                <w:szCs w:val="20"/>
              </w:rPr>
            </w:pPr>
            <w:r>
              <w:rPr>
                <w:b/>
                <w:color w:val="000000"/>
                <w:sz w:val="20"/>
                <w:szCs w:val="20"/>
              </w:rPr>
              <w:t>Global Health Security 2021: Overall Index</w:t>
            </w:r>
          </w:p>
        </w:tc>
        <w:tc>
          <w:tcPr>
            <w:tcW w:w="2457" w:type="dxa"/>
            <w:tcBorders>
              <w:top w:val="nil"/>
              <w:left w:val="nil"/>
              <w:bottom w:val="single" w:sz="4" w:space="0" w:color="000000"/>
              <w:right w:val="nil"/>
            </w:tcBorders>
            <w:tcMar>
              <w:top w:w="15" w:type="dxa"/>
              <w:left w:w="15" w:type="dxa"/>
              <w:bottom w:w="0" w:type="dxa"/>
              <w:right w:w="15" w:type="dxa"/>
            </w:tcMar>
            <w:vAlign w:val="center"/>
          </w:tcPr>
          <w:p w14:paraId="3F264F15" w14:textId="77777777" w:rsidR="00716AEA" w:rsidRDefault="00716AEA" w:rsidP="00302C5C">
            <w:pPr>
              <w:jc w:val="center"/>
              <w:rPr>
                <w:b/>
                <w:color w:val="000000"/>
                <w:sz w:val="20"/>
                <w:szCs w:val="20"/>
              </w:rPr>
            </w:pPr>
            <w:proofErr w:type="spellStart"/>
            <w:r>
              <w:rPr>
                <w:b/>
                <w:color w:val="000000"/>
                <w:sz w:val="20"/>
                <w:szCs w:val="20"/>
              </w:rPr>
              <w:t>Karamagi</w:t>
            </w:r>
            <w:proofErr w:type="spellEnd"/>
            <w:r>
              <w:rPr>
                <w:b/>
                <w:color w:val="000000"/>
                <w:sz w:val="20"/>
                <w:szCs w:val="20"/>
              </w:rPr>
              <w:t xml:space="preserve"> et al. (2022) Inherent System Resilience Score</w:t>
            </w:r>
          </w:p>
        </w:tc>
      </w:tr>
      <w:tr w:rsidR="00716AEA" w14:paraId="13410725"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1CE4E624" w14:textId="77777777" w:rsidR="00716AEA" w:rsidRDefault="00716AEA" w:rsidP="00302C5C">
            <w:pPr>
              <w:jc w:val="both"/>
              <w:rPr>
                <w:color w:val="000000"/>
                <w:sz w:val="20"/>
                <w:szCs w:val="20"/>
              </w:rPr>
            </w:pPr>
            <w:r>
              <w:rPr>
                <w:color w:val="000000"/>
                <w:sz w:val="20"/>
                <w:szCs w:val="20"/>
              </w:rPr>
              <w:t>Botswana</w:t>
            </w:r>
          </w:p>
        </w:tc>
        <w:tc>
          <w:tcPr>
            <w:tcW w:w="2100" w:type="dxa"/>
            <w:tcBorders>
              <w:top w:val="nil"/>
              <w:left w:val="nil"/>
              <w:bottom w:val="nil"/>
              <w:right w:val="nil"/>
            </w:tcBorders>
            <w:tcMar>
              <w:top w:w="15" w:type="dxa"/>
              <w:left w:w="15" w:type="dxa"/>
              <w:bottom w:w="0" w:type="dxa"/>
              <w:right w:w="15" w:type="dxa"/>
            </w:tcMar>
            <w:vAlign w:val="center"/>
          </w:tcPr>
          <w:p w14:paraId="145DB3AB" w14:textId="77777777" w:rsidR="00716AEA" w:rsidRDefault="00716AEA" w:rsidP="00302C5C">
            <w:pPr>
              <w:jc w:val="center"/>
              <w:rPr>
                <w:color w:val="000000"/>
                <w:sz w:val="20"/>
                <w:szCs w:val="20"/>
              </w:rPr>
            </w:pPr>
            <w:r>
              <w:rPr>
                <w:color w:val="000000"/>
                <w:sz w:val="20"/>
                <w:szCs w:val="20"/>
              </w:rPr>
              <w:t>26</w:t>
            </w:r>
          </w:p>
        </w:tc>
        <w:tc>
          <w:tcPr>
            <w:tcW w:w="2079" w:type="dxa"/>
            <w:tcBorders>
              <w:top w:val="nil"/>
              <w:left w:val="nil"/>
              <w:bottom w:val="nil"/>
              <w:right w:val="nil"/>
            </w:tcBorders>
            <w:tcMar>
              <w:top w:w="15" w:type="dxa"/>
              <w:left w:w="15" w:type="dxa"/>
              <w:bottom w:w="0" w:type="dxa"/>
              <w:right w:w="15" w:type="dxa"/>
            </w:tcMar>
            <w:vAlign w:val="center"/>
          </w:tcPr>
          <w:p w14:paraId="69C270A0" w14:textId="77777777" w:rsidR="00716AEA" w:rsidRDefault="00716AEA" w:rsidP="00302C5C">
            <w:pPr>
              <w:jc w:val="center"/>
              <w:rPr>
                <w:color w:val="000000"/>
                <w:sz w:val="20"/>
                <w:szCs w:val="20"/>
              </w:rPr>
            </w:pPr>
            <w:r>
              <w:rPr>
                <w:color w:val="000000"/>
                <w:sz w:val="20"/>
                <w:szCs w:val="20"/>
              </w:rPr>
              <w:t>30</w:t>
            </w:r>
          </w:p>
        </w:tc>
        <w:tc>
          <w:tcPr>
            <w:tcW w:w="2062" w:type="dxa"/>
            <w:tcBorders>
              <w:top w:val="nil"/>
              <w:left w:val="nil"/>
              <w:bottom w:val="nil"/>
              <w:right w:val="nil"/>
            </w:tcBorders>
            <w:tcMar>
              <w:top w:w="15" w:type="dxa"/>
              <w:left w:w="15" w:type="dxa"/>
              <w:bottom w:w="0" w:type="dxa"/>
              <w:right w:w="15" w:type="dxa"/>
            </w:tcMar>
            <w:vAlign w:val="center"/>
          </w:tcPr>
          <w:p w14:paraId="63678B3B" w14:textId="77777777" w:rsidR="00716AEA" w:rsidRDefault="00716AEA" w:rsidP="00302C5C">
            <w:pPr>
              <w:jc w:val="center"/>
              <w:rPr>
                <w:color w:val="000000"/>
                <w:sz w:val="20"/>
                <w:szCs w:val="20"/>
              </w:rPr>
            </w:pPr>
            <w:r>
              <w:rPr>
                <w:color w:val="000000"/>
                <w:sz w:val="20"/>
                <w:szCs w:val="20"/>
              </w:rPr>
              <w:t>43</w:t>
            </w:r>
          </w:p>
        </w:tc>
        <w:tc>
          <w:tcPr>
            <w:tcW w:w="1937" w:type="dxa"/>
            <w:tcBorders>
              <w:top w:val="nil"/>
              <w:left w:val="nil"/>
              <w:bottom w:val="nil"/>
              <w:right w:val="nil"/>
            </w:tcBorders>
            <w:tcMar>
              <w:top w:w="15" w:type="dxa"/>
              <w:left w:w="15" w:type="dxa"/>
              <w:bottom w:w="0" w:type="dxa"/>
              <w:right w:w="15" w:type="dxa"/>
            </w:tcMar>
            <w:vAlign w:val="bottom"/>
          </w:tcPr>
          <w:p w14:paraId="16553FDC" w14:textId="77777777" w:rsidR="00716AEA" w:rsidRDefault="00716AEA" w:rsidP="00302C5C">
            <w:pPr>
              <w:jc w:val="center"/>
              <w:rPr>
                <w:color w:val="000000"/>
                <w:sz w:val="20"/>
                <w:szCs w:val="20"/>
              </w:rPr>
            </w:pPr>
            <w:r>
              <w:rPr>
                <w:color w:val="000000"/>
                <w:sz w:val="20"/>
                <w:szCs w:val="20"/>
              </w:rPr>
              <w:t>31</w:t>
            </w:r>
          </w:p>
        </w:tc>
        <w:tc>
          <w:tcPr>
            <w:tcW w:w="1926" w:type="dxa"/>
            <w:tcBorders>
              <w:top w:val="nil"/>
              <w:left w:val="nil"/>
              <w:bottom w:val="nil"/>
              <w:right w:val="nil"/>
            </w:tcBorders>
            <w:tcMar>
              <w:top w:w="15" w:type="dxa"/>
              <w:left w:w="15" w:type="dxa"/>
              <w:bottom w:w="0" w:type="dxa"/>
              <w:right w:w="15" w:type="dxa"/>
            </w:tcMar>
            <w:vAlign w:val="bottom"/>
          </w:tcPr>
          <w:p w14:paraId="5F7FA433" w14:textId="77777777" w:rsidR="00716AEA" w:rsidRDefault="00716AEA" w:rsidP="00302C5C">
            <w:pPr>
              <w:jc w:val="center"/>
              <w:rPr>
                <w:color w:val="000000"/>
                <w:sz w:val="20"/>
                <w:szCs w:val="20"/>
              </w:rPr>
            </w:pPr>
            <w:r>
              <w:rPr>
                <w:color w:val="000000"/>
                <w:sz w:val="20"/>
                <w:szCs w:val="20"/>
              </w:rPr>
              <w:t>34</w:t>
            </w:r>
          </w:p>
        </w:tc>
        <w:tc>
          <w:tcPr>
            <w:tcW w:w="2457" w:type="dxa"/>
            <w:tcBorders>
              <w:top w:val="nil"/>
              <w:left w:val="nil"/>
              <w:bottom w:val="nil"/>
              <w:right w:val="nil"/>
            </w:tcBorders>
            <w:tcMar>
              <w:top w:w="15" w:type="dxa"/>
              <w:left w:w="15" w:type="dxa"/>
              <w:bottom w:w="0" w:type="dxa"/>
              <w:right w:w="15" w:type="dxa"/>
            </w:tcMar>
            <w:vAlign w:val="bottom"/>
          </w:tcPr>
          <w:p w14:paraId="3ECB2B18" w14:textId="77777777" w:rsidR="00716AEA" w:rsidRDefault="00716AEA" w:rsidP="00302C5C">
            <w:pPr>
              <w:jc w:val="center"/>
              <w:rPr>
                <w:color w:val="000000"/>
                <w:sz w:val="20"/>
                <w:szCs w:val="20"/>
              </w:rPr>
            </w:pPr>
            <w:r>
              <w:rPr>
                <w:color w:val="000000"/>
                <w:sz w:val="20"/>
                <w:szCs w:val="20"/>
              </w:rPr>
              <w:t>70</w:t>
            </w:r>
          </w:p>
        </w:tc>
      </w:tr>
      <w:tr w:rsidR="00716AEA" w14:paraId="13458F82"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40BBDE99" w14:textId="77777777" w:rsidR="00716AEA" w:rsidRDefault="00716AEA" w:rsidP="00302C5C">
            <w:pPr>
              <w:jc w:val="both"/>
              <w:rPr>
                <w:color w:val="000000"/>
                <w:sz w:val="20"/>
                <w:szCs w:val="20"/>
              </w:rPr>
            </w:pPr>
            <w:r>
              <w:rPr>
                <w:color w:val="000000"/>
                <w:sz w:val="20"/>
                <w:szCs w:val="20"/>
              </w:rPr>
              <w:t>Cape Verde</w:t>
            </w:r>
          </w:p>
        </w:tc>
        <w:tc>
          <w:tcPr>
            <w:tcW w:w="2100" w:type="dxa"/>
            <w:tcBorders>
              <w:top w:val="nil"/>
              <w:left w:val="nil"/>
              <w:bottom w:val="nil"/>
              <w:right w:val="nil"/>
            </w:tcBorders>
            <w:tcMar>
              <w:top w:w="15" w:type="dxa"/>
              <w:left w:w="15" w:type="dxa"/>
              <w:bottom w:w="0" w:type="dxa"/>
              <w:right w:w="15" w:type="dxa"/>
            </w:tcMar>
            <w:vAlign w:val="center"/>
          </w:tcPr>
          <w:p w14:paraId="02576A5A" w14:textId="77777777" w:rsidR="00716AEA" w:rsidRDefault="00716AEA" w:rsidP="00302C5C">
            <w:pPr>
              <w:jc w:val="center"/>
              <w:rPr>
                <w:color w:val="000000"/>
                <w:sz w:val="20"/>
                <w:szCs w:val="20"/>
              </w:rPr>
            </w:pPr>
            <w:r>
              <w:rPr>
                <w:color w:val="000000"/>
                <w:sz w:val="20"/>
                <w:szCs w:val="20"/>
              </w:rPr>
              <w:t>46</w:t>
            </w:r>
          </w:p>
        </w:tc>
        <w:tc>
          <w:tcPr>
            <w:tcW w:w="2079" w:type="dxa"/>
            <w:tcBorders>
              <w:top w:val="nil"/>
              <w:left w:val="nil"/>
              <w:bottom w:val="nil"/>
              <w:right w:val="nil"/>
            </w:tcBorders>
            <w:tcMar>
              <w:top w:w="15" w:type="dxa"/>
              <w:left w:w="15" w:type="dxa"/>
              <w:bottom w:w="0" w:type="dxa"/>
              <w:right w:w="15" w:type="dxa"/>
            </w:tcMar>
            <w:vAlign w:val="center"/>
          </w:tcPr>
          <w:p w14:paraId="6E97BF35" w14:textId="77777777" w:rsidR="00716AEA" w:rsidRDefault="00716AEA" w:rsidP="00302C5C">
            <w:pPr>
              <w:jc w:val="center"/>
              <w:rPr>
                <w:color w:val="000000"/>
                <w:sz w:val="20"/>
                <w:szCs w:val="20"/>
              </w:rPr>
            </w:pPr>
            <w:r>
              <w:rPr>
                <w:color w:val="000000"/>
                <w:sz w:val="20"/>
                <w:szCs w:val="20"/>
              </w:rPr>
              <w:t>48</w:t>
            </w:r>
          </w:p>
        </w:tc>
        <w:tc>
          <w:tcPr>
            <w:tcW w:w="2062" w:type="dxa"/>
            <w:tcBorders>
              <w:top w:val="nil"/>
              <w:left w:val="nil"/>
              <w:bottom w:val="nil"/>
              <w:right w:val="nil"/>
            </w:tcBorders>
            <w:tcMar>
              <w:top w:w="15" w:type="dxa"/>
              <w:left w:w="15" w:type="dxa"/>
              <w:bottom w:w="0" w:type="dxa"/>
              <w:right w:w="15" w:type="dxa"/>
            </w:tcMar>
            <w:vAlign w:val="center"/>
          </w:tcPr>
          <w:p w14:paraId="4E8F3D28" w14:textId="77777777" w:rsidR="00716AEA" w:rsidRDefault="00716AEA" w:rsidP="00302C5C">
            <w:pPr>
              <w:jc w:val="center"/>
              <w:rPr>
                <w:color w:val="000000"/>
                <w:sz w:val="20"/>
                <w:szCs w:val="20"/>
              </w:rPr>
            </w:pPr>
            <w:r>
              <w:rPr>
                <w:color w:val="000000"/>
                <w:sz w:val="20"/>
                <w:szCs w:val="20"/>
              </w:rPr>
              <w:t>52</w:t>
            </w:r>
          </w:p>
        </w:tc>
        <w:tc>
          <w:tcPr>
            <w:tcW w:w="1937" w:type="dxa"/>
            <w:tcBorders>
              <w:top w:val="nil"/>
              <w:left w:val="nil"/>
              <w:bottom w:val="nil"/>
              <w:right w:val="nil"/>
            </w:tcBorders>
            <w:tcMar>
              <w:top w:w="15" w:type="dxa"/>
              <w:left w:w="15" w:type="dxa"/>
              <w:bottom w:w="0" w:type="dxa"/>
              <w:right w:w="15" w:type="dxa"/>
            </w:tcMar>
            <w:vAlign w:val="bottom"/>
          </w:tcPr>
          <w:p w14:paraId="6829FD52" w14:textId="77777777" w:rsidR="00716AEA" w:rsidRDefault="00716AEA" w:rsidP="00302C5C">
            <w:pPr>
              <w:jc w:val="center"/>
              <w:rPr>
                <w:color w:val="000000"/>
                <w:sz w:val="20"/>
                <w:szCs w:val="20"/>
              </w:rPr>
            </w:pPr>
            <w:r>
              <w:rPr>
                <w:color w:val="000000"/>
                <w:sz w:val="20"/>
                <w:szCs w:val="20"/>
              </w:rPr>
              <w:t>33</w:t>
            </w:r>
          </w:p>
        </w:tc>
        <w:tc>
          <w:tcPr>
            <w:tcW w:w="1926" w:type="dxa"/>
            <w:tcBorders>
              <w:top w:val="nil"/>
              <w:left w:val="nil"/>
              <w:bottom w:val="nil"/>
              <w:right w:val="nil"/>
            </w:tcBorders>
            <w:tcMar>
              <w:top w:w="15" w:type="dxa"/>
              <w:left w:w="15" w:type="dxa"/>
              <w:bottom w:w="0" w:type="dxa"/>
              <w:right w:w="15" w:type="dxa"/>
            </w:tcMar>
            <w:vAlign w:val="bottom"/>
          </w:tcPr>
          <w:p w14:paraId="2DE8322B" w14:textId="77777777" w:rsidR="00716AEA" w:rsidRDefault="00716AEA" w:rsidP="00302C5C">
            <w:pPr>
              <w:jc w:val="center"/>
              <w:rPr>
                <w:color w:val="000000"/>
                <w:sz w:val="20"/>
                <w:szCs w:val="20"/>
              </w:rPr>
            </w:pPr>
            <w:r>
              <w:rPr>
                <w:color w:val="000000"/>
                <w:sz w:val="20"/>
                <w:szCs w:val="20"/>
              </w:rPr>
              <w:t>34</w:t>
            </w:r>
          </w:p>
        </w:tc>
        <w:tc>
          <w:tcPr>
            <w:tcW w:w="2457" w:type="dxa"/>
            <w:tcBorders>
              <w:top w:val="nil"/>
              <w:left w:val="nil"/>
              <w:bottom w:val="nil"/>
              <w:right w:val="nil"/>
            </w:tcBorders>
            <w:tcMar>
              <w:top w:w="15" w:type="dxa"/>
              <w:left w:w="15" w:type="dxa"/>
              <w:bottom w:w="0" w:type="dxa"/>
              <w:right w:w="15" w:type="dxa"/>
            </w:tcMar>
            <w:vAlign w:val="bottom"/>
          </w:tcPr>
          <w:p w14:paraId="3FD96D5E" w14:textId="77777777" w:rsidR="00716AEA" w:rsidRDefault="00716AEA" w:rsidP="00302C5C">
            <w:pPr>
              <w:jc w:val="center"/>
              <w:rPr>
                <w:color w:val="000000"/>
                <w:sz w:val="20"/>
                <w:szCs w:val="20"/>
              </w:rPr>
            </w:pPr>
            <w:r>
              <w:rPr>
                <w:color w:val="000000"/>
                <w:sz w:val="20"/>
                <w:szCs w:val="20"/>
              </w:rPr>
              <w:t>27</w:t>
            </w:r>
          </w:p>
        </w:tc>
      </w:tr>
      <w:tr w:rsidR="00716AEA" w14:paraId="3B160D69"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6E9F3854" w14:textId="77777777" w:rsidR="00716AEA" w:rsidRDefault="00716AEA" w:rsidP="00302C5C">
            <w:pPr>
              <w:jc w:val="both"/>
              <w:rPr>
                <w:color w:val="000000"/>
                <w:sz w:val="20"/>
                <w:szCs w:val="20"/>
              </w:rPr>
            </w:pPr>
            <w:r>
              <w:rPr>
                <w:color w:val="000000"/>
                <w:sz w:val="20"/>
                <w:szCs w:val="20"/>
              </w:rPr>
              <w:t>Comoros</w:t>
            </w:r>
          </w:p>
        </w:tc>
        <w:tc>
          <w:tcPr>
            <w:tcW w:w="2100" w:type="dxa"/>
            <w:tcBorders>
              <w:top w:val="nil"/>
              <w:left w:val="nil"/>
              <w:bottom w:val="nil"/>
              <w:right w:val="nil"/>
            </w:tcBorders>
            <w:tcMar>
              <w:top w:w="15" w:type="dxa"/>
              <w:left w:w="15" w:type="dxa"/>
              <w:bottom w:w="0" w:type="dxa"/>
              <w:right w:w="15" w:type="dxa"/>
            </w:tcMar>
            <w:vAlign w:val="center"/>
          </w:tcPr>
          <w:p w14:paraId="6D40E101" w14:textId="77777777" w:rsidR="00716AEA" w:rsidRDefault="00716AEA" w:rsidP="00302C5C">
            <w:pPr>
              <w:jc w:val="center"/>
              <w:rPr>
                <w:color w:val="000000"/>
                <w:sz w:val="20"/>
                <w:szCs w:val="20"/>
              </w:rPr>
            </w:pPr>
            <w:r>
              <w:rPr>
                <w:color w:val="000000"/>
                <w:sz w:val="20"/>
                <w:szCs w:val="20"/>
              </w:rPr>
              <w:t>19</w:t>
            </w:r>
          </w:p>
        </w:tc>
        <w:tc>
          <w:tcPr>
            <w:tcW w:w="2079" w:type="dxa"/>
            <w:tcBorders>
              <w:top w:val="nil"/>
              <w:left w:val="nil"/>
              <w:bottom w:val="nil"/>
              <w:right w:val="nil"/>
            </w:tcBorders>
            <w:tcMar>
              <w:top w:w="15" w:type="dxa"/>
              <w:left w:w="15" w:type="dxa"/>
              <w:bottom w:w="0" w:type="dxa"/>
              <w:right w:w="15" w:type="dxa"/>
            </w:tcMar>
            <w:vAlign w:val="center"/>
          </w:tcPr>
          <w:p w14:paraId="6D04D22E" w14:textId="77777777" w:rsidR="00716AEA" w:rsidRDefault="00716AEA" w:rsidP="00302C5C">
            <w:pPr>
              <w:jc w:val="center"/>
              <w:rPr>
                <w:color w:val="000000"/>
                <w:sz w:val="20"/>
                <w:szCs w:val="20"/>
              </w:rPr>
            </w:pPr>
            <w:r>
              <w:rPr>
                <w:color w:val="000000"/>
                <w:sz w:val="20"/>
                <w:szCs w:val="20"/>
              </w:rPr>
              <w:t>27</w:t>
            </w:r>
          </w:p>
        </w:tc>
        <w:tc>
          <w:tcPr>
            <w:tcW w:w="2062" w:type="dxa"/>
            <w:tcBorders>
              <w:top w:val="nil"/>
              <w:left w:val="nil"/>
              <w:bottom w:val="nil"/>
              <w:right w:val="nil"/>
            </w:tcBorders>
            <w:tcMar>
              <w:top w:w="15" w:type="dxa"/>
              <w:left w:w="15" w:type="dxa"/>
              <w:bottom w:w="0" w:type="dxa"/>
              <w:right w:w="15" w:type="dxa"/>
            </w:tcMar>
            <w:vAlign w:val="center"/>
          </w:tcPr>
          <w:p w14:paraId="6D00216C" w14:textId="77777777" w:rsidR="00716AEA" w:rsidRDefault="00716AEA" w:rsidP="00302C5C">
            <w:pPr>
              <w:jc w:val="center"/>
              <w:rPr>
                <w:color w:val="000000"/>
                <w:sz w:val="20"/>
                <w:szCs w:val="20"/>
              </w:rPr>
            </w:pPr>
            <w:r>
              <w:rPr>
                <w:color w:val="000000"/>
                <w:sz w:val="20"/>
                <w:szCs w:val="20"/>
              </w:rPr>
              <w:t>41</w:t>
            </w:r>
          </w:p>
        </w:tc>
        <w:tc>
          <w:tcPr>
            <w:tcW w:w="1937" w:type="dxa"/>
            <w:tcBorders>
              <w:top w:val="nil"/>
              <w:left w:val="nil"/>
              <w:bottom w:val="nil"/>
              <w:right w:val="nil"/>
            </w:tcBorders>
            <w:tcMar>
              <w:top w:w="15" w:type="dxa"/>
              <w:left w:w="15" w:type="dxa"/>
              <w:bottom w:w="0" w:type="dxa"/>
              <w:right w:w="15" w:type="dxa"/>
            </w:tcMar>
            <w:vAlign w:val="bottom"/>
          </w:tcPr>
          <w:p w14:paraId="390F3009" w14:textId="77777777" w:rsidR="00716AEA" w:rsidRDefault="00716AEA" w:rsidP="00302C5C">
            <w:pPr>
              <w:jc w:val="center"/>
              <w:rPr>
                <w:color w:val="000000"/>
                <w:sz w:val="20"/>
                <w:szCs w:val="20"/>
              </w:rPr>
            </w:pPr>
            <w:r>
              <w:rPr>
                <w:color w:val="000000"/>
                <w:sz w:val="20"/>
                <w:szCs w:val="20"/>
              </w:rPr>
              <w:t>25</w:t>
            </w:r>
          </w:p>
        </w:tc>
        <w:tc>
          <w:tcPr>
            <w:tcW w:w="1926" w:type="dxa"/>
            <w:tcBorders>
              <w:top w:val="nil"/>
              <w:left w:val="nil"/>
              <w:bottom w:val="nil"/>
              <w:right w:val="nil"/>
            </w:tcBorders>
            <w:tcMar>
              <w:top w:w="15" w:type="dxa"/>
              <w:left w:w="15" w:type="dxa"/>
              <w:bottom w:w="0" w:type="dxa"/>
              <w:right w:w="15" w:type="dxa"/>
            </w:tcMar>
            <w:vAlign w:val="bottom"/>
          </w:tcPr>
          <w:p w14:paraId="16B2903B" w14:textId="77777777" w:rsidR="00716AEA" w:rsidRDefault="00716AEA" w:rsidP="00302C5C">
            <w:pPr>
              <w:jc w:val="center"/>
              <w:rPr>
                <w:color w:val="000000"/>
                <w:sz w:val="20"/>
                <w:szCs w:val="20"/>
              </w:rPr>
            </w:pPr>
            <w:r>
              <w:rPr>
                <w:color w:val="000000"/>
                <w:sz w:val="20"/>
                <w:szCs w:val="20"/>
              </w:rPr>
              <w:t>25</w:t>
            </w:r>
          </w:p>
        </w:tc>
        <w:tc>
          <w:tcPr>
            <w:tcW w:w="2457" w:type="dxa"/>
            <w:tcBorders>
              <w:top w:val="nil"/>
              <w:left w:val="nil"/>
              <w:bottom w:val="nil"/>
              <w:right w:val="nil"/>
            </w:tcBorders>
            <w:tcMar>
              <w:top w:w="15" w:type="dxa"/>
              <w:left w:w="15" w:type="dxa"/>
              <w:bottom w:w="0" w:type="dxa"/>
              <w:right w:w="15" w:type="dxa"/>
            </w:tcMar>
            <w:vAlign w:val="bottom"/>
          </w:tcPr>
          <w:p w14:paraId="5B53DB6F" w14:textId="77777777" w:rsidR="00716AEA" w:rsidRDefault="00716AEA" w:rsidP="00302C5C">
            <w:pPr>
              <w:jc w:val="center"/>
              <w:rPr>
                <w:color w:val="000000"/>
                <w:sz w:val="20"/>
                <w:szCs w:val="20"/>
              </w:rPr>
            </w:pPr>
            <w:r>
              <w:rPr>
                <w:color w:val="000000"/>
                <w:sz w:val="20"/>
                <w:szCs w:val="20"/>
              </w:rPr>
              <w:t>45</w:t>
            </w:r>
          </w:p>
        </w:tc>
      </w:tr>
      <w:tr w:rsidR="00716AEA" w14:paraId="02D307A6"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580D580C" w14:textId="77777777" w:rsidR="00716AEA" w:rsidRDefault="00716AEA" w:rsidP="00302C5C">
            <w:pPr>
              <w:jc w:val="both"/>
              <w:rPr>
                <w:color w:val="000000"/>
                <w:sz w:val="20"/>
                <w:szCs w:val="20"/>
              </w:rPr>
            </w:pPr>
            <w:r>
              <w:rPr>
                <w:color w:val="000000"/>
                <w:sz w:val="20"/>
                <w:szCs w:val="20"/>
              </w:rPr>
              <w:t>Djibouti</w:t>
            </w:r>
          </w:p>
        </w:tc>
        <w:tc>
          <w:tcPr>
            <w:tcW w:w="2100" w:type="dxa"/>
            <w:tcBorders>
              <w:top w:val="nil"/>
              <w:left w:val="nil"/>
              <w:bottom w:val="nil"/>
              <w:right w:val="nil"/>
            </w:tcBorders>
            <w:tcMar>
              <w:top w:w="15" w:type="dxa"/>
              <w:left w:w="15" w:type="dxa"/>
              <w:bottom w:w="0" w:type="dxa"/>
              <w:right w:w="15" w:type="dxa"/>
            </w:tcMar>
            <w:vAlign w:val="center"/>
          </w:tcPr>
          <w:p w14:paraId="12F7BB93" w14:textId="77777777" w:rsidR="00716AEA" w:rsidRDefault="00716AEA" w:rsidP="00302C5C">
            <w:pPr>
              <w:jc w:val="center"/>
              <w:rPr>
                <w:color w:val="000000"/>
                <w:sz w:val="20"/>
                <w:szCs w:val="20"/>
              </w:rPr>
            </w:pPr>
            <w:r>
              <w:rPr>
                <w:color w:val="000000"/>
                <w:sz w:val="20"/>
                <w:szCs w:val="20"/>
              </w:rPr>
              <w:t>-</w:t>
            </w:r>
          </w:p>
        </w:tc>
        <w:tc>
          <w:tcPr>
            <w:tcW w:w="2079" w:type="dxa"/>
            <w:tcBorders>
              <w:top w:val="nil"/>
              <w:left w:val="nil"/>
              <w:bottom w:val="nil"/>
              <w:right w:val="nil"/>
            </w:tcBorders>
            <w:tcMar>
              <w:top w:w="15" w:type="dxa"/>
              <w:left w:w="15" w:type="dxa"/>
              <w:bottom w:w="0" w:type="dxa"/>
              <w:right w:w="15" w:type="dxa"/>
            </w:tcMar>
            <w:vAlign w:val="center"/>
          </w:tcPr>
          <w:p w14:paraId="44E3A981" w14:textId="77777777" w:rsidR="00716AEA" w:rsidRDefault="00716AEA" w:rsidP="00302C5C">
            <w:pPr>
              <w:jc w:val="center"/>
              <w:rPr>
                <w:color w:val="000000"/>
                <w:sz w:val="20"/>
                <w:szCs w:val="20"/>
              </w:rPr>
            </w:pPr>
            <w:r>
              <w:rPr>
                <w:color w:val="000000"/>
                <w:sz w:val="20"/>
                <w:szCs w:val="20"/>
              </w:rPr>
              <w:t>-</w:t>
            </w:r>
          </w:p>
        </w:tc>
        <w:tc>
          <w:tcPr>
            <w:tcW w:w="2062" w:type="dxa"/>
            <w:tcBorders>
              <w:top w:val="nil"/>
              <w:left w:val="nil"/>
              <w:bottom w:val="nil"/>
              <w:right w:val="nil"/>
            </w:tcBorders>
            <w:tcMar>
              <w:top w:w="15" w:type="dxa"/>
              <w:left w:w="15" w:type="dxa"/>
              <w:bottom w:w="0" w:type="dxa"/>
              <w:right w:w="15" w:type="dxa"/>
            </w:tcMar>
            <w:vAlign w:val="center"/>
          </w:tcPr>
          <w:p w14:paraId="6CEA8F0E" w14:textId="77777777" w:rsidR="00716AEA" w:rsidRDefault="00716AEA" w:rsidP="00302C5C">
            <w:pPr>
              <w:jc w:val="center"/>
              <w:rPr>
                <w:color w:val="000000"/>
                <w:sz w:val="20"/>
                <w:szCs w:val="20"/>
              </w:rPr>
            </w:pPr>
            <w:r>
              <w:rPr>
                <w:color w:val="000000"/>
                <w:sz w:val="20"/>
                <w:szCs w:val="20"/>
              </w:rPr>
              <w:t>-</w:t>
            </w:r>
          </w:p>
        </w:tc>
        <w:tc>
          <w:tcPr>
            <w:tcW w:w="1937" w:type="dxa"/>
            <w:tcBorders>
              <w:top w:val="nil"/>
              <w:left w:val="nil"/>
              <w:bottom w:val="nil"/>
              <w:right w:val="nil"/>
            </w:tcBorders>
            <w:tcMar>
              <w:top w:w="15" w:type="dxa"/>
              <w:left w:w="15" w:type="dxa"/>
              <w:bottom w:w="0" w:type="dxa"/>
              <w:right w:w="15" w:type="dxa"/>
            </w:tcMar>
            <w:vAlign w:val="bottom"/>
          </w:tcPr>
          <w:p w14:paraId="7D7EFA14" w14:textId="77777777" w:rsidR="00716AEA" w:rsidRDefault="00716AEA" w:rsidP="00302C5C">
            <w:pPr>
              <w:jc w:val="center"/>
              <w:rPr>
                <w:color w:val="000000"/>
                <w:sz w:val="20"/>
                <w:szCs w:val="20"/>
              </w:rPr>
            </w:pPr>
            <w:r>
              <w:rPr>
                <w:color w:val="000000"/>
                <w:sz w:val="20"/>
                <w:szCs w:val="20"/>
              </w:rPr>
              <w:t>24</w:t>
            </w:r>
          </w:p>
        </w:tc>
        <w:tc>
          <w:tcPr>
            <w:tcW w:w="1926" w:type="dxa"/>
            <w:tcBorders>
              <w:top w:val="nil"/>
              <w:left w:val="nil"/>
              <w:bottom w:val="nil"/>
              <w:right w:val="nil"/>
            </w:tcBorders>
            <w:tcMar>
              <w:top w:w="15" w:type="dxa"/>
              <w:left w:w="15" w:type="dxa"/>
              <w:bottom w:w="0" w:type="dxa"/>
              <w:right w:w="15" w:type="dxa"/>
            </w:tcMar>
            <w:vAlign w:val="bottom"/>
          </w:tcPr>
          <w:p w14:paraId="0B4CC3FC" w14:textId="77777777" w:rsidR="00716AEA" w:rsidRDefault="00716AEA" w:rsidP="00302C5C">
            <w:pPr>
              <w:jc w:val="center"/>
              <w:rPr>
                <w:color w:val="000000"/>
                <w:sz w:val="20"/>
                <w:szCs w:val="20"/>
              </w:rPr>
            </w:pPr>
            <w:r>
              <w:rPr>
                <w:color w:val="000000"/>
                <w:sz w:val="20"/>
                <w:szCs w:val="20"/>
              </w:rPr>
              <w:t>25</w:t>
            </w:r>
          </w:p>
        </w:tc>
        <w:tc>
          <w:tcPr>
            <w:tcW w:w="2457" w:type="dxa"/>
            <w:tcBorders>
              <w:top w:val="nil"/>
              <w:left w:val="nil"/>
              <w:bottom w:val="nil"/>
              <w:right w:val="nil"/>
            </w:tcBorders>
            <w:tcMar>
              <w:top w:w="15" w:type="dxa"/>
              <w:left w:w="15" w:type="dxa"/>
              <w:bottom w:w="0" w:type="dxa"/>
              <w:right w:w="15" w:type="dxa"/>
            </w:tcMar>
            <w:vAlign w:val="bottom"/>
          </w:tcPr>
          <w:p w14:paraId="1B07519F" w14:textId="77777777" w:rsidR="00716AEA" w:rsidRDefault="00716AEA" w:rsidP="00302C5C">
            <w:pPr>
              <w:jc w:val="center"/>
              <w:rPr>
                <w:color w:val="000000"/>
                <w:sz w:val="20"/>
                <w:szCs w:val="20"/>
              </w:rPr>
            </w:pPr>
            <w:r>
              <w:rPr>
                <w:color w:val="000000"/>
                <w:sz w:val="20"/>
                <w:szCs w:val="20"/>
              </w:rPr>
              <w:t>-</w:t>
            </w:r>
          </w:p>
        </w:tc>
      </w:tr>
      <w:tr w:rsidR="00716AEA" w14:paraId="2F374DCC"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74D91855" w14:textId="77777777" w:rsidR="00716AEA" w:rsidRDefault="00716AEA" w:rsidP="00302C5C">
            <w:pPr>
              <w:jc w:val="both"/>
              <w:rPr>
                <w:color w:val="000000"/>
                <w:sz w:val="20"/>
                <w:szCs w:val="20"/>
              </w:rPr>
            </w:pPr>
            <w:r>
              <w:rPr>
                <w:color w:val="000000"/>
                <w:sz w:val="20"/>
                <w:szCs w:val="20"/>
              </w:rPr>
              <w:t>Eswatini</w:t>
            </w:r>
          </w:p>
        </w:tc>
        <w:tc>
          <w:tcPr>
            <w:tcW w:w="2100" w:type="dxa"/>
            <w:tcBorders>
              <w:top w:val="nil"/>
              <w:left w:val="nil"/>
              <w:bottom w:val="nil"/>
              <w:right w:val="nil"/>
            </w:tcBorders>
            <w:tcMar>
              <w:top w:w="15" w:type="dxa"/>
              <w:left w:w="15" w:type="dxa"/>
              <w:bottom w:w="0" w:type="dxa"/>
              <w:right w:w="15" w:type="dxa"/>
            </w:tcMar>
            <w:vAlign w:val="center"/>
          </w:tcPr>
          <w:p w14:paraId="47877B74" w14:textId="77777777" w:rsidR="00716AEA" w:rsidRDefault="00716AEA" w:rsidP="00302C5C">
            <w:pPr>
              <w:jc w:val="center"/>
              <w:rPr>
                <w:color w:val="000000"/>
                <w:sz w:val="20"/>
                <w:szCs w:val="20"/>
              </w:rPr>
            </w:pPr>
            <w:r>
              <w:rPr>
                <w:color w:val="000000"/>
                <w:sz w:val="20"/>
                <w:szCs w:val="20"/>
              </w:rPr>
              <w:t>42</w:t>
            </w:r>
          </w:p>
        </w:tc>
        <w:tc>
          <w:tcPr>
            <w:tcW w:w="2079" w:type="dxa"/>
            <w:tcBorders>
              <w:top w:val="nil"/>
              <w:left w:val="nil"/>
              <w:bottom w:val="nil"/>
              <w:right w:val="nil"/>
            </w:tcBorders>
            <w:tcMar>
              <w:top w:w="15" w:type="dxa"/>
              <w:left w:w="15" w:type="dxa"/>
              <w:bottom w:w="0" w:type="dxa"/>
              <w:right w:w="15" w:type="dxa"/>
            </w:tcMar>
            <w:vAlign w:val="center"/>
          </w:tcPr>
          <w:p w14:paraId="3397E43D" w14:textId="77777777" w:rsidR="00716AEA" w:rsidRDefault="00716AEA" w:rsidP="00302C5C">
            <w:pPr>
              <w:jc w:val="center"/>
              <w:rPr>
                <w:color w:val="000000"/>
                <w:sz w:val="20"/>
                <w:szCs w:val="20"/>
              </w:rPr>
            </w:pPr>
            <w:r>
              <w:rPr>
                <w:color w:val="000000"/>
                <w:sz w:val="20"/>
                <w:szCs w:val="20"/>
              </w:rPr>
              <w:t>40</w:t>
            </w:r>
          </w:p>
        </w:tc>
        <w:tc>
          <w:tcPr>
            <w:tcW w:w="2062" w:type="dxa"/>
            <w:tcBorders>
              <w:top w:val="nil"/>
              <w:left w:val="nil"/>
              <w:bottom w:val="nil"/>
              <w:right w:val="nil"/>
            </w:tcBorders>
            <w:tcMar>
              <w:top w:w="15" w:type="dxa"/>
              <w:left w:w="15" w:type="dxa"/>
              <w:bottom w:w="0" w:type="dxa"/>
              <w:right w:w="15" w:type="dxa"/>
            </w:tcMar>
            <w:vAlign w:val="center"/>
          </w:tcPr>
          <w:p w14:paraId="651BBC7E" w14:textId="77777777" w:rsidR="00716AEA" w:rsidRDefault="00716AEA" w:rsidP="00302C5C">
            <w:pPr>
              <w:jc w:val="center"/>
              <w:rPr>
                <w:color w:val="000000"/>
                <w:sz w:val="20"/>
                <w:szCs w:val="20"/>
              </w:rPr>
            </w:pPr>
            <w:r>
              <w:rPr>
                <w:color w:val="000000"/>
                <w:sz w:val="20"/>
                <w:szCs w:val="20"/>
              </w:rPr>
              <w:t>46</w:t>
            </w:r>
          </w:p>
        </w:tc>
        <w:tc>
          <w:tcPr>
            <w:tcW w:w="1937" w:type="dxa"/>
            <w:tcBorders>
              <w:top w:val="nil"/>
              <w:left w:val="nil"/>
              <w:bottom w:val="nil"/>
              <w:right w:val="nil"/>
            </w:tcBorders>
            <w:tcMar>
              <w:top w:w="15" w:type="dxa"/>
              <w:left w:w="15" w:type="dxa"/>
              <w:bottom w:w="0" w:type="dxa"/>
              <w:right w:w="15" w:type="dxa"/>
            </w:tcMar>
            <w:vAlign w:val="bottom"/>
          </w:tcPr>
          <w:p w14:paraId="741B20C9" w14:textId="77777777" w:rsidR="00716AEA" w:rsidRDefault="00716AEA" w:rsidP="00302C5C">
            <w:pPr>
              <w:jc w:val="center"/>
              <w:rPr>
                <w:color w:val="000000"/>
                <w:sz w:val="20"/>
                <w:szCs w:val="20"/>
              </w:rPr>
            </w:pPr>
            <w:r>
              <w:rPr>
                <w:color w:val="000000"/>
                <w:sz w:val="20"/>
                <w:szCs w:val="20"/>
              </w:rPr>
              <w:t>31</w:t>
            </w:r>
          </w:p>
        </w:tc>
        <w:tc>
          <w:tcPr>
            <w:tcW w:w="1926" w:type="dxa"/>
            <w:tcBorders>
              <w:top w:val="nil"/>
              <w:left w:val="nil"/>
              <w:bottom w:val="nil"/>
              <w:right w:val="nil"/>
            </w:tcBorders>
            <w:tcMar>
              <w:top w:w="15" w:type="dxa"/>
              <w:left w:w="15" w:type="dxa"/>
              <w:bottom w:w="0" w:type="dxa"/>
              <w:right w:w="15" w:type="dxa"/>
            </w:tcMar>
            <w:vAlign w:val="bottom"/>
          </w:tcPr>
          <w:p w14:paraId="4FC5B841" w14:textId="77777777" w:rsidR="00716AEA" w:rsidRDefault="00716AEA" w:rsidP="00302C5C">
            <w:pPr>
              <w:jc w:val="center"/>
              <w:rPr>
                <w:color w:val="000000"/>
                <w:sz w:val="20"/>
                <w:szCs w:val="20"/>
              </w:rPr>
            </w:pPr>
            <w:r>
              <w:rPr>
                <w:color w:val="000000"/>
                <w:sz w:val="20"/>
                <w:szCs w:val="20"/>
              </w:rPr>
              <w:t>29</w:t>
            </w:r>
          </w:p>
        </w:tc>
        <w:tc>
          <w:tcPr>
            <w:tcW w:w="2457" w:type="dxa"/>
            <w:tcBorders>
              <w:top w:val="nil"/>
              <w:left w:val="nil"/>
              <w:bottom w:val="nil"/>
              <w:right w:val="nil"/>
            </w:tcBorders>
            <w:tcMar>
              <w:top w:w="15" w:type="dxa"/>
              <w:left w:w="15" w:type="dxa"/>
              <w:bottom w:w="0" w:type="dxa"/>
              <w:right w:w="15" w:type="dxa"/>
            </w:tcMar>
            <w:vAlign w:val="bottom"/>
          </w:tcPr>
          <w:p w14:paraId="6F3A6B67" w14:textId="77777777" w:rsidR="00716AEA" w:rsidRDefault="00716AEA" w:rsidP="00302C5C">
            <w:pPr>
              <w:jc w:val="center"/>
              <w:rPr>
                <w:color w:val="000000"/>
                <w:sz w:val="20"/>
                <w:szCs w:val="20"/>
              </w:rPr>
            </w:pPr>
            <w:r>
              <w:rPr>
                <w:color w:val="000000"/>
                <w:sz w:val="20"/>
                <w:szCs w:val="20"/>
              </w:rPr>
              <w:t>63</w:t>
            </w:r>
          </w:p>
        </w:tc>
      </w:tr>
      <w:tr w:rsidR="00716AEA" w14:paraId="54727EB8"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77B05CDA" w14:textId="77777777" w:rsidR="00716AEA" w:rsidRDefault="00716AEA" w:rsidP="00302C5C">
            <w:pPr>
              <w:jc w:val="both"/>
              <w:rPr>
                <w:color w:val="000000"/>
                <w:sz w:val="20"/>
                <w:szCs w:val="20"/>
              </w:rPr>
            </w:pPr>
            <w:r>
              <w:rPr>
                <w:color w:val="000000"/>
                <w:sz w:val="20"/>
                <w:szCs w:val="20"/>
              </w:rPr>
              <w:t>Equatorial Guinea</w:t>
            </w:r>
          </w:p>
        </w:tc>
        <w:tc>
          <w:tcPr>
            <w:tcW w:w="2100" w:type="dxa"/>
            <w:tcBorders>
              <w:top w:val="nil"/>
              <w:left w:val="nil"/>
              <w:bottom w:val="nil"/>
              <w:right w:val="nil"/>
            </w:tcBorders>
            <w:tcMar>
              <w:top w:w="15" w:type="dxa"/>
              <w:left w:w="15" w:type="dxa"/>
              <w:bottom w:w="0" w:type="dxa"/>
              <w:right w:w="15" w:type="dxa"/>
            </w:tcMar>
            <w:vAlign w:val="center"/>
          </w:tcPr>
          <w:p w14:paraId="43E71DEB" w14:textId="77777777" w:rsidR="00716AEA" w:rsidRDefault="00716AEA" w:rsidP="00302C5C">
            <w:pPr>
              <w:jc w:val="center"/>
              <w:rPr>
                <w:color w:val="000000"/>
                <w:sz w:val="20"/>
                <w:szCs w:val="20"/>
              </w:rPr>
            </w:pPr>
            <w:r>
              <w:rPr>
                <w:color w:val="000000"/>
                <w:sz w:val="20"/>
                <w:szCs w:val="20"/>
              </w:rPr>
              <w:t>22</w:t>
            </w:r>
          </w:p>
        </w:tc>
        <w:tc>
          <w:tcPr>
            <w:tcW w:w="2079" w:type="dxa"/>
            <w:tcBorders>
              <w:top w:val="nil"/>
              <w:left w:val="nil"/>
              <w:bottom w:val="nil"/>
              <w:right w:val="nil"/>
            </w:tcBorders>
            <w:tcMar>
              <w:top w:w="15" w:type="dxa"/>
              <w:left w:w="15" w:type="dxa"/>
              <w:bottom w:w="0" w:type="dxa"/>
              <w:right w:w="15" w:type="dxa"/>
            </w:tcMar>
            <w:vAlign w:val="center"/>
          </w:tcPr>
          <w:p w14:paraId="14738A7A" w14:textId="77777777" w:rsidR="00716AEA" w:rsidRDefault="00716AEA" w:rsidP="00302C5C">
            <w:pPr>
              <w:jc w:val="center"/>
              <w:rPr>
                <w:color w:val="000000"/>
                <w:sz w:val="20"/>
                <w:szCs w:val="20"/>
              </w:rPr>
            </w:pPr>
            <w:r>
              <w:rPr>
                <w:color w:val="000000"/>
                <w:sz w:val="20"/>
                <w:szCs w:val="20"/>
              </w:rPr>
              <w:t>22</w:t>
            </w:r>
          </w:p>
        </w:tc>
        <w:tc>
          <w:tcPr>
            <w:tcW w:w="2062" w:type="dxa"/>
            <w:tcBorders>
              <w:top w:val="nil"/>
              <w:left w:val="nil"/>
              <w:bottom w:val="nil"/>
              <w:right w:val="nil"/>
            </w:tcBorders>
            <w:tcMar>
              <w:top w:w="15" w:type="dxa"/>
              <w:left w:w="15" w:type="dxa"/>
              <w:bottom w:w="0" w:type="dxa"/>
              <w:right w:w="15" w:type="dxa"/>
            </w:tcMar>
            <w:vAlign w:val="center"/>
          </w:tcPr>
          <w:p w14:paraId="2F943673" w14:textId="77777777" w:rsidR="00716AEA" w:rsidRDefault="00716AEA" w:rsidP="00302C5C">
            <w:pPr>
              <w:jc w:val="center"/>
              <w:rPr>
                <w:color w:val="000000"/>
                <w:sz w:val="20"/>
                <w:szCs w:val="20"/>
              </w:rPr>
            </w:pPr>
            <w:r>
              <w:rPr>
                <w:color w:val="000000"/>
                <w:sz w:val="20"/>
                <w:szCs w:val="20"/>
              </w:rPr>
              <w:t>26</w:t>
            </w:r>
          </w:p>
        </w:tc>
        <w:tc>
          <w:tcPr>
            <w:tcW w:w="1937" w:type="dxa"/>
            <w:tcBorders>
              <w:top w:val="nil"/>
              <w:left w:val="nil"/>
              <w:bottom w:val="nil"/>
              <w:right w:val="nil"/>
            </w:tcBorders>
            <w:tcMar>
              <w:top w:w="15" w:type="dxa"/>
              <w:left w:w="15" w:type="dxa"/>
              <w:bottom w:w="0" w:type="dxa"/>
              <w:right w:w="15" w:type="dxa"/>
            </w:tcMar>
            <w:vAlign w:val="bottom"/>
          </w:tcPr>
          <w:p w14:paraId="63F9A23B" w14:textId="77777777" w:rsidR="00716AEA" w:rsidRDefault="00716AEA" w:rsidP="00302C5C">
            <w:pPr>
              <w:jc w:val="center"/>
              <w:rPr>
                <w:color w:val="000000"/>
                <w:sz w:val="20"/>
                <w:szCs w:val="20"/>
              </w:rPr>
            </w:pPr>
            <w:r>
              <w:rPr>
                <w:color w:val="000000"/>
                <w:sz w:val="20"/>
                <w:szCs w:val="20"/>
              </w:rPr>
              <w:t>18</w:t>
            </w:r>
          </w:p>
        </w:tc>
        <w:tc>
          <w:tcPr>
            <w:tcW w:w="1926" w:type="dxa"/>
            <w:tcBorders>
              <w:top w:val="nil"/>
              <w:left w:val="nil"/>
              <w:bottom w:val="nil"/>
              <w:right w:val="nil"/>
            </w:tcBorders>
            <w:tcMar>
              <w:top w:w="15" w:type="dxa"/>
              <w:left w:w="15" w:type="dxa"/>
              <w:bottom w:w="0" w:type="dxa"/>
              <w:right w:w="15" w:type="dxa"/>
            </w:tcMar>
            <w:vAlign w:val="bottom"/>
          </w:tcPr>
          <w:p w14:paraId="7AD1A412" w14:textId="77777777" w:rsidR="00716AEA" w:rsidRDefault="00716AEA" w:rsidP="00302C5C">
            <w:pPr>
              <w:jc w:val="center"/>
              <w:rPr>
                <w:color w:val="000000"/>
                <w:sz w:val="20"/>
                <w:szCs w:val="20"/>
              </w:rPr>
            </w:pPr>
            <w:r>
              <w:rPr>
                <w:color w:val="000000"/>
                <w:sz w:val="20"/>
                <w:szCs w:val="20"/>
              </w:rPr>
              <w:t>17</w:t>
            </w:r>
          </w:p>
        </w:tc>
        <w:tc>
          <w:tcPr>
            <w:tcW w:w="2457" w:type="dxa"/>
            <w:tcBorders>
              <w:top w:val="nil"/>
              <w:left w:val="nil"/>
              <w:bottom w:val="nil"/>
              <w:right w:val="nil"/>
            </w:tcBorders>
            <w:tcMar>
              <w:top w:w="15" w:type="dxa"/>
              <w:left w:w="15" w:type="dxa"/>
              <w:bottom w:w="0" w:type="dxa"/>
              <w:right w:w="15" w:type="dxa"/>
            </w:tcMar>
            <w:vAlign w:val="bottom"/>
          </w:tcPr>
          <w:p w14:paraId="5790434B" w14:textId="77777777" w:rsidR="00716AEA" w:rsidRDefault="00716AEA" w:rsidP="00302C5C">
            <w:pPr>
              <w:jc w:val="center"/>
              <w:rPr>
                <w:color w:val="000000"/>
                <w:sz w:val="20"/>
                <w:szCs w:val="20"/>
              </w:rPr>
            </w:pPr>
            <w:r>
              <w:rPr>
                <w:color w:val="000000"/>
                <w:sz w:val="20"/>
                <w:szCs w:val="20"/>
              </w:rPr>
              <w:t>34</w:t>
            </w:r>
          </w:p>
        </w:tc>
      </w:tr>
      <w:tr w:rsidR="00716AEA" w14:paraId="658AD3CF"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477436F4" w14:textId="77777777" w:rsidR="00716AEA" w:rsidRDefault="00716AEA" w:rsidP="00302C5C">
            <w:pPr>
              <w:jc w:val="both"/>
              <w:rPr>
                <w:color w:val="000000"/>
                <w:sz w:val="20"/>
                <w:szCs w:val="20"/>
              </w:rPr>
            </w:pPr>
            <w:r>
              <w:rPr>
                <w:color w:val="000000"/>
                <w:sz w:val="20"/>
                <w:szCs w:val="20"/>
              </w:rPr>
              <w:t>Gabon</w:t>
            </w:r>
          </w:p>
        </w:tc>
        <w:tc>
          <w:tcPr>
            <w:tcW w:w="2100" w:type="dxa"/>
            <w:tcBorders>
              <w:top w:val="nil"/>
              <w:left w:val="nil"/>
              <w:bottom w:val="nil"/>
              <w:right w:val="nil"/>
            </w:tcBorders>
            <w:tcMar>
              <w:top w:w="15" w:type="dxa"/>
              <w:left w:w="15" w:type="dxa"/>
              <w:bottom w:w="0" w:type="dxa"/>
              <w:right w:w="15" w:type="dxa"/>
            </w:tcMar>
            <w:vAlign w:val="center"/>
          </w:tcPr>
          <w:p w14:paraId="506D0DE0" w14:textId="77777777" w:rsidR="00716AEA" w:rsidRDefault="00716AEA" w:rsidP="00302C5C">
            <w:pPr>
              <w:jc w:val="center"/>
              <w:rPr>
                <w:color w:val="000000"/>
                <w:sz w:val="20"/>
                <w:szCs w:val="20"/>
              </w:rPr>
            </w:pPr>
            <w:r>
              <w:rPr>
                <w:color w:val="000000"/>
                <w:sz w:val="20"/>
                <w:szCs w:val="20"/>
              </w:rPr>
              <w:t>40</w:t>
            </w:r>
          </w:p>
        </w:tc>
        <w:tc>
          <w:tcPr>
            <w:tcW w:w="2079" w:type="dxa"/>
            <w:tcBorders>
              <w:top w:val="nil"/>
              <w:left w:val="nil"/>
              <w:bottom w:val="nil"/>
              <w:right w:val="nil"/>
            </w:tcBorders>
            <w:tcMar>
              <w:top w:w="15" w:type="dxa"/>
              <w:left w:w="15" w:type="dxa"/>
              <w:bottom w:w="0" w:type="dxa"/>
              <w:right w:w="15" w:type="dxa"/>
            </w:tcMar>
            <w:vAlign w:val="center"/>
          </w:tcPr>
          <w:p w14:paraId="02BA1F0C" w14:textId="77777777" w:rsidR="00716AEA" w:rsidRDefault="00716AEA" w:rsidP="00302C5C">
            <w:pPr>
              <w:jc w:val="center"/>
              <w:rPr>
                <w:color w:val="000000"/>
                <w:sz w:val="20"/>
                <w:szCs w:val="20"/>
              </w:rPr>
            </w:pPr>
            <w:r>
              <w:rPr>
                <w:color w:val="000000"/>
                <w:sz w:val="20"/>
                <w:szCs w:val="20"/>
              </w:rPr>
              <w:t>27</w:t>
            </w:r>
          </w:p>
        </w:tc>
        <w:tc>
          <w:tcPr>
            <w:tcW w:w="2062" w:type="dxa"/>
            <w:tcBorders>
              <w:top w:val="nil"/>
              <w:left w:val="nil"/>
              <w:bottom w:val="nil"/>
              <w:right w:val="nil"/>
            </w:tcBorders>
            <w:tcMar>
              <w:top w:w="15" w:type="dxa"/>
              <w:left w:w="15" w:type="dxa"/>
              <w:bottom w:w="0" w:type="dxa"/>
              <w:right w:w="15" w:type="dxa"/>
            </w:tcMar>
            <w:vAlign w:val="center"/>
          </w:tcPr>
          <w:p w14:paraId="3945CC94" w14:textId="77777777" w:rsidR="00716AEA" w:rsidRDefault="00716AEA" w:rsidP="00302C5C">
            <w:pPr>
              <w:jc w:val="center"/>
              <w:rPr>
                <w:color w:val="000000"/>
                <w:sz w:val="20"/>
                <w:szCs w:val="20"/>
              </w:rPr>
            </w:pPr>
            <w:r>
              <w:rPr>
                <w:color w:val="000000"/>
                <w:sz w:val="20"/>
                <w:szCs w:val="20"/>
              </w:rPr>
              <w:t>40</w:t>
            </w:r>
          </w:p>
        </w:tc>
        <w:tc>
          <w:tcPr>
            <w:tcW w:w="1937" w:type="dxa"/>
            <w:tcBorders>
              <w:top w:val="nil"/>
              <w:left w:val="nil"/>
              <w:bottom w:val="nil"/>
              <w:right w:val="nil"/>
            </w:tcBorders>
            <w:tcMar>
              <w:top w:w="15" w:type="dxa"/>
              <w:left w:w="15" w:type="dxa"/>
              <w:bottom w:w="0" w:type="dxa"/>
              <w:right w:w="15" w:type="dxa"/>
            </w:tcMar>
            <w:vAlign w:val="bottom"/>
          </w:tcPr>
          <w:p w14:paraId="45C60C9B" w14:textId="77777777" w:rsidR="00716AEA" w:rsidRDefault="00716AEA" w:rsidP="00302C5C">
            <w:pPr>
              <w:jc w:val="center"/>
              <w:rPr>
                <w:color w:val="000000"/>
                <w:sz w:val="20"/>
                <w:szCs w:val="20"/>
              </w:rPr>
            </w:pPr>
            <w:r>
              <w:rPr>
                <w:color w:val="000000"/>
                <w:sz w:val="20"/>
                <w:szCs w:val="20"/>
              </w:rPr>
              <w:t>20</w:t>
            </w:r>
          </w:p>
        </w:tc>
        <w:tc>
          <w:tcPr>
            <w:tcW w:w="1926" w:type="dxa"/>
            <w:tcBorders>
              <w:top w:val="nil"/>
              <w:left w:val="nil"/>
              <w:bottom w:val="nil"/>
              <w:right w:val="nil"/>
            </w:tcBorders>
            <w:tcMar>
              <w:top w:w="15" w:type="dxa"/>
              <w:left w:w="15" w:type="dxa"/>
              <w:bottom w:w="0" w:type="dxa"/>
              <w:right w:w="15" w:type="dxa"/>
            </w:tcMar>
            <w:vAlign w:val="bottom"/>
          </w:tcPr>
          <w:p w14:paraId="59DE61AF" w14:textId="77777777" w:rsidR="00716AEA" w:rsidRDefault="00716AEA" w:rsidP="00302C5C">
            <w:pPr>
              <w:jc w:val="center"/>
              <w:rPr>
                <w:color w:val="000000"/>
                <w:sz w:val="20"/>
                <w:szCs w:val="20"/>
              </w:rPr>
            </w:pPr>
            <w:r>
              <w:rPr>
                <w:color w:val="000000"/>
                <w:sz w:val="20"/>
                <w:szCs w:val="20"/>
              </w:rPr>
              <w:t>22</w:t>
            </w:r>
          </w:p>
        </w:tc>
        <w:tc>
          <w:tcPr>
            <w:tcW w:w="2457" w:type="dxa"/>
            <w:tcBorders>
              <w:top w:val="nil"/>
              <w:left w:val="nil"/>
              <w:bottom w:val="nil"/>
              <w:right w:val="nil"/>
            </w:tcBorders>
            <w:tcMar>
              <w:top w:w="15" w:type="dxa"/>
              <w:left w:w="15" w:type="dxa"/>
              <w:bottom w:w="0" w:type="dxa"/>
              <w:right w:w="15" w:type="dxa"/>
            </w:tcMar>
            <w:vAlign w:val="bottom"/>
          </w:tcPr>
          <w:p w14:paraId="43566C70" w14:textId="77777777" w:rsidR="00716AEA" w:rsidRDefault="00716AEA" w:rsidP="00302C5C">
            <w:pPr>
              <w:jc w:val="center"/>
              <w:rPr>
                <w:color w:val="000000"/>
                <w:sz w:val="20"/>
                <w:szCs w:val="20"/>
              </w:rPr>
            </w:pPr>
            <w:r>
              <w:rPr>
                <w:color w:val="000000"/>
                <w:sz w:val="20"/>
                <w:szCs w:val="20"/>
              </w:rPr>
              <w:t>6</w:t>
            </w:r>
          </w:p>
        </w:tc>
      </w:tr>
      <w:tr w:rsidR="00716AEA" w14:paraId="7E768BFF"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19ECA536" w14:textId="77777777" w:rsidR="00716AEA" w:rsidRDefault="00716AEA" w:rsidP="00302C5C">
            <w:pPr>
              <w:jc w:val="both"/>
              <w:rPr>
                <w:color w:val="000000"/>
                <w:sz w:val="20"/>
                <w:szCs w:val="20"/>
              </w:rPr>
            </w:pPr>
            <w:r>
              <w:rPr>
                <w:color w:val="000000"/>
                <w:sz w:val="20"/>
                <w:szCs w:val="20"/>
              </w:rPr>
              <w:t>The Gambia</w:t>
            </w:r>
          </w:p>
        </w:tc>
        <w:tc>
          <w:tcPr>
            <w:tcW w:w="2100" w:type="dxa"/>
            <w:tcBorders>
              <w:top w:val="nil"/>
              <w:left w:val="nil"/>
              <w:bottom w:val="nil"/>
              <w:right w:val="nil"/>
            </w:tcBorders>
            <w:tcMar>
              <w:top w:w="15" w:type="dxa"/>
              <w:left w:w="15" w:type="dxa"/>
              <w:bottom w:w="0" w:type="dxa"/>
              <w:right w:w="15" w:type="dxa"/>
            </w:tcMar>
            <w:vAlign w:val="center"/>
          </w:tcPr>
          <w:p w14:paraId="268AC982" w14:textId="77777777" w:rsidR="00716AEA" w:rsidRDefault="00716AEA" w:rsidP="00302C5C">
            <w:pPr>
              <w:jc w:val="center"/>
              <w:rPr>
                <w:color w:val="000000"/>
                <w:sz w:val="20"/>
                <w:szCs w:val="20"/>
              </w:rPr>
            </w:pPr>
            <w:r>
              <w:rPr>
                <w:color w:val="000000"/>
                <w:sz w:val="20"/>
                <w:szCs w:val="20"/>
              </w:rPr>
              <w:t>35</w:t>
            </w:r>
          </w:p>
        </w:tc>
        <w:tc>
          <w:tcPr>
            <w:tcW w:w="2079" w:type="dxa"/>
            <w:tcBorders>
              <w:top w:val="nil"/>
              <w:left w:val="nil"/>
              <w:bottom w:val="nil"/>
              <w:right w:val="nil"/>
            </w:tcBorders>
            <w:tcMar>
              <w:top w:w="15" w:type="dxa"/>
              <w:left w:w="15" w:type="dxa"/>
              <w:bottom w:w="0" w:type="dxa"/>
              <w:right w:w="15" w:type="dxa"/>
            </w:tcMar>
            <w:vAlign w:val="center"/>
          </w:tcPr>
          <w:p w14:paraId="35613F3E" w14:textId="77777777" w:rsidR="00716AEA" w:rsidRDefault="00716AEA" w:rsidP="00302C5C">
            <w:pPr>
              <w:jc w:val="center"/>
              <w:rPr>
                <w:color w:val="000000"/>
                <w:sz w:val="20"/>
                <w:szCs w:val="20"/>
              </w:rPr>
            </w:pPr>
            <w:r>
              <w:rPr>
                <w:color w:val="000000"/>
                <w:sz w:val="20"/>
                <w:szCs w:val="20"/>
              </w:rPr>
              <w:t>38</w:t>
            </w:r>
          </w:p>
        </w:tc>
        <w:tc>
          <w:tcPr>
            <w:tcW w:w="2062" w:type="dxa"/>
            <w:tcBorders>
              <w:top w:val="nil"/>
              <w:left w:val="nil"/>
              <w:bottom w:val="nil"/>
              <w:right w:val="nil"/>
            </w:tcBorders>
            <w:tcMar>
              <w:top w:w="15" w:type="dxa"/>
              <w:left w:w="15" w:type="dxa"/>
              <w:bottom w:w="0" w:type="dxa"/>
              <w:right w:w="15" w:type="dxa"/>
            </w:tcMar>
            <w:vAlign w:val="center"/>
          </w:tcPr>
          <w:p w14:paraId="6EC3FE25" w14:textId="77777777" w:rsidR="00716AEA" w:rsidRDefault="00716AEA" w:rsidP="00302C5C">
            <w:pPr>
              <w:jc w:val="center"/>
              <w:rPr>
                <w:color w:val="000000"/>
                <w:sz w:val="20"/>
                <w:szCs w:val="20"/>
              </w:rPr>
            </w:pPr>
            <w:r>
              <w:rPr>
                <w:color w:val="000000"/>
                <w:sz w:val="20"/>
                <w:szCs w:val="20"/>
              </w:rPr>
              <w:t>35</w:t>
            </w:r>
          </w:p>
        </w:tc>
        <w:tc>
          <w:tcPr>
            <w:tcW w:w="1937" w:type="dxa"/>
            <w:tcBorders>
              <w:top w:val="nil"/>
              <w:left w:val="nil"/>
              <w:bottom w:val="nil"/>
              <w:right w:val="nil"/>
            </w:tcBorders>
            <w:tcMar>
              <w:top w:w="15" w:type="dxa"/>
              <w:left w:w="15" w:type="dxa"/>
              <w:bottom w:w="0" w:type="dxa"/>
              <w:right w:w="15" w:type="dxa"/>
            </w:tcMar>
            <w:vAlign w:val="bottom"/>
          </w:tcPr>
          <w:p w14:paraId="6FF9BC5D" w14:textId="77777777" w:rsidR="00716AEA" w:rsidRDefault="00716AEA" w:rsidP="00302C5C">
            <w:pPr>
              <w:jc w:val="center"/>
              <w:rPr>
                <w:color w:val="000000"/>
                <w:sz w:val="20"/>
                <w:szCs w:val="20"/>
              </w:rPr>
            </w:pPr>
            <w:r>
              <w:rPr>
                <w:color w:val="000000"/>
                <w:sz w:val="20"/>
                <w:szCs w:val="20"/>
              </w:rPr>
              <w:t>30</w:t>
            </w:r>
          </w:p>
        </w:tc>
        <w:tc>
          <w:tcPr>
            <w:tcW w:w="1926" w:type="dxa"/>
            <w:tcBorders>
              <w:top w:val="nil"/>
              <w:left w:val="nil"/>
              <w:bottom w:val="nil"/>
              <w:right w:val="nil"/>
            </w:tcBorders>
            <w:tcMar>
              <w:top w:w="15" w:type="dxa"/>
              <w:left w:w="15" w:type="dxa"/>
              <w:bottom w:w="0" w:type="dxa"/>
              <w:right w:w="15" w:type="dxa"/>
            </w:tcMar>
            <w:vAlign w:val="bottom"/>
          </w:tcPr>
          <w:p w14:paraId="5ABC1D6A" w14:textId="77777777" w:rsidR="00716AEA" w:rsidRDefault="00716AEA" w:rsidP="00302C5C">
            <w:pPr>
              <w:jc w:val="center"/>
              <w:rPr>
                <w:color w:val="000000"/>
                <w:sz w:val="20"/>
                <w:szCs w:val="20"/>
              </w:rPr>
            </w:pPr>
            <w:r>
              <w:rPr>
                <w:color w:val="000000"/>
                <w:sz w:val="20"/>
                <w:szCs w:val="20"/>
              </w:rPr>
              <w:t>29</w:t>
            </w:r>
          </w:p>
        </w:tc>
        <w:tc>
          <w:tcPr>
            <w:tcW w:w="2457" w:type="dxa"/>
            <w:tcBorders>
              <w:top w:val="nil"/>
              <w:left w:val="nil"/>
              <w:bottom w:val="nil"/>
              <w:right w:val="nil"/>
            </w:tcBorders>
            <w:tcMar>
              <w:top w:w="15" w:type="dxa"/>
              <w:left w:w="15" w:type="dxa"/>
              <w:bottom w:w="0" w:type="dxa"/>
              <w:right w:w="15" w:type="dxa"/>
            </w:tcMar>
            <w:vAlign w:val="bottom"/>
          </w:tcPr>
          <w:p w14:paraId="7DC15F6B" w14:textId="77777777" w:rsidR="00716AEA" w:rsidRDefault="00716AEA" w:rsidP="00302C5C">
            <w:pPr>
              <w:jc w:val="center"/>
              <w:rPr>
                <w:color w:val="000000"/>
                <w:sz w:val="20"/>
                <w:szCs w:val="20"/>
              </w:rPr>
            </w:pPr>
            <w:r>
              <w:rPr>
                <w:color w:val="000000"/>
                <w:sz w:val="20"/>
                <w:szCs w:val="20"/>
              </w:rPr>
              <w:t>56</w:t>
            </w:r>
          </w:p>
        </w:tc>
      </w:tr>
      <w:tr w:rsidR="00716AEA" w14:paraId="5F1BBEBB"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24E5A6B5" w14:textId="77777777" w:rsidR="00716AEA" w:rsidRDefault="00716AEA" w:rsidP="00302C5C">
            <w:pPr>
              <w:jc w:val="both"/>
              <w:rPr>
                <w:color w:val="000000"/>
                <w:sz w:val="20"/>
                <w:szCs w:val="20"/>
              </w:rPr>
            </w:pPr>
            <w:r>
              <w:rPr>
                <w:color w:val="000000"/>
                <w:sz w:val="20"/>
                <w:szCs w:val="20"/>
              </w:rPr>
              <w:t>Guinea-Bissau</w:t>
            </w:r>
          </w:p>
        </w:tc>
        <w:tc>
          <w:tcPr>
            <w:tcW w:w="2100" w:type="dxa"/>
            <w:tcBorders>
              <w:top w:val="nil"/>
              <w:left w:val="nil"/>
              <w:bottom w:val="nil"/>
              <w:right w:val="nil"/>
            </w:tcBorders>
            <w:tcMar>
              <w:top w:w="15" w:type="dxa"/>
              <w:left w:w="15" w:type="dxa"/>
              <w:bottom w:w="0" w:type="dxa"/>
              <w:right w:w="15" w:type="dxa"/>
            </w:tcMar>
            <w:vAlign w:val="center"/>
          </w:tcPr>
          <w:p w14:paraId="193924FB" w14:textId="77777777" w:rsidR="00716AEA" w:rsidRDefault="00716AEA" w:rsidP="00302C5C">
            <w:pPr>
              <w:jc w:val="center"/>
              <w:rPr>
                <w:color w:val="000000"/>
                <w:sz w:val="20"/>
                <w:szCs w:val="20"/>
              </w:rPr>
            </w:pPr>
            <w:r>
              <w:rPr>
                <w:color w:val="000000"/>
                <w:sz w:val="20"/>
                <w:szCs w:val="20"/>
              </w:rPr>
              <w:t>40</w:t>
            </w:r>
          </w:p>
        </w:tc>
        <w:tc>
          <w:tcPr>
            <w:tcW w:w="2079" w:type="dxa"/>
            <w:tcBorders>
              <w:top w:val="nil"/>
              <w:left w:val="nil"/>
              <w:bottom w:val="nil"/>
              <w:right w:val="nil"/>
            </w:tcBorders>
            <w:tcMar>
              <w:top w:w="15" w:type="dxa"/>
              <w:left w:w="15" w:type="dxa"/>
              <w:bottom w:w="0" w:type="dxa"/>
              <w:right w:w="15" w:type="dxa"/>
            </w:tcMar>
            <w:vAlign w:val="center"/>
          </w:tcPr>
          <w:p w14:paraId="404C5FA4" w14:textId="77777777" w:rsidR="00716AEA" w:rsidRDefault="00716AEA" w:rsidP="00302C5C">
            <w:pPr>
              <w:jc w:val="center"/>
              <w:rPr>
                <w:color w:val="000000"/>
                <w:sz w:val="20"/>
                <w:szCs w:val="20"/>
              </w:rPr>
            </w:pPr>
            <w:r>
              <w:rPr>
                <w:color w:val="000000"/>
                <w:sz w:val="20"/>
                <w:szCs w:val="20"/>
              </w:rPr>
              <w:t>25</w:t>
            </w:r>
          </w:p>
        </w:tc>
        <w:tc>
          <w:tcPr>
            <w:tcW w:w="2062" w:type="dxa"/>
            <w:tcBorders>
              <w:top w:val="nil"/>
              <w:left w:val="nil"/>
              <w:bottom w:val="nil"/>
              <w:right w:val="nil"/>
            </w:tcBorders>
            <w:tcMar>
              <w:top w:w="15" w:type="dxa"/>
              <w:left w:w="15" w:type="dxa"/>
              <w:bottom w:w="0" w:type="dxa"/>
              <w:right w:w="15" w:type="dxa"/>
            </w:tcMar>
            <w:vAlign w:val="center"/>
          </w:tcPr>
          <w:p w14:paraId="4CFDE1BB" w14:textId="77777777" w:rsidR="00716AEA" w:rsidRDefault="00716AEA" w:rsidP="00302C5C">
            <w:pPr>
              <w:jc w:val="center"/>
              <w:rPr>
                <w:color w:val="000000"/>
                <w:sz w:val="20"/>
                <w:szCs w:val="20"/>
              </w:rPr>
            </w:pPr>
            <w:r>
              <w:rPr>
                <w:color w:val="000000"/>
                <w:sz w:val="20"/>
                <w:szCs w:val="20"/>
              </w:rPr>
              <w:t>35</w:t>
            </w:r>
          </w:p>
        </w:tc>
        <w:tc>
          <w:tcPr>
            <w:tcW w:w="1937" w:type="dxa"/>
            <w:tcBorders>
              <w:top w:val="nil"/>
              <w:left w:val="nil"/>
              <w:bottom w:val="nil"/>
              <w:right w:val="nil"/>
            </w:tcBorders>
            <w:tcMar>
              <w:top w:w="15" w:type="dxa"/>
              <w:left w:w="15" w:type="dxa"/>
              <w:bottom w:w="0" w:type="dxa"/>
              <w:right w:w="15" w:type="dxa"/>
            </w:tcMar>
            <w:vAlign w:val="bottom"/>
          </w:tcPr>
          <w:p w14:paraId="42C9A3E4" w14:textId="77777777" w:rsidR="00716AEA" w:rsidRDefault="00716AEA" w:rsidP="00302C5C">
            <w:pPr>
              <w:jc w:val="center"/>
              <w:rPr>
                <w:color w:val="000000"/>
                <w:sz w:val="20"/>
                <w:szCs w:val="20"/>
              </w:rPr>
            </w:pPr>
            <w:r>
              <w:rPr>
                <w:color w:val="000000"/>
                <w:sz w:val="20"/>
                <w:szCs w:val="20"/>
              </w:rPr>
              <w:t>19</w:t>
            </w:r>
          </w:p>
        </w:tc>
        <w:tc>
          <w:tcPr>
            <w:tcW w:w="1926" w:type="dxa"/>
            <w:tcBorders>
              <w:top w:val="nil"/>
              <w:left w:val="nil"/>
              <w:bottom w:val="nil"/>
              <w:right w:val="nil"/>
            </w:tcBorders>
            <w:tcMar>
              <w:top w:w="15" w:type="dxa"/>
              <w:left w:w="15" w:type="dxa"/>
              <w:bottom w:w="0" w:type="dxa"/>
              <w:right w:w="15" w:type="dxa"/>
            </w:tcMar>
            <w:vAlign w:val="bottom"/>
          </w:tcPr>
          <w:p w14:paraId="4CA13D51" w14:textId="77777777" w:rsidR="00716AEA" w:rsidRDefault="00716AEA" w:rsidP="00302C5C">
            <w:pPr>
              <w:jc w:val="center"/>
              <w:rPr>
                <w:color w:val="000000"/>
                <w:sz w:val="20"/>
                <w:szCs w:val="20"/>
              </w:rPr>
            </w:pPr>
            <w:r>
              <w:rPr>
                <w:color w:val="000000"/>
                <w:sz w:val="20"/>
                <w:szCs w:val="20"/>
              </w:rPr>
              <w:t>21</w:t>
            </w:r>
          </w:p>
        </w:tc>
        <w:tc>
          <w:tcPr>
            <w:tcW w:w="2457" w:type="dxa"/>
            <w:tcBorders>
              <w:top w:val="nil"/>
              <w:left w:val="nil"/>
              <w:bottom w:val="nil"/>
              <w:right w:val="nil"/>
            </w:tcBorders>
            <w:tcMar>
              <w:top w:w="15" w:type="dxa"/>
              <w:left w:w="15" w:type="dxa"/>
              <w:bottom w:w="0" w:type="dxa"/>
              <w:right w:w="15" w:type="dxa"/>
            </w:tcMar>
            <w:vAlign w:val="bottom"/>
          </w:tcPr>
          <w:p w14:paraId="60BA1DF2" w14:textId="77777777" w:rsidR="00716AEA" w:rsidRDefault="00716AEA" w:rsidP="00302C5C">
            <w:pPr>
              <w:jc w:val="center"/>
              <w:rPr>
                <w:color w:val="000000"/>
                <w:sz w:val="20"/>
                <w:szCs w:val="20"/>
              </w:rPr>
            </w:pPr>
            <w:r>
              <w:rPr>
                <w:color w:val="000000"/>
                <w:sz w:val="20"/>
                <w:szCs w:val="20"/>
              </w:rPr>
              <w:t>71</w:t>
            </w:r>
          </w:p>
        </w:tc>
      </w:tr>
      <w:tr w:rsidR="00716AEA" w14:paraId="5F59BB1B"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4670E267" w14:textId="77777777" w:rsidR="00716AEA" w:rsidRDefault="00716AEA" w:rsidP="00302C5C">
            <w:pPr>
              <w:jc w:val="both"/>
              <w:rPr>
                <w:color w:val="000000"/>
                <w:sz w:val="20"/>
                <w:szCs w:val="20"/>
              </w:rPr>
            </w:pPr>
            <w:r>
              <w:rPr>
                <w:color w:val="000000"/>
                <w:sz w:val="20"/>
                <w:szCs w:val="20"/>
              </w:rPr>
              <w:t>Lesotho</w:t>
            </w:r>
          </w:p>
        </w:tc>
        <w:tc>
          <w:tcPr>
            <w:tcW w:w="2100" w:type="dxa"/>
            <w:tcBorders>
              <w:top w:val="nil"/>
              <w:left w:val="nil"/>
              <w:bottom w:val="nil"/>
              <w:right w:val="nil"/>
            </w:tcBorders>
            <w:tcMar>
              <w:top w:w="15" w:type="dxa"/>
              <w:left w:w="15" w:type="dxa"/>
              <w:bottom w:w="0" w:type="dxa"/>
              <w:right w:w="15" w:type="dxa"/>
            </w:tcMar>
            <w:vAlign w:val="center"/>
          </w:tcPr>
          <w:p w14:paraId="73AA546B" w14:textId="77777777" w:rsidR="00716AEA" w:rsidRDefault="00716AEA" w:rsidP="00302C5C">
            <w:pPr>
              <w:jc w:val="center"/>
              <w:rPr>
                <w:color w:val="000000"/>
                <w:sz w:val="20"/>
                <w:szCs w:val="20"/>
              </w:rPr>
            </w:pPr>
            <w:r>
              <w:rPr>
                <w:color w:val="000000"/>
                <w:sz w:val="20"/>
                <w:szCs w:val="20"/>
              </w:rPr>
              <w:t>33</w:t>
            </w:r>
          </w:p>
        </w:tc>
        <w:tc>
          <w:tcPr>
            <w:tcW w:w="2079" w:type="dxa"/>
            <w:tcBorders>
              <w:top w:val="nil"/>
              <w:left w:val="nil"/>
              <w:bottom w:val="nil"/>
              <w:right w:val="nil"/>
            </w:tcBorders>
            <w:tcMar>
              <w:top w:w="15" w:type="dxa"/>
              <w:left w:w="15" w:type="dxa"/>
              <w:bottom w:w="0" w:type="dxa"/>
              <w:right w:w="15" w:type="dxa"/>
            </w:tcMar>
            <w:vAlign w:val="center"/>
          </w:tcPr>
          <w:p w14:paraId="68758641" w14:textId="77777777" w:rsidR="00716AEA" w:rsidRDefault="00716AEA" w:rsidP="00302C5C">
            <w:pPr>
              <w:jc w:val="center"/>
              <w:rPr>
                <w:color w:val="000000"/>
                <w:sz w:val="20"/>
                <w:szCs w:val="20"/>
              </w:rPr>
            </w:pPr>
            <w:r>
              <w:rPr>
                <w:color w:val="000000"/>
                <w:sz w:val="20"/>
                <w:szCs w:val="20"/>
              </w:rPr>
              <w:t>25</w:t>
            </w:r>
          </w:p>
        </w:tc>
        <w:tc>
          <w:tcPr>
            <w:tcW w:w="2062" w:type="dxa"/>
            <w:tcBorders>
              <w:top w:val="nil"/>
              <w:left w:val="nil"/>
              <w:bottom w:val="nil"/>
              <w:right w:val="nil"/>
            </w:tcBorders>
            <w:tcMar>
              <w:top w:w="15" w:type="dxa"/>
              <w:left w:w="15" w:type="dxa"/>
              <w:bottom w:w="0" w:type="dxa"/>
              <w:right w:w="15" w:type="dxa"/>
            </w:tcMar>
            <w:vAlign w:val="center"/>
          </w:tcPr>
          <w:p w14:paraId="7FAC4F57" w14:textId="77777777" w:rsidR="00716AEA" w:rsidRDefault="00716AEA" w:rsidP="00302C5C">
            <w:pPr>
              <w:jc w:val="center"/>
              <w:rPr>
                <w:color w:val="000000"/>
                <w:sz w:val="20"/>
                <w:szCs w:val="20"/>
              </w:rPr>
            </w:pPr>
            <w:r>
              <w:rPr>
                <w:color w:val="000000"/>
                <w:sz w:val="20"/>
                <w:szCs w:val="20"/>
              </w:rPr>
              <w:t>40</w:t>
            </w:r>
          </w:p>
        </w:tc>
        <w:tc>
          <w:tcPr>
            <w:tcW w:w="1937" w:type="dxa"/>
            <w:tcBorders>
              <w:top w:val="nil"/>
              <w:left w:val="nil"/>
              <w:bottom w:val="nil"/>
              <w:right w:val="nil"/>
            </w:tcBorders>
            <w:tcMar>
              <w:top w:w="15" w:type="dxa"/>
              <w:left w:w="15" w:type="dxa"/>
              <w:bottom w:w="0" w:type="dxa"/>
              <w:right w:w="15" w:type="dxa"/>
            </w:tcMar>
            <w:vAlign w:val="bottom"/>
          </w:tcPr>
          <w:p w14:paraId="106CB3BF" w14:textId="77777777" w:rsidR="00716AEA" w:rsidRDefault="00716AEA" w:rsidP="00302C5C">
            <w:pPr>
              <w:jc w:val="center"/>
              <w:rPr>
                <w:color w:val="000000"/>
                <w:sz w:val="20"/>
                <w:szCs w:val="20"/>
              </w:rPr>
            </w:pPr>
            <w:r>
              <w:rPr>
                <w:color w:val="000000"/>
                <w:sz w:val="20"/>
                <w:szCs w:val="20"/>
              </w:rPr>
              <w:t>33</w:t>
            </w:r>
          </w:p>
        </w:tc>
        <w:tc>
          <w:tcPr>
            <w:tcW w:w="1926" w:type="dxa"/>
            <w:tcBorders>
              <w:top w:val="nil"/>
              <w:left w:val="nil"/>
              <w:bottom w:val="nil"/>
              <w:right w:val="nil"/>
            </w:tcBorders>
            <w:tcMar>
              <w:top w:w="15" w:type="dxa"/>
              <w:left w:w="15" w:type="dxa"/>
              <w:bottom w:w="0" w:type="dxa"/>
              <w:right w:w="15" w:type="dxa"/>
            </w:tcMar>
            <w:vAlign w:val="bottom"/>
          </w:tcPr>
          <w:p w14:paraId="35385285" w14:textId="77777777" w:rsidR="00716AEA" w:rsidRDefault="00716AEA" w:rsidP="00302C5C">
            <w:pPr>
              <w:jc w:val="center"/>
              <w:rPr>
                <w:color w:val="000000"/>
                <w:sz w:val="20"/>
                <w:szCs w:val="20"/>
              </w:rPr>
            </w:pPr>
            <w:r>
              <w:rPr>
                <w:color w:val="000000"/>
                <w:sz w:val="20"/>
                <w:szCs w:val="20"/>
              </w:rPr>
              <w:t>31</w:t>
            </w:r>
          </w:p>
        </w:tc>
        <w:tc>
          <w:tcPr>
            <w:tcW w:w="2457" w:type="dxa"/>
            <w:tcBorders>
              <w:top w:val="nil"/>
              <w:left w:val="nil"/>
              <w:bottom w:val="nil"/>
              <w:right w:val="nil"/>
            </w:tcBorders>
            <w:tcMar>
              <w:top w:w="15" w:type="dxa"/>
              <w:left w:w="15" w:type="dxa"/>
              <w:bottom w:w="0" w:type="dxa"/>
              <w:right w:w="15" w:type="dxa"/>
            </w:tcMar>
            <w:vAlign w:val="bottom"/>
          </w:tcPr>
          <w:p w14:paraId="4CC291A1" w14:textId="77777777" w:rsidR="00716AEA" w:rsidRDefault="00716AEA" w:rsidP="00302C5C">
            <w:pPr>
              <w:jc w:val="center"/>
              <w:rPr>
                <w:color w:val="000000"/>
                <w:sz w:val="20"/>
                <w:szCs w:val="20"/>
              </w:rPr>
            </w:pPr>
            <w:r>
              <w:rPr>
                <w:color w:val="000000"/>
                <w:sz w:val="20"/>
                <w:szCs w:val="20"/>
              </w:rPr>
              <w:t>66</w:t>
            </w:r>
          </w:p>
        </w:tc>
      </w:tr>
      <w:tr w:rsidR="00716AEA" w14:paraId="05E92B16"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106BF10C" w14:textId="77777777" w:rsidR="00716AEA" w:rsidRDefault="00716AEA" w:rsidP="00302C5C">
            <w:pPr>
              <w:jc w:val="both"/>
              <w:rPr>
                <w:color w:val="000000"/>
                <w:sz w:val="20"/>
                <w:szCs w:val="20"/>
              </w:rPr>
            </w:pPr>
            <w:r>
              <w:rPr>
                <w:color w:val="000000"/>
                <w:sz w:val="20"/>
                <w:szCs w:val="20"/>
              </w:rPr>
              <w:t>Mauritius</w:t>
            </w:r>
          </w:p>
        </w:tc>
        <w:tc>
          <w:tcPr>
            <w:tcW w:w="2100" w:type="dxa"/>
            <w:tcBorders>
              <w:top w:val="nil"/>
              <w:left w:val="nil"/>
              <w:bottom w:val="nil"/>
              <w:right w:val="nil"/>
            </w:tcBorders>
            <w:tcMar>
              <w:top w:w="15" w:type="dxa"/>
              <w:left w:w="15" w:type="dxa"/>
              <w:bottom w:w="0" w:type="dxa"/>
              <w:right w:w="15" w:type="dxa"/>
            </w:tcMar>
            <w:vAlign w:val="center"/>
          </w:tcPr>
          <w:p w14:paraId="180B24F7" w14:textId="77777777" w:rsidR="00716AEA" w:rsidRDefault="00716AEA" w:rsidP="00302C5C">
            <w:pPr>
              <w:jc w:val="center"/>
              <w:rPr>
                <w:color w:val="000000"/>
                <w:sz w:val="20"/>
                <w:szCs w:val="20"/>
              </w:rPr>
            </w:pPr>
            <w:r>
              <w:rPr>
                <w:color w:val="000000"/>
                <w:sz w:val="20"/>
                <w:szCs w:val="20"/>
              </w:rPr>
              <w:t>62</w:t>
            </w:r>
          </w:p>
        </w:tc>
        <w:tc>
          <w:tcPr>
            <w:tcW w:w="2079" w:type="dxa"/>
            <w:tcBorders>
              <w:top w:val="nil"/>
              <w:left w:val="nil"/>
              <w:bottom w:val="nil"/>
              <w:right w:val="nil"/>
            </w:tcBorders>
            <w:tcMar>
              <w:top w:w="15" w:type="dxa"/>
              <w:left w:w="15" w:type="dxa"/>
              <w:bottom w:w="0" w:type="dxa"/>
              <w:right w:w="15" w:type="dxa"/>
            </w:tcMar>
            <w:vAlign w:val="center"/>
          </w:tcPr>
          <w:p w14:paraId="7E95D5C5" w14:textId="77777777" w:rsidR="00716AEA" w:rsidRDefault="00716AEA" w:rsidP="00302C5C">
            <w:pPr>
              <w:jc w:val="center"/>
              <w:rPr>
                <w:color w:val="000000"/>
                <w:sz w:val="20"/>
                <w:szCs w:val="20"/>
              </w:rPr>
            </w:pPr>
            <w:r>
              <w:rPr>
                <w:color w:val="000000"/>
                <w:sz w:val="20"/>
                <w:szCs w:val="20"/>
              </w:rPr>
              <w:t>64</w:t>
            </w:r>
          </w:p>
        </w:tc>
        <w:tc>
          <w:tcPr>
            <w:tcW w:w="2062" w:type="dxa"/>
            <w:tcBorders>
              <w:top w:val="nil"/>
              <w:left w:val="nil"/>
              <w:bottom w:val="nil"/>
              <w:right w:val="nil"/>
            </w:tcBorders>
            <w:tcMar>
              <w:top w:w="15" w:type="dxa"/>
              <w:left w:w="15" w:type="dxa"/>
              <w:bottom w:w="0" w:type="dxa"/>
              <w:right w:w="15" w:type="dxa"/>
            </w:tcMar>
            <w:vAlign w:val="center"/>
          </w:tcPr>
          <w:p w14:paraId="5536CFB1" w14:textId="77777777" w:rsidR="00716AEA" w:rsidRDefault="00716AEA" w:rsidP="00302C5C">
            <w:pPr>
              <w:jc w:val="center"/>
              <w:rPr>
                <w:color w:val="000000"/>
                <w:sz w:val="20"/>
                <w:szCs w:val="20"/>
              </w:rPr>
            </w:pPr>
            <w:r>
              <w:rPr>
                <w:color w:val="000000"/>
                <w:sz w:val="20"/>
                <w:szCs w:val="20"/>
              </w:rPr>
              <w:t>64</w:t>
            </w:r>
          </w:p>
        </w:tc>
        <w:tc>
          <w:tcPr>
            <w:tcW w:w="1937" w:type="dxa"/>
            <w:tcBorders>
              <w:top w:val="nil"/>
              <w:left w:val="nil"/>
              <w:bottom w:val="nil"/>
              <w:right w:val="nil"/>
            </w:tcBorders>
            <w:tcMar>
              <w:top w:w="15" w:type="dxa"/>
              <w:left w:w="15" w:type="dxa"/>
              <w:bottom w:w="0" w:type="dxa"/>
              <w:right w:w="15" w:type="dxa"/>
            </w:tcMar>
            <w:vAlign w:val="bottom"/>
          </w:tcPr>
          <w:p w14:paraId="32CA8D26" w14:textId="77777777" w:rsidR="00716AEA" w:rsidRDefault="00716AEA" w:rsidP="00302C5C">
            <w:pPr>
              <w:jc w:val="center"/>
              <w:rPr>
                <w:color w:val="000000"/>
                <w:sz w:val="20"/>
                <w:szCs w:val="20"/>
              </w:rPr>
            </w:pPr>
            <w:r>
              <w:rPr>
                <w:color w:val="000000"/>
                <w:sz w:val="20"/>
                <w:szCs w:val="20"/>
              </w:rPr>
              <w:t>38</w:t>
            </w:r>
          </w:p>
        </w:tc>
        <w:tc>
          <w:tcPr>
            <w:tcW w:w="1926" w:type="dxa"/>
            <w:tcBorders>
              <w:top w:val="nil"/>
              <w:left w:val="nil"/>
              <w:bottom w:val="nil"/>
              <w:right w:val="nil"/>
            </w:tcBorders>
            <w:tcMar>
              <w:top w:w="15" w:type="dxa"/>
              <w:left w:w="15" w:type="dxa"/>
              <w:bottom w:w="0" w:type="dxa"/>
              <w:right w:w="15" w:type="dxa"/>
            </w:tcMar>
            <w:vAlign w:val="bottom"/>
          </w:tcPr>
          <w:p w14:paraId="1F95A819" w14:textId="77777777" w:rsidR="00716AEA" w:rsidRDefault="00716AEA" w:rsidP="00302C5C">
            <w:pPr>
              <w:jc w:val="center"/>
              <w:rPr>
                <w:color w:val="000000"/>
                <w:sz w:val="20"/>
                <w:szCs w:val="20"/>
              </w:rPr>
            </w:pPr>
            <w:r>
              <w:rPr>
                <w:color w:val="000000"/>
                <w:sz w:val="20"/>
                <w:szCs w:val="20"/>
              </w:rPr>
              <w:t>40</w:t>
            </w:r>
          </w:p>
        </w:tc>
        <w:tc>
          <w:tcPr>
            <w:tcW w:w="2457" w:type="dxa"/>
            <w:tcBorders>
              <w:top w:val="nil"/>
              <w:left w:val="nil"/>
              <w:bottom w:val="nil"/>
              <w:right w:val="nil"/>
            </w:tcBorders>
            <w:tcMar>
              <w:top w:w="15" w:type="dxa"/>
              <w:left w:w="15" w:type="dxa"/>
              <w:bottom w:w="0" w:type="dxa"/>
              <w:right w:w="15" w:type="dxa"/>
            </w:tcMar>
            <w:vAlign w:val="bottom"/>
          </w:tcPr>
          <w:p w14:paraId="4B5E90E3" w14:textId="77777777" w:rsidR="00716AEA" w:rsidRDefault="00716AEA" w:rsidP="00302C5C">
            <w:pPr>
              <w:jc w:val="center"/>
              <w:rPr>
                <w:color w:val="000000"/>
                <w:sz w:val="20"/>
                <w:szCs w:val="20"/>
              </w:rPr>
            </w:pPr>
            <w:r>
              <w:rPr>
                <w:color w:val="000000"/>
                <w:sz w:val="20"/>
                <w:szCs w:val="20"/>
              </w:rPr>
              <w:t>22</w:t>
            </w:r>
          </w:p>
        </w:tc>
      </w:tr>
      <w:tr w:rsidR="00716AEA" w14:paraId="58461A2C"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5D269D91" w14:textId="77777777" w:rsidR="00716AEA" w:rsidRDefault="00716AEA" w:rsidP="00302C5C">
            <w:pPr>
              <w:jc w:val="both"/>
              <w:rPr>
                <w:color w:val="000000"/>
                <w:sz w:val="20"/>
                <w:szCs w:val="20"/>
              </w:rPr>
            </w:pPr>
            <w:r>
              <w:rPr>
                <w:color w:val="000000"/>
                <w:sz w:val="20"/>
                <w:szCs w:val="20"/>
              </w:rPr>
              <w:t>Namibia</w:t>
            </w:r>
          </w:p>
        </w:tc>
        <w:tc>
          <w:tcPr>
            <w:tcW w:w="2100" w:type="dxa"/>
            <w:tcBorders>
              <w:top w:val="nil"/>
              <w:left w:val="nil"/>
              <w:bottom w:val="nil"/>
              <w:right w:val="nil"/>
            </w:tcBorders>
            <w:tcMar>
              <w:top w:w="15" w:type="dxa"/>
              <w:left w:w="15" w:type="dxa"/>
              <w:bottom w:w="0" w:type="dxa"/>
              <w:right w:w="15" w:type="dxa"/>
            </w:tcMar>
            <w:vAlign w:val="center"/>
          </w:tcPr>
          <w:p w14:paraId="2D77B4D2" w14:textId="77777777" w:rsidR="00716AEA" w:rsidRDefault="00716AEA" w:rsidP="00302C5C">
            <w:pPr>
              <w:jc w:val="center"/>
              <w:rPr>
                <w:color w:val="000000"/>
                <w:sz w:val="20"/>
                <w:szCs w:val="20"/>
              </w:rPr>
            </w:pPr>
            <w:r>
              <w:rPr>
                <w:color w:val="000000"/>
                <w:sz w:val="20"/>
                <w:szCs w:val="20"/>
              </w:rPr>
              <w:t>47</w:t>
            </w:r>
          </w:p>
        </w:tc>
        <w:tc>
          <w:tcPr>
            <w:tcW w:w="2079" w:type="dxa"/>
            <w:tcBorders>
              <w:top w:val="nil"/>
              <w:left w:val="nil"/>
              <w:bottom w:val="nil"/>
              <w:right w:val="nil"/>
            </w:tcBorders>
            <w:tcMar>
              <w:top w:w="15" w:type="dxa"/>
              <w:left w:w="15" w:type="dxa"/>
              <w:bottom w:w="0" w:type="dxa"/>
              <w:right w:w="15" w:type="dxa"/>
            </w:tcMar>
            <w:vAlign w:val="center"/>
          </w:tcPr>
          <w:p w14:paraId="64609A67" w14:textId="77777777" w:rsidR="00716AEA" w:rsidRDefault="00716AEA" w:rsidP="00302C5C">
            <w:pPr>
              <w:jc w:val="center"/>
              <w:rPr>
                <w:color w:val="000000"/>
                <w:sz w:val="20"/>
                <w:szCs w:val="20"/>
              </w:rPr>
            </w:pPr>
            <w:r>
              <w:rPr>
                <w:color w:val="000000"/>
                <w:sz w:val="20"/>
                <w:szCs w:val="20"/>
              </w:rPr>
              <w:t>59</w:t>
            </w:r>
          </w:p>
        </w:tc>
        <w:tc>
          <w:tcPr>
            <w:tcW w:w="2062" w:type="dxa"/>
            <w:tcBorders>
              <w:top w:val="nil"/>
              <w:left w:val="nil"/>
              <w:bottom w:val="nil"/>
              <w:right w:val="nil"/>
            </w:tcBorders>
            <w:tcMar>
              <w:top w:w="15" w:type="dxa"/>
              <w:left w:w="15" w:type="dxa"/>
              <w:bottom w:w="0" w:type="dxa"/>
              <w:right w:w="15" w:type="dxa"/>
            </w:tcMar>
            <w:vAlign w:val="center"/>
          </w:tcPr>
          <w:p w14:paraId="69105182" w14:textId="77777777" w:rsidR="00716AEA" w:rsidRDefault="00716AEA" w:rsidP="00302C5C">
            <w:pPr>
              <w:jc w:val="center"/>
              <w:rPr>
                <w:color w:val="000000"/>
                <w:sz w:val="20"/>
                <w:szCs w:val="20"/>
              </w:rPr>
            </w:pPr>
            <w:r>
              <w:rPr>
                <w:color w:val="000000"/>
                <w:sz w:val="20"/>
                <w:szCs w:val="20"/>
              </w:rPr>
              <w:t>61</w:t>
            </w:r>
          </w:p>
        </w:tc>
        <w:tc>
          <w:tcPr>
            <w:tcW w:w="1937" w:type="dxa"/>
            <w:tcBorders>
              <w:top w:val="nil"/>
              <w:left w:val="nil"/>
              <w:bottom w:val="nil"/>
              <w:right w:val="nil"/>
            </w:tcBorders>
            <w:tcMar>
              <w:top w:w="15" w:type="dxa"/>
              <w:left w:w="15" w:type="dxa"/>
              <w:bottom w:w="0" w:type="dxa"/>
              <w:right w:w="15" w:type="dxa"/>
            </w:tcMar>
            <w:vAlign w:val="bottom"/>
          </w:tcPr>
          <w:p w14:paraId="3213DE3D" w14:textId="77777777" w:rsidR="00716AEA" w:rsidRDefault="00716AEA" w:rsidP="00302C5C">
            <w:pPr>
              <w:jc w:val="center"/>
              <w:rPr>
                <w:color w:val="000000"/>
                <w:sz w:val="20"/>
                <w:szCs w:val="20"/>
              </w:rPr>
            </w:pPr>
            <w:r>
              <w:rPr>
                <w:color w:val="000000"/>
                <w:sz w:val="20"/>
                <w:szCs w:val="20"/>
              </w:rPr>
              <w:t>31</w:t>
            </w:r>
          </w:p>
        </w:tc>
        <w:tc>
          <w:tcPr>
            <w:tcW w:w="1926" w:type="dxa"/>
            <w:tcBorders>
              <w:top w:val="nil"/>
              <w:left w:val="nil"/>
              <w:bottom w:val="nil"/>
              <w:right w:val="nil"/>
            </w:tcBorders>
            <w:tcMar>
              <w:top w:w="15" w:type="dxa"/>
              <w:left w:w="15" w:type="dxa"/>
              <w:bottom w:w="0" w:type="dxa"/>
              <w:right w:w="15" w:type="dxa"/>
            </w:tcMar>
            <w:vAlign w:val="bottom"/>
          </w:tcPr>
          <w:p w14:paraId="3F41A739" w14:textId="77777777" w:rsidR="00716AEA" w:rsidRDefault="00716AEA" w:rsidP="00302C5C">
            <w:pPr>
              <w:jc w:val="center"/>
              <w:rPr>
                <w:color w:val="000000"/>
                <w:sz w:val="20"/>
                <w:szCs w:val="20"/>
              </w:rPr>
            </w:pPr>
            <w:r>
              <w:rPr>
                <w:color w:val="000000"/>
                <w:sz w:val="20"/>
                <w:szCs w:val="20"/>
              </w:rPr>
              <w:t>30</w:t>
            </w:r>
          </w:p>
        </w:tc>
        <w:tc>
          <w:tcPr>
            <w:tcW w:w="2457" w:type="dxa"/>
            <w:tcBorders>
              <w:top w:val="nil"/>
              <w:left w:val="nil"/>
              <w:bottom w:val="nil"/>
              <w:right w:val="nil"/>
            </w:tcBorders>
            <w:tcMar>
              <w:top w:w="15" w:type="dxa"/>
              <w:left w:w="15" w:type="dxa"/>
              <w:bottom w:w="0" w:type="dxa"/>
              <w:right w:w="15" w:type="dxa"/>
            </w:tcMar>
            <w:vAlign w:val="bottom"/>
          </w:tcPr>
          <w:p w14:paraId="54B9001C" w14:textId="77777777" w:rsidR="00716AEA" w:rsidRDefault="00716AEA" w:rsidP="00302C5C">
            <w:pPr>
              <w:jc w:val="center"/>
              <w:rPr>
                <w:color w:val="000000"/>
                <w:sz w:val="20"/>
                <w:szCs w:val="20"/>
              </w:rPr>
            </w:pPr>
            <w:r>
              <w:rPr>
                <w:color w:val="000000"/>
                <w:sz w:val="20"/>
                <w:szCs w:val="20"/>
              </w:rPr>
              <w:t>47</w:t>
            </w:r>
          </w:p>
        </w:tc>
      </w:tr>
      <w:tr w:rsidR="00716AEA" w14:paraId="12DB821B" w14:textId="77777777" w:rsidTr="00302C5C">
        <w:trPr>
          <w:trHeight w:val="625"/>
        </w:trPr>
        <w:tc>
          <w:tcPr>
            <w:tcW w:w="1399" w:type="dxa"/>
            <w:tcBorders>
              <w:top w:val="nil"/>
              <w:left w:val="nil"/>
              <w:bottom w:val="nil"/>
              <w:right w:val="nil"/>
            </w:tcBorders>
            <w:tcMar>
              <w:top w:w="15" w:type="dxa"/>
              <w:left w:w="15" w:type="dxa"/>
              <w:bottom w:w="0" w:type="dxa"/>
              <w:right w:w="15" w:type="dxa"/>
            </w:tcMar>
            <w:vAlign w:val="center"/>
          </w:tcPr>
          <w:p w14:paraId="1466E852" w14:textId="77777777" w:rsidR="00716AEA" w:rsidRDefault="00716AEA" w:rsidP="00302C5C">
            <w:pPr>
              <w:jc w:val="both"/>
              <w:rPr>
                <w:color w:val="000000"/>
                <w:sz w:val="20"/>
                <w:szCs w:val="20"/>
              </w:rPr>
            </w:pPr>
            <w:r>
              <w:rPr>
                <w:color w:val="000000"/>
                <w:sz w:val="20"/>
                <w:szCs w:val="20"/>
              </w:rPr>
              <w:t>São Tomé and Principe</w:t>
            </w:r>
          </w:p>
        </w:tc>
        <w:tc>
          <w:tcPr>
            <w:tcW w:w="2100" w:type="dxa"/>
            <w:tcBorders>
              <w:top w:val="nil"/>
              <w:left w:val="nil"/>
              <w:bottom w:val="nil"/>
              <w:right w:val="nil"/>
            </w:tcBorders>
            <w:tcMar>
              <w:top w:w="15" w:type="dxa"/>
              <w:left w:w="15" w:type="dxa"/>
              <w:bottom w:w="0" w:type="dxa"/>
              <w:right w:w="15" w:type="dxa"/>
            </w:tcMar>
            <w:vAlign w:val="center"/>
          </w:tcPr>
          <w:p w14:paraId="4AEB5F90" w14:textId="77777777" w:rsidR="00716AEA" w:rsidRDefault="00716AEA" w:rsidP="00302C5C">
            <w:pPr>
              <w:jc w:val="center"/>
              <w:rPr>
                <w:color w:val="000000"/>
                <w:sz w:val="20"/>
                <w:szCs w:val="20"/>
              </w:rPr>
            </w:pPr>
            <w:r>
              <w:rPr>
                <w:color w:val="000000"/>
                <w:sz w:val="20"/>
                <w:szCs w:val="20"/>
              </w:rPr>
              <w:t>39</w:t>
            </w:r>
          </w:p>
        </w:tc>
        <w:tc>
          <w:tcPr>
            <w:tcW w:w="2079" w:type="dxa"/>
            <w:tcBorders>
              <w:top w:val="nil"/>
              <w:left w:val="nil"/>
              <w:bottom w:val="nil"/>
              <w:right w:val="nil"/>
            </w:tcBorders>
            <w:tcMar>
              <w:top w:w="15" w:type="dxa"/>
              <w:left w:w="15" w:type="dxa"/>
              <w:bottom w:w="0" w:type="dxa"/>
              <w:right w:w="15" w:type="dxa"/>
            </w:tcMar>
            <w:vAlign w:val="center"/>
          </w:tcPr>
          <w:p w14:paraId="42BE05FB" w14:textId="77777777" w:rsidR="00716AEA" w:rsidRDefault="00716AEA" w:rsidP="00302C5C">
            <w:pPr>
              <w:jc w:val="center"/>
              <w:rPr>
                <w:color w:val="000000"/>
                <w:sz w:val="20"/>
                <w:szCs w:val="20"/>
              </w:rPr>
            </w:pPr>
            <w:r>
              <w:rPr>
                <w:color w:val="000000"/>
                <w:sz w:val="20"/>
                <w:szCs w:val="20"/>
              </w:rPr>
              <w:t>32</w:t>
            </w:r>
          </w:p>
        </w:tc>
        <w:tc>
          <w:tcPr>
            <w:tcW w:w="2062" w:type="dxa"/>
            <w:tcBorders>
              <w:top w:val="nil"/>
              <w:left w:val="nil"/>
              <w:bottom w:val="nil"/>
              <w:right w:val="nil"/>
            </w:tcBorders>
            <w:tcMar>
              <w:top w:w="15" w:type="dxa"/>
              <w:left w:w="15" w:type="dxa"/>
              <w:bottom w:w="0" w:type="dxa"/>
              <w:right w:w="15" w:type="dxa"/>
            </w:tcMar>
            <w:vAlign w:val="center"/>
          </w:tcPr>
          <w:p w14:paraId="0EF852E4" w14:textId="77777777" w:rsidR="00716AEA" w:rsidRDefault="00716AEA" w:rsidP="00302C5C">
            <w:pPr>
              <w:jc w:val="center"/>
              <w:rPr>
                <w:color w:val="000000"/>
                <w:sz w:val="20"/>
                <w:szCs w:val="20"/>
              </w:rPr>
            </w:pPr>
            <w:r>
              <w:rPr>
                <w:color w:val="000000"/>
                <w:sz w:val="20"/>
                <w:szCs w:val="20"/>
              </w:rPr>
              <w:t>31</w:t>
            </w:r>
          </w:p>
        </w:tc>
        <w:tc>
          <w:tcPr>
            <w:tcW w:w="1937" w:type="dxa"/>
            <w:tcBorders>
              <w:top w:val="nil"/>
              <w:left w:val="nil"/>
              <w:bottom w:val="nil"/>
              <w:right w:val="nil"/>
            </w:tcBorders>
            <w:tcMar>
              <w:top w:w="15" w:type="dxa"/>
              <w:left w:w="15" w:type="dxa"/>
              <w:bottom w:w="0" w:type="dxa"/>
              <w:right w:w="15" w:type="dxa"/>
            </w:tcMar>
            <w:vAlign w:val="bottom"/>
          </w:tcPr>
          <w:p w14:paraId="6790AD19" w14:textId="77777777" w:rsidR="00716AEA" w:rsidRDefault="00716AEA" w:rsidP="00302C5C">
            <w:pPr>
              <w:jc w:val="center"/>
              <w:rPr>
                <w:color w:val="000000"/>
                <w:sz w:val="20"/>
                <w:szCs w:val="20"/>
              </w:rPr>
            </w:pPr>
            <w:r>
              <w:rPr>
                <w:color w:val="000000"/>
                <w:sz w:val="20"/>
                <w:szCs w:val="20"/>
              </w:rPr>
              <w:t>21</w:t>
            </w:r>
          </w:p>
        </w:tc>
        <w:tc>
          <w:tcPr>
            <w:tcW w:w="1926" w:type="dxa"/>
            <w:tcBorders>
              <w:top w:val="nil"/>
              <w:left w:val="nil"/>
              <w:bottom w:val="nil"/>
              <w:right w:val="nil"/>
            </w:tcBorders>
            <w:tcMar>
              <w:top w:w="15" w:type="dxa"/>
              <w:left w:w="15" w:type="dxa"/>
              <w:bottom w:w="0" w:type="dxa"/>
              <w:right w:w="15" w:type="dxa"/>
            </w:tcMar>
            <w:vAlign w:val="bottom"/>
          </w:tcPr>
          <w:p w14:paraId="344D81BB" w14:textId="77777777" w:rsidR="00716AEA" w:rsidRDefault="00716AEA" w:rsidP="00302C5C">
            <w:pPr>
              <w:jc w:val="center"/>
              <w:rPr>
                <w:color w:val="000000"/>
                <w:sz w:val="20"/>
                <w:szCs w:val="20"/>
              </w:rPr>
            </w:pPr>
            <w:r>
              <w:rPr>
                <w:color w:val="000000"/>
                <w:sz w:val="20"/>
                <w:szCs w:val="20"/>
              </w:rPr>
              <w:t>27</w:t>
            </w:r>
          </w:p>
        </w:tc>
        <w:tc>
          <w:tcPr>
            <w:tcW w:w="2457" w:type="dxa"/>
            <w:tcBorders>
              <w:top w:val="nil"/>
              <w:left w:val="nil"/>
              <w:bottom w:val="nil"/>
              <w:right w:val="nil"/>
            </w:tcBorders>
            <w:tcMar>
              <w:top w:w="15" w:type="dxa"/>
              <w:left w:w="15" w:type="dxa"/>
              <w:bottom w:w="0" w:type="dxa"/>
              <w:right w:w="15" w:type="dxa"/>
            </w:tcMar>
            <w:vAlign w:val="bottom"/>
          </w:tcPr>
          <w:p w14:paraId="1C76C11F" w14:textId="77777777" w:rsidR="00716AEA" w:rsidRDefault="00716AEA" w:rsidP="00302C5C">
            <w:pPr>
              <w:jc w:val="center"/>
              <w:rPr>
                <w:color w:val="000000"/>
                <w:sz w:val="20"/>
                <w:szCs w:val="20"/>
              </w:rPr>
            </w:pPr>
            <w:r>
              <w:rPr>
                <w:color w:val="000000"/>
                <w:sz w:val="20"/>
                <w:szCs w:val="20"/>
              </w:rPr>
              <w:t>30</w:t>
            </w:r>
          </w:p>
        </w:tc>
      </w:tr>
      <w:tr w:rsidR="00716AEA" w14:paraId="7AFC6500" w14:textId="77777777" w:rsidTr="00302C5C">
        <w:trPr>
          <w:trHeight w:val="312"/>
        </w:trPr>
        <w:tc>
          <w:tcPr>
            <w:tcW w:w="1399" w:type="dxa"/>
            <w:tcBorders>
              <w:top w:val="nil"/>
              <w:left w:val="nil"/>
              <w:bottom w:val="single" w:sz="4" w:space="0" w:color="000000"/>
              <w:right w:val="nil"/>
            </w:tcBorders>
            <w:tcMar>
              <w:top w:w="15" w:type="dxa"/>
              <w:left w:w="15" w:type="dxa"/>
              <w:bottom w:w="0" w:type="dxa"/>
              <w:right w:w="15" w:type="dxa"/>
            </w:tcMar>
            <w:vAlign w:val="center"/>
          </w:tcPr>
          <w:p w14:paraId="0A1AEFFF" w14:textId="77777777" w:rsidR="00716AEA" w:rsidRDefault="00716AEA" w:rsidP="00302C5C">
            <w:pPr>
              <w:jc w:val="both"/>
              <w:rPr>
                <w:color w:val="000000"/>
                <w:sz w:val="20"/>
                <w:szCs w:val="20"/>
              </w:rPr>
            </w:pPr>
            <w:r>
              <w:rPr>
                <w:color w:val="000000"/>
                <w:sz w:val="20"/>
                <w:szCs w:val="20"/>
              </w:rPr>
              <w:t>Seychelles</w:t>
            </w:r>
          </w:p>
        </w:tc>
        <w:tc>
          <w:tcPr>
            <w:tcW w:w="2100" w:type="dxa"/>
            <w:tcBorders>
              <w:top w:val="nil"/>
              <w:left w:val="nil"/>
              <w:bottom w:val="single" w:sz="4" w:space="0" w:color="000000"/>
              <w:right w:val="nil"/>
            </w:tcBorders>
            <w:tcMar>
              <w:top w:w="15" w:type="dxa"/>
              <w:left w:w="15" w:type="dxa"/>
              <w:bottom w:w="0" w:type="dxa"/>
              <w:right w:w="15" w:type="dxa"/>
            </w:tcMar>
            <w:vAlign w:val="center"/>
          </w:tcPr>
          <w:p w14:paraId="4675C73A" w14:textId="77777777" w:rsidR="00716AEA" w:rsidRDefault="00716AEA" w:rsidP="00302C5C">
            <w:pPr>
              <w:jc w:val="center"/>
              <w:rPr>
                <w:color w:val="000000"/>
                <w:sz w:val="20"/>
                <w:szCs w:val="20"/>
              </w:rPr>
            </w:pPr>
            <w:r>
              <w:rPr>
                <w:color w:val="000000"/>
                <w:sz w:val="20"/>
                <w:szCs w:val="20"/>
              </w:rPr>
              <w:t>48</w:t>
            </w:r>
          </w:p>
        </w:tc>
        <w:tc>
          <w:tcPr>
            <w:tcW w:w="2079" w:type="dxa"/>
            <w:tcBorders>
              <w:top w:val="nil"/>
              <w:left w:val="nil"/>
              <w:bottom w:val="single" w:sz="4" w:space="0" w:color="000000"/>
              <w:right w:val="nil"/>
            </w:tcBorders>
            <w:tcMar>
              <w:top w:w="15" w:type="dxa"/>
              <w:left w:w="15" w:type="dxa"/>
              <w:bottom w:w="0" w:type="dxa"/>
              <w:right w:w="15" w:type="dxa"/>
            </w:tcMar>
            <w:vAlign w:val="center"/>
          </w:tcPr>
          <w:p w14:paraId="2F68E1C0" w14:textId="77777777" w:rsidR="00716AEA" w:rsidRDefault="00716AEA" w:rsidP="00302C5C">
            <w:pPr>
              <w:jc w:val="center"/>
              <w:rPr>
                <w:color w:val="000000"/>
                <w:sz w:val="20"/>
                <w:szCs w:val="20"/>
              </w:rPr>
            </w:pPr>
            <w:r>
              <w:rPr>
                <w:color w:val="000000"/>
                <w:sz w:val="20"/>
                <w:szCs w:val="20"/>
              </w:rPr>
              <w:t>51</w:t>
            </w:r>
          </w:p>
        </w:tc>
        <w:tc>
          <w:tcPr>
            <w:tcW w:w="2062" w:type="dxa"/>
            <w:tcBorders>
              <w:top w:val="nil"/>
              <w:left w:val="nil"/>
              <w:bottom w:val="single" w:sz="4" w:space="0" w:color="000000"/>
              <w:right w:val="nil"/>
            </w:tcBorders>
            <w:tcMar>
              <w:top w:w="15" w:type="dxa"/>
              <w:left w:w="15" w:type="dxa"/>
              <w:bottom w:w="0" w:type="dxa"/>
              <w:right w:w="15" w:type="dxa"/>
            </w:tcMar>
            <w:vAlign w:val="center"/>
          </w:tcPr>
          <w:p w14:paraId="65A948E2" w14:textId="77777777" w:rsidR="00716AEA" w:rsidRDefault="00716AEA" w:rsidP="00302C5C">
            <w:pPr>
              <w:jc w:val="center"/>
              <w:rPr>
                <w:color w:val="000000"/>
                <w:sz w:val="20"/>
                <w:szCs w:val="20"/>
              </w:rPr>
            </w:pPr>
            <w:r>
              <w:rPr>
                <w:color w:val="000000"/>
                <w:sz w:val="20"/>
                <w:szCs w:val="20"/>
              </w:rPr>
              <w:t>56</w:t>
            </w:r>
          </w:p>
        </w:tc>
        <w:tc>
          <w:tcPr>
            <w:tcW w:w="1937" w:type="dxa"/>
            <w:tcBorders>
              <w:top w:val="nil"/>
              <w:left w:val="nil"/>
              <w:bottom w:val="single" w:sz="4" w:space="0" w:color="000000"/>
              <w:right w:val="nil"/>
            </w:tcBorders>
            <w:tcMar>
              <w:top w:w="15" w:type="dxa"/>
              <w:left w:w="15" w:type="dxa"/>
              <w:bottom w:w="0" w:type="dxa"/>
              <w:right w:w="15" w:type="dxa"/>
            </w:tcMar>
            <w:vAlign w:val="bottom"/>
          </w:tcPr>
          <w:p w14:paraId="2A5DE08B" w14:textId="77777777" w:rsidR="00716AEA" w:rsidRDefault="00716AEA" w:rsidP="00302C5C">
            <w:pPr>
              <w:jc w:val="center"/>
              <w:rPr>
                <w:color w:val="000000"/>
                <w:sz w:val="20"/>
                <w:szCs w:val="20"/>
              </w:rPr>
            </w:pPr>
            <w:r>
              <w:rPr>
                <w:color w:val="000000"/>
                <w:sz w:val="20"/>
                <w:szCs w:val="20"/>
              </w:rPr>
              <w:t>33</w:t>
            </w:r>
          </w:p>
        </w:tc>
        <w:tc>
          <w:tcPr>
            <w:tcW w:w="1926" w:type="dxa"/>
            <w:tcBorders>
              <w:top w:val="nil"/>
              <w:left w:val="nil"/>
              <w:bottom w:val="single" w:sz="4" w:space="0" w:color="000000"/>
              <w:right w:val="nil"/>
            </w:tcBorders>
            <w:tcMar>
              <w:top w:w="15" w:type="dxa"/>
              <w:left w:w="15" w:type="dxa"/>
              <w:bottom w:w="0" w:type="dxa"/>
              <w:right w:w="15" w:type="dxa"/>
            </w:tcMar>
            <w:vAlign w:val="bottom"/>
          </w:tcPr>
          <w:p w14:paraId="6E7BF12F" w14:textId="77777777" w:rsidR="00716AEA" w:rsidRDefault="00716AEA" w:rsidP="00302C5C">
            <w:pPr>
              <w:jc w:val="center"/>
              <w:rPr>
                <w:color w:val="000000"/>
                <w:sz w:val="20"/>
                <w:szCs w:val="20"/>
              </w:rPr>
            </w:pPr>
            <w:r>
              <w:rPr>
                <w:color w:val="000000"/>
                <w:sz w:val="20"/>
                <w:szCs w:val="20"/>
              </w:rPr>
              <w:t>32</w:t>
            </w:r>
          </w:p>
        </w:tc>
        <w:tc>
          <w:tcPr>
            <w:tcW w:w="2457" w:type="dxa"/>
            <w:tcBorders>
              <w:top w:val="nil"/>
              <w:left w:val="nil"/>
              <w:bottom w:val="single" w:sz="4" w:space="0" w:color="000000"/>
              <w:right w:val="nil"/>
            </w:tcBorders>
            <w:tcMar>
              <w:top w:w="15" w:type="dxa"/>
              <w:left w:w="15" w:type="dxa"/>
              <w:bottom w:w="0" w:type="dxa"/>
              <w:right w:w="15" w:type="dxa"/>
            </w:tcMar>
            <w:vAlign w:val="bottom"/>
          </w:tcPr>
          <w:p w14:paraId="23E09D39" w14:textId="77777777" w:rsidR="00716AEA" w:rsidRDefault="00716AEA" w:rsidP="00302C5C">
            <w:pPr>
              <w:jc w:val="center"/>
              <w:rPr>
                <w:color w:val="000000"/>
                <w:sz w:val="20"/>
                <w:szCs w:val="20"/>
              </w:rPr>
            </w:pPr>
            <w:r>
              <w:rPr>
                <w:color w:val="000000"/>
                <w:sz w:val="20"/>
                <w:szCs w:val="20"/>
              </w:rPr>
              <w:t>40</w:t>
            </w:r>
          </w:p>
        </w:tc>
      </w:tr>
      <w:tr w:rsidR="00716AEA" w14:paraId="73877484"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3FBBB446" w14:textId="77777777" w:rsidR="00716AEA" w:rsidRDefault="00716AEA" w:rsidP="00302C5C">
            <w:pPr>
              <w:jc w:val="both"/>
              <w:rPr>
                <w:b/>
                <w:color w:val="000000"/>
                <w:sz w:val="20"/>
                <w:szCs w:val="20"/>
              </w:rPr>
            </w:pPr>
            <w:r>
              <w:rPr>
                <w:b/>
                <w:color w:val="000000"/>
                <w:sz w:val="20"/>
                <w:szCs w:val="20"/>
              </w:rPr>
              <w:t>African S&amp;IS Mean</w:t>
            </w:r>
          </w:p>
        </w:tc>
        <w:tc>
          <w:tcPr>
            <w:tcW w:w="2100" w:type="dxa"/>
            <w:tcBorders>
              <w:top w:val="nil"/>
              <w:left w:val="nil"/>
              <w:bottom w:val="nil"/>
              <w:right w:val="nil"/>
            </w:tcBorders>
            <w:tcMar>
              <w:top w:w="15" w:type="dxa"/>
              <w:left w:w="15" w:type="dxa"/>
              <w:bottom w:w="0" w:type="dxa"/>
              <w:right w:w="15" w:type="dxa"/>
            </w:tcMar>
            <w:vAlign w:val="center"/>
          </w:tcPr>
          <w:p w14:paraId="1EFFC443" w14:textId="77777777" w:rsidR="00716AEA" w:rsidRDefault="00716AEA" w:rsidP="00302C5C">
            <w:pPr>
              <w:jc w:val="center"/>
              <w:rPr>
                <w:color w:val="000000"/>
                <w:sz w:val="20"/>
                <w:szCs w:val="20"/>
              </w:rPr>
            </w:pPr>
            <w:r>
              <w:rPr>
                <w:color w:val="000000"/>
                <w:sz w:val="20"/>
                <w:szCs w:val="20"/>
              </w:rPr>
              <w:t>38</w:t>
            </w:r>
          </w:p>
        </w:tc>
        <w:tc>
          <w:tcPr>
            <w:tcW w:w="2079" w:type="dxa"/>
            <w:tcBorders>
              <w:top w:val="nil"/>
              <w:left w:val="nil"/>
              <w:bottom w:val="nil"/>
              <w:right w:val="nil"/>
            </w:tcBorders>
            <w:tcMar>
              <w:top w:w="15" w:type="dxa"/>
              <w:left w:w="15" w:type="dxa"/>
              <w:bottom w:w="0" w:type="dxa"/>
              <w:right w:w="15" w:type="dxa"/>
            </w:tcMar>
            <w:vAlign w:val="center"/>
          </w:tcPr>
          <w:p w14:paraId="55190838" w14:textId="77777777" w:rsidR="00716AEA" w:rsidRDefault="00716AEA" w:rsidP="00302C5C">
            <w:pPr>
              <w:jc w:val="center"/>
              <w:rPr>
                <w:color w:val="000000"/>
                <w:sz w:val="20"/>
                <w:szCs w:val="20"/>
              </w:rPr>
            </w:pPr>
            <w:r>
              <w:rPr>
                <w:color w:val="000000"/>
                <w:sz w:val="20"/>
                <w:szCs w:val="20"/>
              </w:rPr>
              <w:t>38</w:t>
            </w:r>
          </w:p>
        </w:tc>
        <w:tc>
          <w:tcPr>
            <w:tcW w:w="2062" w:type="dxa"/>
            <w:tcBorders>
              <w:top w:val="nil"/>
              <w:left w:val="nil"/>
              <w:bottom w:val="nil"/>
              <w:right w:val="nil"/>
            </w:tcBorders>
            <w:tcMar>
              <w:top w:w="15" w:type="dxa"/>
              <w:left w:w="15" w:type="dxa"/>
              <w:bottom w:w="0" w:type="dxa"/>
              <w:right w:w="15" w:type="dxa"/>
            </w:tcMar>
            <w:vAlign w:val="center"/>
          </w:tcPr>
          <w:p w14:paraId="3C5D29EE" w14:textId="77777777" w:rsidR="00716AEA" w:rsidRDefault="00716AEA" w:rsidP="00302C5C">
            <w:pPr>
              <w:jc w:val="center"/>
              <w:rPr>
                <w:color w:val="000000"/>
                <w:sz w:val="20"/>
                <w:szCs w:val="20"/>
              </w:rPr>
            </w:pPr>
            <w:r>
              <w:rPr>
                <w:color w:val="000000"/>
                <w:sz w:val="20"/>
                <w:szCs w:val="20"/>
              </w:rPr>
              <w:t>44</w:t>
            </w:r>
          </w:p>
        </w:tc>
        <w:tc>
          <w:tcPr>
            <w:tcW w:w="1937" w:type="dxa"/>
            <w:tcBorders>
              <w:top w:val="nil"/>
              <w:left w:val="nil"/>
              <w:bottom w:val="nil"/>
              <w:right w:val="nil"/>
            </w:tcBorders>
            <w:tcMar>
              <w:top w:w="15" w:type="dxa"/>
              <w:left w:w="15" w:type="dxa"/>
              <w:bottom w:w="0" w:type="dxa"/>
              <w:right w:w="15" w:type="dxa"/>
            </w:tcMar>
            <w:vAlign w:val="bottom"/>
          </w:tcPr>
          <w:p w14:paraId="5D1E6447" w14:textId="77777777" w:rsidR="00716AEA" w:rsidRDefault="00716AEA" w:rsidP="00302C5C">
            <w:pPr>
              <w:jc w:val="center"/>
              <w:rPr>
                <w:color w:val="000000"/>
                <w:sz w:val="20"/>
                <w:szCs w:val="20"/>
              </w:rPr>
            </w:pPr>
            <w:r>
              <w:rPr>
                <w:color w:val="000000"/>
                <w:sz w:val="20"/>
                <w:szCs w:val="20"/>
              </w:rPr>
              <w:t>28</w:t>
            </w:r>
          </w:p>
        </w:tc>
        <w:tc>
          <w:tcPr>
            <w:tcW w:w="1926" w:type="dxa"/>
            <w:tcBorders>
              <w:top w:val="nil"/>
              <w:left w:val="nil"/>
              <w:bottom w:val="nil"/>
              <w:right w:val="nil"/>
            </w:tcBorders>
            <w:tcMar>
              <w:top w:w="15" w:type="dxa"/>
              <w:left w:w="15" w:type="dxa"/>
              <w:bottom w:w="0" w:type="dxa"/>
              <w:right w:w="15" w:type="dxa"/>
            </w:tcMar>
            <w:vAlign w:val="bottom"/>
          </w:tcPr>
          <w:p w14:paraId="71F9E94E" w14:textId="77777777" w:rsidR="00716AEA" w:rsidRDefault="00716AEA" w:rsidP="00302C5C">
            <w:pPr>
              <w:jc w:val="center"/>
              <w:rPr>
                <w:color w:val="000000"/>
                <w:sz w:val="20"/>
                <w:szCs w:val="20"/>
              </w:rPr>
            </w:pPr>
            <w:r>
              <w:rPr>
                <w:color w:val="000000"/>
                <w:sz w:val="20"/>
                <w:szCs w:val="20"/>
              </w:rPr>
              <w:t>28</w:t>
            </w:r>
          </w:p>
        </w:tc>
        <w:tc>
          <w:tcPr>
            <w:tcW w:w="2457" w:type="dxa"/>
            <w:tcBorders>
              <w:top w:val="nil"/>
              <w:left w:val="nil"/>
              <w:bottom w:val="nil"/>
              <w:right w:val="nil"/>
            </w:tcBorders>
            <w:tcMar>
              <w:top w:w="15" w:type="dxa"/>
              <w:left w:w="15" w:type="dxa"/>
              <w:bottom w:w="0" w:type="dxa"/>
              <w:right w:w="15" w:type="dxa"/>
            </w:tcMar>
            <w:vAlign w:val="bottom"/>
          </w:tcPr>
          <w:p w14:paraId="1B785CA9" w14:textId="77777777" w:rsidR="00716AEA" w:rsidRDefault="00716AEA" w:rsidP="00302C5C">
            <w:pPr>
              <w:jc w:val="center"/>
              <w:rPr>
                <w:color w:val="000000"/>
                <w:sz w:val="20"/>
                <w:szCs w:val="20"/>
              </w:rPr>
            </w:pPr>
            <w:r>
              <w:rPr>
                <w:color w:val="000000"/>
                <w:sz w:val="20"/>
                <w:szCs w:val="20"/>
              </w:rPr>
              <w:t>44</w:t>
            </w:r>
          </w:p>
        </w:tc>
      </w:tr>
      <w:tr w:rsidR="00716AEA" w14:paraId="67A8EA38" w14:textId="77777777" w:rsidTr="00302C5C">
        <w:trPr>
          <w:trHeight w:val="312"/>
        </w:trPr>
        <w:tc>
          <w:tcPr>
            <w:tcW w:w="1399" w:type="dxa"/>
            <w:tcBorders>
              <w:top w:val="nil"/>
              <w:left w:val="nil"/>
              <w:bottom w:val="nil"/>
              <w:right w:val="nil"/>
            </w:tcBorders>
            <w:tcMar>
              <w:top w:w="15" w:type="dxa"/>
              <w:left w:w="15" w:type="dxa"/>
              <w:bottom w:w="0" w:type="dxa"/>
              <w:right w:w="15" w:type="dxa"/>
            </w:tcMar>
            <w:vAlign w:val="center"/>
          </w:tcPr>
          <w:p w14:paraId="2E8DE3D7" w14:textId="77777777" w:rsidR="00716AEA" w:rsidRDefault="00716AEA" w:rsidP="00302C5C">
            <w:pPr>
              <w:jc w:val="both"/>
              <w:rPr>
                <w:b/>
                <w:color w:val="000000"/>
                <w:sz w:val="20"/>
                <w:szCs w:val="20"/>
              </w:rPr>
            </w:pPr>
            <w:r>
              <w:rPr>
                <w:b/>
                <w:color w:val="000000"/>
                <w:sz w:val="20"/>
                <w:szCs w:val="20"/>
              </w:rPr>
              <w:t>African non-S&amp;IS Mean</w:t>
            </w:r>
          </w:p>
        </w:tc>
        <w:tc>
          <w:tcPr>
            <w:tcW w:w="2100" w:type="dxa"/>
            <w:tcBorders>
              <w:top w:val="nil"/>
              <w:left w:val="nil"/>
              <w:bottom w:val="nil"/>
              <w:right w:val="nil"/>
            </w:tcBorders>
            <w:tcMar>
              <w:top w:w="15" w:type="dxa"/>
              <w:left w:w="15" w:type="dxa"/>
              <w:bottom w:w="0" w:type="dxa"/>
              <w:right w:w="15" w:type="dxa"/>
            </w:tcMar>
            <w:vAlign w:val="center"/>
          </w:tcPr>
          <w:p w14:paraId="146A7A90" w14:textId="77777777" w:rsidR="00716AEA" w:rsidRDefault="00716AEA" w:rsidP="00302C5C">
            <w:pPr>
              <w:jc w:val="center"/>
              <w:rPr>
                <w:color w:val="000000"/>
                <w:sz w:val="20"/>
                <w:szCs w:val="20"/>
              </w:rPr>
            </w:pPr>
            <w:r>
              <w:rPr>
                <w:color w:val="000000"/>
                <w:sz w:val="20"/>
                <w:szCs w:val="20"/>
              </w:rPr>
              <w:t>43</w:t>
            </w:r>
          </w:p>
        </w:tc>
        <w:tc>
          <w:tcPr>
            <w:tcW w:w="2079" w:type="dxa"/>
            <w:tcBorders>
              <w:top w:val="nil"/>
              <w:left w:val="nil"/>
              <w:bottom w:val="nil"/>
              <w:right w:val="nil"/>
            </w:tcBorders>
            <w:tcMar>
              <w:top w:w="15" w:type="dxa"/>
              <w:left w:w="15" w:type="dxa"/>
              <w:bottom w:w="0" w:type="dxa"/>
              <w:right w:w="15" w:type="dxa"/>
            </w:tcMar>
            <w:vAlign w:val="center"/>
          </w:tcPr>
          <w:p w14:paraId="53EC966A" w14:textId="77777777" w:rsidR="00716AEA" w:rsidRDefault="00716AEA" w:rsidP="00302C5C">
            <w:pPr>
              <w:jc w:val="center"/>
              <w:rPr>
                <w:color w:val="000000"/>
                <w:sz w:val="20"/>
                <w:szCs w:val="20"/>
              </w:rPr>
            </w:pPr>
            <w:r>
              <w:rPr>
                <w:color w:val="000000"/>
                <w:sz w:val="20"/>
                <w:szCs w:val="20"/>
              </w:rPr>
              <w:t>47</w:t>
            </w:r>
          </w:p>
        </w:tc>
        <w:tc>
          <w:tcPr>
            <w:tcW w:w="2062" w:type="dxa"/>
            <w:tcBorders>
              <w:top w:val="nil"/>
              <w:left w:val="nil"/>
              <w:bottom w:val="nil"/>
              <w:right w:val="nil"/>
            </w:tcBorders>
            <w:tcMar>
              <w:top w:w="15" w:type="dxa"/>
              <w:left w:w="15" w:type="dxa"/>
              <w:bottom w:w="0" w:type="dxa"/>
              <w:right w:w="15" w:type="dxa"/>
            </w:tcMar>
            <w:vAlign w:val="center"/>
          </w:tcPr>
          <w:p w14:paraId="365351E0" w14:textId="77777777" w:rsidR="00716AEA" w:rsidRDefault="00716AEA" w:rsidP="00302C5C">
            <w:pPr>
              <w:jc w:val="center"/>
              <w:rPr>
                <w:color w:val="000000"/>
                <w:sz w:val="20"/>
                <w:szCs w:val="20"/>
              </w:rPr>
            </w:pPr>
            <w:r>
              <w:rPr>
                <w:color w:val="000000"/>
                <w:sz w:val="20"/>
                <w:szCs w:val="20"/>
              </w:rPr>
              <w:t>50</w:t>
            </w:r>
          </w:p>
        </w:tc>
        <w:tc>
          <w:tcPr>
            <w:tcW w:w="1937" w:type="dxa"/>
            <w:tcBorders>
              <w:top w:val="nil"/>
              <w:left w:val="nil"/>
              <w:bottom w:val="nil"/>
              <w:right w:val="nil"/>
            </w:tcBorders>
            <w:tcMar>
              <w:top w:w="15" w:type="dxa"/>
              <w:left w:w="15" w:type="dxa"/>
              <w:bottom w:w="0" w:type="dxa"/>
              <w:right w:w="15" w:type="dxa"/>
            </w:tcMar>
            <w:vAlign w:val="bottom"/>
          </w:tcPr>
          <w:p w14:paraId="3578D166" w14:textId="77777777" w:rsidR="00716AEA" w:rsidRDefault="00716AEA" w:rsidP="00302C5C">
            <w:pPr>
              <w:jc w:val="center"/>
              <w:rPr>
                <w:color w:val="000000"/>
                <w:sz w:val="20"/>
                <w:szCs w:val="20"/>
              </w:rPr>
            </w:pPr>
            <w:r>
              <w:rPr>
                <w:color w:val="000000"/>
                <w:sz w:val="20"/>
                <w:szCs w:val="20"/>
              </w:rPr>
              <w:t>30</w:t>
            </w:r>
          </w:p>
        </w:tc>
        <w:tc>
          <w:tcPr>
            <w:tcW w:w="1926" w:type="dxa"/>
            <w:tcBorders>
              <w:top w:val="nil"/>
              <w:left w:val="nil"/>
              <w:bottom w:val="nil"/>
              <w:right w:val="nil"/>
            </w:tcBorders>
            <w:tcMar>
              <w:top w:w="15" w:type="dxa"/>
              <w:left w:w="15" w:type="dxa"/>
              <w:bottom w:w="0" w:type="dxa"/>
              <w:right w:w="15" w:type="dxa"/>
            </w:tcMar>
            <w:vAlign w:val="bottom"/>
          </w:tcPr>
          <w:p w14:paraId="7705F36B" w14:textId="77777777" w:rsidR="00716AEA" w:rsidRDefault="00716AEA" w:rsidP="00302C5C">
            <w:pPr>
              <w:jc w:val="center"/>
              <w:rPr>
                <w:color w:val="000000"/>
                <w:sz w:val="20"/>
                <w:szCs w:val="20"/>
              </w:rPr>
            </w:pPr>
            <w:r>
              <w:rPr>
                <w:color w:val="000000"/>
                <w:sz w:val="20"/>
                <w:szCs w:val="20"/>
              </w:rPr>
              <w:t>29</w:t>
            </w:r>
          </w:p>
        </w:tc>
        <w:tc>
          <w:tcPr>
            <w:tcW w:w="2457" w:type="dxa"/>
            <w:tcBorders>
              <w:top w:val="nil"/>
              <w:left w:val="nil"/>
              <w:bottom w:val="nil"/>
              <w:right w:val="nil"/>
            </w:tcBorders>
            <w:tcMar>
              <w:top w:w="15" w:type="dxa"/>
              <w:left w:w="15" w:type="dxa"/>
              <w:bottom w:w="0" w:type="dxa"/>
              <w:right w:w="15" w:type="dxa"/>
            </w:tcMar>
            <w:vAlign w:val="bottom"/>
          </w:tcPr>
          <w:p w14:paraId="3A584702" w14:textId="77777777" w:rsidR="00716AEA" w:rsidRDefault="00716AEA" w:rsidP="00302C5C">
            <w:pPr>
              <w:jc w:val="center"/>
              <w:rPr>
                <w:color w:val="000000"/>
                <w:sz w:val="20"/>
                <w:szCs w:val="20"/>
              </w:rPr>
            </w:pPr>
            <w:r>
              <w:rPr>
                <w:color w:val="000000"/>
                <w:sz w:val="20"/>
                <w:szCs w:val="20"/>
              </w:rPr>
              <w:t>51</w:t>
            </w:r>
          </w:p>
        </w:tc>
      </w:tr>
      <w:tr w:rsidR="00716AEA" w14:paraId="654260B4" w14:textId="77777777" w:rsidTr="00302C5C">
        <w:trPr>
          <w:trHeight w:val="312"/>
        </w:trPr>
        <w:tc>
          <w:tcPr>
            <w:tcW w:w="1399" w:type="dxa"/>
            <w:tcBorders>
              <w:top w:val="nil"/>
              <w:left w:val="nil"/>
              <w:bottom w:val="single" w:sz="4" w:space="0" w:color="000000"/>
              <w:right w:val="nil"/>
            </w:tcBorders>
            <w:tcMar>
              <w:top w:w="15" w:type="dxa"/>
              <w:left w:w="15" w:type="dxa"/>
              <w:bottom w:w="0" w:type="dxa"/>
              <w:right w:w="15" w:type="dxa"/>
            </w:tcMar>
            <w:vAlign w:val="center"/>
          </w:tcPr>
          <w:p w14:paraId="562E6605" w14:textId="77777777" w:rsidR="00716AEA" w:rsidRDefault="00716AEA" w:rsidP="00302C5C">
            <w:pPr>
              <w:jc w:val="both"/>
              <w:rPr>
                <w:b/>
                <w:color w:val="000000"/>
                <w:sz w:val="20"/>
                <w:szCs w:val="20"/>
              </w:rPr>
            </w:pPr>
            <w:r>
              <w:rPr>
                <w:b/>
                <w:color w:val="000000"/>
                <w:sz w:val="20"/>
                <w:szCs w:val="20"/>
              </w:rPr>
              <w:t>African Mean</w:t>
            </w:r>
          </w:p>
        </w:tc>
        <w:tc>
          <w:tcPr>
            <w:tcW w:w="2100" w:type="dxa"/>
            <w:tcBorders>
              <w:top w:val="nil"/>
              <w:left w:val="nil"/>
              <w:bottom w:val="single" w:sz="4" w:space="0" w:color="000000"/>
              <w:right w:val="nil"/>
            </w:tcBorders>
            <w:tcMar>
              <w:top w:w="15" w:type="dxa"/>
              <w:left w:w="15" w:type="dxa"/>
              <w:bottom w:w="0" w:type="dxa"/>
              <w:right w:w="15" w:type="dxa"/>
            </w:tcMar>
            <w:vAlign w:val="center"/>
          </w:tcPr>
          <w:p w14:paraId="4D0CBB70" w14:textId="77777777" w:rsidR="00716AEA" w:rsidRDefault="00716AEA" w:rsidP="00302C5C">
            <w:pPr>
              <w:jc w:val="center"/>
              <w:rPr>
                <w:color w:val="000000"/>
                <w:sz w:val="20"/>
                <w:szCs w:val="20"/>
              </w:rPr>
            </w:pPr>
            <w:r>
              <w:rPr>
                <w:color w:val="000000"/>
                <w:sz w:val="20"/>
                <w:szCs w:val="20"/>
              </w:rPr>
              <w:t>42</w:t>
            </w:r>
          </w:p>
        </w:tc>
        <w:tc>
          <w:tcPr>
            <w:tcW w:w="2079" w:type="dxa"/>
            <w:tcBorders>
              <w:top w:val="nil"/>
              <w:left w:val="nil"/>
              <w:bottom w:val="single" w:sz="4" w:space="0" w:color="000000"/>
              <w:right w:val="nil"/>
            </w:tcBorders>
            <w:tcMar>
              <w:top w:w="15" w:type="dxa"/>
              <w:left w:w="15" w:type="dxa"/>
              <w:bottom w:w="0" w:type="dxa"/>
              <w:right w:w="15" w:type="dxa"/>
            </w:tcMar>
            <w:vAlign w:val="center"/>
          </w:tcPr>
          <w:p w14:paraId="7C7F878F" w14:textId="77777777" w:rsidR="00716AEA" w:rsidRDefault="00716AEA" w:rsidP="00302C5C">
            <w:pPr>
              <w:jc w:val="center"/>
              <w:rPr>
                <w:color w:val="000000"/>
                <w:sz w:val="20"/>
                <w:szCs w:val="20"/>
              </w:rPr>
            </w:pPr>
            <w:r>
              <w:rPr>
                <w:color w:val="000000"/>
                <w:sz w:val="20"/>
                <w:szCs w:val="20"/>
              </w:rPr>
              <w:t>44</w:t>
            </w:r>
          </w:p>
        </w:tc>
        <w:tc>
          <w:tcPr>
            <w:tcW w:w="2062" w:type="dxa"/>
            <w:tcBorders>
              <w:top w:val="nil"/>
              <w:left w:val="nil"/>
              <w:bottom w:val="single" w:sz="4" w:space="0" w:color="000000"/>
              <w:right w:val="nil"/>
            </w:tcBorders>
            <w:tcMar>
              <w:top w:w="15" w:type="dxa"/>
              <w:left w:w="15" w:type="dxa"/>
              <w:bottom w:w="0" w:type="dxa"/>
              <w:right w:w="15" w:type="dxa"/>
            </w:tcMar>
            <w:vAlign w:val="center"/>
          </w:tcPr>
          <w:p w14:paraId="43806AEA" w14:textId="77777777" w:rsidR="00716AEA" w:rsidRDefault="00716AEA" w:rsidP="00302C5C">
            <w:pPr>
              <w:jc w:val="center"/>
              <w:rPr>
                <w:color w:val="000000"/>
                <w:sz w:val="20"/>
                <w:szCs w:val="20"/>
              </w:rPr>
            </w:pPr>
            <w:r>
              <w:rPr>
                <w:color w:val="000000"/>
                <w:sz w:val="20"/>
                <w:szCs w:val="20"/>
              </w:rPr>
              <w:t>49</w:t>
            </w:r>
          </w:p>
        </w:tc>
        <w:tc>
          <w:tcPr>
            <w:tcW w:w="1937" w:type="dxa"/>
            <w:tcBorders>
              <w:top w:val="nil"/>
              <w:left w:val="nil"/>
              <w:bottom w:val="single" w:sz="4" w:space="0" w:color="000000"/>
              <w:right w:val="nil"/>
            </w:tcBorders>
            <w:tcMar>
              <w:top w:w="15" w:type="dxa"/>
              <w:left w:w="15" w:type="dxa"/>
              <w:bottom w:w="0" w:type="dxa"/>
              <w:right w:w="15" w:type="dxa"/>
            </w:tcMar>
            <w:vAlign w:val="bottom"/>
          </w:tcPr>
          <w:p w14:paraId="3092777D" w14:textId="77777777" w:rsidR="00716AEA" w:rsidRDefault="00716AEA" w:rsidP="00302C5C">
            <w:pPr>
              <w:jc w:val="center"/>
              <w:rPr>
                <w:color w:val="000000"/>
                <w:sz w:val="20"/>
                <w:szCs w:val="20"/>
              </w:rPr>
            </w:pPr>
            <w:r>
              <w:rPr>
                <w:color w:val="000000"/>
                <w:sz w:val="20"/>
                <w:szCs w:val="20"/>
              </w:rPr>
              <w:t>29</w:t>
            </w:r>
          </w:p>
        </w:tc>
        <w:tc>
          <w:tcPr>
            <w:tcW w:w="1926" w:type="dxa"/>
            <w:tcBorders>
              <w:top w:val="nil"/>
              <w:left w:val="nil"/>
              <w:bottom w:val="single" w:sz="4" w:space="0" w:color="000000"/>
              <w:right w:val="nil"/>
            </w:tcBorders>
            <w:tcMar>
              <w:top w:w="15" w:type="dxa"/>
              <w:left w:w="15" w:type="dxa"/>
              <w:bottom w:w="0" w:type="dxa"/>
              <w:right w:w="15" w:type="dxa"/>
            </w:tcMar>
            <w:vAlign w:val="bottom"/>
          </w:tcPr>
          <w:p w14:paraId="7DFEC023" w14:textId="77777777" w:rsidR="00716AEA" w:rsidRDefault="00716AEA" w:rsidP="00302C5C">
            <w:pPr>
              <w:jc w:val="center"/>
              <w:rPr>
                <w:color w:val="000000"/>
                <w:sz w:val="20"/>
                <w:szCs w:val="20"/>
              </w:rPr>
            </w:pPr>
            <w:r>
              <w:rPr>
                <w:color w:val="000000"/>
                <w:sz w:val="20"/>
                <w:szCs w:val="20"/>
              </w:rPr>
              <w:t>29</w:t>
            </w:r>
          </w:p>
        </w:tc>
        <w:tc>
          <w:tcPr>
            <w:tcW w:w="2457" w:type="dxa"/>
            <w:tcBorders>
              <w:top w:val="nil"/>
              <w:left w:val="nil"/>
              <w:bottom w:val="nil"/>
              <w:right w:val="nil"/>
            </w:tcBorders>
            <w:tcMar>
              <w:top w:w="15" w:type="dxa"/>
              <w:left w:w="15" w:type="dxa"/>
              <w:bottom w:w="0" w:type="dxa"/>
              <w:right w:w="15" w:type="dxa"/>
            </w:tcMar>
            <w:vAlign w:val="bottom"/>
          </w:tcPr>
          <w:p w14:paraId="311DF4BA" w14:textId="77777777" w:rsidR="00716AEA" w:rsidRDefault="00716AEA" w:rsidP="00302C5C">
            <w:pPr>
              <w:jc w:val="center"/>
              <w:rPr>
                <w:color w:val="000000"/>
                <w:sz w:val="20"/>
                <w:szCs w:val="20"/>
              </w:rPr>
            </w:pPr>
            <w:r>
              <w:rPr>
                <w:color w:val="000000"/>
                <w:sz w:val="20"/>
                <w:szCs w:val="20"/>
              </w:rPr>
              <w:t>49</w:t>
            </w:r>
          </w:p>
        </w:tc>
      </w:tr>
      <w:tr w:rsidR="00716AEA" w14:paraId="7C137A6E" w14:textId="77777777" w:rsidTr="00302C5C">
        <w:trPr>
          <w:trHeight w:val="312"/>
        </w:trPr>
        <w:tc>
          <w:tcPr>
            <w:tcW w:w="1399" w:type="dxa"/>
            <w:tcBorders>
              <w:top w:val="nil"/>
              <w:left w:val="nil"/>
              <w:bottom w:val="single" w:sz="8" w:space="0" w:color="000000"/>
              <w:right w:val="nil"/>
            </w:tcBorders>
            <w:tcMar>
              <w:top w:w="15" w:type="dxa"/>
              <w:left w:w="15" w:type="dxa"/>
              <w:bottom w:w="0" w:type="dxa"/>
              <w:right w:w="15" w:type="dxa"/>
            </w:tcMar>
            <w:vAlign w:val="bottom"/>
          </w:tcPr>
          <w:p w14:paraId="3E84D120" w14:textId="77777777" w:rsidR="00716AEA" w:rsidRDefault="00716AEA" w:rsidP="00302C5C">
            <w:pPr>
              <w:rPr>
                <w:color w:val="000000"/>
                <w:sz w:val="20"/>
                <w:szCs w:val="20"/>
              </w:rPr>
            </w:pPr>
            <w:r>
              <w:rPr>
                <w:color w:val="000000"/>
                <w:sz w:val="20"/>
                <w:szCs w:val="20"/>
              </w:rPr>
              <w:t> </w:t>
            </w:r>
          </w:p>
        </w:tc>
        <w:tc>
          <w:tcPr>
            <w:tcW w:w="2100" w:type="dxa"/>
            <w:tcBorders>
              <w:top w:val="nil"/>
              <w:left w:val="nil"/>
              <w:bottom w:val="single" w:sz="8" w:space="0" w:color="000000"/>
              <w:right w:val="nil"/>
            </w:tcBorders>
            <w:tcMar>
              <w:top w:w="15" w:type="dxa"/>
              <w:left w:w="15" w:type="dxa"/>
              <w:bottom w:w="0" w:type="dxa"/>
              <w:right w:w="15" w:type="dxa"/>
            </w:tcMar>
            <w:vAlign w:val="bottom"/>
          </w:tcPr>
          <w:p w14:paraId="08579C82" w14:textId="77777777" w:rsidR="00716AEA" w:rsidRDefault="00716AEA" w:rsidP="00302C5C">
            <w:pPr>
              <w:rPr>
                <w:color w:val="000000"/>
                <w:sz w:val="20"/>
                <w:szCs w:val="20"/>
              </w:rPr>
            </w:pPr>
            <w:r>
              <w:rPr>
                <w:color w:val="000000"/>
                <w:sz w:val="20"/>
                <w:szCs w:val="20"/>
              </w:rPr>
              <w:t> </w:t>
            </w:r>
          </w:p>
        </w:tc>
        <w:tc>
          <w:tcPr>
            <w:tcW w:w="2079" w:type="dxa"/>
            <w:tcBorders>
              <w:top w:val="nil"/>
              <w:left w:val="nil"/>
              <w:bottom w:val="single" w:sz="8" w:space="0" w:color="000000"/>
              <w:right w:val="nil"/>
            </w:tcBorders>
            <w:tcMar>
              <w:top w:w="15" w:type="dxa"/>
              <w:left w:w="15" w:type="dxa"/>
              <w:bottom w:w="0" w:type="dxa"/>
              <w:right w:w="15" w:type="dxa"/>
            </w:tcMar>
            <w:vAlign w:val="bottom"/>
          </w:tcPr>
          <w:p w14:paraId="241BDF93" w14:textId="77777777" w:rsidR="00716AEA" w:rsidRDefault="00716AEA" w:rsidP="00302C5C">
            <w:pPr>
              <w:rPr>
                <w:color w:val="000000"/>
                <w:sz w:val="20"/>
                <w:szCs w:val="20"/>
              </w:rPr>
            </w:pPr>
            <w:r>
              <w:rPr>
                <w:color w:val="000000"/>
                <w:sz w:val="20"/>
                <w:szCs w:val="20"/>
              </w:rPr>
              <w:t> </w:t>
            </w:r>
          </w:p>
        </w:tc>
        <w:tc>
          <w:tcPr>
            <w:tcW w:w="2062" w:type="dxa"/>
            <w:tcBorders>
              <w:top w:val="nil"/>
              <w:left w:val="nil"/>
              <w:bottom w:val="single" w:sz="8" w:space="0" w:color="000000"/>
              <w:right w:val="nil"/>
            </w:tcBorders>
            <w:tcMar>
              <w:top w:w="15" w:type="dxa"/>
              <w:left w:w="15" w:type="dxa"/>
              <w:bottom w:w="0" w:type="dxa"/>
              <w:right w:w="15" w:type="dxa"/>
            </w:tcMar>
            <w:vAlign w:val="bottom"/>
          </w:tcPr>
          <w:p w14:paraId="5C5CD4A8" w14:textId="77777777" w:rsidR="00716AEA" w:rsidRDefault="00716AEA" w:rsidP="00302C5C">
            <w:pPr>
              <w:rPr>
                <w:color w:val="000000"/>
                <w:sz w:val="20"/>
                <w:szCs w:val="20"/>
              </w:rPr>
            </w:pPr>
            <w:r>
              <w:rPr>
                <w:color w:val="000000"/>
                <w:sz w:val="20"/>
                <w:szCs w:val="20"/>
              </w:rPr>
              <w:t> </w:t>
            </w:r>
          </w:p>
        </w:tc>
        <w:tc>
          <w:tcPr>
            <w:tcW w:w="1937" w:type="dxa"/>
            <w:tcBorders>
              <w:top w:val="nil"/>
              <w:left w:val="nil"/>
              <w:bottom w:val="single" w:sz="8" w:space="0" w:color="000000"/>
              <w:right w:val="nil"/>
            </w:tcBorders>
            <w:tcMar>
              <w:top w:w="15" w:type="dxa"/>
              <w:left w:w="15" w:type="dxa"/>
              <w:bottom w:w="0" w:type="dxa"/>
              <w:right w:w="15" w:type="dxa"/>
            </w:tcMar>
            <w:vAlign w:val="bottom"/>
          </w:tcPr>
          <w:p w14:paraId="70570B18" w14:textId="77777777" w:rsidR="00716AEA" w:rsidRDefault="00716AEA" w:rsidP="00302C5C">
            <w:pPr>
              <w:rPr>
                <w:color w:val="000000"/>
                <w:sz w:val="20"/>
                <w:szCs w:val="20"/>
              </w:rPr>
            </w:pPr>
            <w:r>
              <w:rPr>
                <w:color w:val="000000"/>
                <w:sz w:val="20"/>
                <w:szCs w:val="20"/>
              </w:rPr>
              <w:t> </w:t>
            </w:r>
          </w:p>
        </w:tc>
        <w:tc>
          <w:tcPr>
            <w:tcW w:w="1926" w:type="dxa"/>
            <w:tcBorders>
              <w:top w:val="nil"/>
              <w:left w:val="nil"/>
              <w:bottom w:val="single" w:sz="8" w:space="0" w:color="000000"/>
              <w:right w:val="nil"/>
            </w:tcBorders>
            <w:tcMar>
              <w:top w:w="15" w:type="dxa"/>
              <w:left w:w="15" w:type="dxa"/>
              <w:bottom w:w="0" w:type="dxa"/>
              <w:right w:w="15" w:type="dxa"/>
            </w:tcMar>
            <w:vAlign w:val="bottom"/>
          </w:tcPr>
          <w:p w14:paraId="56517E4B" w14:textId="77777777" w:rsidR="00716AEA" w:rsidRDefault="00716AEA" w:rsidP="00302C5C">
            <w:pPr>
              <w:rPr>
                <w:color w:val="000000"/>
                <w:sz w:val="20"/>
                <w:szCs w:val="20"/>
              </w:rPr>
            </w:pPr>
            <w:r>
              <w:rPr>
                <w:color w:val="000000"/>
                <w:sz w:val="20"/>
                <w:szCs w:val="20"/>
              </w:rPr>
              <w:t> </w:t>
            </w:r>
          </w:p>
        </w:tc>
        <w:tc>
          <w:tcPr>
            <w:tcW w:w="2457" w:type="dxa"/>
            <w:tcBorders>
              <w:top w:val="single" w:sz="4" w:space="0" w:color="000000"/>
              <w:left w:val="nil"/>
              <w:bottom w:val="single" w:sz="8" w:space="0" w:color="000000"/>
              <w:right w:val="nil"/>
            </w:tcBorders>
            <w:tcMar>
              <w:top w:w="15" w:type="dxa"/>
              <w:left w:w="15" w:type="dxa"/>
              <w:bottom w:w="0" w:type="dxa"/>
              <w:right w:w="15" w:type="dxa"/>
            </w:tcMar>
            <w:vAlign w:val="bottom"/>
          </w:tcPr>
          <w:p w14:paraId="0F66F6B7" w14:textId="77777777" w:rsidR="00716AEA" w:rsidRDefault="00716AEA" w:rsidP="00302C5C">
            <w:pPr>
              <w:rPr>
                <w:color w:val="000000"/>
                <w:sz w:val="20"/>
                <w:szCs w:val="20"/>
              </w:rPr>
            </w:pPr>
            <w:r>
              <w:rPr>
                <w:color w:val="000000"/>
                <w:sz w:val="20"/>
                <w:szCs w:val="20"/>
              </w:rPr>
              <w:t> </w:t>
            </w:r>
          </w:p>
        </w:tc>
      </w:tr>
    </w:tbl>
    <w:p w14:paraId="124CD7C2" w14:textId="77777777" w:rsidR="00716AEA" w:rsidRDefault="00716AEA" w:rsidP="00716AEA">
      <w:pPr>
        <w:pBdr>
          <w:top w:val="nil"/>
          <w:left w:val="nil"/>
          <w:bottom w:val="nil"/>
          <w:right w:val="nil"/>
          <w:between w:val="nil"/>
        </w:pBdr>
        <w:spacing w:line="276" w:lineRule="auto"/>
        <w:jc w:val="both"/>
        <w:rPr>
          <w:color w:val="000000"/>
        </w:rPr>
        <w:sectPr w:rsidR="00716AEA" w:rsidSect="00716AEA">
          <w:pgSz w:w="16840" w:h="11900" w:orient="landscape"/>
          <w:pgMar w:top="1440" w:right="1440" w:bottom="1440" w:left="1440" w:header="720" w:footer="720" w:gutter="0"/>
          <w:cols w:space="720"/>
          <w:docGrid w:linePitch="360"/>
        </w:sectPr>
      </w:pPr>
    </w:p>
    <w:p w14:paraId="28FDE274" w14:textId="77777777" w:rsidR="00716AEA" w:rsidRDefault="00716AEA" w:rsidP="00716AEA">
      <w:pPr>
        <w:pBdr>
          <w:top w:val="nil"/>
          <w:left w:val="nil"/>
          <w:bottom w:val="nil"/>
          <w:right w:val="nil"/>
          <w:between w:val="nil"/>
        </w:pBdr>
        <w:spacing w:line="276" w:lineRule="auto"/>
        <w:jc w:val="both"/>
        <w:rPr>
          <w:b/>
          <w:bCs/>
          <w:color w:val="000000"/>
        </w:rPr>
      </w:pPr>
      <w:r w:rsidRPr="00476417">
        <w:rPr>
          <w:b/>
          <w:bCs/>
          <w:color w:val="000000"/>
        </w:rPr>
        <w:lastRenderedPageBreak/>
        <w:t xml:space="preserve">Appendix </w:t>
      </w:r>
      <w:r>
        <w:rPr>
          <w:b/>
          <w:bCs/>
          <w:color w:val="000000"/>
        </w:rPr>
        <w:t>D</w:t>
      </w:r>
    </w:p>
    <w:p w14:paraId="2EE53FBA" w14:textId="77777777" w:rsidR="00716AEA" w:rsidRDefault="00716AEA" w:rsidP="00716AEA">
      <w:pPr>
        <w:pBdr>
          <w:top w:val="nil"/>
          <w:left w:val="nil"/>
          <w:bottom w:val="nil"/>
          <w:right w:val="nil"/>
          <w:between w:val="nil"/>
        </w:pBdr>
        <w:spacing w:line="276" w:lineRule="auto"/>
        <w:jc w:val="both"/>
        <w:rPr>
          <w:b/>
          <w:bCs/>
          <w:color w:val="000000"/>
        </w:rPr>
      </w:pPr>
    </w:p>
    <w:p w14:paraId="2BCA9644" w14:textId="77777777" w:rsidR="00716AEA" w:rsidRDefault="00716AEA" w:rsidP="00716AEA">
      <w:pPr>
        <w:pBdr>
          <w:top w:val="nil"/>
          <w:left w:val="nil"/>
          <w:bottom w:val="nil"/>
          <w:right w:val="nil"/>
          <w:between w:val="nil"/>
        </w:pBdr>
        <w:spacing w:line="276" w:lineRule="auto"/>
        <w:jc w:val="both"/>
        <w:rPr>
          <w:b/>
          <w:bCs/>
          <w:color w:val="000000"/>
        </w:rPr>
      </w:pPr>
    </w:p>
    <w:p w14:paraId="15F3846D" w14:textId="77777777" w:rsidR="00716AEA" w:rsidRDefault="00716AEA" w:rsidP="00716AEA">
      <w:pPr>
        <w:pBdr>
          <w:top w:val="nil"/>
          <w:left w:val="nil"/>
          <w:bottom w:val="nil"/>
          <w:right w:val="nil"/>
          <w:between w:val="nil"/>
        </w:pBdr>
        <w:spacing w:line="276" w:lineRule="auto"/>
        <w:jc w:val="both"/>
        <w:rPr>
          <w:b/>
          <w:bCs/>
        </w:rPr>
      </w:pPr>
      <w:r w:rsidRPr="00476417">
        <w:rPr>
          <w:b/>
          <w:bCs/>
          <w:noProof/>
          <w:lang w:val="en-US"/>
        </w:rPr>
        <w:drawing>
          <wp:inline distT="0" distB="0" distL="0" distR="0" wp14:anchorId="139911D6" wp14:editId="724E0566">
            <wp:extent cx="5727700" cy="3816350"/>
            <wp:effectExtent l="0" t="0" r="0" b="6350"/>
            <wp:docPr id="179377878" name="Picture 1" descr="A graph of a number of health security score and a red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7878" name="Picture 1" descr="A graph of a number of health security score and a red line&#10;&#10;Description automatically generated with medium confidence"/>
                    <pic:cNvPicPr/>
                  </pic:nvPicPr>
                  <pic:blipFill>
                    <a:blip r:embed="rId18"/>
                    <a:stretch>
                      <a:fillRect/>
                    </a:stretch>
                  </pic:blipFill>
                  <pic:spPr>
                    <a:xfrm>
                      <a:off x="0" y="0"/>
                      <a:ext cx="5727700" cy="3816350"/>
                    </a:xfrm>
                    <a:prstGeom prst="rect">
                      <a:avLst/>
                    </a:prstGeom>
                  </pic:spPr>
                </pic:pic>
              </a:graphicData>
            </a:graphic>
          </wp:inline>
        </w:drawing>
      </w:r>
    </w:p>
    <w:p w14:paraId="3A2BF548" w14:textId="77777777" w:rsidR="00716AEA" w:rsidRDefault="00716AEA" w:rsidP="00716AEA">
      <w:pPr>
        <w:pBdr>
          <w:top w:val="nil"/>
          <w:left w:val="nil"/>
          <w:bottom w:val="nil"/>
          <w:right w:val="nil"/>
          <w:between w:val="nil"/>
        </w:pBdr>
        <w:spacing w:line="276" w:lineRule="auto"/>
        <w:jc w:val="both"/>
        <w:rPr>
          <w:b/>
          <w:bCs/>
        </w:rPr>
      </w:pPr>
    </w:p>
    <w:p w14:paraId="436DA106" w14:textId="77777777" w:rsidR="00716AEA" w:rsidRPr="00476417" w:rsidRDefault="00716AEA" w:rsidP="00716AEA">
      <w:pPr>
        <w:pBdr>
          <w:top w:val="nil"/>
          <w:left w:val="nil"/>
          <w:bottom w:val="nil"/>
          <w:right w:val="nil"/>
          <w:between w:val="nil"/>
        </w:pBdr>
        <w:spacing w:line="276" w:lineRule="auto"/>
        <w:jc w:val="both"/>
        <w:rPr>
          <w:b/>
          <w:bCs/>
        </w:rPr>
      </w:pPr>
      <w:r w:rsidRPr="00476417">
        <w:rPr>
          <w:b/>
          <w:bCs/>
          <w:noProof/>
          <w:lang w:val="en-US"/>
        </w:rPr>
        <w:drawing>
          <wp:inline distT="0" distB="0" distL="0" distR="0" wp14:anchorId="3631FEE9" wp14:editId="370CF6DA">
            <wp:extent cx="5727700" cy="3816350"/>
            <wp:effectExtent l="0" t="0" r="0" b="6350"/>
            <wp:docPr id="1771573863" name="Picture 1" descr="A graph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73863" name="Picture 1" descr="A graph with a red line&#10;&#10;Description automatically generated"/>
                    <pic:cNvPicPr/>
                  </pic:nvPicPr>
                  <pic:blipFill>
                    <a:blip r:embed="rId19"/>
                    <a:stretch>
                      <a:fillRect/>
                    </a:stretch>
                  </pic:blipFill>
                  <pic:spPr>
                    <a:xfrm>
                      <a:off x="0" y="0"/>
                      <a:ext cx="5727700" cy="3816350"/>
                    </a:xfrm>
                    <a:prstGeom prst="rect">
                      <a:avLst/>
                    </a:prstGeom>
                  </pic:spPr>
                </pic:pic>
              </a:graphicData>
            </a:graphic>
          </wp:inline>
        </w:drawing>
      </w:r>
    </w:p>
    <w:p w14:paraId="5FC74329" w14:textId="77777777" w:rsidR="00716AEA" w:rsidRDefault="00716AEA" w:rsidP="00716AEA"/>
    <w:p w14:paraId="7A686FE1" w14:textId="77777777" w:rsidR="00716AEA" w:rsidRDefault="00716AEA" w:rsidP="00716AEA"/>
    <w:p w14:paraId="2A1D0ED3" w14:textId="77777777" w:rsidR="00716AEA" w:rsidRDefault="00716AEA" w:rsidP="00786E64">
      <w:pPr>
        <w:rPr>
          <w:rFonts w:cs="AppleSystemUIFontBold"/>
          <w:color w:val="000000" w:themeColor="text1"/>
        </w:rPr>
      </w:pPr>
    </w:p>
    <w:p w14:paraId="4E1BE73E" w14:textId="77777777" w:rsidR="00786E64" w:rsidRDefault="00786E64" w:rsidP="00786E64">
      <w:pPr>
        <w:rPr>
          <w:rFonts w:cs="AppleSystemUIFontBold"/>
          <w:color w:val="000000" w:themeColor="text1"/>
        </w:rPr>
      </w:pPr>
    </w:p>
    <w:p w14:paraId="1F83179B" w14:textId="77777777" w:rsidR="00786E64" w:rsidRDefault="00786E64" w:rsidP="00786E64">
      <w:pPr>
        <w:rPr>
          <w:rFonts w:cs="AppleSystemUIFontBold"/>
          <w:color w:val="000000" w:themeColor="text1"/>
        </w:rPr>
      </w:pPr>
    </w:p>
    <w:p w14:paraId="032D663C" w14:textId="77777777" w:rsidR="00786E64" w:rsidRDefault="00786E64" w:rsidP="00786E64">
      <w:pPr>
        <w:rPr>
          <w:rFonts w:cs="AppleSystemUIFontBold"/>
          <w:color w:val="000000" w:themeColor="text1"/>
        </w:rPr>
      </w:pPr>
    </w:p>
    <w:p w14:paraId="7FB7C5DD" w14:textId="77777777" w:rsidR="00786E64" w:rsidRDefault="00786E64" w:rsidP="00786E64">
      <w:pPr>
        <w:rPr>
          <w:rFonts w:cs="AppleSystemUIFontBold"/>
          <w:color w:val="000000" w:themeColor="text1"/>
        </w:rPr>
      </w:pPr>
    </w:p>
    <w:p w14:paraId="482EA6B9" w14:textId="77777777" w:rsidR="00786E64" w:rsidRDefault="00786E64" w:rsidP="00786E64">
      <w:pPr>
        <w:rPr>
          <w:rFonts w:cs="AppleSystemUIFontBold"/>
          <w:color w:val="000000" w:themeColor="text1"/>
        </w:rPr>
      </w:pPr>
    </w:p>
    <w:p w14:paraId="40BEE624" w14:textId="77777777" w:rsidR="00786E64" w:rsidRDefault="00786E64" w:rsidP="00786E64">
      <w:pPr>
        <w:rPr>
          <w:rFonts w:cs="AppleSystemUIFontBold"/>
          <w:color w:val="000000" w:themeColor="text1"/>
        </w:rPr>
      </w:pPr>
    </w:p>
    <w:p w14:paraId="768FD23C" w14:textId="77777777" w:rsidR="00786E64" w:rsidRDefault="00786E64" w:rsidP="00786E64">
      <w:pPr>
        <w:rPr>
          <w:rFonts w:cs="AppleSystemUIFontBold"/>
          <w:color w:val="000000" w:themeColor="text1"/>
        </w:rPr>
      </w:pPr>
    </w:p>
    <w:p w14:paraId="06813BDD" w14:textId="77777777" w:rsidR="00786E64" w:rsidRDefault="00786E64" w:rsidP="00786E64">
      <w:pPr>
        <w:rPr>
          <w:rFonts w:cs="AppleSystemUIFontBold"/>
          <w:color w:val="000000" w:themeColor="text1"/>
        </w:rPr>
      </w:pPr>
    </w:p>
    <w:p w14:paraId="26E24EB3" w14:textId="77777777" w:rsidR="00786E64" w:rsidRDefault="00786E64" w:rsidP="00786E64">
      <w:pPr>
        <w:rPr>
          <w:rFonts w:cs="AppleSystemUIFontBold"/>
          <w:color w:val="000000" w:themeColor="text1"/>
        </w:rPr>
      </w:pPr>
    </w:p>
    <w:p w14:paraId="36A4B3DE" w14:textId="77777777" w:rsidR="006B7B66" w:rsidRDefault="006B7B66" w:rsidP="00786E64">
      <w:pPr>
        <w:rPr>
          <w:rFonts w:cs="AppleSystemUIFontBold"/>
          <w:color w:val="000000" w:themeColor="text1"/>
        </w:rPr>
      </w:pPr>
    </w:p>
    <w:sectPr w:rsidR="006B7B66" w:rsidSect="00786E6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4AED" w14:textId="77777777" w:rsidR="00576F5A" w:rsidRDefault="00576F5A" w:rsidP="00786E64">
      <w:r>
        <w:separator/>
      </w:r>
    </w:p>
  </w:endnote>
  <w:endnote w:type="continuationSeparator" w:id="0">
    <w:p w14:paraId="338E4565" w14:textId="77777777" w:rsidR="00576F5A" w:rsidRDefault="00576F5A" w:rsidP="0078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calaLancetPro">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Times">
    <w:altName w:val="Times New Roman"/>
    <w:panose1 w:val="02000500000000000000"/>
    <w:charset w:val="00"/>
    <w:family w:val="auto"/>
    <w:pitch w:val="variable"/>
    <w:sig w:usb0="E00002FF" w:usb1="5000205A" w:usb2="00000000" w:usb3="00000000" w:csb0="0000019F" w:csb1="00000000"/>
  </w:font>
  <w:font w:name="HelveticaLTStd">
    <w:altName w:val="Arial"/>
    <w:panose1 w:val="020B0604020202020204"/>
    <w:charset w:val="00"/>
    <w:family w:val="roman"/>
    <w:notTrueType/>
    <w:pitch w:val="default"/>
  </w:font>
  <w:font w:name="Arial,Italic">
    <w:altName w:val="Arial"/>
    <w:panose1 w:val="020B0604020202020204"/>
    <w:charset w:val="00"/>
    <w:family w:val="roman"/>
    <w:notTrueType/>
    <w:pitch w:val="default"/>
  </w:font>
  <w:font w:name="AppleSystemUIFontBold">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663662"/>
      <w:docPartObj>
        <w:docPartGallery w:val="Page Numbers (Bottom of Page)"/>
        <w:docPartUnique/>
      </w:docPartObj>
    </w:sdtPr>
    <w:sdtContent>
      <w:p w14:paraId="2E2D26FC" w14:textId="77777777" w:rsidR="00786E64" w:rsidRDefault="00786E64" w:rsidP="007560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D4B52" w14:textId="77777777" w:rsidR="00786E64" w:rsidRDefault="0078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956621"/>
      <w:docPartObj>
        <w:docPartGallery w:val="Page Numbers (Bottom of Page)"/>
        <w:docPartUnique/>
      </w:docPartObj>
    </w:sdtPr>
    <w:sdtContent>
      <w:p w14:paraId="0B79EB67" w14:textId="77777777" w:rsidR="00786E64" w:rsidRDefault="00786E64" w:rsidP="007560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5F4895D3" w14:textId="77777777" w:rsidR="00786E64" w:rsidRDefault="00786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5677308"/>
      <w:docPartObj>
        <w:docPartGallery w:val="Page Numbers (Bottom of Page)"/>
        <w:docPartUnique/>
      </w:docPartObj>
    </w:sdtPr>
    <w:sdtContent>
      <w:p w14:paraId="2DB93AE6" w14:textId="77777777" w:rsidR="00716AEA" w:rsidRDefault="00716AEA" w:rsidP="007560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155742" w14:textId="77777777" w:rsidR="00716AEA" w:rsidRDefault="00716A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5532099"/>
      <w:docPartObj>
        <w:docPartGallery w:val="Page Numbers (Bottom of Page)"/>
        <w:docPartUnique/>
      </w:docPartObj>
    </w:sdtPr>
    <w:sdtContent>
      <w:p w14:paraId="6FCD25E2" w14:textId="77777777" w:rsidR="00716AEA" w:rsidRDefault="00716AEA" w:rsidP="007560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2C3353CD" w14:textId="77777777" w:rsidR="00716AEA" w:rsidRDefault="0071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4232" w14:textId="77777777" w:rsidR="00576F5A" w:rsidRDefault="00576F5A" w:rsidP="00786E64">
      <w:r>
        <w:separator/>
      </w:r>
    </w:p>
  </w:footnote>
  <w:footnote w:type="continuationSeparator" w:id="0">
    <w:p w14:paraId="5AD5225E" w14:textId="77777777" w:rsidR="00576F5A" w:rsidRDefault="00576F5A" w:rsidP="00786E64">
      <w:r>
        <w:continuationSeparator/>
      </w:r>
    </w:p>
  </w:footnote>
  <w:footnote w:id="1">
    <w:p w14:paraId="0766EA9B" w14:textId="77777777" w:rsidR="00716AEA" w:rsidRDefault="00716AEA" w:rsidP="00716AE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Countries such as Liechtenstein, Latvia, Lithuania, Iceland, Malta, Qatar, Brunei and Luxemburg and city states like Singapore and Monaco all rank very high in GDP per capita and human development.</w:t>
      </w:r>
    </w:p>
  </w:footnote>
  <w:footnote w:id="2">
    <w:p w14:paraId="1242F4E2" w14:textId="77777777" w:rsidR="00716AEA" w:rsidRDefault="00716AEA" w:rsidP="00716AEA">
      <w:pPr>
        <w:jc w:val="both"/>
        <w:rPr>
          <w:sz w:val="20"/>
          <w:szCs w:val="20"/>
        </w:rPr>
      </w:pPr>
      <w:r>
        <w:rPr>
          <w:vertAlign w:val="superscript"/>
        </w:rPr>
        <w:footnoteRef/>
      </w:r>
      <w:r>
        <w:rPr>
          <w:sz w:val="20"/>
          <w:szCs w:val="20"/>
        </w:rPr>
        <w:t xml:space="preserve"> Aiyar (2008) lists 12 inherent advantages: relatively homogenous populations; relatively insulated from spill-overs of violence from neighbours; disproportionately large benefits from foreign investment; single mineral windfall in small states can offset many failings’ have exploited tax arbitrage opportunities; Have benefited from niches like military bases and lightly regulated financial centres; Get disproportionately large benefits from migration and remittances; Get disproportionately large benefits from tourism; Can export items that are usually non-tradable; Get disproportionately large benefits from the Law of the Sea; Infrastructural investments in small states quickly reach most of the population; Get disproportionately large trade preferences.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E30"/>
    <w:multiLevelType w:val="hybridMultilevel"/>
    <w:tmpl w:val="1292D456"/>
    <w:lvl w:ilvl="0" w:tplc="D9A639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A1E76"/>
    <w:multiLevelType w:val="multilevel"/>
    <w:tmpl w:val="B908E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CE4C13"/>
    <w:multiLevelType w:val="multilevel"/>
    <w:tmpl w:val="5C28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D7D56"/>
    <w:multiLevelType w:val="multilevel"/>
    <w:tmpl w:val="2668F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AD6D73"/>
    <w:multiLevelType w:val="multilevel"/>
    <w:tmpl w:val="3BD4C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181A00"/>
    <w:multiLevelType w:val="hybridMultilevel"/>
    <w:tmpl w:val="04CA34FE"/>
    <w:lvl w:ilvl="0" w:tplc="0C6E334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66984"/>
    <w:multiLevelType w:val="hybridMultilevel"/>
    <w:tmpl w:val="9D2AC0A8"/>
    <w:lvl w:ilvl="0" w:tplc="7A603FF6">
      <w:start w:val="1"/>
      <w:numFmt w:val="decimal"/>
      <w:lvlText w:val="%1."/>
      <w:lvlJc w:val="left"/>
      <w:pPr>
        <w:ind w:left="720" w:hanging="360"/>
      </w:pPr>
      <w:rPr>
        <w:rFonts w:ascii="Garamond" w:hAnsi="Garamond"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EC7C9C"/>
    <w:multiLevelType w:val="multilevel"/>
    <w:tmpl w:val="1F5206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BC6635"/>
    <w:multiLevelType w:val="hybridMultilevel"/>
    <w:tmpl w:val="A91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B6BA4"/>
    <w:multiLevelType w:val="multilevel"/>
    <w:tmpl w:val="9BD0E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36F1D"/>
    <w:multiLevelType w:val="hybridMultilevel"/>
    <w:tmpl w:val="EEA6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C4DB8"/>
    <w:multiLevelType w:val="hybridMultilevel"/>
    <w:tmpl w:val="83C6AD8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2" w15:restartNumberingAfterBreak="0">
    <w:nsid w:val="546B4617"/>
    <w:multiLevelType w:val="hybridMultilevel"/>
    <w:tmpl w:val="2572FAF2"/>
    <w:lvl w:ilvl="0" w:tplc="DC880AE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27628"/>
    <w:multiLevelType w:val="multilevel"/>
    <w:tmpl w:val="559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6A4308"/>
    <w:multiLevelType w:val="hybridMultilevel"/>
    <w:tmpl w:val="8494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14E14"/>
    <w:multiLevelType w:val="hybridMultilevel"/>
    <w:tmpl w:val="5788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A2516"/>
    <w:multiLevelType w:val="multilevel"/>
    <w:tmpl w:val="F512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124622">
    <w:abstractNumId w:val="7"/>
  </w:num>
  <w:num w:numId="2" w16cid:durableId="832720058">
    <w:abstractNumId w:val="15"/>
  </w:num>
  <w:num w:numId="3" w16cid:durableId="1331061664">
    <w:abstractNumId w:val="10"/>
  </w:num>
  <w:num w:numId="4" w16cid:durableId="1506365385">
    <w:abstractNumId w:val="1"/>
  </w:num>
  <w:num w:numId="5" w16cid:durableId="1455172619">
    <w:abstractNumId w:val="3"/>
  </w:num>
  <w:num w:numId="6" w16cid:durableId="2084251678">
    <w:abstractNumId w:val="4"/>
  </w:num>
  <w:num w:numId="7" w16cid:durableId="1699771810">
    <w:abstractNumId w:val="11"/>
  </w:num>
  <w:num w:numId="8" w16cid:durableId="839924435">
    <w:abstractNumId w:val="9"/>
  </w:num>
  <w:num w:numId="9" w16cid:durableId="1420176365">
    <w:abstractNumId w:val="16"/>
  </w:num>
  <w:num w:numId="10" w16cid:durableId="271980971">
    <w:abstractNumId w:val="14"/>
  </w:num>
  <w:num w:numId="11" w16cid:durableId="391001534">
    <w:abstractNumId w:val="12"/>
  </w:num>
  <w:num w:numId="12" w16cid:durableId="304312507">
    <w:abstractNumId w:val="5"/>
  </w:num>
  <w:num w:numId="13" w16cid:durableId="15273783">
    <w:abstractNumId w:val="2"/>
  </w:num>
  <w:num w:numId="14" w16cid:durableId="1854109857">
    <w:abstractNumId w:val="13"/>
  </w:num>
  <w:num w:numId="15" w16cid:durableId="1796362237">
    <w:abstractNumId w:val="0"/>
  </w:num>
  <w:num w:numId="16" w16cid:durableId="2101827715">
    <w:abstractNumId w:val="8"/>
  </w:num>
  <w:num w:numId="17" w16cid:durableId="1392462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64"/>
    <w:rsid w:val="00003568"/>
    <w:rsid w:val="00003D3F"/>
    <w:rsid w:val="0000528A"/>
    <w:rsid w:val="000073BF"/>
    <w:rsid w:val="00022A77"/>
    <w:rsid w:val="00030157"/>
    <w:rsid w:val="00030694"/>
    <w:rsid w:val="00032B83"/>
    <w:rsid w:val="000344E6"/>
    <w:rsid w:val="00035F28"/>
    <w:rsid w:val="000367A6"/>
    <w:rsid w:val="000425DD"/>
    <w:rsid w:val="00043B13"/>
    <w:rsid w:val="00044DAD"/>
    <w:rsid w:val="000465A2"/>
    <w:rsid w:val="00051E10"/>
    <w:rsid w:val="0005376C"/>
    <w:rsid w:val="00064DB5"/>
    <w:rsid w:val="00074A25"/>
    <w:rsid w:val="00074B99"/>
    <w:rsid w:val="00075CEF"/>
    <w:rsid w:val="00082808"/>
    <w:rsid w:val="00082A96"/>
    <w:rsid w:val="0008368B"/>
    <w:rsid w:val="000837CD"/>
    <w:rsid w:val="00091DC3"/>
    <w:rsid w:val="000927DF"/>
    <w:rsid w:val="00093E0A"/>
    <w:rsid w:val="00096EE3"/>
    <w:rsid w:val="00097AC1"/>
    <w:rsid w:val="000A00C5"/>
    <w:rsid w:val="000A0442"/>
    <w:rsid w:val="000A2026"/>
    <w:rsid w:val="000B3946"/>
    <w:rsid w:val="000B784E"/>
    <w:rsid w:val="000C528D"/>
    <w:rsid w:val="000D5489"/>
    <w:rsid w:val="000E4398"/>
    <w:rsid w:val="000F180E"/>
    <w:rsid w:val="000F2BD6"/>
    <w:rsid w:val="000F51CB"/>
    <w:rsid w:val="00100664"/>
    <w:rsid w:val="00101930"/>
    <w:rsid w:val="001038A8"/>
    <w:rsid w:val="001073FB"/>
    <w:rsid w:val="00112BCC"/>
    <w:rsid w:val="001158A6"/>
    <w:rsid w:val="001225F9"/>
    <w:rsid w:val="00125103"/>
    <w:rsid w:val="00125126"/>
    <w:rsid w:val="00125C20"/>
    <w:rsid w:val="00132C99"/>
    <w:rsid w:val="00134116"/>
    <w:rsid w:val="00137598"/>
    <w:rsid w:val="001463BD"/>
    <w:rsid w:val="00165C4D"/>
    <w:rsid w:val="001676CB"/>
    <w:rsid w:val="00172F2D"/>
    <w:rsid w:val="001864EE"/>
    <w:rsid w:val="00187705"/>
    <w:rsid w:val="00191990"/>
    <w:rsid w:val="0019395A"/>
    <w:rsid w:val="00195442"/>
    <w:rsid w:val="001B224E"/>
    <w:rsid w:val="001B2F51"/>
    <w:rsid w:val="001B3748"/>
    <w:rsid w:val="001B48C6"/>
    <w:rsid w:val="001C0C3A"/>
    <w:rsid w:val="001C7A1C"/>
    <w:rsid w:val="001D0D63"/>
    <w:rsid w:val="001D4ECE"/>
    <w:rsid w:val="00202A46"/>
    <w:rsid w:val="002030DF"/>
    <w:rsid w:val="00214E47"/>
    <w:rsid w:val="00215062"/>
    <w:rsid w:val="00216D33"/>
    <w:rsid w:val="00217DB3"/>
    <w:rsid w:val="00223E97"/>
    <w:rsid w:val="00224FED"/>
    <w:rsid w:val="00225AE3"/>
    <w:rsid w:val="00227936"/>
    <w:rsid w:val="0023725B"/>
    <w:rsid w:val="002379FB"/>
    <w:rsid w:val="00240585"/>
    <w:rsid w:val="002415E7"/>
    <w:rsid w:val="002450FD"/>
    <w:rsid w:val="0025456B"/>
    <w:rsid w:val="0026195A"/>
    <w:rsid w:val="00263674"/>
    <w:rsid w:val="00264BBD"/>
    <w:rsid w:val="00270B4E"/>
    <w:rsid w:val="0027124E"/>
    <w:rsid w:val="00271435"/>
    <w:rsid w:val="00271B18"/>
    <w:rsid w:val="00275508"/>
    <w:rsid w:val="00276023"/>
    <w:rsid w:val="00276780"/>
    <w:rsid w:val="0029195E"/>
    <w:rsid w:val="00291A19"/>
    <w:rsid w:val="002958A7"/>
    <w:rsid w:val="002A7045"/>
    <w:rsid w:val="002B13B1"/>
    <w:rsid w:val="002B1B39"/>
    <w:rsid w:val="002B23C1"/>
    <w:rsid w:val="002B7D59"/>
    <w:rsid w:val="002C0A10"/>
    <w:rsid w:val="002C168E"/>
    <w:rsid w:val="002C7702"/>
    <w:rsid w:val="002D034E"/>
    <w:rsid w:val="002D09C8"/>
    <w:rsid w:val="002D5633"/>
    <w:rsid w:val="002E30C3"/>
    <w:rsid w:val="002E7E10"/>
    <w:rsid w:val="002F3A89"/>
    <w:rsid w:val="002F57EF"/>
    <w:rsid w:val="00312989"/>
    <w:rsid w:val="003147CC"/>
    <w:rsid w:val="00321B4B"/>
    <w:rsid w:val="003244A0"/>
    <w:rsid w:val="00327497"/>
    <w:rsid w:val="00334866"/>
    <w:rsid w:val="00335DDB"/>
    <w:rsid w:val="00337177"/>
    <w:rsid w:val="003430B7"/>
    <w:rsid w:val="003433F6"/>
    <w:rsid w:val="00354F6F"/>
    <w:rsid w:val="0036536B"/>
    <w:rsid w:val="003720FF"/>
    <w:rsid w:val="0037753B"/>
    <w:rsid w:val="003821A1"/>
    <w:rsid w:val="00390CFE"/>
    <w:rsid w:val="0039351C"/>
    <w:rsid w:val="00397BD1"/>
    <w:rsid w:val="003A0148"/>
    <w:rsid w:val="003A5D8A"/>
    <w:rsid w:val="003A5EB3"/>
    <w:rsid w:val="003A6CB1"/>
    <w:rsid w:val="003B0A7D"/>
    <w:rsid w:val="003B3FD7"/>
    <w:rsid w:val="003B4098"/>
    <w:rsid w:val="003B573B"/>
    <w:rsid w:val="003C2661"/>
    <w:rsid w:val="003C4389"/>
    <w:rsid w:val="003D16F1"/>
    <w:rsid w:val="003D5361"/>
    <w:rsid w:val="003E18DD"/>
    <w:rsid w:val="003E2F48"/>
    <w:rsid w:val="003E3E50"/>
    <w:rsid w:val="003F32CA"/>
    <w:rsid w:val="004004F6"/>
    <w:rsid w:val="00404880"/>
    <w:rsid w:val="004077C4"/>
    <w:rsid w:val="00411FBF"/>
    <w:rsid w:val="00413C01"/>
    <w:rsid w:val="00413FB0"/>
    <w:rsid w:val="00422BA7"/>
    <w:rsid w:val="00430708"/>
    <w:rsid w:val="00434DF5"/>
    <w:rsid w:val="00455745"/>
    <w:rsid w:val="004632C9"/>
    <w:rsid w:val="00467104"/>
    <w:rsid w:val="004722A1"/>
    <w:rsid w:val="004732A1"/>
    <w:rsid w:val="00475797"/>
    <w:rsid w:val="00480120"/>
    <w:rsid w:val="00484518"/>
    <w:rsid w:val="00484A05"/>
    <w:rsid w:val="004963FD"/>
    <w:rsid w:val="004A689B"/>
    <w:rsid w:val="004B634E"/>
    <w:rsid w:val="004C54A0"/>
    <w:rsid w:val="004D2466"/>
    <w:rsid w:val="004D46D4"/>
    <w:rsid w:val="004D5E3A"/>
    <w:rsid w:val="004E5F4F"/>
    <w:rsid w:val="004F01F2"/>
    <w:rsid w:val="004F118E"/>
    <w:rsid w:val="004F12E2"/>
    <w:rsid w:val="004F1A4A"/>
    <w:rsid w:val="004F46AB"/>
    <w:rsid w:val="004F6B1E"/>
    <w:rsid w:val="004F7E21"/>
    <w:rsid w:val="005042B8"/>
    <w:rsid w:val="005077F5"/>
    <w:rsid w:val="005109A9"/>
    <w:rsid w:val="00510B6E"/>
    <w:rsid w:val="00511189"/>
    <w:rsid w:val="005120E6"/>
    <w:rsid w:val="005139CA"/>
    <w:rsid w:val="00513F74"/>
    <w:rsid w:val="0051782A"/>
    <w:rsid w:val="00522ED3"/>
    <w:rsid w:val="0053123C"/>
    <w:rsid w:val="00531443"/>
    <w:rsid w:val="00531E06"/>
    <w:rsid w:val="005333F2"/>
    <w:rsid w:val="00533CC1"/>
    <w:rsid w:val="0053768C"/>
    <w:rsid w:val="005443E9"/>
    <w:rsid w:val="00544956"/>
    <w:rsid w:val="005461E7"/>
    <w:rsid w:val="00546DAF"/>
    <w:rsid w:val="00552016"/>
    <w:rsid w:val="00552523"/>
    <w:rsid w:val="00557107"/>
    <w:rsid w:val="005675BB"/>
    <w:rsid w:val="00574CCC"/>
    <w:rsid w:val="00575ADF"/>
    <w:rsid w:val="00576B41"/>
    <w:rsid w:val="00576F5A"/>
    <w:rsid w:val="00581B73"/>
    <w:rsid w:val="00584F06"/>
    <w:rsid w:val="00585CF7"/>
    <w:rsid w:val="00586C18"/>
    <w:rsid w:val="005A00A7"/>
    <w:rsid w:val="005A2DDF"/>
    <w:rsid w:val="005B4E72"/>
    <w:rsid w:val="005C2DF7"/>
    <w:rsid w:val="005D4DEE"/>
    <w:rsid w:val="005D6CE3"/>
    <w:rsid w:val="005E6290"/>
    <w:rsid w:val="005E6A00"/>
    <w:rsid w:val="005E7B03"/>
    <w:rsid w:val="005F06D4"/>
    <w:rsid w:val="005F1522"/>
    <w:rsid w:val="005F2025"/>
    <w:rsid w:val="005F6FA2"/>
    <w:rsid w:val="006044B7"/>
    <w:rsid w:val="00604A0B"/>
    <w:rsid w:val="00604B6B"/>
    <w:rsid w:val="00604D15"/>
    <w:rsid w:val="00604D3C"/>
    <w:rsid w:val="006070CB"/>
    <w:rsid w:val="006078D8"/>
    <w:rsid w:val="00607F39"/>
    <w:rsid w:val="00615766"/>
    <w:rsid w:val="00615B1A"/>
    <w:rsid w:val="00616851"/>
    <w:rsid w:val="00624D71"/>
    <w:rsid w:val="006260F5"/>
    <w:rsid w:val="00631829"/>
    <w:rsid w:val="00632B95"/>
    <w:rsid w:val="0063585C"/>
    <w:rsid w:val="0064190E"/>
    <w:rsid w:val="006448EA"/>
    <w:rsid w:val="00647C14"/>
    <w:rsid w:val="00651E0B"/>
    <w:rsid w:val="006533BB"/>
    <w:rsid w:val="006561EA"/>
    <w:rsid w:val="00656FA5"/>
    <w:rsid w:val="0066307A"/>
    <w:rsid w:val="006634BC"/>
    <w:rsid w:val="00666441"/>
    <w:rsid w:val="0067515B"/>
    <w:rsid w:val="00680081"/>
    <w:rsid w:val="00680273"/>
    <w:rsid w:val="00683119"/>
    <w:rsid w:val="006845B3"/>
    <w:rsid w:val="006856A6"/>
    <w:rsid w:val="00685A98"/>
    <w:rsid w:val="00690F5B"/>
    <w:rsid w:val="00691A4D"/>
    <w:rsid w:val="00695FEA"/>
    <w:rsid w:val="00696202"/>
    <w:rsid w:val="006A0D37"/>
    <w:rsid w:val="006A156E"/>
    <w:rsid w:val="006A179A"/>
    <w:rsid w:val="006A601A"/>
    <w:rsid w:val="006B4301"/>
    <w:rsid w:val="006B502B"/>
    <w:rsid w:val="006B67D5"/>
    <w:rsid w:val="006B7B66"/>
    <w:rsid w:val="006B7FE1"/>
    <w:rsid w:val="006C2BD7"/>
    <w:rsid w:val="006C506D"/>
    <w:rsid w:val="006C5909"/>
    <w:rsid w:val="006C5FA1"/>
    <w:rsid w:val="006D0A93"/>
    <w:rsid w:val="006D1913"/>
    <w:rsid w:val="006D6C24"/>
    <w:rsid w:val="006E5E7C"/>
    <w:rsid w:val="006F5E9A"/>
    <w:rsid w:val="006F7589"/>
    <w:rsid w:val="0071453A"/>
    <w:rsid w:val="00716957"/>
    <w:rsid w:val="00716AEA"/>
    <w:rsid w:val="00722D25"/>
    <w:rsid w:val="0072441A"/>
    <w:rsid w:val="00727796"/>
    <w:rsid w:val="00737B33"/>
    <w:rsid w:val="007400A3"/>
    <w:rsid w:val="00740CA8"/>
    <w:rsid w:val="00750E93"/>
    <w:rsid w:val="007526EE"/>
    <w:rsid w:val="007530B3"/>
    <w:rsid w:val="007536F0"/>
    <w:rsid w:val="00756B97"/>
    <w:rsid w:val="0077160E"/>
    <w:rsid w:val="0077522E"/>
    <w:rsid w:val="00783792"/>
    <w:rsid w:val="00784923"/>
    <w:rsid w:val="00786346"/>
    <w:rsid w:val="00786E64"/>
    <w:rsid w:val="007929A7"/>
    <w:rsid w:val="00794BCF"/>
    <w:rsid w:val="00797BE3"/>
    <w:rsid w:val="007A454B"/>
    <w:rsid w:val="007C4A8A"/>
    <w:rsid w:val="007E333E"/>
    <w:rsid w:val="007E3F00"/>
    <w:rsid w:val="007E76EA"/>
    <w:rsid w:val="007E7D90"/>
    <w:rsid w:val="007F253F"/>
    <w:rsid w:val="007F339E"/>
    <w:rsid w:val="007F68F0"/>
    <w:rsid w:val="0080201D"/>
    <w:rsid w:val="0080213F"/>
    <w:rsid w:val="00806001"/>
    <w:rsid w:val="00806C8B"/>
    <w:rsid w:val="008100A6"/>
    <w:rsid w:val="00811FA0"/>
    <w:rsid w:val="0082050C"/>
    <w:rsid w:val="00821669"/>
    <w:rsid w:val="00826FAB"/>
    <w:rsid w:val="00833F8E"/>
    <w:rsid w:val="008348BA"/>
    <w:rsid w:val="0085181A"/>
    <w:rsid w:val="008601E4"/>
    <w:rsid w:val="008605CA"/>
    <w:rsid w:val="00860627"/>
    <w:rsid w:val="00863FE4"/>
    <w:rsid w:val="0086623A"/>
    <w:rsid w:val="0086697D"/>
    <w:rsid w:val="00874B01"/>
    <w:rsid w:val="00875CAF"/>
    <w:rsid w:val="008818B9"/>
    <w:rsid w:val="008A46A6"/>
    <w:rsid w:val="008C3542"/>
    <w:rsid w:val="008C627D"/>
    <w:rsid w:val="008D067E"/>
    <w:rsid w:val="008D0761"/>
    <w:rsid w:val="008D1944"/>
    <w:rsid w:val="008D6290"/>
    <w:rsid w:val="008E48B7"/>
    <w:rsid w:val="008F3B3C"/>
    <w:rsid w:val="008F4B2C"/>
    <w:rsid w:val="008F4C23"/>
    <w:rsid w:val="008F53AB"/>
    <w:rsid w:val="008F584D"/>
    <w:rsid w:val="00904FF0"/>
    <w:rsid w:val="009137DB"/>
    <w:rsid w:val="0091587D"/>
    <w:rsid w:val="00917F25"/>
    <w:rsid w:val="00921D69"/>
    <w:rsid w:val="00930F4C"/>
    <w:rsid w:val="00931790"/>
    <w:rsid w:val="0093185A"/>
    <w:rsid w:val="00932FF3"/>
    <w:rsid w:val="00933E83"/>
    <w:rsid w:val="009528A2"/>
    <w:rsid w:val="00954E63"/>
    <w:rsid w:val="00960502"/>
    <w:rsid w:val="009638EA"/>
    <w:rsid w:val="00964088"/>
    <w:rsid w:val="0097315F"/>
    <w:rsid w:val="00973E6D"/>
    <w:rsid w:val="00982A76"/>
    <w:rsid w:val="009830CC"/>
    <w:rsid w:val="009841D8"/>
    <w:rsid w:val="0098703D"/>
    <w:rsid w:val="00987841"/>
    <w:rsid w:val="009A144F"/>
    <w:rsid w:val="009A3523"/>
    <w:rsid w:val="009A5772"/>
    <w:rsid w:val="009A6FD7"/>
    <w:rsid w:val="009A7EB5"/>
    <w:rsid w:val="009B0B1D"/>
    <w:rsid w:val="009C7434"/>
    <w:rsid w:val="009D1C9B"/>
    <w:rsid w:val="009E6085"/>
    <w:rsid w:val="009F05D5"/>
    <w:rsid w:val="009F368D"/>
    <w:rsid w:val="009F547A"/>
    <w:rsid w:val="00A00ECB"/>
    <w:rsid w:val="00A02FD5"/>
    <w:rsid w:val="00A04138"/>
    <w:rsid w:val="00A07DB3"/>
    <w:rsid w:val="00A126A2"/>
    <w:rsid w:val="00A13674"/>
    <w:rsid w:val="00A1616E"/>
    <w:rsid w:val="00A16A48"/>
    <w:rsid w:val="00A30FC3"/>
    <w:rsid w:val="00A36F27"/>
    <w:rsid w:val="00A452F2"/>
    <w:rsid w:val="00A456C2"/>
    <w:rsid w:val="00A516A3"/>
    <w:rsid w:val="00A5367C"/>
    <w:rsid w:val="00A55E07"/>
    <w:rsid w:val="00A60356"/>
    <w:rsid w:val="00A6162F"/>
    <w:rsid w:val="00A63ED1"/>
    <w:rsid w:val="00A66598"/>
    <w:rsid w:val="00A67606"/>
    <w:rsid w:val="00A70FC0"/>
    <w:rsid w:val="00A718BC"/>
    <w:rsid w:val="00A83046"/>
    <w:rsid w:val="00A83BF6"/>
    <w:rsid w:val="00A961A2"/>
    <w:rsid w:val="00AA5A16"/>
    <w:rsid w:val="00AA5EBC"/>
    <w:rsid w:val="00AB2AC2"/>
    <w:rsid w:val="00AB2C1F"/>
    <w:rsid w:val="00AB2C26"/>
    <w:rsid w:val="00AB4D28"/>
    <w:rsid w:val="00AB5151"/>
    <w:rsid w:val="00AC5D08"/>
    <w:rsid w:val="00AD203B"/>
    <w:rsid w:val="00AD7810"/>
    <w:rsid w:val="00AF03F1"/>
    <w:rsid w:val="00AF223B"/>
    <w:rsid w:val="00AF27AE"/>
    <w:rsid w:val="00AF2A6D"/>
    <w:rsid w:val="00AF52CE"/>
    <w:rsid w:val="00AF7823"/>
    <w:rsid w:val="00B0441D"/>
    <w:rsid w:val="00B05B85"/>
    <w:rsid w:val="00B1228C"/>
    <w:rsid w:val="00B14F7F"/>
    <w:rsid w:val="00B16667"/>
    <w:rsid w:val="00B2622A"/>
    <w:rsid w:val="00B27793"/>
    <w:rsid w:val="00B3002D"/>
    <w:rsid w:val="00B456A1"/>
    <w:rsid w:val="00B478AE"/>
    <w:rsid w:val="00B50901"/>
    <w:rsid w:val="00B53E21"/>
    <w:rsid w:val="00B60AC9"/>
    <w:rsid w:val="00B6424B"/>
    <w:rsid w:val="00B64D13"/>
    <w:rsid w:val="00B666BB"/>
    <w:rsid w:val="00B67A51"/>
    <w:rsid w:val="00B74473"/>
    <w:rsid w:val="00B81F40"/>
    <w:rsid w:val="00B86134"/>
    <w:rsid w:val="00B87706"/>
    <w:rsid w:val="00B9421C"/>
    <w:rsid w:val="00B94C3C"/>
    <w:rsid w:val="00BA023D"/>
    <w:rsid w:val="00BC037A"/>
    <w:rsid w:val="00BC58F3"/>
    <w:rsid w:val="00BD2EE5"/>
    <w:rsid w:val="00BD34E8"/>
    <w:rsid w:val="00BD5675"/>
    <w:rsid w:val="00BD75FB"/>
    <w:rsid w:val="00BE33AD"/>
    <w:rsid w:val="00BE64B2"/>
    <w:rsid w:val="00C04D39"/>
    <w:rsid w:val="00C10343"/>
    <w:rsid w:val="00C17356"/>
    <w:rsid w:val="00C25CE7"/>
    <w:rsid w:val="00C3523B"/>
    <w:rsid w:val="00C4264E"/>
    <w:rsid w:val="00C43834"/>
    <w:rsid w:val="00C43899"/>
    <w:rsid w:val="00C4748E"/>
    <w:rsid w:val="00C47F50"/>
    <w:rsid w:val="00C63379"/>
    <w:rsid w:val="00C63443"/>
    <w:rsid w:val="00C63B0D"/>
    <w:rsid w:val="00C82F1C"/>
    <w:rsid w:val="00C96FAC"/>
    <w:rsid w:val="00CA0B4A"/>
    <w:rsid w:val="00CA5B37"/>
    <w:rsid w:val="00CB2773"/>
    <w:rsid w:val="00CB62B4"/>
    <w:rsid w:val="00CB6793"/>
    <w:rsid w:val="00CB7804"/>
    <w:rsid w:val="00CC6954"/>
    <w:rsid w:val="00CD2882"/>
    <w:rsid w:val="00CD6710"/>
    <w:rsid w:val="00CD7A12"/>
    <w:rsid w:val="00CE4B7D"/>
    <w:rsid w:val="00CE6DE4"/>
    <w:rsid w:val="00D02F6E"/>
    <w:rsid w:val="00D1102E"/>
    <w:rsid w:val="00D135C6"/>
    <w:rsid w:val="00D15A06"/>
    <w:rsid w:val="00D20FBE"/>
    <w:rsid w:val="00D30A6C"/>
    <w:rsid w:val="00D315A3"/>
    <w:rsid w:val="00D31CDB"/>
    <w:rsid w:val="00D42695"/>
    <w:rsid w:val="00D47670"/>
    <w:rsid w:val="00D50972"/>
    <w:rsid w:val="00D57E4D"/>
    <w:rsid w:val="00D61CBD"/>
    <w:rsid w:val="00D62579"/>
    <w:rsid w:val="00D65B89"/>
    <w:rsid w:val="00D76D7F"/>
    <w:rsid w:val="00D770CD"/>
    <w:rsid w:val="00D82A7E"/>
    <w:rsid w:val="00D84C07"/>
    <w:rsid w:val="00D9184D"/>
    <w:rsid w:val="00D9383A"/>
    <w:rsid w:val="00D93847"/>
    <w:rsid w:val="00D9496C"/>
    <w:rsid w:val="00DB0D53"/>
    <w:rsid w:val="00DB6147"/>
    <w:rsid w:val="00DB7F24"/>
    <w:rsid w:val="00DC32EA"/>
    <w:rsid w:val="00DC7F46"/>
    <w:rsid w:val="00DD1216"/>
    <w:rsid w:val="00DD753E"/>
    <w:rsid w:val="00DF1C65"/>
    <w:rsid w:val="00DF26E7"/>
    <w:rsid w:val="00DF30F6"/>
    <w:rsid w:val="00DF3AA0"/>
    <w:rsid w:val="00DF3F6F"/>
    <w:rsid w:val="00E04D9D"/>
    <w:rsid w:val="00E06D2B"/>
    <w:rsid w:val="00E101A0"/>
    <w:rsid w:val="00E164A7"/>
    <w:rsid w:val="00E165B4"/>
    <w:rsid w:val="00E17297"/>
    <w:rsid w:val="00E24ABB"/>
    <w:rsid w:val="00E24D1F"/>
    <w:rsid w:val="00E254F8"/>
    <w:rsid w:val="00E2674B"/>
    <w:rsid w:val="00E35C2D"/>
    <w:rsid w:val="00E3711E"/>
    <w:rsid w:val="00E37155"/>
    <w:rsid w:val="00E37DC8"/>
    <w:rsid w:val="00E43EBE"/>
    <w:rsid w:val="00E47D83"/>
    <w:rsid w:val="00E51A08"/>
    <w:rsid w:val="00E51B1D"/>
    <w:rsid w:val="00E62414"/>
    <w:rsid w:val="00E627A1"/>
    <w:rsid w:val="00E6706F"/>
    <w:rsid w:val="00E73DC4"/>
    <w:rsid w:val="00E756CA"/>
    <w:rsid w:val="00E80BAE"/>
    <w:rsid w:val="00E87EA4"/>
    <w:rsid w:val="00E951CB"/>
    <w:rsid w:val="00EA0625"/>
    <w:rsid w:val="00EA077D"/>
    <w:rsid w:val="00EA126F"/>
    <w:rsid w:val="00EA4321"/>
    <w:rsid w:val="00EA43EF"/>
    <w:rsid w:val="00EB5D06"/>
    <w:rsid w:val="00EB6CC7"/>
    <w:rsid w:val="00EB6F20"/>
    <w:rsid w:val="00EC0B17"/>
    <w:rsid w:val="00ED0B2C"/>
    <w:rsid w:val="00ED48CB"/>
    <w:rsid w:val="00ED4940"/>
    <w:rsid w:val="00ED7939"/>
    <w:rsid w:val="00EE17CF"/>
    <w:rsid w:val="00EE1C00"/>
    <w:rsid w:val="00EE60E0"/>
    <w:rsid w:val="00EE687F"/>
    <w:rsid w:val="00EE6DD7"/>
    <w:rsid w:val="00EE709B"/>
    <w:rsid w:val="00EF077D"/>
    <w:rsid w:val="00EF72E3"/>
    <w:rsid w:val="00F01501"/>
    <w:rsid w:val="00F10794"/>
    <w:rsid w:val="00F11D3A"/>
    <w:rsid w:val="00F1410E"/>
    <w:rsid w:val="00F15682"/>
    <w:rsid w:val="00F20202"/>
    <w:rsid w:val="00F24C2A"/>
    <w:rsid w:val="00F31693"/>
    <w:rsid w:val="00F31826"/>
    <w:rsid w:val="00F35E21"/>
    <w:rsid w:val="00F37D41"/>
    <w:rsid w:val="00F40071"/>
    <w:rsid w:val="00F402B0"/>
    <w:rsid w:val="00F43766"/>
    <w:rsid w:val="00F4434A"/>
    <w:rsid w:val="00F4584B"/>
    <w:rsid w:val="00F5296A"/>
    <w:rsid w:val="00F71186"/>
    <w:rsid w:val="00F742A6"/>
    <w:rsid w:val="00F754FC"/>
    <w:rsid w:val="00F768FE"/>
    <w:rsid w:val="00F7782D"/>
    <w:rsid w:val="00F90DEE"/>
    <w:rsid w:val="00F9216F"/>
    <w:rsid w:val="00F9751A"/>
    <w:rsid w:val="00FA19C2"/>
    <w:rsid w:val="00FA51C2"/>
    <w:rsid w:val="00FA7C68"/>
    <w:rsid w:val="00FB62F5"/>
    <w:rsid w:val="00FB747B"/>
    <w:rsid w:val="00FC35B1"/>
    <w:rsid w:val="00FC44DF"/>
    <w:rsid w:val="00FC767D"/>
    <w:rsid w:val="00FD08FE"/>
    <w:rsid w:val="00FE2643"/>
    <w:rsid w:val="00FF0F4C"/>
    <w:rsid w:val="00FF2A96"/>
    <w:rsid w:val="00FF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5E3AE"/>
  <w15:chartTrackingRefBased/>
  <w15:docId w15:val="{0A49D9DB-6F54-174B-A69D-A0A62894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E64"/>
    <w:pPr>
      <w:spacing w:after="0" w:line="240" w:lineRule="auto"/>
    </w:pPr>
  </w:style>
  <w:style w:type="paragraph" w:styleId="Heading1">
    <w:name w:val="heading 1"/>
    <w:basedOn w:val="Normal"/>
    <w:next w:val="Normal"/>
    <w:link w:val="Heading1Char"/>
    <w:uiPriority w:val="9"/>
    <w:qFormat/>
    <w:rsid w:val="0078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E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E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E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E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6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E64"/>
    <w:rPr>
      <w:rFonts w:eastAsiaTheme="majorEastAsia" w:cstheme="majorBidi"/>
      <w:color w:val="272727" w:themeColor="text1" w:themeTint="D8"/>
    </w:rPr>
  </w:style>
  <w:style w:type="paragraph" w:styleId="Title">
    <w:name w:val="Title"/>
    <w:basedOn w:val="Normal"/>
    <w:next w:val="Normal"/>
    <w:link w:val="TitleChar"/>
    <w:uiPriority w:val="10"/>
    <w:qFormat/>
    <w:rsid w:val="00786E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E64"/>
    <w:pPr>
      <w:spacing w:before="160"/>
      <w:jc w:val="center"/>
    </w:pPr>
    <w:rPr>
      <w:i/>
      <w:iCs/>
      <w:color w:val="404040" w:themeColor="text1" w:themeTint="BF"/>
    </w:rPr>
  </w:style>
  <w:style w:type="character" w:customStyle="1" w:styleId="QuoteChar">
    <w:name w:val="Quote Char"/>
    <w:basedOn w:val="DefaultParagraphFont"/>
    <w:link w:val="Quote"/>
    <w:uiPriority w:val="29"/>
    <w:rsid w:val="00786E64"/>
    <w:rPr>
      <w:i/>
      <w:iCs/>
      <w:color w:val="404040" w:themeColor="text1" w:themeTint="BF"/>
    </w:rPr>
  </w:style>
  <w:style w:type="paragraph" w:styleId="ListParagraph">
    <w:name w:val="List Paragraph"/>
    <w:basedOn w:val="Normal"/>
    <w:uiPriority w:val="34"/>
    <w:qFormat/>
    <w:rsid w:val="00786E64"/>
    <w:pPr>
      <w:ind w:left="720"/>
      <w:contextualSpacing/>
    </w:pPr>
  </w:style>
  <w:style w:type="character" w:styleId="IntenseEmphasis">
    <w:name w:val="Intense Emphasis"/>
    <w:basedOn w:val="DefaultParagraphFont"/>
    <w:uiPriority w:val="21"/>
    <w:qFormat/>
    <w:rsid w:val="00786E64"/>
    <w:rPr>
      <w:i/>
      <w:iCs/>
      <w:color w:val="0F4761" w:themeColor="accent1" w:themeShade="BF"/>
    </w:rPr>
  </w:style>
  <w:style w:type="paragraph" w:styleId="IntenseQuote">
    <w:name w:val="Intense Quote"/>
    <w:basedOn w:val="Normal"/>
    <w:next w:val="Normal"/>
    <w:link w:val="IntenseQuoteChar"/>
    <w:uiPriority w:val="30"/>
    <w:qFormat/>
    <w:rsid w:val="0078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E64"/>
    <w:rPr>
      <w:i/>
      <w:iCs/>
      <w:color w:val="0F4761" w:themeColor="accent1" w:themeShade="BF"/>
    </w:rPr>
  </w:style>
  <w:style w:type="character" w:styleId="IntenseReference">
    <w:name w:val="Intense Reference"/>
    <w:basedOn w:val="DefaultParagraphFont"/>
    <w:uiPriority w:val="32"/>
    <w:qFormat/>
    <w:rsid w:val="00786E64"/>
    <w:rPr>
      <w:b/>
      <w:bCs/>
      <w:smallCaps/>
      <w:color w:val="0F4761" w:themeColor="accent1" w:themeShade="BF"/>
      <w:spacing w:val="5"/>
    </w:rPr>
  </w:style>
  <w:style w:type="paragraph" w:styleId="CommentText">
    <w:name w:val="annotation text"/>
    <w:basedOn w:val="Normal"/>
    <w:link w:val="CommentTextChar"/>
    <w:uiPriority w:val="99"/>
    <w:unhideWhenUsed/>
    <w:rsid w:val="00786E64"/>
    <w:rPr>
      <w:rFonts w:ascii="Calibri" w:eastAsia="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786E64"/>
    <w:rPr>
      <w:rFonts w:ascii="Calibri" w:eastAsia="Calibri" w:hAnsi="Calibri" w:cs="Calibri"/>
      <w:kern w:val="0"/>
      <w:sz w:val="20"/>
      <w:szCs w:val="20"/>
      <w:lang w:eastAsia="en-GB"/>
      <w14:ligatures w14:val="none"/>
    </w:rPr>
  </w:style>
  <w:style w:type="character" w:styleId="CommentReference">
    <w:name w:val="annotation reference"/>
    <w:basedOn w:val="DefaultParagraphFont"/>
    <w:uiPriority w:val="99"/>
    <w:semiHidden/>
    <w:unhideWhenUsed/>
    <w:rsid w:val="00786E64"/>
    <w:rPr>
      <w:sz w:val="16"/>
      <w:szCs w:val="16"/>
    </w:rPr>
  </w:style>
  <w:style w:type="paragraph" w:styleId="Footer">
    <w:name w:val="footer"/>
    <w:basedOn w:val="Normal"/>
    <w:link w:val="FooterChar"/>
    <w:uiPriority w:val="99"/>
    <w:unhideWhenUsed/>
    <w:rsid w:val="00786E64"/>
    <w:pPr>
      <w:tabs>
        <w:tab w:val="center" w:pos="4513"/>
        <w:tab w:val="right" w:pos="9026"/>
      </w:tabs>
    </w:pPr>
  </w:style>
  <w:style w:type="character" w:customStyle="1" w:styleId="FooterChar">
    <w:name w:val="Footer Char"/>
    <w:basedOn w:val="DefaultParagraphFont"/>
    <w:link w:val="Footer"/>
    <w:uiPriority w:val="99"/>
    <w:rsid w:val="00786E64"/>
  </w:style>
  <w:style w:type="character" w:styleId="PageNumber">
    <w:name w:val="page number"/>
    <w:basedOn w:val="DefaultParagraphFont"/>
    <w:uiPriority w:val="99"/>
    <w:semiHidden/>
    <w:unhideWhenUsed/>
    <w:rsid w:val="00786E64"/>
  </w:style>
  <w:style w:type="character" w:customStyle="1" w:styleId="c9dxtc">
    <w:name w:val="c9dxtc"/>
    <w:basedOn w:val="DefaultParagraphFont"/>
    <w:rsid w:val="00786E64"/>
  </w:style>
  <w:style w:type="paragraph" w:styleId="NormalWeb">
    <w:name w:val="Normal (Web)"/>
    <w:basedOn w:val="Normal"/>
    <w:uiPriority w:val="99"/>
    <w:unhideWhenUsed/>
    <w:rsid w:val="00786E6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86E64"/>
    <w:rPr>
      <w:color w:val="467886" w:themeColor="hyperlink"/>
      <w:u w:val="single"/>
    </w:rPr>
  </w:style>
  <w:style w:type="paragraph" w:styleId="FootnoteText">
    <w:name w:val="footnote text"/>
    <w:basedOn w:val="Normal"/>
    <w:link w:val="FootnoteTextChar"/>
    <w:uiPriority w:val="99"/>
    <w:semiHidden/>
    <w:unhideWhenUsed/>
    <w:rsid w:val="00786E64"/>
    <w:rPr>
      <w:sz w:val="20"/>
      <w:szCs w:val="20"/>
    </w:rPr>
  </w:style>
  <w:style w:type="character" w:customStyle="1" w:styleId="FootnoteTextChar">
    <w:name w:val="Footnote Text Char"/>
    <w:basedOn w:val="DefaultParagraphFont"/>
    <w:link w:val="FootnoteText"/>
    <w:uiPriority w:val="99"/>
    <w:semiHidden/>
    <w:rsid w:val="00786E64"/>
    <w:rPr>
      <w:sz w:val="20"/>
      <w:szCs w:val="20"/>
    </w:rPr>
  </w:style>
  <w:style w:type="character" w:styleId="FootnoteReference">
    <w:name w:val="footnote reference"/>
    <w:basedOn w:val="DefaultParagraphFont"/>
    <w:uiPriority w:val="99"/>
    <w:semiHidden/>
    <w:unhideWhenUsed/>
    <w:rsid w:val="00786E64"/>
    <w:rPr>
      <w:vertAlign w:val="superscript"/>
    </w:rPr>
  </w:style>
  <w:style w:type="paragraph" w:styleId="Caption">
    <w:name w:val="caption"/>
    <w:basedOn w:val="Normal"/>
    <w:next w:val="Normal"/>
    <w:uiPriority w:val="35"/>
    <w:unhideWhenUsed/>
    <w:qFormat/>
    <w:rsid w:val="00786E64"/>
    <w:pPr>
      <w:spacing w:after="200"/>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786E64"/>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786E64"/>
    <w:rPr>
      <w:rFonts w:ascii="Calibri" w:eastAsia="Calibri" w:hAnsi="Calibri" w:cs="Calibri"/>
      <w:b/>
      <w:bCs/>
      <w:kern w:val="0"/>
      <w:sz w:val="20"/>
      <w:szCs w:val="20"/>
      <w:lang w:eastAsia="en-GB"/>
      <w14:ligatures w14:val="none"/>
    </w:rPr>
  </w:style>
  <w:style w:type="paragraph" w:styleId="Revision">
    <w:name w:val="Revision"/>
    <w:hidden/>
    <w:uiPriority w:val="99"/>
    <w:semiHidden/>
    <w:rsid w:val="00786E64"/>
    <w:pPr>
      <w:spacing w:after="0" w:line="240" w:lineRule="auto"/>
    </w:pPr>
  </w:style>
  <w:style w:type="paragraph" w:styleId="BalloonText">
    <w:name w:val="Balloon Text"/>
    <w:basedOn w:val="Normal"/>
    <w:link w:val="BalloonTextChar"/>
    <w:uiPriority w:val="99"/>
    <w:semiHidden/>
    <w:unhideWhenUsed/>
    <w:rsid w:val="00786E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E64"/>
    <w:rPr>
      <w:rFonts w:ascii="Segoe UI" w:hAnsi="Segoe UI" w:cs="Segoe UI"/>
      <w:sz w:val="18"/>
      <w:szCs w:val="18"/>
    </w:rPr>
  </w:style>
  <w:style w:type="paragraph" w:styleId="Header">
    <w:name w:val="header"/>
    <w:basedOn w:val="Normal"/>
    <w:link w:val="HeaderChar"/>
    <w:uiPriority w:val="99"/>
    <w:unhideWhenUsed/>
    <w:rsid w:val="00786E64"/>
    <w:pPr>
      <w:tabs>
        <w:tab w:val="center" w:pos="4680"/>
        <w:tab w:val="right" w:pos="9360"/>
      </w:tabs>
    </w:pPr>
  </w:style>
  <w:style w:type="character" w:customStyle="1" w:styleId="HeaderChar">
    <w:name w:val="Header Char"/>
    <w:basedOn w:val="DefaultParagraphFont"/>
    <w:link w:val="Header"/>
    <w:uiPriority w:val="99"/>
    <w:rsid w:val="00786E64"/>
  </w:style>
  <w:style w:type="character" w:customStyle="1" w:styleId="apple-converted-space">
    <w:name w:val="apple-converted-space"/>
    <w:basedOn w:val="DefaultParagraphFont"/>
    <w:rsid w:val="00786E64"/>
  </w:style>
  <w:style w:type="paragraph" w:customStyle="1" w:styleId="pub-label">
    <w:name w:val="pub-label"/>
    <w:basedOn w:val="Normal"/>
    <w:rsid w:val="00786E6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ub-desc">
    <w:name w:val="pub-desc"/>
    <w:basedOn w:val="Normal"/>
    <w:rsid w:val="00786E6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786E64"/>
    <w:rPr>
      <w:color w:val="605E5C"/>
      <w:shd w:val="clear" w:color="auto" w:fill="E1DFDD"/>
    </w:rPr>
  </w:style>
  <w:style w:type="character" w:styleId="Strong">
    <w:name w:val="Strong"/>
    <w:basedOn w:val="DefaultParagraphFont"/>
    <w:uiPriority w:val="22"/>
    <w:qFormat/>
    <w:rsid w:val="002B13B1"/>
    <w:rPr>
      <w:b/>
      <w:bCs/>
    </w:rPr>
  </w:style>
  <w:style w:type="table" w:styleId="TableGrid">
    <w:name w:val="Table Grid"/>
    <w:basedOn w:val="TableNormal"/>
    <w:uiPriority w:val="39"/>
    <w:rsid w:val="00404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206">
      <w:bodyDiv w:val="1"/>
      <w:marLeft w:val="0"/>
      <w:marRight w:val="0"/>
      <w:marTop w:val="0"/>
      <w:marBottom w:val="0"/>
      <w:divBdr>
        <w:top w:val="none" w:sz="0" w:space="0" w:color="auto"/>
        <w:left w:val="none" w:sz="0" w:space="0" w:color="auto"/>
        <w:bottom w:val="none" w:sz="0" w:space="0" w:color="auto"/>
        <w:right w:val="none" w:sz="0" w:space="0" w:color="auto"/>
      </w:divBdr>
    </w:div>
    <w:div w:id="151289239">
      <w:bodyDiv w:val="1"/>
      <w:marLeft w:val="0"/>
      <w:marRight w:val="0"/>
      <w:marTop w:val="0"/>
      <w:marBottom w:val="0"/>
      <w:divBdr>
        <w:top w:val="none" w:sz="0" w:space="0" w:color="auto"/>
        <w:left w:val="none" w:sz="0" w:space="0" w:color="auto"/>
        <w:bottom w:val="none" w:sz="0" w:space="0" w:color="auto"/>
        <w:right w:val="none" w:sz="0" w:space="0" w:color="auto"/>
      </w:divBdr>
    </w:div>
    <w:div w:id="581522276">
      <w:bodyDiv w:val="1"/>
      <w:marLeft w:val="0"/>
      <w:marRight w:val="0"/>
      <w:marTop w:val="0"/>
      <w:marBottom w:val="0"/>
      <w:divBdr>
        <w:top w:val="none" w:sz="0" w:space="0" w:color="auto"/>
        <w:left w:val="none" w:sz="0" w:space="0" w:color="auto"/>
        <w:bottom w:val="none" w:sz="0" w:space="0" w:color="auto"/>
        <w:right w:val="none" w:sz="0" w:space="0" w:color="auto"/>
      </w:divBdr>
    </w:div>
    <w:div w:id="74052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n.mcguire@york.ac.uk"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eglobalfund.org/media/12675/fundingmodel_2023-2025-allocations_methodology_en.pdf"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94BB4-A66F-014B-A9CF-ACA05F84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9859</Words>
  <Characters>56197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Mcguire,AJ</dc:creator>
  <cp:keywords/>
  <dc:description/>
  <cp:lastModifiedBy>Finn McGuire</cp:lastModifiedBy>
  <cp:revision>9</cp:revision>
  <dcterms:created xsi:type="dcterms:W3CDTF">2025-10-15T08:05:00Z</dcterms:created>
  <dcterms:modified xsi:type="dcterms:W3CDTF">2025-10-15T08:15:00Z</dcterms:modified>
</cp:coreProperties>
</file>