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5E57" w14:textId="3B62ECC7" w:rsidR="00BD6CB4" w:rsidRPr="0065243C" w:rsidRDefault="00122CCC" w:rsidP="00BD6CB4">
      <w:pPr>
        <w:pStyle w:val="Title1"/>
        <w:rPr>
          <w:lang w:val="en-US"/>
        </w:rPr>
      </w:pPr>
      <w:r>
        <w:rPr>
          <w:lang w:val="en-US"/>
        </w:rPr>
        <w:t xml:space="preserve">Modular assembly of macrocyclic sulfonamides via consecutive </w:t>
      </w:r>
      <w:r w:rsidR="00324395">
        <w:rPr>
          <w:lang w:val="en-US"/>
        </w:rPr>
        <w:t xml:space="preserve">cascade </w:t>
      </w:r>
      <w:r>
        <w:rPr>
          <w:lang w:val="en-US"/>
        </w:rPr>
        <w:t>ring expansion reactions</w:t>
      </w:r>
    </w:p>
    <w:p w14:paraId="420CED59" w14:textId="3477FE9D" w:rsidR="00BD6CB4" w:rsidRPr="0065243C" w:rsidRDefault="00427671" w:rsidP="00BD6CB4">
      <w:pPr>
        <w:pStyle w:val="Authors"/>
      </w:pPr>
      <w:r>
        <w:rPr>
          <w:lang w:val="en-US"/>
        </w:rPr>
        <w:t>Will E. Orukotan,</w:t>
      </w:r>
      <w:r w:rsidRPr="00427671">
        <w:rPr>
          <w:vertAlign w:val="superscript"/>
          <w:lang w:val="en-US"/>
        </w:rPr>
        <w:t>[a</w:t>
      </w:r>
      <w:r w:rsidR="007B2FB9" w:rsidRPr="007B2FB9">
        <w:rPr>
          <w:vertAlign w:val="superscript"/>
          <w:lang w:val="en-US"/>
        </w:rPr>
        <w:t>]</w:t>
      </w:r>
      <w:r w:rsidR="002F3D24">
        <w:rPr>
          <w:vertAlign w:val="superscript"/>
          <w:lang w:val="en-US"/>
        </w:rPr>
        <w:t xml:space="preserve"> </w:t>
      </w:r>
      <w:r w:rsidR="002F3D24">
        <w:rPr>
          <w:lang w:val="en-US"/>
        </w:rPr>
        <w:t>Ben. J. Knapper,</w:t>
      </w:r>
      <w:r w:rsidR="002F3D24" w:rsidRPr="00427671">
        <w:rPr>
          <w:vertAlign w:val="superscript"/>
          <w:lang w:val="en-US"/>
        </w:rPr>
        <w:t>[a</w:t>
      </w:r>
      <w:r w:rsidR="002F3D24" w:rsidRPr="007B2FB9">
        <w:rPr>
          <w:vertAlign w:val="superscript"/>
          <w:lang w:val="en-US"/>
        </w:rPr>
        <w:t>]</w:t>
      </w:r>
      <w:r w:rsidR="002F3D24">
        <w:rPr>
          <w:vertAlign w:val="superscript"/>
          <w:lang w:val="en-US"/>
        </w:rPr>
        <w:t xml:space="preserve">  </w:t>
      </w:r>
      <w:r w:rsidR="00242C59">
        <w:rPr>
          <w:lang w:val="en-US"/>
        </w:rPr>
        <w:t>Daniela Dimitrova,</w:t>
      </w:r>
      <w:r w:rsidR="00242C59" w:rsidRPr="00242C59">
        <w:rPr>
          <w:vertAlign w:val="superscript"/>
          <w:lang w:val="en-US"/>
        </w:rPr>
        <w:t>[b]</w:t>
      </w:r>
      <w:r w:rsidRPr="00242C59">
        <w:rPr>
          <w:vertAlign w:val="superscript"/>
          <w:lang w:val="en-US"/>
        </w:rPr>
        <w:t xml:space="preserve"> </w:t>
      </w:r>
      <w:r w:rsidR="007B2FB9" w:rsidRPr="007B2FB9">
        <w:rPr>
          <w:lang w:val="en-US"/>
        </w:rPr>
        <w:t>and William P. Unsworth*</w:t>
      </w:r>
      <w:r w:rsidR="007B2FB9" w:rsidRPr="007B2FB9">
        <w:rPr>
          <w:vertAlign w:val="superscript"/>
          <w:lang w:val="en-US"/>
        </w:rPr>
        <w:t>[a]</w:t>
      </w:r>
    </w:p>
    <w:p w14:paraId="0EF30463" w14:textId="7A055F32" w:rsidR="00BD6CB4" w:rsidRPr="0065243C" w:rsidRDefault="00BD6CB4" w:rsidP="008017B7">
      <w:pPr>
        <w:pStyle w:val="Adress"/>
        <w:pBdr>
          <w:top w:val="single" w:sz="4" w:space="1" w:color="000000"/>
        </w:pBdr>
        <w:rPr>
          <w:lang w:val="en-GB"/>
        </w:rPr>
      </w:pPr>
      <w:r w:rsidRPr="0065243C">
        <w:rPr>
          <w:lang w:val="en-GB"/>
        </w:rPr>
        <w:t>[a]</w:t>
      </w:r>
      <w:r w:rsidRPr="0065243C">
        <w:rPr>
          <w:lang w:val="en-GB"/>
        </w:rPr>
        <w:tab/>
      </w:r>
      <w:r w:rsidR="00427671">
        <w:rPr>
          <w:lang w:val="en-GB"/>
        </w:rPr>
        <w:t>W. E. Orukotan</w:t>
      </w:r>
      <w:r w:rsidR="00242C59">
        <w:rPr>
          <w:lang w:val="en-GB"/>
        </w:rPr>
        <w:t>, B. J. Knapper</w:t>
      </w:r>
      <w:r w:rsidRPr="0065243C">
        <w:rPr>
          <w:lang w:val="en-GB"/>
        </w:rPr>
        <w:t xml:space="preserve"> and Dr W. P. Unsworth</w:t>
      </w:r>
      <w:r w:rsidRPr="0065243C">
        <w:rPr>
          <w:lang w:val="en-GB"/>
        </w:rPr>
        <w:br/>
        <w:t>Department of Chemistry, University of York</w:t>
      </w:r>
      <w:r w:rsidR="008017B7">
        <w:rPr>
          <w:lang w:val="en-GB"/>
        </w:rPr>
        <w:t xml:space="preserve">, </w:t>
      </w:r>
      <w:r w:rsidRPr="0065243C">
        <w:rPr>
          <w:lang w:val="en-GB"/>
        </w:rPr>
        <w:t>York</w:t>
      </w:r>
      <w:r w:rsidR="008017B7">
        <w:rPr>
          <w:lang w:val="en-GB"/>
        </w:rPr>
        <w:t xml:space="preserve"> (UK), </w:t>
      </w:r>
      <w:r w:rsidRPr="0065243C">
        <w:rPr>
          <w:lang w:val="en-GB"/>
        </w:rPr>
        <w:t>YO10 5DD.</w:t>
      </w:r>
    </w:p>
    <w:p w14:paraId="4C83713F" w14:textId="13CB0C60" w:rsidR="00BD6CB4" w:rsidRDefault="008017B7" w:rsidP="00427671">
      <w:pPr>
        <w:pStyle w:val="Adress"/>
        <w:rPr>
          <w:lang w:val="en-GB"/>
        </w:rPr>
      </w:pPr>
      <w:r w:rsidRPr="008017B7">
        <w:rPr>
          <w:lang w:val="en-GB"/>
        </w:rPr>
        <w:t>[b]</w:t>
      </w:r>
      <w:r w:rsidRPr="008017B7">
        <w:rPr>
          <w:lang w:val="en-GB"/>
        </w:rPr>
        <w:tab/>
      </w:r>
      <w:r w:rsidR="00242C59">
        <w:rPr>
          <w:lang w:val="en-GB"/>
        </w:rPr>
        <w:t>Dr D. Dimitrova</w:t>
      </w:r>
    </w:p>
    <w:p w14:paraId="61130621" w14:textId="22F5CD23" w:rsidR="00242C59" w:rsidRDefault="00242C59" w:rsidP="00427671">
      <w:pPr>
        <w:pStyle w:val="Adress"/>
        <w:rPr>
          <w:lang w:val="en-GB"/>
        </w:rPr>
      </w:pPr>
      <w:r>
        <w:rPr>
          <w:lang w:val="en-GB"/>
        </w:rPr>
        <w:tab/>
      </w:r>
      <w:r w:rsidR="00A878A8">
        <w:rPr>
          <w:lang w:val="en-GB"/>
        </w:rPr>
        <w:t>A</w:t>
      </w:r>
      <w:r w:rsidR="00A878A8" w:rsidRPr="00A878A8">
        <w:rPr>
          <w:lang w:val="en-GB"/>
        </w:rPr>
        <w:t>straZeneca</w:t>
      </w:r>
      <w:r w:rsidR="00A878A8">
        <w:rPr>
          <w:lang w:val="en-GB"/>
        </w:rPr>
        <w:t>,</w:t>
      </w:r>
      <w:r w:rsidR="00A878A8" w:rsidRPr="00A878A8">
        <w:rPr>
          <w:lang w:val="en-GB"/>
        </w:rPr>
        <w:t xml:space="preserve"> 1 Francis Crick Avenue</w:t>
      </w:r>
      <w:r w:rsidR="00A878A8">
        <w:rPr>
          <w:lang w:val="en-GB"/>
        </w:rPr>
        <w:t>,</w:t>
      </w:r>
      <w:r w:rsidR="00A878A8" w:rsidRPr="00A878A8">
        <w:rPr>
          <w:lang w:val="en-GB"/>
        </w:rPr>
        <w:t xml:space="preserve"> Cambridge Biomedical Campus</w:t>
      </w:r>
      <w:r w:rsidR="00A878A8">
        <w:rPr>
          <w:lang w:val="en-GB"/>
        </w:rPr>
        <w:t>,</w:t>
      </w:r>
      <w:r w:rsidR="00A878A8" w:rsidRPr="00A878A8">
        <w:rPr>
          <w:lang w:val="en-GB"/>
        </w:rPr>
        <w:t xml:space="preserve"> Cambridge</w:t>
      </w:r>
      <w:r w:rsidR="00A878A8">
        <w:rPr>
          <w:lang w:val="en-GB"/>
        </w:rPr>
        <w:t xml:space="preserve"> (UK),</w:t>
      </w:r>
      <w:r w:rsidR="00A878A8" w:rsidRPr="00A878A8">
        <w:rPr>
          <w:lang w:val="en-GB"/>
        </w:rPr>
        <w:t xml:space="preserve"> CB2 0AA</w:t>
      </w:r>
      <w:r w:rsidR="00A878A8">
        <w:rPr>
          <w:lang w:val="en-GB"/>
        </w:rPr>
        <w:t>.</w:t>
      </w:r>
    </w:p>
    <w:p w14:paraId="6A98193C" w14:textId="2F3A4511" w:rsidR="00BD6CB4" w:rsidRPr="0065243C" w:rsidRDefault="00BD6CB4" w:rsidP="00BD6CB4">
      <w:pPr>
        <w:pStyle w:val="Adress"/>
        <w:ind w:firstLine="0"/>
        <w:rPr>
          <w:lang w:val="en-GB"/>
        </w:rPr>
      </w:pPr>
      <w:r w:rsidRPr="0065243C">
        <w:rPr>
          <w:lang w:val="en-GB"/>
        </w:rPr>
        <w:t>Supporting information for this article is given via a link at the end of the document</w:t>
      </w:r>
    </w:p>
    <w:p w14:paraId="1BFBFECB" w14:textId="1DB03889" w:rsidR="00BD6CB4" w:rsidRPr="0065243C" w:rsidRDefault="00BD6CB4" w:rsidP="00BD6CB4">
      <w:pPr>
        <w:pStyle w:val="RSCF02FootnotestoTitleAuthors"/>
        <w:rPr>
          <w:rFonts w:ascii="Arial" w:hAnsi="Arial" w:cs="Arial"/>
        </w:rPr>
      </w:pPr>
      <w:r w:rsidRPr="0065243C">
        <w:rPr>
          <w:rFonts w:ascii="Arial" w:hAnsi="Arial" w:cs="Arial"/>
        </w:rPr>
        <w:t xml:space="preserve"> </w:t>
      </w:r>
    </w:p>
    <w:p w14:paraId="7AE638CA" w14:textId="12FBC899" w:rsidR="00BD6CB4" w:rsidRPr="0065243C" w:rsidRDefault="00BD6CB4" w:rsidP="00BD6CB4">
      <w:pPr>
        <w:sectPr w:rsidR="00BD6CB4" w:rsidRPr="0065243C" w:rsidSect="00205632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1134" w:right="936" w:bottom="1134" w:left="936" w:header="1021" w:footer="0" w:gutter="0"/>
          <w:cols w:space="425"/>
          <w:docGrid w:linePitch="360"/>
        </w:sectPr>
      </w:pPr>
    </w:p>
    <w:p w14:paraId="09068323" w14:textId="2D223FCE" w:rsidR="00BD6CB4" w:rsidRPr="0065243C" w:rsidRDefault="00BD6CB4" w:rsidP="00BD6CB4">
      <w:pPr>
        <w:pStyle w:val="Abstract"/>
        <w:rPr>
          <w:lang w:val="en-US"/>
        </w:rPr>
      </w:pPr>
      <w:bookmarkStart w:id="0" w:name="_Hlk9583776"/>
      <w:r w:rsidRPr="0065243C">
        <w:rPr>
          <w:b/>
          <w:lang w:val="en-US"/>
        </w:rPr>
        <w:t>Abstract:</w:t>
      </w:r>
      <w:r w:rsidRPr="0065243C">
        <w:rPr>
          <w:lang w:val="en-US"/>
        </w:rPr>
        <w:t xml:space="preserve"> </w:t>
      </w:r>
      <w:r w:rsidR="001077F7">
        <w:rPr>
          <w:lang w:val="en-US"/>
        </w:rPr>
        <w:t>Sulfur(IV) groups and macrocyc</w:t>
      </w:r>
      <w:r w:rsidR="000A752A">
        <w:rPr>
          <w:lang w:val="en-US"/>
        </w:rPr>
        <w:t>les</w:t>
      </w:r>
      <w:r w:rsidR="001077F7">
        <w:rPr>
          <w:lang w:val="en-US"/>
        </w:rPr>
        <w:t xml:space="preserve"> are both important motifs in bioactive molecules of significant current interest in medicinal chemistry, but methods for the efficient synthesis of macrocyclic sulfur(IV) compounds are rare. In this manuscript, a </w:t>
      </w:r>
      <w:r w:rsidR="00662E0A">
        <w:rPr>
          <w:lang w:val="en-US"/>
        </w:rPr>
        <w:t xml:space="preserve">modular, </w:t>
      </w:r>
      <w:r w:rsidR="00474DF4">
        <w:rPr>
          <w:lang w:val="en-US"/>
        </w:rPr>
        <w:t xml:space="preserve">versatile </w:t>
      </w:r>
      <w:r w:rsidR="001077F7">
        <w:rPr>
          <w:lang w:val="en-US"/>
        </w:rPr>
        <w:t xml:space="preserve">strategy for the synthesis of macrocyclic sulfonamides is described, </w:t>
      </w:r>
      <w:r w:rsidR="000A752A">
        <w:rPr>
          <w:lang w:val="en-US"/>
        </w:rPr>
        <w:t xml:space="preserve">using </w:t>
      </w:r>
      <w:r w:rsidR="00662E0A">
        <w:rPr>
          <w:lang w:val="en-US"/>
        </w:rPr>
        <w:t>consecutive ring expansion reactions</w:t>
      </w:r>
      <w:r w:rsidR="001077F7">
        <w:rPr>
          <w:lang w:val="en-US"/>
        </w:rPr>
        <w:t>.</w:t>
      </w:r>
      <w:r w:rsidR="00474DF4">
        <w:rPr>
          <w:lang w:val="en-US"/>
        </w:rPr>
        <w:t xml:space="preserve"> </w:t>
      </w:r>
      <w:r w:rsidR="00106D80">
        <w:rPr>
          <w:lang w:val="en-US"/>
        </w:rPr>
        <w:t>First, l</w:t>
      </w:r>
      <w:r w:rsidR="00474DF4">
        <w:rPr>
          <w:lang w:val="en-US"/>
        </w:rPr>
        <w:t>inear starting materials are assembled from simple building blocks</w:t>
      </w:r>
      <w:r w:rsidR="000A752A">
        <w:rPr>
          <w:lang w:val="en-US"/>
        </w:rPr>
        <w:t>. This is</w:t>
      </w:r>
      <w:r w:rsidR="00474DF4">
        <w:rPr>
          <w:lang w:val="en-US"/>
        </w:rPr>
        <w:t xml:space="preserve"> followed by two distinct cascade ring expansion </w:t>
      </w:r>
      <w:r w:rsidR="000A752A">
        <w:rPr>
          <w:lang w:val="en-US"/>
        </w:rPr>
        <w:t>reaction</w:t>
      </w:r>
      <w:r w:rsidR="00474DF4">
        <w:rPr>
          <w:lang w:val="en-US"/>
        </w:rPr>
        <w:t xml:space="preserve"> </w:t>
      </w:r>
      <w:r w:rsidR="00106D80">
        <w:rPr>
          <w:lang w:val="en-US"/>
        </w:rPr>
        <w:t xml:space="preserve">steps </w:t>
      </w:r>
      <w:r w:rsidR="00474DF4">
        <w:rPr>
          <w:lang w:val="en-US"/>
        </w:rPr>
        <w:t>performed in sequence</w:t>
      </w:r>
      <w:r w:rsidR="00B27C42">
        <w:rPr>
          <w:lang w:val="en-US"/>
        </w:rPr>
        <w:t xml:space="preserve">. The utility of this </w:t>
      </w:r>
      <w:r w:rsidR="00DE73C6">
        <w:rPr>
          <w:lang w:val="en-US"/>
        </w:rPr>
        <w:t xml:space="preserve">modular </w:t>
      </w:r>
      <w:r w:rsidR="00B27C42">
        <w:rPr>
          <w:lang w:val="en-US"/>
        </w:rPr>
        <w:t xml:space="preserve">approach is showcased via the synthesis of a library of </w:t>
      </w:r>
      <w:r w:rsidR="00816BC2">
        <w:rPr>
          <w:lang w:val="en-US"/>
        </w:rPr>
        <w:t>42</w:t>
      </w:r>
      <w:r w:rsidR="00851F7A">
        <w:rPr>
          <w:lang w:val="en-US"/>
        </w:rPr>
        <w:t xml:space="preserve"> </w:t>
      </w:r>
      <w:r w:rsidR="00B27C42">
        <w:rPr>
          <w:lang w:val="en-US"/>
        </w:rPr>
        <w:t>diversely functionalised 13- and 14-membered macrocyclic sulfonamides</w:t>
      </w:r>
      <w:r w:rsidR="00106D80">
        <w:rPr>
          <w:lang w:val="en-US"/>
        </w:rPr>
        <w:t>.</w:t>
      </w:r>
      <w:r w:rsidR="00B27C42">
        <w:rPr>
          <w:lang w:val="en-US"/>
        </w:rPr>
        <w:t xml:space="preserve"> </w:t>
      </w:r>
      <w:r w:rsidR="00106D80">
        <w:rPr>
          <w:lang w:val="en-US"/>
        </w:rPr>
        <w:t>T</w:t>
      </w:r>
      <w:r w:rsidR="006420B5">
        <w:rPr>
          <w:lang w:val="en-US"/>
        </w:rPr>
        <w:t>he use of consecutive ring expansion</w:t>
      </w:r>
      <w:r w:rsidR="00106D80">
        <w:rPr>
          <w:lang w:val="en-US"/>
        </w:rPr>
        <w:t>s is key to the success of the protocol, ensuring the products are formed in overall good yields without requiring high-dilution conditions</w:t>
      </w:r>
      <w:r w:rsidR="006420B5">
        <w:rPr>
          <w:lang w:val="en-US"/>
        </w:rPr>
        <w:t xml:space="preserve">. </w:t>
      </w:r>
    </w:p>
    <w:p w14:paraId="59E17EB3" w14:textId="77777777" w:rsidR="00BD6CB4" w:rsidRPr="0065243C" w:rsidRDefault="00BD6CB4" w:rsidP="00BD6CB4">
      <w:pPr>
        <w:pStyle w:val="P1"/>
        <w:spacing w:before="460" w:after="230" w:line="220" w:lineRule="atLeast"/>
        <w:rPr>
          <w:b/>
          <w:sz w:val="22"/>
          <w:szCs w:val="22"/>
        </w:rPr>
      </w:pPr>
      <w:r w:rsidRPr="0065243C">
        <w:rPr>
          <w:b/>
          <w:sz w:val="22"/>
          <w:szCs w:val="22"/>
        </w:rPr>
        <w:t>Introduction</w:t>
      </w:r>
    </w:p>
    <w:p w14:paraId="096C036B" w14:textId="29F15131" w:rsidR="001B598D" w:rsidRDefault="0093307A" w:rsidP="001B598D">
      <w:pPr>
        <w:pStyle w:val="P1withIndendation"/>
        <w:spacing w:after="0"/>
        <w:ind w:firstLine="0"/>
        <w:rPr>
          <w:vertAlign w:val="superscript"/>
        </w:rPr>
      </w:pPr>
      <w:r>
        <w:t xml:space="preserve">Sulfur(IV) motifs are found widely in bioactive small molecules and are of much current interest in </w:t>
      </w:r>
      <w:r w:rsidR="00224C3B">
        <w:t>pharmaceutical research and development</w:t>
      </w:r>
      <w:r>
        <w:t>.</w:t>
      </w:r>
      <w:r w:rsidRPr="0093307A">
        <w:rPr>
          <w:vertAlign w:val="superscript"/>
        </w:rPr>
        <w:t xml:space="preserve">[1] </w:t>
      </w:r>
      <w:r w:rsidR="00224C3B">
        <w:t>A</w:t>
      </w:r>
      <w:r w:rsidRPr="002B4307">
        <w:t xml:space="preserve">mongst </w:t>
      </w:r>
      <w:r w:rsidR="00224C3B">
        <w:t xml:space="preserve">these, sulfonamides are </w:t>
      </w:r>
      <w:r w:rsidR="000313E3">
        <w:t>one of</w:t>
      </w:r>
      <w:r w:rsidR="00224C3B">
        <w:t xml:space="preserve"> </w:t>
      </w:r>
      <w:r w:rsidRPr="002B4307">
        <w:t xml:space="preserve">the most </w:t>
      </w:r>
      <w:r w:rsidR="00224C3B">
        <w:t xml:space="preserve">medicinally </w:t>
      </w:r>
      <w:r w:rsidRPr="002B4307">
        <w:t>important</w:t>
      </w:r>
      <w:r w:rsidR="00224C3B">
        <w:t>,</w:t>
      </w:r>
      <w:r w:rsidRPr="002B4307">
        <w:t xml:space="preserve"> being widely </w:t>
      </w:r>
      <w:r w:rsidR="00224C3B">
        <w:t>found</w:t>
      </w:r>
      <w:r w:rsidRPr="002B4307">
        <w:t xml:space="preserve"> </w:t>
      </w:r>
      <w:r w:rsidR="00B66652">
        <w:t xml:space="preserve">in </w:t>
      </w:r>
      <w:r w:rsidRPr="002B4307">
        <w:t>FDA approved drugs with broad biological activity.</w:t>
      </w:r>
      <w:r w:rsidRPr="002B4307">
        <w:rPr>
          <w:vertAlign w:val="superscript"/>
        </w:rPr>
        <w:t xml:space="preserve">[2] </w:t>
      </w:r>
      <w:r w:rsidRPr="002B4307">
        <w:t xml:space="preserve">Cyclic sulfonamides </w:t>
      </w:r>
      <w:r w:rsidR="00224C3B">
        <w:t xml:space="preserve">(also </w:t>
      </w:r>
      <w:r w:rsidRPr="002B4307">
        <w:t>known as sultams</w:t>
      </w:r>
      <w:r w:rsidR="00224C3B">
        <w:t>)</w:t>
      </w:r>
      <w:r w:rsidRPr="002B4307">
        <w:t xml:space="preserve"> are </w:t>
      </w:r>
      <w:r w:rsidR="001E5A42">
        <w:t xml:space="preserve">very </w:t>
      </w:r>
      <w:r w:rsidR="00224C3B">
        <w:t xml:space="preserve">well represented </w:t>
      </w:r>
      <w:r w:rsidR="001E5A42">
        <w:t xml:space="preserve">within this class, being present </w:t>
      </w:r>
      <w:r w:rsidRPr="002B4307">
        <w:t xml:space="preserve">in </w:t>
      </w:r>
      <w:r w:rsidR="001E5A42">
        <w:t xml:space="preserve">several </w:t>
      </w:r>
      <w:r w:rsidRPr="002B4307">
        <w:t>drugs and bioactive compounds</w:t>
      </w:r>
      <w:r w:rsidR="008A24B4">
        <w:t>.</w:t>
      </w:r>
      <w:r w:rsidRPr="002B4307">
        <w:rPr>
          <w:vertAlign w:val="superscript"/>
        </w:rPr>
        <w:t>[3]</w:t>
      </w:r>
    </w:p>
    <w:p w14:paraId="3B584E08" w14:textId="40CA4E32" w:rsidR="00DD5D43" w:rsidRDefault="00DD5D43" w:rsidP="001B598D">
      <w:pPr>
        <w:pStyle w:val="P1withIndendation"/>
        <w:spacing w:after="0"/>
        <w:ind w:firstLine="425"/>
      </w:pPr>
      <w:r>
        <w:t>Macrocycles (12+ membered rings)</w:t>
      </w:r>
      <w:r w:rsidRPr="00DD5D43">
        <w:rPr>
          <w:vertAlign w:val="superscript"/>
        </w:rPr>
        <w:t>[</w:t>
      </w:r>
      <w:r w:rsidR="00497218">
        <w:rPr>
          <w:vertAlign w:val="superscript"/>
        </w:rPr>
        <w:t>4</w:t>
      </w:r>
      <w:r w:rsidRPr="00DD5D43">
        <w:rPr>
          <w:vertAlign w:val="superscript"/>
        </w:rPr>
        <w:t xml:space="preserve">] </w:t>
      </w:r>
      <w:r>
        <w:t>and medium-sized rings</w:t>
      </w:r>
      <w:r w:rsidRPr="00DD5D43">
        <w:rPr>
          <w:vertAlign w:val="superscript"/>
        </w:rPr>
        <w:t>[</w:t>
      </w:r>
      <w:r w:rsidR="00497218">
        <w:rPr>
          <w:vertAlign w:val="superscript"/>
        </w:rPr>
        <w:t>5</w:t>
      </w:r>
      <w:r w:rsidRPr="00DD5D43">
        <w:rPr>
          <w:vertAlign w:val="superscript"/>
        </w:rPr>
        <w:t xml:space="preserve">] </w:t>
      </w:r>
      <w:r>
        <w:t>(8–11-membered) are also of significant interest in medicinal chemistry</w:t>
      </w:r>
      <w:r w:rsidR="00497218">
        <w:t>, with proven efficacy to address challenging biological targets (</w:t>
      </w:r>
      <w:r w:rsidR="00497218">
        <w:rPr>
          <w:i/>
          <w:iCs/>
        </w:rPr>
        <w:t xml:space="preserve">e.g. </w:t>
      </w:r>
      <w:r w:rsidR="00497218">
        <w:t>protein-protein interaction inhibition).</w:t>
      </w:r>
      <w:r w:rsidR="00497218" w:rsidRPr="00497218">
        <w:rPr>
          <w:vertAlign w:val="superscript"/>
        </w:rPr>
        <w:t>[6]</w:t>
      </w:r>
      <w:r w:rsidR="001B598D">
        <w:rPr>
          <w:vertAlign w:val="superscript"/>
        </w:rPr>
        <w:t xml:space="preserve"> </w:t>
      </w:r>
      <w:r w:rsidR="000313E3">
        <w:t>Despite this</w:t>
      </w:r>
      <w:r w:rsidR="001B598D">
        <w:t>, the medicinal properties of</w:t>
      </w:r>
      <w:r w:rsidR="00497218" w:rsidRPr="00497218">
        <w:t xml:space="preserve"> l</w:t>
      </w:r>
      <w:r w:rsidR="00497218">
        <w:t xml:space="preserve">arger ring scaffolds </w:t>
      </w:r>
      <w:r w:rsidR="000313E3">
        <w:t>have been far</w:t>
      </w:r>
      <w:r w:rsidR="00497218">
        <w:t xml:space="preserve"> less well explored</w:t>
      </w:r>
      <w:r w:rsidR="001B598D">
        <w:t xml:space="preserve"> than </w:t>
      </w:r>
      <w:r w:rsidR="00497218">
        <w:t>ubiquitous 5–7-membered ring compounds</w:t>
      </w:r>
      <w:r w:rsidR="001B598D">
        <w:t>.</w:t>
      </w:r>
      <w:r w:rsidR="00497218">
        <w:t xml:space="preserve"> </w:t>
      </w:r>
      <w:r w:rsidR="00A5615F">
        <w:t>M</w:t>
      </w:r>
      <w:r w:rsidR="000313E3">
        <w:t>acrocyclic</w:t>
      </w:r>
      <w:r w:rsidR="00E64C66">
        <w:t xml:space="preserve"> </w:t>
      </w:r>
      <w:r w:rsidR="000313E3">
        <w:t>and medium-sized ring</w:t>
      </w:r>
      <w:r w:rsidR="001B598D">
        <w:t xml:space="preserve"> sulfonamides</w:t>
      </w:r>
      <w:r w:rsidR="00A5615F">
        <w:t xml:space="preserve"> are no different</w:t>
      </w:r>
      <w:r w:rsidR="001B598D">
        <w:t>,</w:t>
      </w:r>
      <w:r w:rsidR="001B598D" w:rsidRPr="001B598D">
        <w:t xml:space="preserve"> </w:t>
      </w:r>
      <w:r w:rsidR="001B598D">
        <w:t>with studies focused on the</w:t>
      </w:r>
      <w:r w:rsidR="000313E3">
        <w:t>ir</w:t>
      </w:r>
      <w:r w:rsidR="001B598D">
        <w:t xml:space="preserve"> preparation and/or bioassay rare.</w:t>
      </w:r>
      <w:r w:rsidR="00E64C66" w:rsidRPr="001B598D">
        <w:rPr>
          <w:vertAlign w:val="superscript"/>
        </w:rPr>
        <w:t>[7]</w:t>
      </w:r>
    </w:p>
    <w:p w14:paraId="6EDFFDEE" w14:textId="00983ECA" w:rsidR="00E506DE" w:rsidRDefault="001B598D" w:rsidP="00414A78">
      <w:pPr>
        <w:pStyle w:val="P1withIndendation"/>
        <w:spacing w:after="0"/>
        <w:ind w:firstLine="425"/>
      </w:pPr>
      <w:r>
        <w:t xml:space="preserve">This </w:t>
      </w:r>
      <w:r w:rsidR="00414A78">
        <w:t>manuscript</w:t>
      </w:r>
      <w:r>
        <w:t xml:space="preserve"> is focused on the development of a modular strategy for the assembly of macrocyclic sulfonamides, </w:t>
      </w:r>
      <w:r w:rsidR="007223FD">
        <w:t xml:space="preserve">based on the sequential application of </w:t>
      </w:r>
      <w:r w:rsidR="00F930C1">
        <w:t xml:space="preserve">novel variants of </w:t>
      </w:r>
      <w:r w:rsidR="007223FD">
        <w:t xml:space="preserve">two </w:t>
      </w:r>
      <w:r w:rsidR="00D76274">
        <w:t xml:space="preserve">distinct </w:t>
      </w:r>
      <w:r w:rsidR="007223FD">
        <w:t>cascade ring expansion methods</w:t>
      </w:r>
      <w:r w:rsidR="00A5615F">
        <w:t xml:space="preserve"> </w:t>
      </w:r>
      <w:r w:rsidR="007223FD">
        <w:t>developed in our laboratory.</w:t>
      </w:r>
      <w:r w:rsidR="00A5615F" w:rsidRPr="00A5615F">
        <w:rPr>
          <w:vertAlign w:val="superscript"/>
        </w:rPr>
        <w:t xml:space="preserve"> </w:t>
      </w:r>
      <w:r w:rsidR="00A5615F" w:rsidRPr="007223FD">
        <w:rPr>
          <w:vertAlign w:val="superscript"/>
        </w:rPr>
        <w:t>[9</w:t>
      </w:r>
      <w:r w:rsidR="00A5615F">
        <w:rPr>
          <w:vertAlign w:val="superscript"/>
        </w:rPr>
        <w:t>-12</w:t>
      </w:r>
      <w:r w:rsidR="00A5615F" w:rsidRPr="007223FD">
        <w:rPr>
          <w:vertAlign w:val="superscript"/>
        </w:rPr>
        <w:t>]</w:t>
      </w:r>
      <w:r w:rsidR="00A5615F">
        <w:t xml:space="preserve"> </w:t>
      </w:r>
      <w:r w:rsidR="007223FD">
        <w:t xml:space="preserve"> </w:t>
      </w:r>
      <w:r w:rsidR="00F930C1">
        <w:t xml:space="preserve">The first </w:t>
      </w:r>
      <w:r w:rsidR="00E506DE">
        <w:t>is the</w:t>
      </w:r>
      <w:r w:rsidR="00F930C1">
        <w:t xml:space="preserve"> cyclisation/ring expansion cascade summarised in Scheme 1A (cascade 1).</w:t>
      </w:r>
      <w:r w:rsidR="00F930C1" w:rsidRPr="00F930C1">
        <w:rPr>
          <w:vertAlign w:val="superscript"/>
        </w:rPr>
        <w:t xml:space="preserve">[13] </w:t>
      </w:r>
      <w:r w:rsidR="00F930C1">
        <w:t xml:space="preserve">This </w:t>
      </w:r>
      <w:r w:rsidR="00D76274">
        <w:t xml:space="preserve">cascade </w:t>
      </w:r>
      <w:r w:rsidR="00F930C1">
        <w:t xml:space="preserve">ring expansion approach allows for the </w:t>
      </w:r>
      <w:r w:rsidR="0010453B">
        <w:t xml:space="preserve">conversion of linear carboxylic acid derivatives </w:t>
      </w:r>
      <w:r w:rsidR="0010453B">
        <w:rPr>
          <w:b/>
          <w:bCs/>
        </w:rPr>
        <w:t>1</w:t>
      </w:r>
      <w:r w:rsidR="00414A78">
        <w:rPr>
          <w:b/>
          <w:bCs/>
        </w:rPr>
        <w:t>a</w:t>
      </w:r>
      <w:r w:rsidR="0010453B">
        <w:rPr>
          <w:b/>
          <w:bCs/>
        </w:rPr>
        <w:t xml:space="preserve"> </w:t>
      </w:r>
      <w:r w:rsidR="0010453B">
        <w:t>into medium-sized rings</w:t>
      </w:r>
      <w:r w:rsidR="00E506DE">
        <w:rPr>
          <w:b/>
          <w:bCs/>
        </w:rPr>
        <w:t xml:space="preserve"> 2</w:t>
      </w:r>
      <w:r w:rsidR="0010453B">
        <w:t xml:space="preserve"> via an</w:t>
      </w:r>
      <w:r w:rsidR="00A5615F">
        <w:t xml:space="preserve"> </w:t>
      </w:r>
      <w:r w:rsidR="0010453B">
        <w:t>overall end-to-end cyclisation,</w:t>
      </w:r>
      <w:r w:rsidR="00F930C1" w:rsidRPr="00F930C1">
        <w:t xml:space="preserve"> </w:t>
      </w:r>
      <w:r w:rsidR="0010453B">
        <w:t xml:space="preserve">without </w:t>
      </w:r>
      <w:r w:rsidR="00F930C1" w:rsidRPr="00F930C1">
        <w:rPr>
          <w:rFonts w:hint="eastAsia"/>
        </w:rPr>
        <w:t>requir</w:t>
      </w:r>
      <w:r w:rsidR="0010453B">
        <w:t>ing</w:t>
      </w:r>
      <w:r w:rsidR="00F930C1" w:rsidRPr="00F930C1">
        <w:rPr>
          <w:rFonts w:hint="eastAsia"/>
        </w:rPr>
        <w:t xml:space="preserve"> high-dilution reaction conditions.</w:t>
      </w:r>
      <w:r w:rsidR="0010453B" w:rsidRPr="0010453B">
        <w:rPr>
          <w:vertAlign w:val="superscript"/>
        </w:rPr>
        <w:t>[14]</w:t>
      </w:r>
      <w:r w:rsidR="00F930C1" w:rsidRPr="0010453B">
        <w:rPr>
          <w:rFonts w:hint="eastAsia"/>
          <w:vertAlign w:val="superscript"/>
        </w:rPr>
        <w:t xml:space="preserve"> </w:t>
      </w:r>
      <w:r w:rsidR="00414A78">
        <w:t>S</w:t>
      </w:r>
      <w:r w:rsidR="00F930C1" w:rsidRPr="00F930C1">
        <w:rPr>
          <w:rFonts w:hint="eastAsia"/>
        </w:rPr>
        <w:t xml:space="preserve">plitting </w:t>
      </w:r>
      <w:r w:rsidR="00E506DE">
        <w:t>an</w:t>
      </w:r>
      <w:r w:rsidR="00414A78">
        <w:t xml:space="preserve"> </w:t>
      </w:r>
      <w:r w:rsidR="00F930C1" w:rsidRPr="00F930C1">
        <w:rPr>
          <w:rFonts w:hint="eastAsia"/>
        </w:rPr>
        <w:t xml:space="preserve">inefficient end-to-end cyclisation into two more kinetically favourable </w:t>
      </w:r>
      <w:r w:rsidR="00E506DE">
        <w:t>normal-sized ring cyclisation steps</w:t>
      </w:r>
      <w:r w:rsidR="00414A78">
        <w:t xml:space="preserve"> is key to </w:t>
      </w:r>
      <w:r w:rsidR="00E506DE">
        <w:t xml:space="preserve">the success of </w:t>
      </w:r>
      <w:r w:rsidR="00414A78">
        <w:t>this approach</w:t>
      </w:r>
      <w:r w:rsidR="00E506DE">
        <w:t>,</w:t>
      </w:r>
      <w:r w:rsidR="00F930C1" w:rsidRPr="00F930C1">
        <w:rPr>
          <w:rFonts w:hint="eastAsia"/>
        </w:rPr>
        <w:t xml:space="preserve"> </w:t>
      </w:r>
      <w:r w:rsidR="00D76274">
        <w:t>enabl</w:t>
      </w:r>
      <w:r w:rsidR="00E506DE">
        <w:t>ing</w:t>
      </w:r>
      <w:r w:rsidR="00F930C1" w:rsidRPr="00F930C1">
        <w:rPr>
          <w:rFonts w:hint="eastAsia"/>
        </w:rPr>
        <w:t xml:space="preserve"> </w:t>
      </w:r>
      <w:r w:rsidR="00414A78">
        <w:t xml:space="preserve">a cascade of carboxylic acid activation </w:t>
      </w:r>
      <w:r w:rsidR="00414A78" w:rsidRPr="00F930C1">
        <w:rPr>
          <w:rFonts w:hint="eastAsia"/>
        </w:rPr>
        <w:t>(</w:t>
      </w:r>
      <w:r w:rsidR="00414A78" w:rsidRPr="00414A78">
        <w:rPr>
          <w:b/>
          <w:bCs/>
        </w:rPr>
        <w:t>1a</w:t>
      </w:r>
      <w:r w:rsidR="00414A78" w:rsidRPr="00F930C1">
        <w:rPr>
          <w:rFonts w:hint="eastAsia"/>
        </w:rPr>
        <w:t xml:space="preserve"> </w:t>
      </w:r>
      <w:r w:rsidR="00414A78" w:rsidRPr="00F930C1">
        <w:rPr>
          <w:rFonts w:hint="eastAsia"/>
        </w:rPr>
        <w:t>→</w:t>
      </w:r>
      <w:r w:rsidR="00414A78" w:rsidRPr="00F930C1">
        <w:rPr>
          <w:rFonts w:hint="eastAsia"/>
        </w:rPr>
        <w:t xml:space="preserve"> </w:t>
      </w:r>
      <w:r w:rsidR="00414A78" w:rsidRPr="00414A78">
        <w:rPr>
          <w:b/>
          <w:bCs/>
        </w:rPr>
        <w:t>1b</w:t>
      </w:r>
      <w:r w:rsidR="00414A78" w:rsidRPr="00F930C1">
        <w:rPr>
          <w:rFonts w:hint="eastAsia"/>
        </w:rPr>
        <w:t>)</w:t>
      </w:r>
      <w:r w:rsidR="00414A78">
        <w:t xml:space="preserve">, </w:t>
      </w:r>
      <w:r w:rsidR="00F930C1" w:rsidRPr="00F930C1">
        <w:rPr>
          <w:rFonts w:hint="eastAsia"/>
        </w:rPr>
        <w:t>cyclisation (</w:t>
      </w:r>
      <w:r w:rsidR="00414A78" w:rsidRPr="00414A78">
        <w:rPr>
          <w:b/>
          <w:bCs/>
        </w:rPr>
        <w:t>1b</w:t>
      </w:r>
      <w:r w:rsidR="00F930C1" w:rsidRPr="00F930C1">
        <w:rPr>
          <w:rFonts w:hint="eastAsia"/>
        </w:rPr>
        <w:t xml:space="preserve"> </w:t>
      </w:r>
      <w:r w:rsidR="00F930C1" w:rsidRPr="00F930C1">
        <w:rPr>
          <w:rFonts w:hint="eastAsia"/>
        </w:rPr>
        <w:t>→</w:t>
      </w:r>
      <w:r w:rsidR="00F930C1" w:rsidRPr="00F930C1">
        <w:rPr>
          <w:rFonts w:hint="eastAsia"/>
        </w:rPr>
        <w:t xml:space="preserve"> </w:t>
      </w:r>
      <w:r w:rsidR="00414A78" w:rsidRPr="00414A78">
        <w:rPr>
          <w:b/>
          <w:bCs/>
        </w:rPr>
        <w:t>1c</w:t>
      </w:r>
      <w:r w:rsidR="00F930C1" w:rsidRPr="00F930C1">
        <w:rPr>
          <w:rFonts w:hint="eastAsia"/>
        </w:rPr>
        <w:t>) and ring expansion (</w:t>
      </w:r>
      <w:r w:rsidR="00414A78" w:rsidRPr="00414A78">
        <w:rPr>
          <w:b/>
          <w:bCs/>
        </w:rPr>
        <w:t>1</w:t>
      </w:r>
      <w:r w:rsidR="00F930C1" w:rsidRPr="00414A78">
        <w:rPr>
          <w:rFonts w:hint="eastAsia"/>
          <w:b/>
          <w:bCs/>
        </w:rPr>
        <w:t>c</w:t>
      </w:r>
      <w:r w:rsidR="00F930C1" w:rsidRPr="00F930C1">
        <w:rPr>
          <w:rFonts w:hint="eastAsia"/>
        </w:rPr>
        <w:t xml:space="preserve"> </w:t>
      </w:r>
      <w:r w:rsidR="00F930C1" w:rsidRPr="00F930C1">
        <w:rPr>
          <w:rFonts w:hint="eastAsia"/>
        </w:rPr>
        <w:t>→</w:t>
      </w:r>
      <w:r w:rsidR="00F930C1" w:rsidRPr="00F930C1">
        <w:rPr>
          <w:rFonts w:hint="eastAsia"/>
        </w:rPr>
        <w:t xml:space="preserve"> </w:t>
      </w:r>
      <w:r w:rsidR="00414A78" w:rsidRPr="00414A78">
        <w:rPr>
          <w:b/>
          <w:bCs/>
        </w:rPr>
        <w:t>2</w:t>
      </w:r>
      <w:r w:rsidR="00F930C1" w:rsidRPr="00F930C1">
        <w:rPr>
          <w:rFonts w:hint="eastAsia"/>
        </w:rPr>
        <w:t xml:space="preserve">) </w:t>
      </w:r>
      <w:r w:rsidR="00D76274">
        <w:t>to form</w:t>
      </w:r>
      <w:r w:rsidR="00F930C1" w:rsidRPr="00F930C1">
        <w:rPr>
          <w:rFonts w:hint="eastAsia"/>
        </w:rPr>
        <w:t xml:space="preserve"> medium-sized lactones and lactams. </w:t>
      </w:r>
      <w:r w:rsidR="00D76274">
        <w:t xml:space="preserve">The second cascade ring expansion strategy </w:t>
      </w:r>
      <w:r w:rsidR="00A5615F">
        <w:t>used</w:t>
      </w:r>
      <w:r w:rsidR="00D76274">
        <w:t xml:space="preserve"> is </w:t>
      </w:r>
      <w:r w:rsidR="00E506DE">
        <w:t>our</w:t>
      </w:r>
      <w:r w:rsidR="00D76274">
        <w:t xml:space="preserve"> conjugate </w:t>
      </w:r>
      <w:r w:rsidR="00D76274">
        <w:t>addition/ring expansion</w:t>
      </w:r>
      <w:r w:rsidR="00D76274" w:rsidRPr="00D76274">
        <w:rPr>
          <w:vertAlign w:val="superscript"/>
        </w:rPr>
        <w:t>[15]</w:t>
      </w:r>
      <w:r w:rsidR="00D76274">
        <w:t xml:space="preserve"> method (cascade 2</w:t>
      </w:r>
      <w:r w:rsidR="00E506DE">
        <w:t xml:space="preserve">, </w:t>
      </w:r>
      <w:r w:rsidR="00D76274">
        <w:t>Scheme 1A</w:t>
      </w:r>
      <w:r w:rsidR="00E506DE">
        <w:t>)</w:t>
      </w:r>
      <w:r w:rsidR="00D76274">
        <w:t xml:space="preserve">. Of most relevance to this study, </w:t>
      </w:r>
      <w:r w:rsidR="00E506DE">
        <w:t>we have shown that cyclic vinyl sulfonamides</w:t>
      </w:r>
      <w:r w:rsidR="00D76274">
        <w:t xml:space="preserve"> </w:t>
      </w:r>
      <w:r w:rsidR="00E506DE">
        <w:rPr>
          <w:b/>
          <w:bCs/>
        </w:rPr>
        <w:t xml:space="preserve">3 </w:t>
      </w:r>
      <w:r w:rsidR="00E506DE" w:rsidRPr="00E506DE">
        <w:t>react with primary amines</w:t>
      </w:r>
      <w:r w:rsidR="00E506DE">
        <w:rPr>
          <w:b/>
          <w:bCs/>
        </w:rPr>
        <w:t xml:space="preserve"> </w:t>
      </w:r>
      <w:r w:rsidR="00E506DE">
        <w:t xml:space="preserve">to undergo a conjugate addition </w:t>
      </w:r>
      <w:r w:rsidR="00E506DE" w:rsidRPr="00F930C1">
        <w:rPr>
          <w:rFonts w:hint="eastAsia"/>
        </w:rPr>
        <w:t>(</w:t>
      </w:r>
      <w:r w:rsidR="00E506DE">
        <w:rPr>
          <w:b/>
          <w:bCs/>
        </w:rPr>
        <w:t>3</w:t>
      </w:r>
      <w:r w:rsidR="00E506DE" w:rsidRPr="00F930C1">
        <w:rPr>
          <w:rFonts w:hint="eastAsia"/>
        </w:rPr>
        <w:t xml:space="preserve"> </w:t>
      </w:r>
      <w:r w:rsidR="00E506DE" w:rsidRPr="00F930C1">
        <w:rPr>
          <w:rFonts w:hint="eastAsia"/>
        </w:rPr>
        <w:t>→</w:t>
      </w:r>
      <w:r w:rsidR="00E506DE" w:rsidRPr="00F930C1">
        <w:rPr>
          <w:rFonts w:hint="eastAsia"/>
        </w:rPr>
        <w:t xml:space="preserve"> </w:t>
      </w:r>
      <w:r w:rsidR="00E506DE">
        <w:rPr>
          <w:b/>
          <w:bCs/>
        </w:rPr>
        <w:t>4a</w:t>
      </w:r>
      <w:r w:rsidR="00E506DE" w:rsidRPr="00F930C1">
        <w:rPr>
          <w:rFonts w:hint="eastAsia"/>
        </w:rPr>
        <w:t>)</w:t>
      </w:r>
      <w:r w:rsidR="00E506DE">
        <w:t xml:space="preserve">, ring expansion </w:t>
      </w:r>
      <w:r w:rsidR="00E506DE" w:rsidRPr="00F930C1">
        <w:rPr>
          <w:rFonts w:hint="eastAsia"/>
        </w:rPr>
        <w:t>(</w:t>
      </w:r>
      <w:r w:rsidR="00E506DE">
        <w:rPr>
          <w:b/>
          <w:bCs/>
        </w:rPr>
        <w:t>4</w:t>
      </w:r>
      <w:r w:rsidR="00E506DE" w:rsidRPr="00414A78">
        <w:rPr>
          <w:b/>
          <w:bCs/>
        </w:rPr>
        <w:t>a</w:t>
      </w:r>
      <w:r w:rsidR="00E506DE" w:rsidRPr="00F930C1">
        <w:rPr>
          <w:rFonts w:hint="eastAsia"/>
        </w:rPr>
        <w:t xml:space="preserve"> </w:t>
      </w:r>
      <w:r w:rsidR="00E506DE" w:rsidRPr="00F930C1">
        <w:rPr>
          <w:rFonts w:hint="eastAsia"/>
        </w:rPr>
        <w:t>→</w:t>
      </w:r>
      <w:r w:rsidR="00E506DE" w:rsidRPr="00F930C1">
        <w:rPr>
          <w:rFonts w:hint="eastAsia"/>
        </w:rPr>
        <w:t xml:space="preserve"> </w:t>
      </w:r>
      <w:r w:rsidR="00E506DE">
        <w:rPr>
          <w:b/>
          <w:bCs/>
        </w:rPr>
        <w:t>4</w:t>
      </w:r>
      <w:r w:rsidR="00E506DE" w:rsidRPr="00414A78">
        <w:rPr>
          <w:b/>
          <w:bCs/>
        </w:rPr>
        <w:t>b</w:t>
      </w:r>
      <w:r w:rsidR="00E506DE" w:rsidRPr="00F930C1">
        <w:rPr>
          <w:rFonts w:hint="eastAsia"/>
        </w:rPr>
        <w:t>)</w:t>
      </w:r>
      <w:r w:rsidR="00E506DE">
        <w:t xml:space="preserve"> to form medium-sized cyclic sulfonamides via a high yielding one-pot cascade.</w:t>
      </w:r>
      <w:r w:rsidR="00E506DE" w:rsidRPr="00E506DE">
        <w:rPr>
          <w:vertAlign w:val="superscript"/>
        </w:rPr>
        <w:t>[15b]</w:t>
      </w:r>
    </w:p>
    <w:p w14:paraId="4BD779C8" w14:textId="3D0EDF7F" w:rsidR="001B598D" w:rsidRPr="001B598D" w:rsidRDefault="00E506DE" w:rsidP="000E6B55">
      <w:pPr>
        <w:pStyle w:val="P1withIndendation"/>
        <w:spacing w:after="0"/>
        <w:ind w:firstLine="425"/>
        <w:rPr>
          <w:vertAlign w:val="superscript"/>
        </w:rPr>
      </w:pPr>
      <w:r w:rsidRPr="00E506DE">
        <w:t xml:space="preserve"> </w:t>
      </w:r>
    </w:p>
    <w:p w14:paraId="37B9BBEF" w14:textId="328FA514" w:rsidR="00BD6CB4" w:rsidRPr="0065243C" w:rsidRDefault="003E40F4" w:rsidP="00BD6CB4">
      <w:r>
        <w:object w:dxaOrig="7226" w:dyaOrig="10156" w14:anchorId="51840C90">
          <v:shape id="_x0000_i1026" type="#_x0000_t75" style="width:239.9pt;height:337.2pt" o:ole="">
            <v:imagedata r:id="rId12" o:title=""/>
          </v:shape>
          <o:OLEObject Type="Embed" ProgID="ChemDraw.Document.6.0" ShapeID="_x0000_i1026" DrawAspect="Content" ObjectID="_1819789374" r:id="rId13"/>
        </w:object>
      </w:r>
    </w:p>
    <w:p w14:paraId="6B6B8C53" w14:textId="3A368F42" w:rsidR="00BD6CB4" w:rsidRPr="0065243C" w:rsidRDefault="00BD6CB4" w:rsidP="00BD6CB4">
      <w:pPr>
        <w:pStyle w:val="SchemeCaption"/>
      </w:pPr>
      <w:r w:rsidRPr="00C36ED6">
        <w:rPr>
          <w:b/>
          <w:bCs/>
        </w:rPr>
        <w:t>Scheme 1.</w:t>
      </w:r>
      <w:r w:rsidR="000313E3">
        <w:t xml:space="preserve"> </w:t>
      </w:r>
      <w:r w:rsidR="000313E3" w:rsidRPr="000313E3">
        <w:t xml:space="preserve">Modular assembly </w:t>
      </w:r>
      <w:r w:rsidR="000313E3">
        <w:t xml:space="preserve">of </w:t>
      </w:r>
      <w:r w:rsidR="000313E3" w:rsidRPr="000313E3">
        <w:t>macrocyclic sulfonamides via consecutive cascade ring expansion reactions</w:t>
      </w:r>
      <w:r w:rsidR="000313E3">
        <w:t>.</w:t>
      </w:r>
    </w:p>
    <w:p w14:paraId="655FA26E" w14:textId="6A0F6369" w:rsidR="00851F7A" w:rsidRDefault="000E6B55" w:rsidP="000E6B55">
      <w:pPr>
        <w:pStyle w:val="P1withIndendation"/>
        <w:spacing w:after="0"/>
        <w:ind w:firstLine="0"/>
      </w:pPr>
      <w:r>
        <w:t xml:space="preserve">This manuscript is focused </w:t>
      </w:r>
      <w:r w:rsidR="00B66652">
        <w:t xml:space="preserve">on </w:t>
      </w:r>
      <w:r w:rsidR="00A85E75">
        <w:t>combining</w:t>
      </w:r>
      <w:r>
        <w:t xml:space="preserve"> novel variants of both cascade ring expansion methods into a general, modular approach for the synthesis of macrocyclic sulfonamides</w:t>
      </w:r>
      <w:r w:rsidR="00106D80">
        <w:t xml:space="preserve"> (Scheme 1</w:t>
      </w:r>
      <w:r w:rsidR="00353F01">
        <w:t>B</w:t>
      </w:r>
      <w:r w:rsidR="00106D80">
        <w:t>)</w:t>
      </w:r>
      <w:r>
        <w:t xml:space="preserve">. Key to this </w:t>
      </w:r>
      <w:r w:rsidR="00106D80">
        <w:t>idea</w:t>
      </w:r>
      <w:r>
        <w:t xml:space="preserve"> is the use of linear substrates of the form </w:t>
      </w:r>
      <w:r w:rsidR="00353F01">
        <w:rPr>
          <w:b/>
          <w:bCs/>
        </w:rPr>
        <w:t>6</w:t>
      </w:r>
      <w:r>
        <w:t>, which contain a carboxylic acid group (highlighted in pink)</w:t>
      </w:r>
      <w:r w:rsidR="00353F01">
        <w:t>,</w:t>
      </w:r>
      <w:r>
        <w:t xml:space="preserve"> an internal nucleophilic </w:t>
      </w:r>
      <w:r w:rsidR="00A85E75">
        <w:t xml:space="preserve">tertiary </w:t>
      </w:r>
      <w:r>
        <w:t xml:space="preserve">amine (green) and a terminal vinyl sulfonamide (blue). The assembly of such substrates was expected to be straightforward using </w:t>
      </w:r>
      <w:r w:rsidR="00A85E75">
        <w:t xml:space="preserve">well established </w:t>
      </w:r>
      <w:r>
        <w:t xml:space="preserve">coupling </w:t>
      </w:r>
      <w:r>
        <w:lastRenderedPageBreak/>
        <w:t>reactions</w:t>
      </w:r>
      <w:r w:rsidR="00A85E75">
        <w:t xml:space="preserve"> from simple building blocks</w:t>
      </w:r>
      <w:r>
        <w:t xml:space="preserve">, with the resulting substrates </w:t>
      </w:r>
      <w:r w:rsidR="00353F01">
        <w:rPr>
          <w:b/>
          <w:bCs/>
        </w:rPr>
        <w:t>6</w:t>
      </w:r>
      <w:r>
        <w:rPr>
          <w:b/>
          <w:bCs/>
        </w:rPr>
        <w:t xml:space="preserve"> </w:t>
      </w:r>
      <w:r>
        <w:t xml:space="preserve">containing all the requisite functionality to undergo both cascades. Cyclisation/ring expansion (cascade 1, </w:t>
      </w:r>
      <w:r w:rsidRPr="00132F05">
        <w:rPr>
          <w:b/>
          <w:bCs/>
        </w:rPr>
        <w:t>6</w:t>
      </w:r>
      <w:r>
        <w:t xml:space="preserve"> </w:t>
      </w:r>
      <w:r>
        <w:rPr>
          <w:rFonts w:cs="Arial"/>
        </w:rPr>
        <w:t xml:space="preserve">→ </w:t>
      </w:r>
      <w:r w:rsidRPr="00132F05">
        <w:rPr>
          <w:rFonts w:cs="Arial"/>
          <w:b/>
          <w:bCs/>
        </w:rPr>
        <w:t>7</w:t>
      </w:r>
      <w:r>
        <w:rPr>
          <w:rFonts w:cs="Arial"/>
        </w:rPr>
        <w:t xml:space="preserve"> → </w:t>
      </w:r>
      <w:r w:rsidRPr="00132F05">
        <w:rPr>
          <w:rFonts w:cs="Arial"/>
          <w:b/>
          <w:bCs/>
        </w:rPr>
        <w:t>8</w:t>
      </w:r>
      <w:r>
        <w:t>) was then envisioned</w:t>
      </w:r>
      <w:r w:rsidR="00A85E75">
        <w:t>;</w:t>
      </w:r>
      <w:r>
        <w:t xml:space="preserve"> a key difference </w:t>
      </w:r>
      <w:r w:rsidR="00A85E75">
        <w:t xml:space="preserve">between this work and </w:t>
      </w:r>
      <w:r>
        <w:t xml:space="preserve">our previous work </w:t>
      </w:r>
      <w:r w:rsidR="00A85E75">
        <w:t>is</w:t>
      </w:r>
      <w:r>
        <w:t xml:space="preserve"> the use of the vinyl sulfonamide group (blue) acting as the terminal nucleophile. </w:t>
      </w:r>
      <w:r w:rsidR="00851F7A">
        <w:t>Finally, interception of t</w:t>
      </w:r>
      <w:r>
        <w:t xml:space="preserve">he resulting medium-sized cyclic sulfonamide </w:t>
      </w:r>
      <w:r>
        <w:rPr>
          <w:b/>
          <w:bCs/>
        </w:rPr>
        <w:t>8</w:t>
      </w:r>
      <w:r w:rsidR="00DF5E02">
        <w:t xml:space="preserve"> </w:t>
      </w:r>
      <w:r w:rsidR="00A85E75">
        <w:t>by reaction</w:t>
      </w:r>
      <w:r>
        <w:rPr>
          <w:b/>
          <w:bCs/>
        </w:rPr>
        <w:t xml:space="preserve"> </w:t>
      </w:r>
      <w:r>
        <w:t xml:space="preserve">with </w:t>
      </w:r>
      <w:r w:rsidR="00A85E75">
        <w:t>different functionalised</w:t>
      </w:r>
      <w:r>
        <w:t xml:space="preserve"> primary amine</w:t>
      </w:r>
      <w:r w:rsidR="00A85E75">
        <w:t>s</w:t>
      </w:r>
      <w:r w:rsidR="00851F7A">
        <w:t xml:space="preserve"> was planned</w:t>
      </w:r>
      <w:r>
        <w:t xml:space="preserve">, to </w:t>
      </w:r>
      <w:r w:rsidR="00A85E75">
        <w:t xml:space="preserve">promote conjugate addition/ring expansion (cascade 2) and form </w:t>
      </w:r>
      <w:r>
        <w:t>macrocyclic sulfonamide</w:t>
      </w:r>
      <w:r w:rsidR="00A85E75">
        <w:t>s</w:t>
      </w:r>
      <w:r>
        <w:t xml:space="preserve"> </w:t>
      </w:r>
      <w:r>
        <w:rPr>
          <w:b/>
          <w:bCs/>
        </w:rPr>
        <w:t>9</w:t>
      </w:r>
      <w:r>
        <w:t>.</w:t>
      </w:r>
      <w:r w:rsidR="00A85E75">
        <w:t xml:space="preserve"> </w:t>
      </w:r>
    </w:p>
    <w:p w14:paraId="7EA0E785" w14:textId="6EADCBF0" w:rsidR="000E6B55" w:rsidRPr="00132F05" w:rsidRDefault="00A85E75" w:rsidP="00851F7A">
      <w:pPr>
        <w:pStyle w:val="P1withIndendation"/>
        <w:spacing w:after="0"/>
        <w:ind w:firstLine="425"/>
      </w:pPr>
      <w:r>
        <w:t xml:space="preserve">The successful realisation of this </w:t>
      </w:r>
      <w:r w:rsidR="00851F7A">
        <w:t xml:space="preserve">modular </w:t>
      </w:r>
      <w:r>
        <w:t>approach is described herein</w:t>
      </w:r>
      <w:r w:rsidR="00851F7A">
        <w:t xml:space="preserve">, demonstrated </w:t>
      </w:r>
      <w:r w:rsidR="00851F7A" w:rsidRPr="00851F7A">
        <w:t xml:space="preserve">via the </w:t>
      </w:r>
      <w:r w:rsidR="00FD5892">
        <w:t xml:space="preserve">efficient and scalable </w:t>
      </w:r>
      <w:r w:rsidR="00851F7A" w:rsidRPr="00851F7A">
        <w:t xml:space="preserve">synthesis of a library of </w:t>
      </w:r>
      <w:r w:rsidR="00816BC2">
        <w:t>42</w:t>
      </w:r>
      <w:r w:rsidR="00851F7A">
        <w:t xml:space="preserve"> </w:t>
      </w:r>
      <w:r w:rsidR="00851F7A" w:rsidRPr="00851F7A">
        <w:t>diversely functionalised 13- and 14-membered macrocyclic sulfonamides</w:t>
      </w:r>
      <w:r w:rsidR="00F52F95">
        <w:t xml:space="preserve"> in good overall yields</w:t>
      </w:r>
      <w:r w:rsidR="00851F7A">
        <w:t>.</w:t>
      </w:r>
      <w:r w:rsidR="00851F7A" w:rsidRPr="00851F7A">
        <w:t xml:space="preserve"> </w:t>
      </w:r>
    </w:p>
    <w:p w14:paraId="68A314CF" w14:textId="77777777" w:rsidR="00BD6CB4" w:rsidRPr="0065243C" w:rsidRDefault="00BD6CB4" w:rsidP="00BD6CB4">
      <w:pPr>
        <w:pStyle w:val="P1"/>
        <w:spacing w:before="460" w:after="230" w:line="220" w:lineRule="atLeast"/>
        <w:rPr>
          <w:b/>
          <w:sz w:val="22"/>
          <w:szCs w:val="22"/>
        </w:rPr>
      </w:pPr>
      <w:r w:rsidRPr="0065243C">
        <w:rPr>
          <w:b/>
          <w:sz w:val="22"/>
          <w:szCs w:val="22"/>
        </w:rPr>
        <w:t>Results and Discussion</w:t>
      </w:r>
    </w:p>
    <w:p w14:paraId="5207E1CF" w14:textId="2C26ACCE" w:rsidR="00B54A5C" w:rsidRDefault="00284A65" w:rsidP="00B161EA">
      <w:pPr>
        <w:pStyle w:val="P1"/>
      </w:pPr>
      <w:r>
        <w:t xml:space="preserve">Prior to this study, a single example of a cyclisation/ring expansion cascade reaction of a vinyl sulfonamide starting material had been demonstrated, starting from </w:t>
      </w:r>
      <w:r w:rsidR="00D65377">
        <w:t>linear substrate</w:t>
      </w:r>
      <w:r>
        <w:t xml:space="preserve"> </w:t>
      </w:r>
      <w:r>
        <w:rPr>
          <w:b/>
          <w:bCs/>
        </w:rPr>
        <w:t>6</w:t>
      </w:r>
      <w:r w:rsidR="00D65377">
        <w:rPr>
          <w:b/>
          <w:bCs/>
        </w:rPr>
        <w:t>a</w:t>
      </w:r>
      <w:r w:rsidR="00857CC6">
        <w:rPr>
          <w:b/>
          <w:bCs/>
        </w:rPr>
        <w:t xml:space="preserve"> </w:t>
      </w:r>
      <w:r w:rsidR="00857CC6" w:rsidRPr="00857CC6">
        <w:t>(Scheme 2A)</w:t>
      </w:r>
      <w:r w:rsidR="00A5615F">
        <w:t>.</w:t>
      </w:r>
      <w:r w:rsidRPr="00284A65">
        <w:rPr>
          <w:vertAlign w:val="superscript"/>
        </w:rPr>
        <w:t>[13b]</w:t>
      </w:r>
      <w:r w:rsidR="004D5B36">
        <w:rPr>
          <w:vertAlign w:val="superscript"/>
        </w:rPr>
        <w:t xml:space="preserve"> </w:t>
      </w:r>
      <w:r w:rsidR="00A5615F">
        <w:t>This system</w:t>
      </w:r>
      <w:r w:rsidR="004D5B36">
        <w:t xml:space="preserve"> was therefore chosen as the first system to test the generality of this approach. The preparation of </w:t>
      </w:r>
      <w:r w:rsidR="004D5B36">
        <w:rPr>
          <w:b/>
          <w:bCs/>
        </w:rPr>
        <w:t>6</w:t>
      </w:r>
      <w:r w:rsidR="00D65377">
        <w:rPr>
          <w:b/>
          <w:bCs/>
        </w:rPr>
        <w:t>a</w:t>
      </w:r>
      <w:r w:rsidRPr="00284A65">
        <w:rPr>
          <w:vertAlign w:val="superscript"/>
        </w:rPr>
        <w:t xml:space="preserve"> </w:t>
      </w:r>
      <w:r w:rsidR="00A5615F">
        <w:t>i</w:t>
      </w:r>
      <w:r>
        <w:t xml:space="preserve">s </w:t>
      </w:r>
      <w:r w:rsidR="004D5B36">
        <w:t>straightforward</w:t>
      </w:r>
      <w:r>
        <w:t xml:space="preserve"> </w:t>
      </w:r>
      <w:r w:rsidR="00857CC6">
        <w:t xml:space="preserve">from </w:t>
      </w:r>
      <w:r>
        <w:t>simple</w:t>
      </w:r>
      <w:r w:rsidR="00857CC6">
        <w:t xml:space="preserve"> building blocks </w:t>
      </w:r>
      <w:r w:rsidR="00857CC6">
        <w:rPr>
          <w:b/>
          <w:bCs/>
        </w:rPr>
        <w:t>5c</w:t>
      </w:r>
      <w:r w:rsidR="00857CC6" w:rsidRPr="00857CC6">
        <w:t>–</w:t>
      </w:r>
      <w:r w:rsidR="00857CC6">
        <w:rPr>
          <w:b/>
          <w:bCs/>
        </w:rPr>
        <w:t xml:space="preserve">5e </w:t>
      </w:r>
      <w:r w:rsidR="004D5B36">
        <w:t xml:space="preserve">via </w:t>
      </w:r>
      <w:r w:rsidR="00A40957">
        <w:t xml:space="preserve">a </w:t>
      </w:r>
      <w:r w:rsidR="00857CC6">
        <w:t xml:space="preserve">sequence of amine alkylation, </w:t>
      </w:r>
      <w:r w:rsidR="00D65377">
        <w:t>Boc</w:t>
      </w:r>
      <w:r w:rsidR="00857CC6">
        <w:t xml:space="preserve"> cleavage</w:t>
      </w:r>
      <w:r w:rsidR="00D65377">
        <w:t>,</w:t>
      </w:r>
      <w:r w:rsidR="00857CC6">
        <w:t xml:space="preserve"> sulfonylation </w:t>
      </w:r>
      <w:r w:rsidR="00D65377">
        <w:t xml:space="preserve">and ester hydrolysis </w:t>
      </w:r>
      <w:r w:rsidR="00857CC6">
        <w:t>(see SI for preparative details for</w:t>
      </w:r>
      <w:r w:rsidR="00D65377">
        <w:t xml:space="preserve"> </w:t>
      </w:r>
      <w:r w:rsidR="00A40957">
        <w:rPr>
          <w:b/>
          <w:bCs/>
        </w:rPr>
        <w:t>6a</w:t>
      </w:r>
      <w:r w:rsidR="00D65377">
        <w:t>, and</w:t>
      </w:r>
      <w:r w:rsidR="00857CC6">
        <w:t xml:space="preserve"> all linear substrates in the manuscript). </w:t>
      </w:r>
      <w:r w:rsidR="00D65377">
        <w:t xml:space="preserve">This then </w:t>
      </w:r>
      <w:r w:rsidR="000B2946">
        <w:t>set up</w:t>
      </w:r>
      <w:r w:rsidR="00D65377">
        <w:t xml:space="preserve"> the first cascade</w:t>
      </w:r>
      <w:r w:rsidR="000B2946">
        <w:t xml:space="preserve"> reaction (cascade 1)</w:t>
      </w:r>
      <w:r w:rsidR="00D65377">
        <w:t xml:space="preserve">, in which </w:t>
      </w:r>
      <w:r w:rsidR="00A5615F">
        <w:t xml:space="preserve">carboxylic acid </w:t>
      </w:r>
      <w:r w:rsidR="00A5615F">
        <w:rPr>
          <w:b/>
          <w:bCs/>
        </w:rPr>
        <w:t>6</w:t>
      </w:r>
      <w:r w:rsidR="00D65377">
        <w:rPr>
          <w:b/>
          <w:bCs/>
        </w:rPr>
        <w:t>a</w:t>
      </w:r>
      <w:r w:rsidR="00A5615F">
        <w:rPr>
          <w:b/>
          <w:bCs/>
        </w:rPr>
        <w:t xml:space="preserve"> </w:t>
      </w:r>
      <w:r w:rsidR="00A5615F">
        <w:t xml:space="preserve">was </w:t>
      </w:r>
      <w:r w:rsidR="00D65377">
        <w:t xml:space="preserve">activated with T3P under basic conditions, to initiate cyclisation and ring expansion to generate 9-membered ring intermediate </w:t>
      </w:r>
      <w:r w:rsidR="00D65377">
        <w:rPr>
          <w:b/>
          <w:bCs/>
        </w:rPr>
        <w:t>8a</w:t>
      </w:r>
      <w:r w:rsidR="00D65377">
        <w:t xml:space="preserve">. Following a simple aqueous work-up, </w:t>
      </w:r>
      <w:r w:rsidR="000B2946">
        <w:t xml:space="preserve">this </w:t>
      </w:r>
      <w:r w:rsidR="00D65377">
        <w:t xml:space="preserve">intermediate was then taken directly onto the second cascade </w:t>
      </w:r>
      <w:r w:rsidR="000B2946">
        <w:t xml:space="preserve">(cascade 2), in which </w:t>
      </w:r>
      <w:r w:rsidR="000B2946">
        <w:rPr>
          <w:b/>
          <w:bCs/>
        </w:rPr>
        <w:t>8a</w:t>
      </w:r>
      <w:r w:rsidR="00D65377">
        <w:t xml:space="preserve"> </w:t>
      </w:r>
      <w:r w:rsidR="000B2946" w:rsidRPr="000B2946">
        <w:t>was reacted with</w:t>
      </w:r>
      <w:r w:rsidR="000B2946">
        <w:t xml:space="preserve"> different </w:t>
      </w:r>
      <w:r w:rsidR="00C014FF">
        <w:t xml:space="preserve">functionalised </w:t>
      </w:r>
      <w:r w:rsidR="000B2946">
        <w:t>primary amines</w:t>
      </w:r>
      <w:r w:rsidR="00C014FF">
        <w:t xml:space="preserve"> to</w:t>
      </w:r>
      <w:r w:rsidR="000B2946">
        <w:t xml:space="preserve"> initiat</w:t>
      </w:r>
      <w:r w:rsidR="00C014FF">
        <w:t>e</w:t>
      </w:r>
      <w:r w:rsidR="000B2946">
        <w:t xml:space="preserve"> a conju</w:t>
      </w:r>
      <w:r w:rsidR="00C014FF">
        <w:t>gate addition/ring expansion cascade</w:t>
      </w:r>
      <w:r w:rsidR="000B2946">
        <w:t>.</w:t>
      </w:r>
      <w:r w:rsidR="00C014FF">
        <w:t xml:space="preserve"> Twelve amines bearing various functional groups were used in this series, resulting in the successful synthesis of twelve 13-membered ring sulfonamides </w:t>
      </w:r>
      <w:r w:rsidR="00C014FF">
        <w:rPr>
          <w:b/>
          <w:bCs/>
        </w:rPr>
        <w:t>10a</w:t>
      </w:r>
      <w:r w:rsidR="00C014FF" w:rsidRPr="00C014FF">
        <w:t>–</w:t>
      </w:r>
      <w:r w:rsidR="00C014FF">
        <w:rPr>
          <w:b/>
          <w:bCs/>
        </w:rPr>
        <w:t>l</w:t>
      </w:r>
      <w:r w:rsidR="00C014FF">
        <w:t xml:space="preserve"> in 21–63% isolated yields. Notably, the yields quoted are yields starting from </w:t>
      </w:r>
      <w:r w:rsidR="00C014FF">
        <w:rPr>
          <w:b/>
          <w:bCs/>
        </w:rPr>
        <w:t xml:space="preserve">6a </w:t>
      </w:r>
      <w:r w:rsidR="00C014FF">
        <w:t xml:space="preserve">and hence encompass both cascades. Furthermore, in keeping with the approach being designed as a strategy to generate diverse macrocycles quickly, all of these reactions were performed a single time with no additional optimisation </w:t>
      </w:r>
      <w:r w:rsidR="004017B6">
        <w:t>performed on a case-by-case basis.</w:t>
      </w:r>
    </w:p>
    <w:p w14:paraId="7DBDD73C" w14:textId="53026344" w:rsidR="00B54A5C" w:rsidRPr="005B57CC" w:rsidRDefault="00B54A5C" w:rsidP="00B161EA">
      <w:pPr>
        <w:pStyle w:val="P1"/>
      </w:pPr>
      <w:r>
        <w:tab/>
        <w:t xml:space="preserve">Attention next turned to benzannulated linear substrate </w:t>
      </w:r>
      <w:r>
        <w:rPr>
          <w:b/>
          <w:bCs/>
        </w:rPr>
        <w:t>6b</w:t>
      </w:r>
      <w:r>
        <w:t xml:space="preserve">, which was prepared using similar building blocks </w:t>
      </w:r>
      <w:r w:rsidR="005B57CC">
        <w:t xml:space="preserve">and synthetic steps </w:t>
      </w:r>
      <w:r>
        <w:t xml:space="preserve">as those used to make </w:t>
      </w:r>
      <w:r>
        <w:rPr>
          <w:b/>
          <w:bCs/>
        </w:rPr>
        <w:t xml:space="preserve">6a </w:t>
      </w:r>
      <w:r>
        <w:t xml:space="preserve">(Scheme 2B). The inclusion of cyclic systems such as aromatics into the linear precursor has been shown to improve the efficiency of cyclisation/ring expansion cascades in our previous work, and this improvement was seen in the overall yields in this series. Thus, benzannulated 13-membered ring sulfonamides </w:t>
      </w:r>
      <w:r>
        <w:rPr>
          <w:b/>
          <w:bCs/>
        </w:rPr>
        <w:t>11a</w:t>
      </w:r>
      <w:r w:rsidRPr="00C014FF">
        <w:t>–</w:t>
      </w:r>
      <w:r>
        <w:rPr>
          <w:b/>
          <w:bCs/>
        </w:rPr>
        <w:t xml:space="preserve">m </w:t>
      </w:r>
      <w:r w:rsidRPr="00B54A5C">
        <w:t>were prepared,</w:t>
      </w:r>
      <w:r>
        <w:rPr>
          <w:b/>
          <w:bCs/>
        </w:rPr>
        <w:t xml:space="preserve"> </w:t>
      </w:r>
      <w:r>
        <w:t xml:space="preserve">using a diverse array of amines, </w:t>
      </w:r>
      <w:r w:rsidR="005B57CC">
        <w:t xml:space="preserve">in </w:t>
      </w:r>
      <w:r>
        <w:t>consistently high isolated yields 63–</w:t>
      </w:r>
      <w:r>
        <w:t>97% obtained for the overall 2 cascade sequence.</w:t>
      </w:r>
      <w:r w:rsidR="005B57CC">
        <w:t xml:space="preserve"> A range of functionalised and unprotected primary amine reagents were shown to be compatible and deliver products in good overall yields, with especially notable examples including macrocyclic products containing alkynes (</w:t>
      </w:r>
      <w:r w:rsidR="005B57CC">
        <w:rPr>
          <w:b/>
          <w:bCs/>
        </w:rPr>
        <w:t>11b</w:t>
      </w:r>
      <w:r w:rsidR="005B57CC">
        <w:t>), aza-heteroaromatics (</w:t>
      </w:r>
      <w:r w:rsidR="005B57CC">
        <w:rPr>
          <w:b/>
          <w:bCs/>
        </w:rPr>
        <w:t>11c</w:t>
      </w:r>
      <w:r w:rsidR="005B57CC">
        <w:t xml:space="preserve">, </w:t>
      </w:r>
      <w:r w:rsidR="005B57CC">
        <w:rPr>
          <w:b/>
          <w:bCs/>
        </w:rPr>
        <w:t>11i</w:t>
      </w:r>
      <w:r w:rsidR="005B57CC">
        <w:t>), alcohols (</w:t>
      </w:r>
      <w:r w:rsidR="005B57CC">
        <w:rPr>
          <w:b/>
          <w:bCs/>
        </w:rPr>
        <w:t>11g</w:t>
      </w:r>
      <w:r w:rsidR="005B57CC">
        <w:t>) and boronic esters (</w:t>
      </w:r>
      <w:r w:rsidR="005B57CC" w:rsidRPr="005B57CC">
        <w:rPr>
          <w:b/>
          <w:bCs/>
        </w:rPr>
        <w:t>11j</w:t>
      </w:r>
      <w:r w:rsidR="005B57CC">
        <w:t>).</w:t>
      </w:r>
    </w:p>
    <w:p w14:paraId="7B38BAC3" w14:textId="349611EC" w:rsidR="00D86BAD" w:rsidRDefault="00B54A5C" w:rsidP="00351094">
      <w:pPr>
        <w:pStyle w:val="P1"/>
      </w:pPr>
      <w:r>
        <w:tab/>
        <w:t>Scheme 2C shows the same modular approach being used to prepare pyridine</w:t>
      </w:r>
      <w:r w:rsidR="00B66652">
        <w:t>-</w:t>
      </w:r>
      <w:r>
        <w:t xml:space="preserve">containing 14-membered ring macrocycles </w:t>
      </w:r>
      <w:r>
        <w:rPr>
          <w:b/>
          <w:bCs/>
        </w:rPr>
        <w:t>12</w:t>
      </w:r>
      <w:r>
        <w:t xml:space="preserve">. In this series, the linear substrate </w:t>
      </w:r>
      <w:r>
        <w:rPr>
          <w:b/>
          <w:bCs/>
        </w:rPr>
        <w:t>6c</w:t>
      </w:r>
      <w:r w:rsidR="00D86BAD">
        <w:t xml:space="preserve"> </w:t>
      </w:r>
      <w:r>
        <w:t>was prepared via</w:t>
      </w:r>
      <w:r w:rsidR="00D86BAD">
        <w:t xml:space="preserve"> a straightforward sequence of lithiation trapping (</w:t>
      </w:r>
      <w:r w:rsidR="00D86BAD">
        <w:rPr>
          <w:b/>
          <w:bCs/>
        </w:rPr>
        <w:t xml:space="preserve">5h </w:t>
      </w:r>
      <w:r w:rsidR="00D86BAD">
        <w:t xml:space="preserve">and </w:t>
      </w:r>
      <w:r w:rsidR="00D86BAD">
        <w:rPr>
          <w:b/>
          <w:bCs/>
        </w:rPr>
        <w:t>5i</w:t>
      </w:r>
      <w:r w:rsidR="00D86BAD">
        <w:t xml:space="preserve">), Suzuki-Miyaura cross coupling, Boc cleavage, sulfonylation and ester hydrolysis. Both cascade reactions then followed, with 14-membered ring sulfonamides </w:t>
      </w:r>
      <w:r w:rsidR="00D86BAD">
        <w:rPr>
          <w:b/>
          <w:bCs/>
        </w:rPr>
        <w:t>12a</w:t>
      </w:r>
      <w:r w:rsidR="00D86BAD" w:rsidRPr="00C014FF">
        <w:t>–</w:t>
      </w:r>
      <w:r w:rsidR="00D86BAD">
        <w:rPr>
          <w:b/>
          <w:bCs/>
        </w:rPr>
        <w:t>g</w:t>
      </w:r>
      <w:r w:rsidR="00D86BAD">
        <w:t xml:space="preserve"> in 35–85% overall isolated yields. The pyridine acts as the internal nucleophile in cascade 1 in this series</w:t>
      </w:r>
      <w:r w:rsidR="005B57CC">
        <w:t>, with a range of reactive primary amines again shown to be compatible with cascade 2</w:t>
      </w:r>
      <w:r w:rsidR="00D86BAD">
        <w:t xml:space="preserve">. </w:t>
      </w:r>
      <w:r w:rsidR="00351094">
        <w:t xml:space="preserve">Of additional note, considering that macrocycle sulfonamides </w:t>
      </w:r>
      <w:r w:rsidR="00351094">
        <w:rPr>
          <w:b/>
          <w:bCs/>
        </w:rPr>
        <w:t>12a</w:t>
      </w:r>
      <w:r w:rsidR="00351094" w:rsidRPr="00C014FF">
        <w:t>–</w:t>
      </w:r>
      <w:r w:rsidR="00351094">
        <w:rPr>
          <w:b/>
          <w:bCs/>
        </w:rPr>
        <w:t>g</w:t>
      </w:r>
      <w:r w:rsidR="00351094">
        <w:t xml:space="preserve"> </w:t>
      </w:r>
      <w:r w:rsidR="005B57CC">
        <w:t>each</w:t>
      </w:r>
      <w:r w:rsidR="00351094">
        <w:t xml:space="preserve"> contain a chiral biaryl axis and a point stereogenic centre, all were obtained as single atropisomers (racemic). The stereoselectivity is proposed to arise during cascade 1, via point-to-axial chirality transfer,</w:t>
      </w:r>
      <w:r w:rsidR="00351094" w:rsidRPr="00351094">
        <w:rPr>
          <w:vertAlign w:val="superscript"/>
        </w:rPr>
        <w:t>[16]</w:t>
      </w:r>
      <w:r w:rsidR="00351094">
        <w:rPr>
          <w:vertAlign w:val="superscript"/>
        </w:rPr>
        <w:t xml:space="preserve"> </w:t>
      </w:r>
      <w:r w:rsidR="00351094">
        <w:t>with the assigned relative stereochemistry made based on our published model.</w:t>
      </w:r>
      <w:r w:rsidR="00D1176E" w:rsidRPr="00D1176E">
        <w:rPr>
          <w:vertAlign w:val="superscript"/>
        </w:rPr>
        <w:t>[13,17]</w:t>
      </w:r>
      <w:r w:rsidR="00351094" w:rsidRPr="00D1176E">
        <w:rPr>
          <w:vertAlign w:val="superscript"/>
        </w:rPr>
        <w:t xml:space="preserve"> </w:t>
      </w:r>
    </w:p>
    <w:p w14:paraId="365F3817" w14:textId="707E5B53" w:rsidR="005B3EE3" w:rsidRPr="003B3F04" w:rsidRDefault="00D86BAD" w:rsidP="006F7D7B">
      <w:pPr>
        <w:pStyle w:val="P1"/>
      </w:pPr>
      <w:r>
        <w:tab/>
        <w:t xml:space="preserve">Finally, </w:t>
      </w:r>
      <w:r w:rsidR="00816BC2">
        <w:t xml:space="preserve">varying the aromatic group in the scaffold is also possible, with </w:t>
      </w:r>
      <w:r w:rsidR="005B3EE3">
        <w:t xml:space="preserve">quinoline-containing macrocyclic sulfonamides </w:t>
      </w:r>
      <w:r w:rsidR="005B3EE3">
        <w:rPr>
          <w:b/>
          <w:bCs/>
        </w:rPr>
        <w:t>13a</w:t>
      </w:r>
      <w:r w:rsidR="005B3EE3" w:rsidRPr="005B3EE3">
        <w:t>–</w:t>
      </w:r>
      <w:r w:rsidR="005B3EE3">
        <w:rPr>
          <w:b/>
          <w:bCs/>
        </w:rPr>
        <w:t xml:space="preserve">f </w:t>
      </w:r>
      <w:r w:rsidR="005B3EE3">
        <w:t xml:space="preserve">all prepared in high yields (71–85%) from linear substrate </w:t>
      </w:r>
      <w:r w:rsidR="005B3EE3">
        <w:rPr>
          <w:b/>
          <w:bCs/>
        </w:rPr>
        <w:t xml:space="preserve">6d </w:t>
      </w:r>
      <w:r w:rsidR="005B3EE3">
        <w:t xml:space="preserve">(Scheme </w:t>
      </w:r>
      <w:r w:rsidR="00353F01">
        <w:t>2</w:t>
      </w:r>
      <w:r w:rsidR="005B3EE3">
        <w:t xml:space="preserve">D). In this series, an </w:t>
      </w:r>
      <w:r w:rsidR="005B3EE3" w:rsidRPr="005B3EE3">
        <w:rPr>
          <w:i/>
          <w:iCs/>
        </w:rPr>
        <w:t>N</w:t>
      </w:r>
      <w:r w:rsidR="005B3EE3">
        <w:t>-methyl tertiary amine operated as the internal nucleophile in cascade 1</w:t>
      </w:r>
      <w:r w:rsidR="005B57CC">
        <w:t>, and 6 reactive amines in cascade 2, including a diazine derivative (</w:t>
      </w:r>
      <w:r w:rsidR="005B57CC">
        <w:rPr>
          <w:b/>
          <w:bCs/>
        </w:rPr>
        <w:t>13d</w:t>
      </w:r>
      <w:r w:rsidR="005B57CC">
        <w:t>)</w:t>
      </w:r>
      <w:r w:rsidR="005B3EE3">
        <w:t>.</w:t>
      </w:r>
      <w:r w:rsidR="00816BC2">
        <w:t xml:space="preserve"> Macrocycles </w:t>
      </w:r>
      <w:r w:rsidR="00816BC2">
        <w:rPr>
          <w:b/>
          <w:bCs/>
        </w:rPr>
        <w:t>14a</w:t>
      </w:r>
      <w:r w:rsidR="00816BC2" w:rsidRPr="00816BC2">
        <w:t>–</w:t>
      </w:r>
      <w:r w:rsidR="00816BC2">
        <w:rPr>
          <w:b/>
          <w:bCs/>
        </w:rPr>
        <w:t xml:space="preserve">d </w:t>
      </w:r>
      <w:r w:rsidR="00816BC2">
        <w:t xml:space="preserve">were also prepared </w:t>
      </w:r>
      <w:r w:rsidR="003B3F04">
        <w:t xml:space="preserve">in good yields </w:t>
      </w:r>
      <w:r w:rsidR="00816BC2">
        <w:t>from anisole-deriv</w:t>
      </w:r>
      <w:r w:rsidR="003B3F04">
        <w:t xml:space="preserve">ative </w:t>
      </w:r>
      <w:r w:rsidR="003B3F04">
        <w:rPr>
          <w:b/>
          <w:bCs/>
        </w:rPr>
        <w:t>6e</w:t>
      </w:r>
      <w:r w:rsidR="003B3F04">
        <w:t xml:space="preserve">; notably, this series includes the formation of furan-containing macrocycle </w:t>
      </w:r>
      <w:r w:rsidR="003B3F04">
        <w:rPr>
          <w:b/>
          <w:bCs/>
        </w:rPr>
        <w:t xml:space="preserve">14d </w:t>
      </w:r>
      <w:r w:rsidR="003B3F04">
        <w:t>(Scheme 2E).</w:t>
      </w:r>
      <w:r w:rsidR="00193F3C">
        <w:t xml:space="preserve"> Considering all reaction series in Scheme 2</w:t>
      </w:r>
      <w:r w:rsidR="00713D8B">
        <w:t>A–E</w:t>
      </w:r>
      <w:r w:rsidR="006F7D7B">
        <w:t xml:space="preserve"> together</w:t>
      </w:r>
      <w:r w:rsidR="00193F3C">
        <w:t xml:space="preserve">, it is notable that little or no variation to the reaction conditions was required to achieve </w:t>
      </w:r>
      <w:r w:rsidR="00713D8B">
        <w:t xml:space="preserve">a successful reactions sequence, </w:t>
      </w:r>
      <w:r w:rsidR="00193F3C">
        <w:t xml:space="preserve">when compared to the methods used for the previously reported </w:t>
      </w:r>
      <w:r w:rsidR="00713D8B">
        <w:t>individual</w:t>
      </w:r>
      <w:r w:rsidR="00193F3C">
        <w:t xml:space="preserve"> reactions.</w:t>
      </w:r>
      <w:r w:rsidR="00193F3C" w:rsidRPr="00193F3C">
        <w:rPr>
          <w:vertAlign w:val="superscript"/>
        </w:rPr>
        <w:t>[13,15]</w:t>
      </w:r>
      <w:r w:rsidR="00713D8B">
        <w:rPr>
          <w:vertAlign w:val="superscript"/>
        </w:rPr>
        <w:t xml:space="preserve"> </w:t>
      </w:r>
      <w:r w:rsidR="00193F3C">
        <w:t xml:space="preserve">Minor </w:t>
      </w:r>
      <w:r w:rsidR="006F7D7B">
        <w:t>modifications</w:t>
      </w:r>
      <w:r w:rsidR="00193F3C">
        <w:t xml:space="preserve"> to the work-up and purification were required in some cases</w:t>
      </w:r>
      <w:r w:rsidR="00713D8B">
        <w:t xml:space="preserve"> </w:t>
      </w:r>
      <w:r w:rsidR="006F7D7B">
        <w:t>(</w:t>
      </w:r>
      <w:r w:rsidR="006F7D7B">
        <w:t xml:space="preserve">associated with the relative instability of intermediates </w:t>
      </w:r>
      <w:r w:rsidR="006F7D7B">
        <w:rPr>
          <w:b/>
          <w:bCs/>
        </w:rPr>
        <w:t>8a-e</w:t>
      </w:r>
      <w:r w:rsidR="006F7D7B">
        <w:t>)</w:t>
      </w:r>
      <w:r w:rsidR="006F7D7B">
        <w:t xml:space="preserve">, see SI for details. </w:t>
      </w:r>
      <w:r w:rsidR="00193F3C">
        <w:t xml:space="preserve">  </w:t>
      </w:r>
    </w:p>
    <w:p w14:paraId="43473889" w14:textId="7E356ECB" w:rsidR="00B161EA" w:rsidRPr="00B54A5C" w:rsidRDefault="005B3EE3" w:rsidP="00B161EA">
      <w:pPr>
        <w:pStyle w:val="P1"/>
      </w:pPr>
      <w:r>
        <w:tab/>
        <w:t xml:space="preserve">The ability to vary the primary amine freely </w:t>
      </w:r>
      <w:r w:rsidR="00B66652">
        <w:t xml:space="preserve">in </w:t>
      </w:r>
      <w:r>
        <w:t xml:space="preserve">cascade 2 is an important </w:t>
      </w:r>
      <w:r w:rsidR="00B66652">
        <w:t xml:space="preserve">feature </w:t>
      </w:r>
      <w:r>
        <w:t xml:space="preserve">of our modular approach, as it affords a way to quickly access diversely functionalised macrocycles, often including useful, reactive handles. This means that </w:t>
      </w:r>
      <w:r w:rsidR="00B66652">
        <w:t xml:space="preserve">it </w:t>
      </w:r>
      <w:r>
        <w:t>is straightforward to envisage further functionalisation reactions for many of the macrocyclic sulfonamides prepared in this manuscript</w:t>
      </w:r>
      <w:r w:rsidR="00BC7983">
        <w:t xml:space="preserve">; for example, as a simple demonstration boronic </w:t>
      </w:r>
      <w:r w:rsidR="00915C4D">
        <w:t>ester</w:t>
      </w:r>
      <w:r w:rsidR="00BC7983">
        <w:t xml:space="preserve"> containing macrocycle</w:t>
      </w:r>
      <w:r>
        <w:t xml:space="preserve"> </w:t>
      </w:r>
      <w:r w:rsidR="00BC7983">
        <w:rPr>
          <w:b/>
          <w:bCs/>
        </w:rPr>
        <w:t xml:space="preserve">10c </w:t>
      </w:r>
      <w:r w:rsidR="00BC7983">
        <w:t>was converted</w:t>
      </w:r>
      <w:r w:rsidR="00007298">
        <w:t xml:space="preserve"> into </w:t>
      </w:r>
      <w:r w:rsidR="00007298">
        <w:rPr>
          <w:b/>
          <w:bCs/>
        </w:rPr>
        <w:t xml:space="preserve">14 </w:t>
      </w:r>
      <w:r w:rsidR="00007298">
        <w:t>via a standard Suzuki-Miyaura cross coupling (SMCC) reaction.</w:t>
      </w:r>
      <w:r w:rsidR="00E24F65">
        <w:t xml:space="preserve"> The ability to generate macrocycles on scale without resorting to using high dilution conditions is also a key feature of this approach and is demonstrated </w:t>
      </w:r>
      <w:r w:rsidR="00E0500E">
        <w:t xml:space="preserve">by </w:t>
      </w:r>
      <w:r w:rsidR="00E24F65">
        <w:t>scal</w:t>
      </w:r>
      <w:r w:rsidR="00E0500E">
        <w:t xml:space="preserve">ing </w:t>
      </w:r>
      <w:r w:rsidR="00E24F65">
        <w:t xml:space="preserve">up the synthesis of macrocycles </w:t>
      </w:r>
      <w:r w:rsidR="00E24F65" w:rsidRPr="00E24F65">
        <w:rPr>
          <w:b/>
          <w:bCs/>
        </w:rPr>
        <w:t>10l</w:t>
      </w:r>
      <w:r w:rsidR="00E24F65">
        <w:t xml:space="preserve"> and </w:t>
      </w:r>
      <w:r w:rsidR="00E24F65" w:rsidRPr="00E24F65">
        <w:rPr>
          <w:b/>
          <w:bCs/>
        </w:rPr>
        <w:t>11b</w:t>
      </w:r>
      <w:r w:rsidR="00E24F65">
        <w:t xml:space="preserve"> to gram-scale, with negligible impact on the isolated yield in each case. </w:t>
      </w:r>
      <w:r>
        <w:t xml:space="preserve"> </w:t>
      </w:r>
      <w:r w:rsidR="00D86BAD">
        <w:t xml:space="preserve">  </w:t>
      </w:r>
      <w:r w:rsidR="00B54A5C">
        <w:t xml:space="preserve">  </w:t>
      </w:r>
    </w:p>
    <w:p w14:paraId="1589D23F" w14:textId="2E473E4E" w:rsidR="00284A65" w:rsidRPr="00B161EA" w:rsidRDefault="00284A65" w:rsidP="00B161EA">
      <w:pPr>
        <w:pStyle w:val="P1"/>
        <w:sectPr w:rsidR="00284A65" w:rsidRPr="00B161EA" w:rsidSect="000D37AC">
          <w:type w:val="continuous"/>
          <w:pgSz w:w="11906" w:h="16838" w:code="9"/>
          <w:pgMar w:top="1673" w:right="936" w:bottom="1134" w:left="936" w:header="709" w:footer="709" w:gutter="0"/>
          <w:cols w:num="2" w:space="284"/>
          <w:docGrid w:linePitch="360"/>
        </w:sectPr>
      </w:pPr>
    </w:p>
    <w:p w14:paraId="6353734E" w14:textId="77777777" w:rsidR="00151539" w:rsidRPr="0065243C" w:rsidRDefault="00151539" w:rsidP="00151539">
      <w:pPr>
        <w:pStyle w:val="P1"/>
        <w:sectPr w:rsidR="00151539" w:rsidRPr="0065243C" w:rsidSect="000A71E8">
          <w:type w:val="continuous"/>
          <w:pgSz w:w="11906" w:h="16838" w:code="9"/>
          <w:pgMar w:top="1673" w:right="936" w:bottom="1134" w:left="936" w:header="709" w:footer="709" w:gutter="0"/>
          <w:cols w:space="284"/>
          <w:docGrid w:linePitch="360"/>
        </w:sectPr>
      </w:pPr>
    </w:p>
    <w:p w14:paraId="137B6EED" w14:textId="0650331D" w:rsidR="00151539" w:rsidRPr="0065243C" w:rsidRDefault="005A0A9D" w:rsidP="00151539">
      <w:pPr>
        <w:pStyle w:val="P1"/>
        <w:spacing w:line="240" w:lineRule="auto"/>
        <w:jc w:val="center"/>
      </w:pPr>
      <w:r>
        <w:object w:dxaOrig="15072" w:dyaOrig="15321" w14:anchorId="5918DEEB">
          <v:shape id="_x0000_i1027" type="#_x0000_t75" style="width:501.15pt;height:509.4pt" o:ole="">
            <v:imagedata r:id="rId14" o:title=""/>
          </v:shape>
          <o:OLEObject Type="Embed" ProgID="ChemDraw.Document.6.0" ShapeID="_x0000_i1027" DrawAspect="Content" ObjectID="_1819789375" r:id="rId15"/>
        </w:object>
      </w:r>
    </w:p>
    <w:p w14:paraId="7BC5A709" w14:textId="4016AEE5" w:rsidR="0017683D" w:rsidRDefault="00151539" w:rsidP="000D6362">
      <w:pPr>
        <w:pStyle w:val="SchemeCaption"/>
        <w:spacing w:before="0"/>
        <w:rPr>
          <w:bCs/>
        </w:rPr>
      </w:pPr>
      <w:r w:rsidRPr="0065243C">
        <w:rPr>
          <w:b/>
        </w:rPr>
        <w:t xml:space="preserve">Scheme </w:t>
      </w:r>
      <w:r w:rsidR="00D452B4">
        <w:rPr>
          <w:b/>
        </w:rPr>
        <w:t>2</w:t>
      </w:r>
      <w:r w:rsidR="006933F4" w:rsidRPr="0065243C">
        <w:rPr>
          <w:b/>
        </w:rPr>
        <w:t xml:space="preserve"> </w:t>
      </w:r>
      <w:r w:rsidR="00427671">
        <w:rPr>
          <w:bCs/>
        </w:rPr>
        <w:t xml:space="preserve"> </w:t>
      </w:r>
      <w:r w:rsidR="001A71DB">
        <w:rPr>
          <w:bCs/>
        </w:rPr>
        <w:t xml:space="preserve"> </w:t>
      </w:r>
      <w:r w:rsidR="001A71DB" w:rsidRPr="001A71DB">
        <w:rPr>
          <w:bCs/>
        </w:rPr>
        <w:t>Modular assembly of macrocyclic sulfonamides via consecutive cascade ring expansion reactions</w:t>
      </w:r>
      <w:r w:rsidR="001A71DB">
        <w:rPr>
          <w:bCs/>
        </w:rPr>
        <w:t xml:space="preserve">. Reaction conditions (see SI for full details): (i) </w:t>
      </w:r>
      <w:r w:rsidR="0017683D">
        <w:rPr>
          <w:bCs/>
        </w:rPr>
        <w:t xml:space="preserve">Carboxylic acid </w:t>
      </w:r>
      <w:r w:rsidR="0017683D">
        <w:rPr>
          <w:b/>
        </w:rPr>
        <w:t xml:space="preserve">6 </w:t>
      </w:r>
      <w:r w:rsidR="0017683D">
        <w:rPr>
          <w:bCs/>
        </w:rPr>
        <w:t>(1 equiv.), iPr</w:t>
      </w:r>
      <w:r w:rsidR="0017683D" w:rsidRPr="0017683D">
        <w:rPr>
          <w:bCs/>
          <w:vertAlign w:val="subscript"/>
        </w:rPr>
        <w:t>2</w:t>
      </w:r>
      <w:r w:rsidR="0017683D">
        <w:rPr>
          <w:bCs/>
        </w:rPr>
        <w:t xml:space="preserve">NEt (1.85 equiv), T3P (1.5 equiv.), </w:t>
      </w:r>
      <w:r w:rsidR="00193F3C">
        <w:rPr>
          <w:bCs/>
        </w:rPr>
        <w:t>CHCl</w:t>
      </w:r>
      <w:r w:rsidR="00193F3C" w:rsidRPr="00193F3C">
        <w:rPr>
          <w:bCs/>
          <w:vertAlign w:val="subscript"/>
        </w:rPr>
        <w:t>3</w:t>
      </w:r>
      <w:r w:rsidR="00193F3C">
        <w:rPr>
          <w:bCs/>
        </w:rPr>
        <w:t xml:space="preserve">, </w:t>
      </w:r>
      <w:r w:rsidR="0017683D">
        <w:rPr>
          <w:bCs/>
        </w:rPr>
        <w:t>18 h, RT; (ii) primary amine (</w:t>
      </w:r>
      <w:r w:rsidR="0017683D">
        <w:rPr>
          <w:rFonts w:cs="Arial"/>
          <w:bCs/>
        </w:rPr>
        <w:t>≈</w:t>
      </w:r>
      <w:r w:rsidR="0017683D">
        <w:rPr>
          <w:bCs/>
        </w:rPr>
        <w:t>1.2 equiv.), iPr</w:t>
      </w:r>
      <w:r w:rsidR="0017683D" w:rsidRPr="0017683D">
        <w:rPr>
          <w:bCs/>
          <w:vertAlign w:val="subscript"/>
        </w:rPr>
        <w:t>2</w:t>
      </w:r>
      <w:r w:rsidR="0017683D">
        <w:rPr>
          <w:bCs/>
        </w:rPr>
        <w:t>NEt or Et</w:t>
      </w:r>
      <w:r w:rsidR="0017683D" w:rsidRPr="0017683D">
        <w:rPr>
          <w:bCs/>
          <w:vertAlign w:val="subscript"/>
        </w:rPr>
        <w:t>3</w:t>
      </w:r>
      <w:r w:rsidR="0017683D">
        <w:rPr>
          <w:bCs/>
        </w:rPr>
        <w:t>N (</w:t>
      </w:r>
      <w:r w:rsidR="0017683D">
        <w:rPr>
          <w:rFonts w:cs="Arial"/>
          <w:bCs/>
        </w:rPr>
        <w:t>≈3</w:t>
      </w:r>
      <w:r w:rsidR="0017683D">
        <w:rPr>
          <w:bCs/>
        </w:rPr>
        <w:t xml:space="preserve"> equiv.). THF, RT, 18–96 h</w:t>
      </w:r>
      <w:r w:rsidR="00BC7983">
        <w:rPr>
          <w:bCs/>
        </w:rPr>
        <w:t xml:space="preserve">; (iii) </w:t>
      </w:r>
      <w:r w:rsidR="00BC7983">
        <w:rPr>
          <w:b/>
        </w:rPr>
        <w:t xml:space="preserve">10c </w:t>
      </w:r>
      <w:r w:rsidR="00BC7983" w:rsidRPr="00BC7983">
        <w:rPr>
          <w:bCs/>
        </w:rPr>
        <w:t>(1 equiv.)</w:t>
      </w:r>
      <w:r w:rsidR="00BC7983">
        <w:rPr>
          <w:bCs/>
        </w:rPr>
        <w:t>, PhBr (1.5 equiv.), PdCl</w:t>
      </w:r>
      <w:r w:rsidR="00BC7983" w:rsidRPr="00BC7983">
        <w:rPr>
          <w:bCs/>
          <w:vertAlign w:val="subscript"/>
        </w:rPr>
        <w:t>2</w:t>
      </w:r>
      <w:r w:rsidR="00BC7983">
        <w:rPr>
          <w:bCs/>
        </w:rPr>
        <w:t>(dppf)</w:t>
      </w:r>
      <w:r w:rsidR="00BC7983">
        <w:rPr>
          <w:rFonts w:cs="Arial"/>
          <w:bCs/>
        </w:rPr>
        <w:t>·</w:t>
      </w:r>
      <w:r w:rsidR="00BC7983">
        <w:rPr>
          <w:bCs/>
        </w:rPr>
        <w:t>CH</w:t>
      </w:r>
      <w:r w:rsidR="00BC7983" w:rsidRPr="00BC7983">
        <w:rPr>
          <w:bCs/>
          <w:vertAlign w:val="subscript"/>
        </w:rPr>
        <w:t>2</w:t>
      </w:r>
      <w:r w:rsidR="00BC7983">
        <w:rPr>
          <w:bCs/>
        </w:rPr>
        <w:t>Cl</w:t>
      </w:r>
      <w:r w:rsidR="00BC7983" w:rsidRPr="00BC7983">
        <w:rPr>
          <w:bCs/>
          <w:vertAlign w:val="subscript"/>
        </w:rPr>
        <w:t>2</w:t>
      </w:r>
      <w:r w:rsidR="00BC7983">
        <w:rPr>
          <w:bCs/>
        </w:rPr>
        <w:t>, K</w:t>
      </w:r>
      <w:r w:rsidR="00BC7983" w:rsidRPr="00BC7983">
        <w:rPr>
          <w:bCs/>
          <w:vertAlign w:val="subscript"/>
        </w:rPr>
        <w:t>3</w:t>
      </w:r>
      <w:r w:rsidR="00BC7983">
        <w:rPr>
          <w:bCs/>
        </w:rPr>
        <w:t>PO</w:t>
      </w:r>
      <w:r w:rsidR="00BC7983" w:rsidRPr="00BC7983">
        <w:rPr>
          <w:bCs/>
          <w:vertAlign w:val="subscript"/>
        </w:rPr>
        <w:t>4</w:t>
      </w:r>
      <w:r w:rsidR="00BC7983">
        <w:rPr>
          <w:bCs/>
        </w:rPr>
        <w:t>, THF, H</w:t>
      </w:r>
      <w:r w:rsidR="00BC7983" w:rsidRPr="00BC7983">
        <w:rPr>
          <w:bCs/>
          <w:vertAlign w:val="subscript"/>
        </w:rPr>
        <w:t>2</w:t>
      </w:r>
      <w:r w:rsidR="00BC7983">
        <w:rPr>
          <w:bCs/>
        </w:rPr>
        <w:t xml:space="preserve">O, 67 </w:t>
      </w:r>
      <w:r w:rsidR="00BC7983">
        <w:rPr>
          <w:rFonts w:cs="Arial"/>
          <w:bCs/>
        </w:rPr>
        <w:t>°</w:t>
      </w:r>
      <w:r w:rsidR="00BC7983">
        <w:rPr>
          <w:bCs/>
        </w:rPr>
        <w:t>C.</w:t>
      </w:r>
      <w:r w:rsidR="00A474CF">
        <w:rPr>
          <w:bCs/>
        </w:rPr>
        <w:t xml:space="preserve"> T3P = p</w:t>
      </w:r>
      <w:r w:rsidR="00A474CF" w:rsidRPr="00A474CF">
        <w:rPr>
          <w:bCs/>
        </w:rPr>
        <w:t xml:space="preserve">ropylphosphonic </w:t>
      </w:r>
      <w:r w:rsidR="00A474CF">
        <w:rPr>
          <w:bCs/>
        </w:rPr>
        <w:t>a</w:t>
      </w:r>
      <w:r w:rsidR="00A474CF" w:rsidRPr="00A474CF">
        <w:rPr>
          <w:bCs/>
        </w:rPr>
        <w:t>nhydride</w:t>
      </w:r>
      <w:r w:rsidR="00BC7983">
        <w:rPr>
          <w:bCs/>
        </w:rPr>
        <w:t xml:space="preserve"> </w:t>
      </w:r>
    </w:p>
    <w:p w14:paraId="6E2D6AA0" w14:textId="2CBB5EE2" w:rsidR="0017683D" w:rsidRPr="0017683D" w:rsidRDefault="0017683D" w:rsidP="000D6362">
      <w:pPr>
        <w:pStyle w:val="SchemeCaption"/>
        <w:spacing w:before="0"/>
        <w:rPr>
          <w:bCs/>
        </w:rPr>
        <w:sectPr w:rsidR="0017683D" w:rsidRPr="0017683D" w:rsidSect="000A71E8">
          <w:type w:val="continuous"/>
          <w:pgSz w:w="11906" w:h="16838" w:code="9"/>
          <w:pgMar w:top="1673" w:right="936" w:bottom="1134" w:left="936" w:header="709" w:footer="709" w:gutter="0"/>
          <w:cols w:space="284"/>
          <w:docGrid w:linePitch="360"/>
        </w:sectPr>
      </w:pPr>
    </w:p>
    <w:bookmarkEnd w:id="0"/>
    <w:p w14:paraId="39BF2E1F" w14:textId="77777777" w:rsidR="0070306E" w:rsidRPr="0065243C" w:rsidRDefault="0070306E" w:rsidP="0070306E">
      <w:pPr>
        <w:pStyle w:val="P1"/>
        <w:spacing w:before="460" w:after="230" w:line="220" w:lineRule="atLeast"/>
        <w:rPr>
          <w:b/>
          <w:sz w:val="22"/>
          <w:szCs w:val="22"/>
        </w:rPr>
      </w:pPr>
      <w:r w:rsidRPr="0065243C">
        <w:rPr>
          <w:b/>
          <w:sz w:val="22"/>
          <w:szCs w:val="22"/>
        </w:rPr>
        <w:t>Conclusion</w:t>
      </w:r>
    </w:p>
    <w:p w14:paraId="765930E7" w14:textId="3807B000" w:rsidR="0070306E" w:rsidRPr="0065243C" w:rsidRDefault="00F52F95" w:rsidP="008B5BF5">
      <w:pPr>
        <w:pStyle w:val="P1withIndendation"/>
        <w:spacing w:after="0"/>
        <w:ind w:firstLine="0"/>
      </w:pPr>
      <w:r>
        <w:t>In summary, a modular approach has been developed and used to prepare</w:t>
      </w:r>
      <w:r w:rsidRPr="00851F7A">
        <w:t xml:space="preserve"> a library of </w:t>
      </w:r>
      <w:r w:rsidR="00E64C66">
        <w:t>42</w:t>
      </w:r>
      <w:r>
        <w:t xml:space="preserve"> </w:t>
      </w:r>
      <w:r w:rsidRPr="00851F7A">
        <w:t>diversely functionalised 13- and 14-membered macrocyclic sulfonamides</w:t>
      </w:r>
      <w:r>
        <w:t>, via 2 consecutive cascade ring expansion reactions.</w:t>
      </w:r>
      <w:r w:rsidR="00707483" w:rsidRPr="00707483">
        <w:rPr>
          <w:vertAlign w:val="superscript"/>
        </w:rPr>
        <w:t>[18]</w:t>
      </w:r>
      <w:r w:rsidRPr="00851F7A">
        <w:t xml:space="preserve"> </w:t>
      </w:r>
      <w:r>
        <w:t xml:space="preserve">After synthesis of the linear precursor, cyclisation to form a 5- or 6-membered ring reactive intermediate is followed by ring expansion to a 9/10-membered ring, and then expansion via a different pathway to form a 13- or 14-membered </w:t>
      </w:r>
      <w:r>
        <w:t xml:space="preserve">macrocyclic product. Sequentially </w:t>
      </w:r>
      <w:r w:rsidR="008B5BF5">
        <w:t>‘</w:t>
      </w:r>
      <w:r>
        <w:t>growing</w:t>
      </w:r>
      <w:r w:rsidR="008B5BF5">
        <w:t>’</w:t>
      </w:r>
      <w:r>
        <w:t xml:space="preserve"> the macrocycle via ring expansion reactions in this way </w:t>
      </w:r>
      <w:r w:rsidR="008B5BF5">
        <w:t xml:space="preserve">– exclusively </w:t>
      </w:r>
      <w:r>
        <w:t>via 5- or 6-mem</w:t>
      </w:r>
      <w:r w:rsidR="00915C4D">
        <w:t>b</w:t>
      </w:r>
      <w:r>
        <w:t xml:space="preserve">ered ring intermediates </w:t>
      </w:r>
      <w:r w:rsidR="008B5BF5">
        <w:t xml:space="preserve">– </w:t>
      </w:r>
      <w:r>
        <w:t>is a key design principle</w:t>
      </w:r>
      <w:r w:rsidR="008B5BF5">
        <w:t>. This</w:t>
      </w:r>
      <w:r>
        <w:t xml:space="preserve"> ensur</w:t>
      </w:r>
      <w:r w:rsidR="008B5BF5">
        <w:t>es</w:t>
      </w:r>
      <w:r>
        <w:t xml:space="preserve"> that the target macrocycles can be isolated in good overall yields without having to rely on high dilution conditions to avoid intermolecular side reactions. </w:t>
      </w:r>
      <w:r w:rsidR="008B5BF5">
        <w:t>As the toolbox of useful ring expansion reactions grow</w:t>
      </w:r>
      <w:r w:rsidR="005E45ED">
        <w:t>s</w:t>
      </w:r>
      <w:r w:rsidR="008B5BF5">
        <w:t>,</w:t>
      </w:r>
      <w:r w:rsidR="008B5BF5" w:rsidRPr="008B5BF5">
        <w:rPr>
          <w:vertAlign w:val="superscript"/>
        </w:rPr>
        <w:t xml:space="preserve">[10-12] </w:t>
      </w:r>
      <w:r w:rsidR="003A251F">
        <w:t>it is likely</w:t>
      </w:r>
      <w:r w:rsidR="005E45ED">
        <w:t xml:space="preserve"> that new ways to perform the reactions in parallel, or combine them into single cascade processes, will emerge</w:t>
      </w:r>
      <w:r w:rsidR="003A251F">
        <w:t xml:space="preserve">. As this happens, it is our hope </w:t>
      </w:r>
      <w:r w:rsidR="003A251F">
        <w:lastRenderedPageBreak/>
        <w:t xml:space="preserve">that the use of consecutive ring expansion reactions to ‘grow’ macrocycles will continue to develop, and become established as a go-to synthetic strategy for the synthesis of functionalised macrocycles, as </w:t>
      </w:r>
      <w:r w:rsidR="00353F01">
        <w:t xml:space="preserve">an </w:t>
      </w:r>
      <w:r w:rsidR="003A251F">
        <w:t>alternative to high-dilution end-to-end cyclisation.</w:t>
      </w:r>
    </w:p>
    <w:p w14:paraId="2D23D60B" w14:textId="77777777" w:rsidR="00151539" w:rsidRPr="0065243C" w:rsidRDefault="00151539" w:rsidP="00151539">
      <w:pPr>
        <w:pStyle w:val="HAcknowledgements"/>
        <w:rPr>
          <w:color w:val="FF0000"/>
        </w:rPr>
      </w:pPr>
      <w:r w:rsidRPr="0065243C">
        <w:t>Acknowledgements</w:t>
      </w:r>
    </w:p>
    <w:p w14:paraId="52D733B8" w14:textId="76AAEF18" w:rsidR="00151539" w:rsidRDefault="00651544" w:rsidP="00151539">
      <w:pPr>
        <w:pStyle w:val="P1"/>
      </w:pPr>
      <w:r w:rsidRPr="00D452B4">
        <w:t xml:space="preserve">The authors would like to thank </w:t>
      </w:r>
      <w:r w:rsidR="00D452B4" w:rsidRPr="00D452B4">
        <w:t>the York Graduate Research School for supporting W. E. O with a YGRS PhD scholarship</w:t>
      </w:r>
      <w:r w:rsidR="00D452B4">
        <w:t>,</w:t>
      </w:r>
      <w:r w:rsidR="002A203F">
        <w:t xml:space="preserve"> and AstraZeneca and the EPSRC (</w:t>
      </w:r>
      <w:r w:rsidR="002A203F" w:rsidRPr="002A203F">
        <w:t>EP/Z53092X/1</w:t>
      </w:r>
      <w:r w:rsidR="002A203F">
        <w:t>) for funding the PhD studentship of B. J. K</w:t>
      </w:r>
      <w:r w:rsidR="00D452B4">
        <w:t xml:space="preserve">. </w:t>
      </w:r>
    </w:p>
    <w:p w14:paraId="7B5A3DD8" w14:textId="77777777" w:rsidR="00A474CF" w:rsidRDefault="00A474CF" w:rsidP="00151539">
      <w:pPr>
        <w:pStyle w:val="P1"/>
      </w:pPr>
    </w:p>
    <w:p w14:paraId="318FCDC8" w14:textId="5B9EF03E" w:rsidR="00A474CF" w:rsidRPr="0065243C" w:rsidRDefault="00A474CF" w:rsidP="00151539">
      <w:pPr>
        <w:pStyle w:val="P1"/>
      </w:pPr>
      <w:r>
        <w:t xml:space="preserve">We would like to dedicate this manuscript to </w:t>
      </w:r>
      <w:r w:rsidRPr="00A474CF">
        <w:t xml:space="preserve">Professor Steven V. Ley CBE FMedSci FRS </w:t>
      </w:r>
      <w:r>
        <w:t>to commemorate his</w:t>
      </w:r>
      <w:r w:rsidRPr="00A474CF">
        <w:t xml:space="preserve"> 80th birthday</w:t>
      </w:r>
      <w:r>
        <w:t xml:space="preserve"> and to honour his countless outstanding contributions to the advancement of organic synthesis.</w:t>
      </w:r>
    </w:p>
    <w:p w14:paraId="24E7FDE0" w14:textId="43AB28CC" w:rsidR="00151539" w:rsidRPr="0065243C" w:rsidRDefault="00151539" w:rsidP="00151539">
      <w:pPr>
        <w:pStyle w:val="Keywords"/>
      </w:pPr>
      <w:r w:rsidRPr="00D452B4">
        <w:rPr>
          <w:b/>
        </w:rPr>
        <w:t>Keywords:</w:t>
      </w:r>
      <w:r w:rsidRPr="00D452B4">
        <w:t xml:space="preserve"> </w:t>
      </w:r>
      <w:r w:rsidR="00D452B4" w:rsidRPr="00D452B4">
        <w:t>macrocycle</w:t>
      </w:r>
      <w:r w:rsidRPr="00D452B4">
        <w:t xml:space="preserve"> • </w:t>
      </w:r>
      <w:r w:rsidR="00651544" w:rsidRPr="00D452B4">
        <w:t xml:space="preserve">sulfonamide </w:t>
      </w:r>
      <w:r w:rsidRPr="00D452B4">
        <w:t xml:space="preserve">• </w:t>
      </w:r>
      <w:r w:rsidR="007335F8" w:rsidRPr="00D452B4">
        <w:t>ring expansion</w:t>
      </w:r>
      <w:r w:rsidRPr="00D452B4">
        <w:t xml:space="preserve"> • </w:t>
      </w:r>
      <w:r w:rsidR="00D452B4" w:rsidRPr="00D452B4">
        <w:t>cascade reaction</w:t>
      </w:r>
      <w:r w:rsidR="00E95EBC">
        <w:t xml:space="preserve"> </w:t>
      </w:r>
      <w:r w:rsidR="00E95EBC" w:rsidRPr="00D452B4">
        <w:t xml:space="preserve">• </w:t>
      </w:r>
      <w:r w:rsidR="00E95EBC">
        <w:t>rearrangement</w:t>
      </w:r>
    </w:p>
    <w:p w14:paraId="5C5CE0F3" w14:textId="47888446" w:rsidR="0093307A" w:rsidRPr="0093307A" w:rsidRDefault="00952AF7" w:rsidP="0093307A">
      <w:pPr>
        <w:pStyle w:val="References"/>
      </w:pPr>
      <w:r w:rsidRPr="0065243C">
        <w:t>[1]</w:t>
      </w:r>
      <w:r w:rsidRPr="0065243C">
        <w:tab/>
      </w:r>
      <w:r w:rsidR="00224C3B">
        <w:t xml:space="preserve">(a) R. Bentley, </w:t>
      </w:r>
      <w:r w:rsidR="00224C3B">
        <w:rPr>
          <w:i/>
          <w:iCs/>
        </w:rPr>
        <w:t xml:space="preserve">Chem. Soc. Rev. </w:t>
      </w:r>
      <w:r w:rsidR="00224C3B">
        <w:rPr>
          <w:b/>
          <w:bCs/>
        </w:rPr>
        <w:t>2005</w:t>
      </w:r>
      <w:r w:rsidR="00224C3B">
        <w:t xml:space="preserve">, </w:t>
      </w:r>
      <w:r w:rsidR="00224C3B">
        <w:rPr>
          <w:i/>
          <w:iCs/>
        </w:rPr>
        <w:t>34</w:t>
      </w:r>
      <w:r w:rsidR="00224C3B">
        <w:t xml:space="preserve">, 609–624; </w:t>
      </w:r>
      <w:r w:rsidR="0093307A">
        <w:t>(</w:t>
      </w:r>
      <w:r w:rsidR="00224C3B">
        <w:t>b</w:t>
      </w:r>
      <w:r w:rsidR="0093307A">
        <w:t xml:space="preserve">) </w:t>
      </w:r>
      <w:r w:rsidR="0093307A" w:rsidRPr="002B4307">
        <w:t xml:space="preserve">C. Zhao, K. P. Rakesh, L. Ravindar, W.-Y. Fang, H.-L. Qin </w:t>
      </w:r>
      <w:r w:rsidR="0093307A" w:rsidRPr="002B4307">
        <w:rPr>
          <w:i/>
          <w:iCs/>
        </w:rPr>
        <w:t>Eur.</w:t>
      </w:r>
      <w:r w:rsidR="0093307A" w:rsidRPr="002B4307">
        <w:t xml:space="preserve"> </w:t>
      </w:r>
      <w:r w:rsidR="0093307A" w:rsidRPr="002B4307">
        <w:rPr>
          <w:i/>
          <w:iCs/>
        </w:rPr>
        <w:t>J. Med. Chem</w:t>
      </w:r>
      <w:r w:rsidR="0093307A" w:rsidRPr="002B4307">
        <w:t xml:space="preserve">. </w:t>
      </w:r>
      <w:r w:rsidR="0093307A" w:rsidRPr="002B4307">
        <w:rPr>
          <w:b/>
          <w:bCs/>
        </w:rPr>
        <w:t>2019</w:t>
      </w:r>
      <w:r w:rsidR="0093307A" w:rsidRPr="002B4307">
        <w:t xml:space="preserve">, </w:t>
      </w:r>
      <w:r w:rsidR="0093307A" w:rsidRPr="002B4307">
        <w:rPr>
          <w:i/>
          <w:iCs/>
        </w:rPr>
        <w:t>162</w:t>
      </w:r>
      <w:r w:rsidR="0093307A" w:rsidRPr="002B4307">
        <w:t>, 679</w:t>
      </w:r>
      <w:r w:rsidR="00BB4CE1">
        <w:t>–</w:t>
      </w:r>
      <w:r w:rsidR="0093307A" w:rsidRPr="002B4307">
        <w:t>734</w:t>
      </w:r>
      <w:r w:rsidR="0093307A">
        <w:t>; (</w:t>
      </w:r>
      <w:r w:rsidR="00224C3B">
        <w:t>c</w:t>
      </w:r>
      <w:r w:rsidR="0093307A">
        <w:t xml:space="preserve">) T. Wei, H.-L. Wang, Y. Tian, M.-S. Xie, H.-M. Guo, </w:t>
      </w:r>
      <w:r w:rsidR="0093307A">
        <w:rPr>
          <w:i/>
          <w:iCs/>
        </w:rPr>
        <w:t xml:space="preserve">Nat. Chem. </w:t>
      </w:r>
      <w:r w:rsidR="0093307A">
        <w:rPr>
          <w:b/>
          <w:bCs/>
        </w:rPr>
        <w:t>2024</w:t>
      </w:r>
      <w:r w:rsidR="0093307A">
        <w:t xml:space="preserve">, </w:t>
      </w:r>
      <w:r w:rsidR="0093307A">
        <w:rPr>
          <w:i/>
          <w:iCs/>
        </w:rPr>
        <w:t>16</w:t>
      </w:r>
      <w:r w:rsidR="0093307A">
        <w:t>, 1301–1311.</w:t>
      </w:r>
    </w:p>
    <w:p w14:paraId="722EB546" w14:textId="2DDFCE20" w:rsidR="0093307A" w:rsidRPr="002B4307" w:rsidRDefault="0093307A" w:rsidP="0093307A">
      <w:pPr>
        <w:pStyle w:val="References"/>
      </w:pPr>
      <w:r w:rsidRPr="002B4307">
        <w:t>[2]</w:t>
      </w:r>
      <w:r w:rsidRPr="002B4307">
        <w:tab/>
        <w:t xml:space="preserve">(a) A. Ovung, J. Bhattachatyya, </w:t>
      </w:r>
      <w:r w:rsidRPr="002B4307">
        <w:rPr>
          <w:i/>
          <w:iCs/>
        </w:rPr>
        <w:t>Biophys. Rev</w:t>
      </w:r>
      <w:r w:rsidRPr="002B4307">
        <w:t xml:space="preserve">. </w:t>
      </w:r>
      <w:r w:rsidRPr="002B4307">
        <w:rPr>
          <w:b/>
          <w:bCs/>
        </w:rPr>
        <w:t>2021</w:t>
      </w:r>
      <w:r w:rsidRPr="002B4307">
        <w:t xml:space="preserve">, </w:t>
      </w:r>
      <w:r w:rsidRPr="002B4307">
        <w:rPr>
          <w:i/>
          <w:iCs/>
        </w:rPr>
        <w:t>13</w:t>
      </w:r>
      <w:r w:rsidRPr="002B4307">
        <w:t>, 259</w:t>
      </w:r>
      <w:r w:rsidR="00BB4CE1">
        <w:t>–</w:t>
      </w:r>
      <w:r w:rsidRPr="002B4307">
        <w:t xml:space="preserve">272; (b) G. H. Elgemeie, R. A. Azzam, R. E. Elsayed, </w:t>
      </w:r>
      <w:r w:rsidRPr="002B4307">
        <w:rPr>
          <w:i/>
          <w:iCs/>
        </w:rPr>
        <w:t>Med. Chem. Res</w:t>
      </w:r>
      <w:r w:rsidRPr="002B4307">
        <w:t xml:space="preserve">. </w:t>
      </w:r>
      <w:r w:rsidRPr="002B4307">
        <w:rPr>
          <w:b/>
          <w:bCs/>
        </w:rPr>
        <w:t>2019</w:t>
      </w:r>
      <w:r w:rsidRPr="002B4307">
        <w:t xml:space="preserve">, </w:t>
      </w:r>
      <w:r w:rsidRPr="002B4307">
        <w:rPr>
          <w:i/>
          <w:iCs/>
        </w:rPr>
        <w:t>28</w:t>
      </w:r>
      <w:r w:rsidRPr="002B4307">
        <w:t>, 1099</w:t>
      </w:r>
      <w:r w:rsidR="00BB4CE1">
        <w:t>–</w:t>
      </w:r>
      <w:r w:rsidRPr="002B4307">
        <w:t xml:space="preserve">1131. </w:t>
      </w:r>
    </w:p>
    <w:p w14:paraId="04ED26F5" w14:textId="463592EF" w:rsidR="0093307A" w:rsidRPr="00F7012A" w:rsidRDefault="0093307A" w:rsidP="0093307A">
      <w:pPr>
        <w:pStyle w:val="References"/>
      </w:pPr>
      <w:r w:rsidRPr="002B4307">
        <w:t>[3]</w:t>
      </w:r>
      <w:r w:rsidRPr="002B4307">
        <w:tab/>
        <w:t xml:space="preserve">(a) K. C. Majumdar, S. Mondal, </w:t>
      </w:r>
      <w:r w:rsidRPr="002B4307">
        <w:rPr>
          <w:i/>
          <w:iCs/>
        </w:rPr>
        <w:t>Chem. Rev</w:t>
      </w:r>
      <w:r w:rsidRPr="002B4307">
        <w:t xml:space="preserve">. </w:t>
      </w:r>
      <w:r w:rsidRPr="002B4307">
        <w:rPr>
          <w:b/>
          <w:bCs/>
        </w:rPr>
        <w:t>2011</w:t>
      </w:r>
      <w:r w:rsidRPr="002B4307">
        <w:t xml:space="preserve">, </w:t>
      </w:r>
      <w:r w:rsidRPr="002B4307">
        <w:rPr>
          <w:i/>
          <w:iCs/>
        </w:rPr>
        <w:t>111</w:t>
      </w:r>
      <w:r w:rsidRPr="002B4307">
        <w:t>, 7749</w:t>
      </w:r>
      <w:r w:rsidR="00BB4CE1">
        <w:t>–</w:t>
      </w:r>
      <w:r w:rsidRPr="002B4307">
        <w:t xml:space="preserve">7773; (b) L. Kiefer, T. Gorojankina, P. Dauban, H. Faure, M. Ruat, R. H. Dodd, </w:t>
      </w:r>
      <w:r w:rsidRPr="002B4307">
        <w:rPr>
          <w:i/>
          <w:iCs/>
        </w:rPr>
        <w:t>Bioorg. Med. Chem</w:t>
      </w:r>
      <w:r w:rsidRPr="002B4307">
        <w:t xml:space="preserve">. </w:t>
      </w:r>
      <w:r w:rsidRPr="002B4307">
        <w:rPr>
          <w:i/>
          <w:iCs/>
        </w:rPr>
        <w:t>Lett</w:t>
      </w:r>
      <w:r w:rsidRPr="002B4307">
        <w:t xml:space="preserve">. </w:t>
      </w:r>
      <w:r w:rsidRPr="002B4307">
        <w:rPr>
          <w:b/>
          <w:bCs/>
        </w:rPr>
        <w:t>2010</w:t>
      </w:r>
      <w:r w:rsidRPr="002B4307">
        <w:t xml:space="preserve">, </w:t>
      </w:r>
      <w:r w:rsidRPr="002B4307">
        <w:rPr>
          <w:i/>
          <w:iCs/>
        </w:rPr>
        <w:t>20</w:t>
      </w:r>
      <w:r w:rsidRPr="002B4307">
        <w:t xml:space="preserve">, 7483-7487; (c) T. B. Samarakoon, J. K. Loh, A. Rolfe, L. S. Le, S. Y. Yoon, G. H. Lushington, P. R. Hanson </w:t>
      </w:r>
      <w:r w:rsidRPr="002B4307">
        <w:rPr>
          <w:i/>
          <w:iCs/>
        </w:rPr>
        <w:t xml:space="preserve">Org. Lett. </w:t>
      </w:r>
      <w:r w:rsidRPr="002B4307">
        <w:rPr>
          <w:b/>
          <w:bCs/>
        </w:rPr>
        <w:t>2011</w:t>
      </w:r>
      <w:r w:rsidRPr="002B4307">
        <w:t xml:space="preserve">, </w:t>
      </w:r>
      <w:r w:rsidRPr="002B4307">
        <w:rPr>
          <w:i/>
          <w:iCs/>
        </w:rPr>
        <w:t>13</w:t>
      </w:r>
      <w:r w:rsidRPr="002B4307">
        <w:t>, 5148</w:t>
      </w:r>
      <w:r w:rsidR="00BB4CE1">
        <w:t>–</w:t>
      </w:r>
      <w:r w:rsidRPr="002B4307">
        <w:t xml:space="preserve">5151; (d) A. M. Teema, S. A. Zaitone, Y. M. Moustafa </w:t>
      </w:r>
      <w:r w:rsidRPr="002B4307">
        <w:rPr>
          <w:i/>
          <w:iCs/>
        </w:rPr>
        <w:t>Neuropharmacology</w:t>
      </w:r>
      <w:r w:rsidRPr="002B4307">
        <w:t xml:space="preserve">. </w:t>
      </w:r>
      <w:r w:rsidRPr="002B4307">
        <w:rPr>
          <w:b/>
          <w:bCs/>
        </w:rPr>
        <w:t>2016</w:t>
      </w:r>
      <w:r w:rsidRPr="002B4307">
        <w:t xml:space="preserve">, </w:t>
      </w:r>
      <w:r w:rsidRPr="002B4307">
        <w:rPr>
          <w:i/>
          <w:iCs/>
        </w:rPr>
        <w:t>107</w:t>
      </w:r>
      <w:r w:rsidRPr="002B4307">
        <w:t>, 432</w:t>
      </w:r>
      <w:r w:rsidR="00BB4CE1">
        <w:t>–</w:t>
      </w:r>
      <w:r w:rsidRPr="002B4307">
        <w:t xml:space="preserve">450; (e) S. Debnath, S. Mondal, </w:t>
      </w:r>
      <w:r w:rsidRPr="002B4307">
        <w:rPr>
          <w:i/>
          <w:iCs/>
        </w:rPr>
        <w:t>Eur. J. Org. Chem</w:t>
      </w:r>
      <w:r w:rsidRPr="002B4307">
        <w:t xml:space="preserve">. </w:t>
      </w:r>
      <w:r w:rsidRPr="002B4307">
        <w:rPr>
          <w:b/>
          <w:bCs/>
        </w:rPr>
        <w:t>2018</w:t>
      </w:r>
      <w:r w:rsidRPr="002B4307">
        <w:t>, 933</w:t>
      </w:r>
      <w:r w:rsidR="00BB4CE1">
        <w:t>–</w:t>
      </w:r>
      <w:r w:rsidRPr="002B4307">
        <w:t xml:space="preserve">956; (f) S. Zimmermann, M. Akbarzadeh, F. Otte, C. Strohmann, M. G. Sankar, S. Ziegler, A. Pahl, S. Sievers, K. Kumar, </w:t>
      </w:r>
      <w:r w:rsidRPr="002B4307">
        <w:rPr>
          <w:i/>
          <w:iCs/>
        </w:rPr>
        <w:t>Chem. Eur. J</w:t>
      </w:r>
      <w:r w:rsidRPr="002B4307">
        <w:t xml:space="preserve">. </w:t>
      </w:r>
      <w:r w:rsidRPr="002B4307">
        <w:rPr>
          <w:b/>
          <w:bCs/>
        </w:rPr>
        <w:t>2019</w:t>
      </w:r>
      <w:r w:rsidRPr="002B4307">
        <w:t xml:space="preserve">, </w:t>
      </w:r>
      <w:r w:rsidRPr="002B4307">
        <w:rPr>
          <w:i/>
          <w:iCs/>
        </w:rPr>
        <w:t>25</w:t>
      </w:r>
      <w:r w:rsidRPr="002B4307">
        <w:t>, 15498</w:t>
      </w:r>
      <w:r w:rsidR="00BB4CE1">
        <w:t>–</w:t>
      </w:r>
      <w:r w:rsidRPr="002B4307">
        <w:t xml:space="preserve">15503; (g) Y. S. Shin, J. Y. Lee, S. Noh, Y. Kwak, S. Jeon, S. Kwon, Y.-H. Jin, M. S. Jang, S. </w:t>
      </w:r>
      <w:r w:rsidRPr="00F7012A">
        <w:t xml:space="preserve">Kim, J. H. Song, H. R. Kim, C. M. Park, Bioorg. </w:t>
      </w:r>
      <w:r w:rsidRPr="00F7012A">
        <w:rPr>
          <w:i/>
          <w:iCs/>
        </w:rPr>
        <w:t>Med. Chem. Lett.</w:t>
      </w:r>
      <w:r w:rsidRPr="00F7012A">
        <w:t xml:space="preserve"> </w:t>
      </w:r>
      <w:r w:rsidRPr="00F7012A">
        <w:rPr>
          <w:b/>
          <w:bCs/>
        </w:rPr>
        <w:t>2021</w:t>
      </w:r>
      <w:r w:rsidRPr="00F7012A">
        <w:t xml:space="preserve">, </w:t>
      </w:r>
      <w:r w:rsidRPr="00F7012A">
        <w:rPr>
          <w:i/>
          <w:iCs/>
        </w:rPr>
        <w:t>31</w:t>
      </w:r>
      <w:r w:rsidRPr="00F7012A">
        <w:t xml:space="preserve">, 127667; (h) G. Mengheres, C. R. Rice, O. A. Olajide, K. Hemming, Bioorg. </w:t>
      </w:r>
      <w:r w:rsidRPr="00F7012A">
        <w:rPr>
          <w:i/>
          <w:iCs/>
        </w:rPr>
        <w:t>Med. Chem. Lett</w:t>
      </w:r>
      <w:r w:rsidRPr="00F7012A">
        <w:t xml:space="preserve">. </w:t>
      </w:r>
      <w:r w:rsidRPr="00F7012A">
        <w:rPr>
          <w:b/>
          <w:bCs/>
        </w:rPr>
        <w:t>2021</w:t>
      </w:r>
      <w:r w:rsidRPr="00F7012A">
        <w:t xml:space="preserve">, </w:t>
      </w:r>
      <w:r w:rsidRPr="00F7012A">
        <w:rPr>
          <w:i/>
          <w:iCs/>
        </w:rPr>
        <w:t>34</w:t>
      </w:r>
      <w:r w:rsidRPr="00F7012A">
        <w:t>, 127761.</w:t>
      </w:r>
    </w:p>
    <w:p w14:paraId="498B949E" w14:textId="03C5F28B" w:rsidR="00F7012A" w:rsidRPr="00F7012A" w:rsidRDefault="001E5A42" w:rsidP="00F7012A">
      <w:pPr>
        <w:pStyle w:val="References"/>
      </w:pPr>
      <w:r w:rsidRPr="00F7012A">
        <w:t>[4]</w:t>
      </w:r>
      <w:r w:rsidRPr="00F7012A">
        <w:tab/>
      </w:r>
      <w:r w:rsidR="00F7012A" w:rsidRPr="00F7012A">
        <w:t xml:space="preserve">For macrocycles in medicinal chemistry, see: (a) E. M. Driggers, S. P. Hale, J. Lee, N. K. Terrett, </w:t>
      </w:r>
      <w:r w:rsidR="00F7012A" w:rsidRPr="00F7012A">
        <w:rPr>
          <w:i/>
        </w:rPr>
        <w:t xml:space="preserve">Nat. Rev. Drug Discov. </w:t>
      </w:r>
      <w:r w:rsidR="00F7012A" w:rsidRPr="00F7012A">
        <w:rPr>
          <w:b/>
        </w:rPr>
        <w:t>2008</w:t>
      </w:r>
      <w:r w:rsidR="00F7012A" w:rsidRPr="00F7012A">
        <w:t xml:space="preserve">, </w:t>
      </w:r>
      <w:r w:rsidR="00F7012A" w:rsidRPr="00F7012A">
        <w:rPr>
          <w:i/>
        </w:rPr>
        <w:t>7</w:t>
      </w:r>
      <w:r w:rsidR="00F7012A" w:rsidRPr="00F7012A">
        <w:t xml:space="preserve">, 608; (b) E. Marsault, M. L. Peterson, </w:t>
      </w:r>
      <w:r w:rsidR="00F7012A" w:rsidRPr="00F7012A">
        <w:rPr>
          <w:i/>
        </w:rPr>
        <w:t xml:space="preserve">J. Med. Chem. </w:t>
      </w:r>
      <w:r w:rsidR="00F7012A" w:rsidRPr="00F7012A">
        <w:rPr>
          <w:b/>
        </w:rPr>
        <w:t>2011</w:t>
      </w:r>
      <w:r w:rsidR="00F7012A" w:rsidRPr="00F7012A">
        <w:t xml:space="preserve">, </w:t>
      </w:r>
      <w:r w:rsidR="00F7012A" w:rsidRPr="00F7012A">
        <w:rPr>
          <w:i/>
        </w:rPr>
        <w:t>54</w:t>
      </w:r>
      <w:r w:rsidR="00F7012A" w:rsidRPr="00F7012A">
        <w:t xml:space="preserve">, 1961; (c) F. Giordanetto, J. Kihlberg </w:t>
      </w:r>
      <w:r w:rsidR="00F7012A" w:rsidRPr="00F7012A">
        <w:rPr>
          <w:i/>
        </w:rPr>
        <w:t xml:space="preserve">J. Med. Chem. </w:t>
      </w:r>
      <w:r w:rsidR="00F7012A" w:rsidRPr="00F7012A">
        <w:rPr>
          <w:b/>
        </w:rPr>
        <w:t>2014</w:t>
      </w:r>
      <w:r w:rsidR="00F7012A" w:rsidRPr="00F7012A">
        <w:t xml:space="preserve">, </w:t>
      </w:r>
      <w:r w:rsidR="00F7012A" w:rsidRPr="00F7012A">
        <w:rPr>
          <w:i/>
        </w:rPr>
        <w:t>57</w:t>
      </w:r>
      <w:r w:rsidR="00F7012A" w:rsidRPr="00F7012A">
        <w:t xml:space="preserve">, 278; (d) A. K. Yudin, </w:t>
      </w:r>
      <w:r w:rsidR="00F7012A" w:rsidRPr="00F7012A">
        <w:rPr>
          <w:i/>
        </w:rPr>
        <w:t>Chem. Sci</w:t>
      </w:r>
      <w:r w:rsidR="00F7012A" w:rsidRPr="00F7012A">
        <w:t xml:space="preserve">. </w:t>
      </w:r>
      <w:r w:rsidR="00F7012A" w:rsidRPr="00F7012A">
        <w:rPr>
          <w:b/>
        </w:rPr>
        <w:t>2015</w:t>
      </w:r>
      <w:r w:rsidR="00F7012A" w:rsidRPr="00F7012A">
        <w:t xml:space="preserve">, </w:t>
      </w:r>
      <w:r w:rsidR="00F7012A" w:rsidRPr="00F7012A">
        <w:rPr>
          <w:i/>
        </w:rPr>
        <w:t>6</w:t>
      </w:r>
      <w:r w:rsidR="00F7012A" w:rsidRPr="00F7012A">
        <w:t>, 30.</w:t>
      </w:r>
    </w:p>
    <w:p w14:paraId="5452DA21" w14:textId="261DB272" w:rsidR="00F7012A" w:rsidRPr="0060207A" w:rsidRDefault="001E5A42" w:rsidP="00F7012A">
      <w:pPr>
        <w:pStyle w:val="References"/>
      </w:pPr>
      <w:r w:rsidRPr="00F7012A">
        <w:t>[5]</w:t>
      </w:r>
      <w:r w:rsidRPr="00F7012A">
        <w:tab/>
      </w:r>
      <w:r w:rsidR="00F7012A" w:rsidRPr="00F7012A">
        <w:t>For medium-sized rings in medicinal chemistry, see: (a) K. R. Romines, K. D. Watenpaugh, P. K. Tomich, W. J. Howe, J. K. Morris, K. D. Lovasz, A. M. Mulichak</w:t>
      </w:r>
      <w:r w:rsidR="00F7012A" w:rsidRPr="0060207A">
        <w:t xml:space="preserve">, B. C. Finze, J. C. Lynn, M.-M. Horng, F. J. Schwende, M. J. Ruwart, G. L. Zipp, K.-T. Chong, L. A. Dolak, L. N. Toth, G. M. Howard, B. D. Rush, K. F. Wilkinson, P. L. Possert, R. J. Dalga, R. R. Hinshaw, </w:t>
      </w:r>
      <w:r w:rsidR="00F7012A" w:rsidRPr="0060207A">
        <w:rPr>
          <w:i/>
        </w:rPr>
        <w:t>J. Med. Chem</w:t>
      </w:r>
      <w:r w:rsidR="00F7012A" w:rsidRPr="0060207A">
        <w:t xml:space="preserve">. </w:t>
      </w:r>
      <w:r w:rsidR="00F7012A" w:rsidRPr="0060207A">
        <w:rPr>
          <w:b/>
        </w:rPr>
        <w:t>1995</w:t>
      </w:r>
      <w:r w:rsidR="00F7012A" w:rsidRPr="0060207A">
        <w:t xml:space="preserve">, 38, 1884; (b) T. P. Majhi, B. Achari, P. Chattopadhyay, </w:t>
      </w:r>
      <w:r w:rsidR="00F7012A" w:rsidRPr="0060207A">
        <w:rPr>
          <w:i/>
        </w:rPr>
        <w:t xml:space="preserve">Heterocycles </w:t>
      </w:r>
      <w:r w:rsidR="00F7012A" w:rsidRPr="0060207A">
        <w:rPr>
          <w:b/>
        </w:rPr>
        <w:t>2007</w:t>
      </w:r>
      <w:r w:rsidR="00F7012A" w:rsidRPr="0060207A">
        <w:t xml:space="preserve">, </w:t>
      </w:r>
      <w:r w:rsidR="00F7012A" w:rsidRPr="0060207A">
        <w:rPr>
          <w:i/>
        </w:rPr>
        <w:t>71</w:t>
      </w:r>
      <w:r w:rsidR="00F7012A" w:rsidRPr="0060207A">
        <w:t xml:space="preserve">, 1011; (c) F. Kopp, C. F. Stratton, L. B. Akella, D. S. Tan, </w:t>
      </w:r>
      <w:r w:rsidR="00F7012A" w:rsidRPr="0060207A">
        <w:rPr>
          <w:i/>
        </w:rPr>
        <w:t xml:space="preserve">Nat. Chem. Bio. </w:t>
      </w:r>
      <w:r w:rsidR="00F7012A" w:rsidRPr="0060207A">
        <w:rPr>
          <w:b/>
        </w:rPr>
        <w:t>2012</w:t>
      </w:r>
      <w:r w:rsidR="00F7012A" w:rsidRPr="0060207A">
        <w:t xml:space="preserve">, </w:t>
      </w:r>
      <w:r w:rsidR="00F7012A" w:rsidRPr="0060207A">
        <w:rPr>
          <w:i/>
        </w:rPr>
        <w:t>8</w:t>
      </w:r>
      <w:r w:rsidR="00F7012A" w:rsidRPr="0060207A">
        <w:t xml:space="preserve">, 358; (d) R. A. Bauer, T. A. Wenderski, D. S. Tan, </w:t>
      </w:r>
      <w:r w:rsidR="00F7012A" w:rsidRPr="0060207A">
        <w:rPr>
          <w:i/>
        </w:rPr>
        <w:t xml:space="preserve">Nat. Chem. Bio. </w:t>
      </w:r>
      <w:r w:rsidR="00F7012A" w:rsidRPr="0060207A">
        <w:rPr>
          <w:b/>
        </w:rPr>
        <w:t>2013</w:t>
      </w:r>
      <w:r w:rsidR="00F7012A" w:rsidRPr="0060207A">
        <w:t xml:space="preserve">, </w:t>
      </w:r>
      <w:r w:rsidR="00F7012A" w:rsidRPr="0060207A">
        <w:rPr>
          <w:i/>
        </w:rPr>
        <w:t>9</w:t>
      </w:r>
      <w:r w:rsidR="00F7012A" w:rsidRPr="0060207A">
        <w:t>, 21.</w:t>
      </w:r>
    </w:p>
    <w:p w14:paraId="01E0A203" w14:textId="1711D3DB" w:rsidR="00681864" w:rsidRDefault="00497218" w:rsidP="00681864">
      <w:pPr>
        <w:pStyle w:val="References"/>
      </w:pPr>
      <w:r>
        <w:t>[6]</w:t>
      </w:r>
      <w:r>
        <w:tab/>
      </w:r>
      <w:r w:rsidR="00F7012A">
        <w:t xml:space="preserve">(a) N. S. Robertson, D. R. Spring, </w:t>
      </w:r>
      <w:r w:rsidR="00F7012A">
        <w:rPr>
          <w:i/>
          <w:iCs/>
        </w:rPr>
        <w:t>Molecules</w:t>
      </w:r>
      <w:r w:rsidR="00F7012A">
        <w:t xml:space="preserve">, </w:t>
      </w:r>
      <w:r w:rsidR="00F7012A">
        <w:rPr>
          <w:b/>
          <w:bCs/>
        </w:rPr>
        <w:t>2018</w:t>
      </w:r>
      <w:r w:rsidR="00F7012A">
        <w:t xml:space="preserve">, </w:t>
      </w:r>
      <w:r w:rsidR="00F7012A">
        <w:rPr>
          <w:i/>
          <w:iCs/>
        </w:rPr>
        <w:t>23</w:t>
      </w:r>
      <w:r w:rsidR="00F7012A">
        <w:t xml:space="preserve">, 959; (b) </w:t>
      </w:r>
      <w:r w:rsidR="00D939CD">
        <w:t xml:space="preserve">P. G. Dougherty, Z. Qian, D. Pei, </w:t>
      </w:r>
      <w:r w:rsidR="00D939CD">
        <w:rPr>
          <w:i/>
          <w:iCs/>
        </w:rPr>
        <w:t xml:space="preserve">Biochem. J. </w:t>
      </w:r>
      <w:r w:rsidR="00D939CD">
        <w:rPr>
          <w:b/>
          <w:bCs/>
        </w:rPr>
        <w:t>2019</w:t>
      </w:r>
      <w:r w:rsidR="00D939CD">
        <w:t xml:space="preserve">, </w:t>
      </w:r>
      <w:r w:rsidR="00D939CD">
        <w:rPr>
          <w:i/>
          <w:iCs/>
        </w:rPr>
        <w:t>474</w:t>
      </w:r>
      <w:r w:rsidR="00D939CD">
        <w:t>, 1109–1125;</w:t>
      </w:r>
      <w:r w:rsidR="00681864">
        <w:t xml:space="preserve"> (c)</w:t>
      </w:r>
      <w:r w:rsidR="00D939CD">
        <w:t xml:space="preserve"> </w:t>
      </w:r>
      <w:r w:rsidR="00681864">
        <w:t xml:space="preserve">M. Buyanova, D. Pei, </w:t>
      </w:r>
      <w:r w:rsidR="00681864" w:rsidRPr="00681864">
        <w:rPr>
          <w:i/>
          <w:iCs/>
        </w:rPr>
        <w:t>Trends Pharmacol. Sci</w:t>
      </w:r>
      <w:r w:rsidR="00681864">
        <w:t xml:space="preserve">. </w:t>
      </w:r>
      <w:r w:rsidR="00681864" w:rsidRPr="00681864">
        <w:rPr>
          <w:b/>
          <w:bCs/>
        </w:rPr>
        <w:t>2022</w:t>
      </w:r>
      <w:r w:rsidR="00681864">
        <w:t xml:space="preserve">, </w:t>
      </w:r>
      <w:r w:rsidR="00681864" w:rsidRPr="00681864">
        <w:rPr>
          <w:i/>
          <w:iCs/>
        </w:rPr>
        <w:t>43</w:t>
      </w:r>
      <w:r w:rsidR="00681864">
        <w:t>, 234–248.</w:t>
      </w:r>
    </w:p>
    <w:p w14:paraId="18FC4778" w14:textId="6E38FDA9" w:rsidR="0093307A" w:rsidRPr="002B4307" w:rsidRDefault="001E5A42" w:rsidP="0093307A">
      <w:pPr>
        <w:pStyle w:val="References"/>
      </w:pPr>
      <w:r>
        <w:t>[</w:t>
      </w:r>
      <w:r w:rsidR="00497218">
        <w:t>7</w:t>
      </w:r>
      <w:r w:rsidR="0093307A" w:rsidRPr="002B4307">
        <w:t>]</w:t>
      </w:r>
      <w:r w:rsidR="0093307A" w:rsidRPr="002B4307">
        <w:tab/>
        <w:t xml:space="preserve">(a) B. Gerard, J. R. Duvall, J. T. Lowe, T. Murillo, J. Wei, L. B. Akella, L. A. Marcaurelle, </w:t>
      </w:r>
      <w:r w:rsidR="0093307A" w:rsidRPr="002B4307">
        <w:rPr>
          <w:i/>
          <w:iCs/>
        </w:rPr>
        <w:t>ACS Comb. Sci</w:t>
      </w:r>
      <w:r w:rsidR="0093307A" w:rsidRPr="002B4307">
        <w:t xml:space="preserve">. </w:t>
      </w:r>
      <w:r w:rsidR="0093307A" w:rsidRPr="002B4307">
        <w:rPr>
          <w:b/>
          <w:bCs/>
        </w:rPr>
        <w:t>2011</w:t>
      </w:r>
      <w:r w:rsidR="0093307A" w:rsidRPr="002B4307">
        <w:t xml:space="preserve">, </w:t>
      </w:r>
      <w:r w:rsidR="0093307A" w:rsidRPr="002B4307">
        <w:rPr>
          <w:i/>
          <w:iCs/>
        </w:rPr>
        <w:t>13</w:t>
      </w:r>
      <w:r w:rsidR="0093307A" w:rsidRPr="002B4307">
        <w:t>, 365</w:t>
      </w:r>
      <w:r w:rsidR="00BB4CE1">
        <w:t>–</w:t>
      </w:r>
      <w:r w:rsidR="0093307A" w:rsidRPr="002B4307">
        <w:t xml:space="preserve">374; (b) T. Ji, Y. Wang, M. Wang, B. Niu, P. Xie, C. I. Pittman, Jr., A. Zhou, </w:t>
      </w:r>
      <w:r w:rsidR="0093307A" w:rsidRPr="002B4307">
        <w:rPr>
          <w:i/>
          <w:iCs/>
        </w:rPr>
        <w:t>ACS Comb. Sci</w:t>
      </w:r>
      <w:r w:rsidR="0093307A" w:rsidRPr="002B4307">
        <w:t xml:space="preserve">. </w:t>
      </w:r>
      <w:r w:rsidR="0093307A" w:rsidRPr="002B4307">
        <w:rPr>
          <w:b/>
          <w:bCs/>
        </w:rPr>
        <w:t>2013</w:t>
      </w:r>
      <w:r w:rsidR="0093307A" w:rsidRPr="002B4307">
        <w:t xml:space="preserve">, </w:t>
      </w:r>
      <w:r w:rsidR="0093307A" w:rsidRPr="002B4307">
        <w:rPr>
          <w:i/>
          <w:iCs/>
        </w:rPr>
        <w:t>15</w:t>
      </w:r>
      <w:r w:rsidR="0093307A" w:rsidRPr="002B4307">
        <w:t>, 595</w:t>
      </w:r>
      <w:r w:rsidR="00BB4CE1">
        <w:t>–</w:t>
      </w:r>
      <w:r w:rsidR="0093307A" w:rsidRPr="002B4307">
        <w:t xml:space="preserve">600; (c) J. K. Loh, N. Asad, T. B. Samarakoon, P. R. Hanson, </w:t>
      </w:r>
      <w:r w:rsidR="0093307A" w:rsidRPr="002B4307">
        <w:rPr>
          <w:i/>
          <w:iCs/>
        </w:rPr>
        <w:t>J. Org. Chem</w:t>
      </w:r>
      <w:r w:rsidR="0093307A" w:rsidRPr="002B4307">
        <w:t xml:space="preserve">. </w:t>
      </w:r>
      <w:r w:rsidR="0093307A" w:rsidRPr="002B4307">
        <w:rPr>
          <w:b/>
          <w:bCs/>
        </w:rPr>
        <w:t>2015</w:t>
      </w:r>
      <w:r w:rsidR="0093307A" w:rsidRPr="002B4307">
        <w:t xml:space="preserve">, </w:t>
      </w:r>
      <w:r w:rsidR="0093307A" w:rsidRPr="002B4307">
        <w:rPr>
          <w:i/>
          <w:iCs/>
        </w:rPr>
        <w:t>80</w:t>
      </w:r>
      <w:r w:rsidR="0093307A" w:rsidRPr="002B4307">
        <w:t>, 9926</w:t>
      </w:r>
      <w:r w:rsidR="00BB4CE1">
        <w:t>–</w:t>
      </w:r>
      <w:r w:rsidR="0093307A" w:rsidRPr="002B4307">
        <w:t xml:space="preserve">9941; (d) L. N. Aldrich, S.-Y. Kuo, A. B. Castoreno, G. Goel, P. Kuballa, M. G. Rees, B. A. Seashore-Ludlow, J. H. Cheah, I. J. Latorre, S. L. Schreiber, A. F. Shamji,, R. J. Xavier, </w:t>
      </w:r>
      <w:r w:rsidR="0093307A" w:rsidRPr="002B4307">
        <w:rPr>
          <w:i/>
          <w:iCs/>
        </w:rPr>
        <w:t>J. Am. Chem. Soc</w:t>
      </w:r>
      <w:r w:rsidR="0093307A" w:rsidRPr="002B4307">
        <w:t xml:space="preserve">. </w:t>
      </w:r>
      <w:r w:rsidR="0093307A" w:rsidRPr="002B4307">
        <w:rPr>
          <w:b/>
          <w:bCs/>
        </w:rPr>
        <w:t>2015</w:t>
      </w:r>
      <w:r w:rsidR="0093307A" w:rsidRPr="002B4307">
        <w:t xml:space="preserve">, </w:t>
      </w:r>
      <w:r w:rsidR="0093307A" w:rsidRPr="002B4307">
        <w:rPr>
          <w:i/>
          <w:iCs/>
        </w:rPr>
        <w:t>137</w:t>
      </w:r>
      <w:r w:rsidR="0093307A" w:rsidRPr="002B4307">
        <w:t>, 5563</w:t>
      </w:r>
      <w:r w:rsidR="00BB4CE1">
        <w:t>–</w:t>
      </w:r>
      <w:r w:rsidR="0093307A" w:rsidRPr="002B4307">
        <w:t xml:space="preserve">556; (e) J. M. Law, S. C. Stark, K. Liu, N. E. Liang, M. M. Hussain, M. Leiendecker, D. Ito, O. Verho, A. M. Stern, S. E. Johnston, Y.-L. Zhang, G. P. Dunn, A. F. Shamji, S. L. Schreiber </w:t>
      </w:r>
      <w:r w:rsidR="0093307A" w:rsidRPr="002B4307">
        <w:rPr>
          <w:i/>
          <w:iCs/>
        </w:rPr>
        <w:t>ACS Med. Chem</w:t>
      </w:r>
      <w:r w:rsidR="0093307A" w:rsidRPr="002B4307">
        <w:t xml:space="preserve">. </w:t>
      </w:r>
      <w:r w:rsidR="0093307A" w:rsidRPr="002B4307">
        <w:rPr>
          <w:i/>
          <w:iCs/>
        </w:rPr>
        <w:t>Lett</w:t>
      </w:r>
      <w:r w:rsidR="0093307A" w:rsidRPr="002B4307">
        <w:t xml:space="preserve">. </w:t>
      </w:r>
      <w:r w:rsidR="0093307A" w:rsidRPr="002B4307">
        <w:rPr>
          <w:b/>
          <w:bCs/>
        </w:rPr>
        <w:t>2016</w:t>
      </w:r>
      <w:r w:rsidR="0093307A" w:rsidRPr="002B4307">
        <w:t xml:space="preserve">, </w:t>
      </w:r>
      <w:r w:rsidR="0093307A" w:rsidRPr="002B4307">
        <w:rPr>
          <w:i/>
          <w:iCs/>
        </w:rPr>
        <w:t>7</w:t>
      </w:r>
      <w:r w:rsidR="0093307A" w:rsidRPr="002B4307">
        <w:t>, 944</w:t>
      </w:r>
      <w:r w:rsidR="00BB4CE1">
        <w:t>–</w:t>
      </w:r>
      <w:r w:rsidR="0093307A" w:rsidRPr="002B4307">
        <w:t>949.</w:t>
      </w:r>
    </w:p>
    <w:p w14:paraId="214E7E7E" w14:textId="51F49D15" w:rsidR="0093307A" w:rsidRDefault="0093307A" w:rsidP="0093307A">
      <w:pPr>
        <w:pStyle w:val="References"/>
      </w:pPr>
      <w:r w:rsidRPr="002B4307">
        <w:t>[</w:t>
      </w:r>
      <w:r w:rsidR="00497218">
        <w:t>8</w:t>
      </w:r>
      <w:r w:rsidRPr="002B4307">
        <w:t>]</w:t>
      </w:r>
      <w:r w:rsidRPr="002B4307">
        <w:tab/>
        <w:t xml:space="preserve">(a) A. J. Brouwer, R. M. J. Liskamp, </w:t>
      </w:r>
      <w:r w:rsidRPr="002B4307">
        <w:rPr>
          <w:i/>
          <w:iCs/>
        </w:rPr>
        <w:t>J. Org. Chem</w:t>
      </w:r>
      <w:r w:rsidRPr="002B4307">
        <w:t xml:space="preserve">. </w:t>
      </w:r>
      <w:r w:rsidRPr="002B4307">
        <w:rPr>
          <w:b/>
          <w:bCs/>
        </w:rPr>
        <w:t>2004</w:t>
      </w:r>
      <w:r w:rsidRPr="002B4307">
        <w:t xml:space="preserve">, </w:t>
      </w:r>
      <w:r w:rsidRPr="002B4307">
        <w:rPr>
          <w:i/>
          <w:iCs/>
        </w:rPr>
        <w:t>69</w:t>
      </w:r>
      <w:r w:rsidRPr="002B4307">
        <w:t>, 3662</w:t>
      </w:r>
      <w:r w:rsidR="00BB4CE1">
        <w:t>–</w:t>
      </w:r>
      <w:r w:rsidRPr="002B4307">
        <w:t xml:space="preserve">3668; (b) U. Lücking, G. Siemeister, M. Schäfer, H. Briem, M. Krüger, P. Lienau, R. Jautelat, </w:t>
      </w:r>
      <w:r w:rsidRPr="002B4307">
        <w:rPr>
          <w:i/>
          <w:iCs/>
        </w:rPr>
        <w:t>ChemMedChem</w:t>
      </w:r>
      <w:r w:rsidRPr="002B4307">
        <w:t xml:space="preserve"> </w:t>
      </w:r>
      <w:r w:rsidRPr="002B4307">
        <w:rPr>
          <w:b/>
          <w:bCs/>
        </w:rPr>
        <w:t>2007</w:t>
      </w:r>
      <w:r w:rsidRPr="002B4307">
        <w:t xml:space="preserve">, </w:t>
      </w:r>
      <w:r w:rsidRPr="002B4307">
        <w:rPr>
          <w:i/>
          <w:iCs/>
        </w:rPr>
        <w:t>2</w:t>
      </w:r>
      <w:r w:rsidRPr="002B4307">
        <w:t>, 63</w:t>
      </w:r>
      <w:r w:rsidR="00BB4CE1">
        <w:t>–</w:t>
      </w:r>
      <w:r w:rsidRPr="002B4307">
        <w:t xml:space="preserve">77; (c) A. K. Ghosh, S. Kulkarni, D. D. Anderson, L. Hong, A. Baldridge, Y.-F. Wang, A. A. Chumanevich, A. Y. Kovalevsky, Y. Tojo, M. Amano, Y. Koh, J. Tang, I. T. Weber, H. Mitsuya, </w:t>
      </w:r>
      <w:r w:rsidRPr="002B4307">
        <w:rPr>
          <w:i/>
          <w:iCs/>
        </w:rPr>
        <w:t>J. Med. Chem</w:t>
      </w:r>
      <w:r w:rsidRPr="002B4307">
        <w:t xml:space="preserve">. </w:t>
      </w:r>
      <w:r w:rsidRPr="002B4307">
        <w:rPr>
          <w:b/>
          <w:bCs/>
        </w:rPr>
        <w:t>2009</w:t>
      </w:r>
      <w:r w:rsidRPr="002B4307">
        <w:t xml:space="preserve">, </w:t>
      </w:r>
      <w:r w:rsidRPr="002B4307">
        <w:rPr>
          <w:i/>
          <w:iCs/>
        </w:rPr>
        <w:t>52</w:t>
      </w:r>
      <w:r w:rsidRPr="002B4307">
        <w:t xml:space="preserve">, 7689-7705; (d) S. Hamessian, A. Larsson, T. Fex, W. Knecht, N. Blomberg, </w:t>
      </w:r>
      <w:r w:rsidRPr="002B4307">
        <w:rPr>
          <w:i/>
          <w:iCs/>
        </w:rPr>
        <w:t>Bioorg. Med. Chem. Lett</w:t>
      </w:r>
      <w:r w:rsidRPr="002B4307">
        <w:t xml:space="preserve">. </w:t>
      </w:r>
      <w:r w:rsidRPr="002B4307">
        <w:rPr>
          <w:b/>
          <w:bCs/>
        </w:rPr>
        <w:t>2010</w:t>
      </w:r>
      <w:r w:rsidRPr="002B4307">
        <w:t xml:space="preserve">, </w:t>
      </w:r>
      <w:r w:rsidRPr="002B4307">
        <w:rPr>
          <w:i/>
          <w:iCs/>
        </w:rPr>
        <w:t>20</w:t>
      </w:r>
      <w:r w:rsidRPr="002B4307">
        <w:t>, 6925</w:t>
      </w:r>
      <w:r w:rsidR="00BB4CE1">
        <w:t>–</w:t>
      </w:r>
      <w:r w:rsidRPr="002B4307">
        <w:t xml:space="preserve">6928; (e) N. Luo, J. Li, T. Sun, S. Wan, P. Li, N. Wu, Y. Yan, X. Bao </w:t>
      </w:r>
      <w:r w:rsidRPr="002B4307">
        <w:rPr>
          <w:i/>
          <w:iCs/>
        </w:rPr>
        <w:t>RSC Adv</w:t>
      </w:r>
      <w:r w:rsidRPr="002B4307">
        <w:t xml:space="preserve">., </w:t>
      </w:r>
      <w:r w:rsidRPr="002B4307">
        <w:rPr>
          <w:b/>
          <w:bCs/>
        </w:rPr>
        <w:t>2021</w:t>
      </w:r>
      <w:r w:rsidRPr="002B4307">
        <w:t xml:space="preserve">, </w:t>
      </w:r>
      <w:r w:rsidRPr="002B4307">
        <w:rPr>
          <w:i/>
          <w:iCs/>
        </w:rPr>
        <w:t>11</w:t>
      </w:r>
      <w:r w:rsidRPr="002B4307">
        <w:t>, 10203</w:t>
      </w:r>
      <w:r w:rsidR="00BB4CE1">
        <w:t>–</w:t>
      </w:r>
      <w:r w:rsidRPr="002B4307">
        <w:t>10211.</w:t>
      </w:r>
    </w:p>
    <w:p w14:paraId="7BF701CB" w14:textId="77777777" w:rsidR="00F930C1" w:rsidRDefault="00907E20" w:rsidP="00F930C1">
      <w:pPr>
        <w:pStyle w:val="References"/>
      </w:pPr>
      <w:r>
        <w:t>[9]</w:t>
      </w:r>
      <w:r>
        <w:tab/>
      </w:r>
      <w:r w:rsidR="00F930C1">
        <w:t xml:space="preserve">For reviews on ring expansion reactions, see: (a) M. Hesse in Ring Enlargement in Organic Chemistry, Wiley-VCH, Weinheim, </w:t>
      </w:r>
      <w:r w:rsidR="00F930C1" w:rsidRPr="005A5905">
        <w:rPr>
          <w:b/>
          <w:bCs/>
        </w:rPr>
        <w:t>1991</w:t>
      </w:r>
      <w:r w:rsidR="00F930C1">
        <w:t xml:space="preserve">; (b) W. P. Unsworth, J. R. Donald, </w:t>
      </w:r>
      <w:r w:rsidR="00F930C1" w:rsidRPr="005A5905">
        <w:rPr>
          <w:i/>
          <w:iCs/>
        </w:rPr>
        <w:t>Chem. Eur. J</w:t>
      </w:r>
      <w:r w:rsidR="00F930C1">
        <w:t xml:space="preserve">. </w:t>
      </w:r>
      <w:r w:rsidR="00F930C1" w:rsidRPr="005A5905">
        <w:rPr>
          <w:b/>
          <w:bCs/>
        </w:rPr>
        <w:t>2017</w:t>
      </w:r>
      <w:r w:rsidR="00F930C1">
        <w:t xml:space="preserve">, 23, 8780; (c) K. Prantz, J. Mulzer, </w:t>
      </w:r>
      <w:r w:rsidR="00F930C1" w:rsidRPr="005A5905">
        <w:rPr>
          <w:i/>
          <w:iCs/>
        </w:rPr>
        <w:t>Chem. Rev</w:t>
      </w:r>
      <w:r w:rsidR="00F930C1">
        <w:t xml:space="preserve">. </w:t>
      </w:r>
      <w:r w:rsidR="00F930C1" w:rsidRPr="005A5905">
        <w:rPr>
          <w:b/>
          <w:bCs/>
        </w:rPr>
        <w:t>2010</w:t>
      </w:r>
      <w:r w:rsidR="00F930C1">
        <w:t xml:space="preserve">, 110, 3741; (d) A. K. Clarke, W. P. Unsworth, </w:t>
      </w:r>
      <w:r w:rsidR="00F930C1" w:rsidRPr="005A5905">
        <w:rPr>
          <w:i/>
          <w:iCs/>
        </w:rPr>
        <w:t>Chem. Sci</w:t>
      </w:r>
      <w:r w:rsidR="00F930C1">
        <w:t xml:space="preserve">. </w:t>
      </w:r>
      <w:r w:rsidR="00F930C1" w:rsidRPr="005A5905">
        <w:rPr>
          <w:b/>
          <w:bCs/>
        </w:rPr>
        <w:t>2020</w:t>
      </w:r>
      <w:r w:rsidR="00F930C1">
        <w:t xml:space="preserve">, 11, 2876; (e) T. C. Stephens, W. P. Unsworth, </w:t>
      </w:r>
      <w:r w:rsidR="00F930C1" w:rsidRPr="005A5905">
        <w:rPr>
          <w:i/>
          <w:iCs/>
        </w:rPr>
        <w:t>Synlett</w:t>
      </w:r>
      <w:r w:rsidR="00F930C1">
        <w:t xml:space="preserve"> </w:t>
      </w:r>
      <w:r w:rsidR="00F930C1" w:rsidRPr="005A5905">
        <w:rPr>
          <w:b/>
          <w:bCs/>
        </w:rPr>
        <w:t>2020</w:t>
      </w:r>
      <w:r w:rsidR="00F930C1">
        <w:t xml:space="preserve">, 31, 133. </w:t>
      </w:r>
    </w:p>
    <w:p w14:paraId="469EC4B4" w14:textId="7ABA476E" w:rsidR="00907E20" w:rsidRDefault="00F930C1" w:rsidP="0093307A">
      <w:pPr>
        <w:pStyle w:val="References"/>
      </w:pPr>
      <w:r>
        <w:t>[10]</w:t>
      </w:r>
      <w:r>
        <w:tab/>
      </w:r>
      <w:r w:rsidR="00907E20">
        <w:t xml:space="preserve">For a review on cascade ring expansion reactions, see: </w:t>
      </w:r>
      <w:r w:rsidRPr="00F930C1">
        <w:t xml:space="preserve">J. M. Wootton, J. K. F. Tam, W. P. Unsworth, </w:t>
      </w:r>
      <w:r w:rsidRPr="00F930C1">
        <w:rPr>
          <w:i/>
          <w:iCs/>
        </w:rPr>
        <w:t>Chem. Commun</w:t>
      </w:r>
      <w:r w:rsidRPr="00F930C1">
        <w:t xml:space="preserve">. </w:t>
      </w:r>
      <w:r w:rsidRPr="00F930C1">
        <w:rPr>
          <w:b/>
          <w:bCs/>
        </w:rPr>
        <w:t>2024</w:t>
      </w:r>
      <w:r w:rsidRPr="00F930C1">
        <w:t xml:space="preserve">, </w:t>
      </w:r>
      <w:r w:rsidRPr="00F930C1">
        <w:rPr>
          <w:i/>
          <w:iCs/>
        </w:rPr>
        <w:t>60</w:t>
      </w:r>
      <w:r w:rsidRPr="00F930C1">
        <w:t>, 4999–5009</w:t>
      </w:r>
    </w:p>
    <w:p w14:paraId="503C3B29" w14:textId="2A800858" w:rsidR="00907E20" w:rsidRDefault="00DD5D43" w:rsidP="00907E20">
      <w:pPr>
        <w:pStyle w:val="References"/>
      </w:pPr>
      <w:r>
        <w:t>[</w:t>
      </w:r>
      <w:r w:rsidR="00907E20">
        <w:t>1</w:t>
      </w:r>
      <w:r w:rsidR="00F930C1">
        <w:t>1</w:t>
      </w:r>
      <w:r>
        <w:t>]</w:t>
      </w:r>
      <w:r w:rsidR="00907E20">
        <w:tab/>
        <w:t xml:space="preserve">For cascade ring expansion reactions developed by our group, see: (a) C. Kitsiou, J. J. Hindes, P. I’Anson, P. Jackson, T. C. Wilson, E. K. Daly, H. R. Felstead, P. Hearnshaw and W. P. Unsworth, </w:t>
      </w:r>
      <w:r w:rsidR="00907E20" w:rsidRPr="005A5905">
        <w:rPr>
          <w:i/>
          <w:iCs/>
        </w:rPr>
        <w:t>Angew. Chem. Int. Ed</w:t>
      </w:r>
      <w:r w:rsidR="00907E20">
        <w:t xml:space="preserve">. </w:t>
      </w:r>
      <w:r w:rsidR="00907E20" w:rsidRPr="005A5905">
        <w:rPr>
          <w:b/>
          <w:bCs/>
        </w:rPr>
        <w:t>2015</w:t>
      </w:r>
      <w:r w:rsidR="00907E20">
        <w:t xml:space="preserve">, </w:t>
      </w:r>
      <w:r w:rsidR="00907E20" w:rsidRPr="005A5905">
        <w:rPr>
          <w:i/>
          <w:iCs/>
        </w:rPr>
        <w:t>54</w:t>
      </w:r>
      <w:r w:rsidR="00907E20">
        <w:t xml:space="preserve">, 15794; (b) L. G. Baud, M. A. Manning, H. L. Arkless, T. C. Stephens, W. P. Unsworth, </w:t>
      </w:r>
      <w:r w:rsidR="00907E20" w:rsidRPr="005A5905">
        <w:rPr>
          <w:i/>
          <w:iCs/>
        </w:rPr>
        <w:t>Chem. Eur</w:t>
      </w:r>
      <w:r w:rsidR="00907E20">
        <w:t xml:space="preserve">. J. </w:t>
      </w:r>
      <w:r w:rsidR="00907E20" w:rsidRPr="005A5905">
        <w:rPr>
          <w:b/>
          <w:bCs/>
        </w:rPr>
        <w:t>2017</w:t>
      </w:r>
      <w:r w:rsidR="00907E20">
        <w:t xml:space="preserve">, </w:t>
      </w:r>
      <w:r w:rsidR="00907E20" w:rsidRPr="005A5905">
        <w:rPr>
          <w:i/>
          <w:iCs/>
        </w:rPr>
        <w:t>23</w:t>
      </w:r>
      <w:r w:rsidR="00907E20">
        <w:t xml:space="preserve">, 2225; (c) T. C. Stephens, M. Lodi, A. Steer, Y. Lin, M. Gill, W. P. Unsworth, </w:t>
      </w:r>
      <w:r w:rsidR="00907E20" w:rsidRPr="005A5905">
        <w:rPr>
          <w:i/>
          <w:iCs/>
        </w:rPr>
        <w:t>Chem. Eur. J</w:t>
      </w:r>
      <w:r w:rsidR="00907E20">
        <w:t xml:space="preserve">. </w:t>
      </w:r>
      <w:r w:rsidR="00907E20" w:rsidRPr="005A5905">
        <w:rPr>
          <w:b/>
          <w:bCs/>
        </w:rPr>
        <w:t>2017</w:t>
      </w:r>
      <w:r w:rsidR="00907E20">
        <w:t xml:space="preserve">, </w:t>
      </w:r>
      <w:r w:rsidR="00907E20" w:rsidRPr="005A5905">
        <w:rPr>
          <w:i/>
          <w:iCs/>
        </w:rPr>
        <w:t>23</w:t>
      </w:r>
      <w:r w:rsidR="00907E20">
        <w:t xml:space="preserve">, 13314; (d) T. C. Stephens, A. Lawer, T. French, W. P. Unsworth, </w:t>
      </w:r>
      <w:r w:rsidR="00907E20" w:rsidRPr="005A5905">
        <w:rPr>
          <w:i/>
          <w:iCs/>
        </w:rPr>
        <w:t>Chem. Eur. J</w:t>
      </w:r>
      <w:r w:rsidR="00907E20">
        <w:t xml:space="preserve">. </w:t>
      </w:r>
      <w:r w:rsidR="00907E20" w:rsidRPr="005A5905">
        <w:rPr>
          <w:b/>
          <w:bCs/>
        </w:rPr>
        <w:t>2018</w:t>
      </w:r>
      <w:r w:rsidR="00907E20">
        <w:t xml:space="preserve">, </w:t>
      </w:r>
      <w:r w:rsidR="00907E20" w:rsidRPr="005A5905">
        <w:rPr>
          <w:i/>
          <w:iCs/>
        </w:rPr>
        <w:t>24</w:t>
      </w:r>
      <w:r w:rsidR="00907E20">
        <w:t xml:space="preserve">, 13947; (e) Z. Yang, C. R. B. Swanson, W. P. Unsworth, </w:t>
      </w:r>
      <w:r w:rsidR="00907E20" w:rsidRPr="005A5905">
        <w:rPr>
          <w:i/>
          <w:iCs/>
        </w:rPr>
        <w:t>Synlett</w:t>
      </w:r>
      <w:r w:rsidR="00907E20">
        <w:t xml:space="preserve"> </w:t>
      </w:r>
      <w:r w:rsidR="00907E20" w:rsidRPr="005A5905">
        <w:rPr>
          <w:b/>
          <w:bCs/>
        </w:rPr>
        <w:t>2023</w:t>
      </w:r>
      <w:r w:rsidR="00907E20">
        <w:t xml:space="preserve">, </w:t>
      </w:r>
      <w:r w:rsidR="00907E20" w:rsidRPr="005A5905">
        <w:rPr>
          <w:i/>
          <w:iCs/>
        </w:rPr>
        <w:t>34</w:t>
      </w:r>
      <w:r w:rsidR="00907E20">
        <w:t>, 1694–1698; (</w:t>
      </w:r>
      <w:r w:rsidR="00D76274">
        <w:t>f</w:t>
      </w:r>
      <w:r w:rsidR="00907E20">
        <w:t xml:space="preserve">) Z. Yang, J. K. F. Tam, J. M. Wootton, J. M. Lynam, W. P. Unsworth, </w:t>
      </w:r>
      <w:r w:rsidR="00907E20" w:rsidRPr="005A5905">
        <w:rPr>
          <w:i/>
          <w:iCs/>
        </w:rPr>
        <w:t>Chem. Commun</w:t>
      </w:r>
      <w:r w:rsidR="00907E20">
        <w:t xml:space="preserve">. </w:t>
      </w:r>
      <w:r w:rsidR="00907E20" w:rsidRPr="005A5905">
        <w:rPr>
          <w:b/>
          <w:bCs/>
        </w:rPr>
        <w:t>2023</w:t>
      </w:r>
      <w:r w:rsidR="00907E20">
        <w:t xml:space="preserve">, </w:t>
      </w:r>
      <w:r w:rsidR="00907E20" w:rsidRPr="005A5905">
        <w:rPr>
          <w:i/>
          <w:iCs/>
        </w:rPr>
        <w:t>59,</w:t>
      </w:r>
      <w:r w:rsidR="00907E20">
        <w:t xml:space="preserve"> 7927–7930</w:t>
      </w:r>
      <w:r w:rsidR="00A878A8">
        <w:t>.</w:t>
      </w:r>
    </w:p>
    <w:p w14:paraId="31B677B3" w14:textId="39AC70E6" w:rsidR="00907E20" w:rsidRDefault="00907E20" w:rsidP="00907E20">
      <w:pPr>
        <w:pStyle w:val="References"/>
      </w:pPr>
      <w:r>
        <w:t>[1</w:t>
      </w:r>
      <w:r w:rsidR="00F930C1">
        <w:t>2</w:t>
      </w:r>
      <w:r>
        <w:t>]</w:t>
      </w:r>
      <w:r>
        <w:rPr>
          <w:rFonts w:hint="eastAsia"/>
        </w:rPr>
        <w:tab/>
        <w:t>For cascade ring expansion method</w:t>
      </w:r>
      <w:r w:rsidR="00707483">
        <w:t>s</w:t>
      </w:r>
      <w:r>
        <w:rPr>
          <w:rFonts w:hint="eastAsia"/>
        </w:rPr>
        <w:t xml:space="preserve"> from other groups, see: (a) L. Li, Z.-L. Li, F.-L. Wang, Z. Guo, Y.-F. Cheng, N. Wang, X.-W. Dong, C. Fang, J. Liu, C. Hou, B. Tan</w:t>
      </w:r>
      <w:r>
        <w:t xml:space="preserve">, </w:t>
      </w:r>
      <w:r>
        <w:rPr>
          <w:rFonts w:hint="eastAsia"/>
        </w:rPr>
        <w:t xml:space="preserve">X.-Y. Liu, </w:t>
      </w:r>
      <w:r w:rsidRPr="005A5905">
        <w:rPr>
          <w:rFonts w:hint="eastAsia"/>
          <w:i/>
          <w:iCs/>
        </w:rPr>
        <w:t>Nat. Commun</w:t>
      </w:r>
      <w:r>
        <w:rPr>
          <w:rFonts w:hint="eastAsia"/>
        </w:rPr>
        <w:t xml:space="preserve">. </w:t>
      </w:r>
      <w:r w:rsidRPr="005A5905">
        <w:rPr>
          <w:rFonts w:hint="eastAsia"/>
          <w:b/>
          <w:bCs/>
        </w:rPr>
        <w:t>2016</w:t>
      </w:r>
      <w:r>
        <w:rPr>
          <w:rFonts w:hint="eastAsia"/>
        </w:rPr>
        <w:t xml:space="preserve">, </w:t>
      </w:r>
      <w:r w:rsidRPr="005A5905">
        <w:rPr>
          <w:rFonts w:hint="eastAsia"/>
          <w:i/>
          <w:iCs/>
        </w:rPr>
        <w:t>7</w:t>
      </w:r>
      <w:r>
        <w:rPr>
          <w:rFonts w:hint="eastAsia"/>
        </w:rPr>
        <w:t>, 13852; (b) R. Mendoza</w:t>
      </w:r>
      <w:r>
        <w:t>-</w:t>
      </w:r>
      <w:r>
        <w:rPr>
          <w:rFonts w:hint="eastAsia"/>
        </w:rPr>
        <w:t>Sanchez, V. B. Corless, Q. N. N. Nguyen, M. Bergeron</w:t>
      </w:r>
      <w:r>
        <w:rPr>
          <w:rFonts w:hint="eastAsia"/>
        </w:rPr>
        <w:t>‐</w:t>
      </w:r>
      <w:r>
        <w:rPr>
          <w:rFonts w:hint="eastAsia"/>
        </w:rPr>
        <w:t>Brlek, J. Frost, S. Adachi, D. J. Tantillo</w:t>
      </w:r>
      <w:r>
        <w:t>,</w:t>
      </w:r>
      <w:r>
        <w:rPr>
          <w:rFonts w:hint="eastAsia"/>
        </w:rPr>
        <w:t xml:space="preserve"> A. K. Yudin, </w:t>
      </w:r>
      <w:r w:rsidRPr="005A5905">
        <w:rPr>
          <w:rFonts w:hint="eastAsia"/>
          <w:i/>
          <w:iCs/>
        </w:rPr>
        <w:t>Chem. Eur. J</w:t>
      </w:r>
      <w:r>
        <w:rPr>
          <w:rFonts w:hint="eastAsia"/>
        </w:rPr>
        <w:t xml:space="preserve">., </w:t>
      </w:r>
      <w:r w:rsidRPr="005A5905">
        <w:rPr>
          <w:rFonts w:hint="eastAsia"/>
          <w:b/>
          <w:bCs/>
        </w:rPr>
        <w:t>2017</w:t>
      </w:r>
      <w:r>
        <w:rPr>
          <w:rFonts w:hint="eastAsia"/>
        </w:rPr>
        <w:t xml:space="preserve">, </w:t>
      </w:r>
      <w:r w:rsidRPr="005A5905">
        <w:rPr>
          <w:rFonts w:hint="eastAsia"/>
          <w:i/>
          <w:iCs/>
        </w:rPr>
        <w:t>23</w:t>
      </w:r>
      <w:r>
        <w:rPr>
          <w:rFonts w:hint="eastAsia"/>
        </w:rPr>
        <w:t>, 13319; (c) R. Costil, Q. Lefebvre</w:t>
      </w:r>
      <w:r>
        <w:t>,</w:t>
      </w:r>
      <w:r>
        <w:rPr>
          <w:rFonts w:hint="eastAsia"/>
        </w:rPr>
        <w:t xml:space="preserve"> J. Clayden, </w:t>
      </w:r>
      <w:r w:rsidRPr="005A5905">
        <w:rPr>
          <w:rFonts w:hint="eastAsia"/>
          <w:i/>
          <w:iCs/>
        </w:rPr>
        <w:t>Angew. Chem. Int. Ed.</w:t>
      </w:r>
      <w:r>
        <w:rPr>
          <w:rFonts w:hint="eastAsia"/>
        </w:rPr>
        <w:t xml:space="preserve">, </w:t>
      </w:r>
      <w:r w:rsidRPr="005A5905">
        <w:rPr>
          <w:rFonts w:hint="eastAsia"/>
          <w:b/>
          <w:bCs/>
        </w:rPr>
        <w:t>2017</w:t>
      </w:r>
      <w:r>
        <w:rPr>
          <w:rFonts w:hint="eastAsia"/>
        </w:rPr>
        <w:t xml:space="preserve">, </w:t>
      </w:r>
      <w:r w:rsidRPr="005A5905">
        <w:rPr>
          <w:rFonts w:hint="eastAsia"/>
          <w:i/>
          <w:iCs/>
        </w:rPr>
        <w:t>56</w:t>
      </w:r>
      <w:r>
        <w:rPr>
          <w:rFonts w:hint="eastAsia"/>
        </w:rPr>
        <w:t>, 14602; (d) D. R. Loya, A. Jean, M. Cormier, C. Fressigné, S. Nejr</w:t>
      </w:r>
      <w:r>
        <w:t xml:space="preserve">otti, J. Blanchet, J. Maddaluno, M. De Paolis, </w:t>
      </w:r>
      <w:r w:rsidRPr="005A5905">
        <w:rPr>
          <w:i/>
          <w:iCs/>
        </w:rPr>
        <w:t>Chem. Eur. J.</w:t>
      </w:r>
      <w:r>
        <w:t xml:space="preserve">, </w:t>
      </w:r>
      <w:r w:rsidRPr="005A5905">
        <w:rPr>
          <w:b/>
          <w:bCs/>
        </w:rPr>
        <w:t>2018</w:t>
      </w:r>
      <w:r>
        <w:t xml:space="preserve">, </w:t>
      </w:r>
      <w:r w:rsidRPr="005A5905">
        <w:rPr>
          <w:i/>
          <w:iCs/>
        </w:rPr>
        <w:t>24</w:t>
      </w:r>
      <w:r>
        <w:t xml:space="preserve">, 2080; (e) S. Grintsevich, A. Sapegin, E. Reutskaya, S. Peintner, M. Erdélyi, M. Krasavin, </w:t>
      </w:r>
      <w:r w:rsidRPr="005A5905">
        <w:rPr>
          <w:i/>
          <w:iCs/>
        </w:rPr>
        <w:t>Eur. J. Org. Chem</w:t>
      </w:r>
      <w:r>
        <w:t xml:space="preserve">. </w:t>
      </w:r>
      <w:r w:rsidRPr="005A5905">
        <w:rPr>
          <w:b/>
          <w:bCs/>
        </w:rPr>
        <w:t>2020</w:t>
      </w:r>
      <w:r>
        <w:t xml:space="preserve">, 5664; (f) J. Shang, V. J. Thombare, C. L. Charron, U. Wille, C. Hutton, </w:t>
      </w:r>
      <w:r w:rsidRPr="005A5905">
        <w:rPr>
          <w:i/>
          <w:iCs/>
        </w:rPr>
        <w:t xml:space="preserve">Chem. Eur. J. </w:t>
      </w:r>
      <w:r w:rsidRPr="005A5905">
        <w:rPr>
          <w:b/>
          <w:bCs/>
        </w:rPr>
        <w:t>2021</w:t>
      </w:r>
      <w:r>
        <w:t xml:space="preserve">, </w:t>
      </w:r>
      <w:r w:rsidRPr="005A5905">
        <w:rPr>
          <w:i/>
          <w:iCs/>
        </w:rPr>
        <w:t>26</w:t>
      </w:r>
      <w:r>
        <w:t xml:space="preserve">, 1620; (g) T. Singha, G. A. Kadam, D. P. Hari, </w:t>
      </w:r>
      <w:r w:rsidRPr="005A5905">
        <w:rPr>
          <w:i/>
          <w:iCs/>
        </w:rPr>
        <w:t>Chem. Sc</w:t>
      </w:r>
      <w:r>
        <w:t xml:space="preserve">i. </w:t>
      </w:r>
      <w:r w:rsidRPr="005A5905">
        <w:rPr>
          <w:b/>
          <w:bCs/>
        </w:rPr>
        <w:t>2023</w:t>
      </w:r>
      <w:r>
        <w:t xml:space="preserve">, </w:t>
      </w:r>
      <w:r w:rsidRPr="005A5905">
        <w:rPr>
          <w:i/>
          <w:iCs/>
        </w:rPr>
        <w:t>14</w:t>
      </w:r>
      <w:r>
        <w:t>, 6930.</w:t>
      </w:r>
    </w:p>
    <w:p w14:paraId="0C36D478" w14:textId="1B7D664A" w:rsidR="000B3DD1" w:rsidRDefault="000B3DD1" w:rsidP="00907E20">
      <w:pPr>
        <w:pStyle w:val="References"/>
      </w:pPr>
      <w:r>
        <w:t>[1</w:t>
      </w:r>
      <w:r w:rsidR="00F930C1">
        <w:t>3</w:t>
      </w:r>
      <w:r>
        <w:t>]</w:t>
      </w:r>
      <w:r>
        <w:tab/>
      </w:r>
      <w:r w:rsidRPr="005A5905">
        <w:rPr>
          <w:rFonts w:hint="eastAsia"/>
        </w:rPr>
        <w:t>(</w:t>
      </w:r>
      <w:r>
        <w:t>a</w:t>
      </w:r>
      <w:r w:rsidRPr="005A5905">
        <w:rPr>
          <w:rFonts w:hint="eastAsia"/>
        </w:rPr>
        <w:t>) I. Zalessky, J. M. Wootton, J. K. F. Tam, D. E. Spurling, W. C. Glover-Humphreys, J. R. Donald, W. E.</w:t>
      </w:r>
      <w:r w:rsidRPr="005A5905">
        <w:t xml:space="preserve"> Orukotan, L. C. Duff, B. J. Knapper, A. C. Whitwood, T. F. N. Tanner, A. H. Miah, J. M. Lynam, W. P. Unsworth, </w:t>
      </w:r>
      <w:r w:rsidRPr="005A5905">
        <w:rPr>
          <w:i/>
          <w:iCs/>
        </w:rPr>
        <w:t>J. Am. Chem. Soc</w:t>
      </w:r>
      <w:r w:rsidRPr="005A5905">
        <w:t xml:space="preserve">. </w:t>
      </w:r>
      <w:r w:rsidRPr="005A5905">
        <w:rPr>
          <w:b/>
          <w:bCs/>
        </w:rPr>
        <w:t>2024</w:t>
      </w:r>
      <w:r w:rsidRPr="005A5905">
        <w:t xml:space="preserve">, </w:t>
      </w:r>
      <w:r w:rsidRPr="005A5905">
        <w:rPr>
          <w:i/>
          <w:iCs/>
        </w:rPr>
        <w:t>146</w:t>
      </w:r>
      <w:r w:rsidRPr="005A5905">
        <w:t>, 5702</w:t>
      </w:r>
      <w:r>
        <w:t>; (b</w:t>
      </w:r>
      <w:r w:rsidRPr="003445AC">
        <w:rPr>
          <w:rFonts w:hint="eastAsia"/>
        </w:rPr>
        <w:t>) A. Lawer, J. A. Rossi</w:t>
      </w:r>
      <w:r>
        <w:t>-</w:t>
      </w:r>
      <w:r w:rsidRPr="003445AC">
        <w:rPr>
          <w:rFonts w:hint="eastAsia"/>
        </w:rPr>
        <w:t>Ashton, T. C. Stephens, B.</w:t>
      </w:r>
      <w:r w:rsidRPr="005A5905">
        <w:rPr>
          <w:rFonts w:hint="eastAsia"/>
        </w:rPr>
        <w:t xml:space="preserve"> J. Challis, R. G. Epton, J. M. Lynam</w:t>
      </w:r>
      <w:r>
        <w:t>,</w:t>
      </w:r>
      <w:r w:rsidRPr="005A5905">
        <w:rPr>
          <w:rFonts w:hint="eastAsia"/>
        </w:rPr>
        <w:t xml:space="preserve"> W. P. Unsworth, </w:t>
      </w:r>
      <w:r w:rsidRPr="005A5905">
        <w:rPr>
          <w:rFonts w:hint="eastAsia"/>
          <w:i/>
          <w:iCs/>
        </w:rPr>
        <w:t>Angew. Chem. Int. Ed</w:t>
      </w:r>
      <w:r w:rsidRPr="005A5905">
        <w:rPr>
          <w:rFonts w:hint="eastAsia"/>
        </w:rPr>
        <w:t xml:space="preserve">. </w:t>
      </w:r>
      <w:r w:rsidRPr="005A5905">
        <w:rPr>
          <w:rFonts w:hint="eastAsia"/>
          <w:b/>
          <w:bCs/>
        </w:rPr>
        <w:t>2019</w:t>
      </w:r>
      <w:r w:rsidRPr="005A5905">
        <w:rPr>
          <w:rFonts w:hint="eastAsia"/>
        </w:rPr>
        <w:t xml:space="preserve">, </w:t>
      </w:r>
      <w:r w:rsidRPr="005A5905">
        <w:rPr>
          <w:rFonts w:hint="eastAsia"/>
          <w:i/>
          <w:iCs/>
        </w:rPr>
        <w:t>58</w:t>
      </w:r>
      <w:r w:rsidRPr="005A5905">
        <w:rPr>
          <w:rFonts w:hint="eastAsia"/>
        </w:rPr>
        <w:t>, 13942</w:t>
      </w:r>
      <w:r>
        <w:t>.</w:t>
      </w:r>
    </w:p>
    <w:p w14:paraId="588F1000" w14:textId="76C90F0D" w:rsidR="0010453B" w:rsidRDefault="0010453B" w:rsidP="00907E20">
      <w:pPr>
        <w:pStyle w:val="References"/>
      </w:pPr>
      <w:r>
        <w:t>[14]</w:t>
      </w:r>
      <w:r>
        <w:tab/>
        <w:t xml:space="preserve">(a) G. Illuminati, L. Mandolini, </w:t>
      </w:r>
      <w:r w:rsidRPr="00720AC8">
        <w:rPr>
          <w:i/>
          <w:iCs/>
        </w:rPr>
        <w:t>Acc. Chem. Res</w:t>
      </w:r>
      <w:r>
        <w:t xml:space="preserve">. </w:t>
      </w:r>
      <w:r w:rsidRPr="00720AC8">
        <w:rPr>
          <w:b/>
          <w:bCs/>
        </w:rPr>
        <w:t>1981</w:t>
      </w:r>
      <w:r>
        <w:t xml:space="preserve">, </w:t>
      </w:r>
      <w:r w:rsidRPr="00720AC8">
        <w:rPr>
          <w:i/>
          <w:iCs/>
        </w:rPr>
        <w:t>14</w:t>
      </w:r>
      <w:r>
        <w:t xml:space="preserve">, 95. (b) J. Fastrez, </w:t>
      </w:r>
      <w:r w:rsidRPr="00720AC8">
        <w:rPr>
          <w:i/>
          <w:iCs/>
        </w:rPr>
        <w:t>J. Phys. Chem</w:t>
      </w:r>
      <w:r>
        <w:t xml:space="preserve">., </w:t>
      </w:r>
      <w:r w:rsidRPr="00720AC8">
        <w:rPr>
          <w:b/>
          <w:bCs/>
        </w:rPr>
        <w:t>1989</w:t>
      </w:r>
      <w:r>
        <w:t xml:space="preserve">, </w:t>
      </w:r>
      <w:r w:rsidRPr="00720AC8">
        <w:rPr>
          <w:i/>
          <w:iCs/>
        </w:rPr>
        <w:t>93</w:t>
      </w:r>
      <w:r>
        <w:t xml:space="preserve">, 2635; (c) J. C. Collins, K. James, </w:t>
      </w:r>
      <w:r w:rsidRPr="00720AC8">
        <w:rPr>
          <w:i/>
          <w:iCs/>
        </w:rPr>
        <w:t>Med. Chem. Commun</w:t>
      </w:r>
      <w:r>
        <w:t xml:space="preserve">., </w:t>
      </w:r>
      <w:r w:rsidRPr="00720AC8">
        <w:rPr>
          <w:b/>
          <w:bCs/>
        </w:rPr>
        <w:t>2012</w:t>
      </w:r>
      <w:r>
        <w:t xml:space="preserve">, </w:t>
      </w:r>
      <w:r w:rsidRPr="00720AC8">
        <w:rPr>
          <w:i/>
          <w:iCs/>
        </w:rPr>
        <w:t>3</w:t>
      </w:r>
      <w:r>
        <w:t xml:space="preserve">, 1489; (d) S. D. Appavoo, S. Huh, D. B. Diaz, A, K, Yudin, </w:t>
      </w:r>
      <w:r w:rsidRPr="00720AC8">
        <w:rPr>
          <w:i/>
          <w:iCs/>
        </w:rPr>
        <w:t>Chem. Rev</w:t>
      </w:r>
      <w:r>
        <w:t xml:space="preserve">. </w:t>
      </w:r>
      <w:r w:rsidRPr="00720AC8">
        <w:rPr>
          <w:b/>
          <w:bCs/>
        </w:rPr>
        <w:t>2019</w:t>
      </w:r>
      <w:r>
        <w:t>, 1</w:t>
      </w:r>
      <w:r w:rsidRPr="00720AC8">
        <w:rPr>
          <w:i/>
          <w:iCs/>
        </w:rPr>
        <w:t>19</w:t>
      </w:r>
      <w:r>
        <w:t xml:space="preserve">, 9724; (e) I. V. Smolyar, A. K. Yudin, V. G. Nenajdenko, </w:t>
      </w:r>
      <w:r w:rsidRPr="00720AC8">
        <w:rPr>
          <w:i/>
          <w:iCs/>
        </w:rPr>
        <w:t>Chem. Rev</w:t>
      </w:r>
      <w:r>
        <w:t xml:space="preserve">. </w:t>
      </w:r>
      <w:r w:rsidRPr="00720AC8">
        <w:rPr>
          <w:b/>
          <w:bCs/>
        </w:rPr>
        <w:t>2019</w:t>
      </w:r>
      <w:r>
        <w:t xml:space="preserve">, </w:t>
      </w:r>
      <w:r w:rsidRPr="00720AC8">
        <w:rPr>
          <w:i/>
          <w:iCs/>
        </w:rPr>
        <w:t>119</w:t>
      </w:r>
      <w:r>
        <w:t>, 10032; (f) H. Kurouchi, T. Ohwada, J</w:t>
      </w:r>
      <w:r w:rsidRPr="00720AC8">
        <w:rPr>
          <w:i/>
          <w:iCs/>
        </w:rPr>
        <w:t>. Org. Chem</w:t>
      </w:r>
      <w:r>
        <w:t xml:space="preserve">. </w:t>
      </w:r>
      <w:r w:rsidRPr="00720AC8">
        <w:rPr>
          <w:b/>
          <w:bCs/>
        </w:rPr>
        <w:t>2020</w:t>
      </w:r>
      <w:r>
        <w:t xml:space="preserve">, </w:t>
      </w:r>
      <w:r w:rsidRPr="00720AC8">
        <w:rPr>
          <w:i/>
          <w:iCs/>
        </w:rPr>
        <w:t>85</w:t>
      </w:r>
      <w:r>
        <w:t>, 876</w:t>
      </w:r>
    </w:p>
    <w:p w14:paraId="3E6DA374" w14:textId="3445354B" w:rsidR="00952AF7" w:rsidRDefault="00D76274" w:rsidP="005E45ED">
      <w:pPr>
        <w:pStyle w:val="References"/>
      </w:pPr>
      <w:r>
        <w:t>[15]</w:t>
      </w:r>
      <w:r>
        <w:tab/>
      </w:r>
      <w:r w:rsidRPr="002D0B5E">
        <w:t>(</w:t>
      </w:r>
      <w:r>
        <w:t>a</w:t>
      </w:r>
      <w:r w:rsidRPr="002D0B5E">
        <w:t xml:space="preserve">) K. Y. Palate, Z. Yang, A. C. Whitwood and W. P. Unsworth </w:t>
      </w:r>
      <w:r w:rsidRPr="002D0B5E">
        <w:rPr>
          <w:i/>
          <w:iCs/>
        </w:rPr>
        <w:t>RSC Chem. Biol</w:t>
      </w:r>
      <w:r w:rsidRPr="002D0B5E">
        <w:t xml:space="preserve">., </w:t>
      </w:r>
      <w:r w:rsidRPr="002D0B5E">
        <w:rPr>
          <w:b/>
          <w:bCs/>
        </w:rPr>
        <w:t>2022</w:t>
      </w:r>
      <w:r w:rsidRPr="002D0B5E">
        <w:t xml:space="preserve">, </w:t>
      </w:r>
      <w:r w:rsidRPr="002D0B5E">
        <w:rPr>
          <w:i/>
          <w:iCs/>
        </w:rPr>
        <w:t>3</w:t>
      </w:r>
      <w:r w:rsidRPr="002D0B5E">
        <w:t>, 334; (</w:t>
      </w:r>
      <w:r>
        <w:t>b</w:t>
      </w:r>
      <w:r w:rsidRPr="002D0B5E">
        <w:t xml:space="preserve">) Z. Yang, I. Zalessky, R. G. Epton, A. C. Whitwood, J. M. Lynam, W. P. Unsworth, </w:t>
      </w:r>
      <w:r w:rsidRPr="002D0B5E">
        <w:rPr>
          <w:i/>
          <w:iCs/>
        </w:rPr>
        <w:t>Angew. Chem., Int. Ed</w:t>
      </w:r>
      <w:r w:rsidRPr="002D0B5E">
        <w:t xml:space="preserve">. </w:t>
      </w:r>
      <w:r w:rsidRPr="002D0B5E">
        <w:rPr>
          <w:b/>
          <w:bCs/>
        </w:rPr>
        <w:t>2023</w:t>
      </w:r>
      <w:r w:rsidRPr="002D0B5E">
        <w:t>, e202217178;</w:t>
      </w:r>
      <w:r w:rsidRPr="00D76274">
        <w:t xml:space="preserve"> </w:t>
      </w:r>
      <w:r>
        <w:t xml:space="preserve">(c) W. E. Orukotan, K. Y. Palate, B. Pogrányi, P. Bobinski, R. G. Epton, L. Duff, A. C. Whitwood, G. Grogan, J. M. Lynam, W. P. Unsworth, </w:t>
      </w:r>
      <w:r w:rsidRPr="005A5905">
        <w:rPr>
          <w:i/>
          <w:iCs/>
        </w:rPr>
        <w:t>Chem. Eur. J</w:t>
      </w:r>
      <w:r>
        <w:t xml:space="preserve">. </w:t>
      </w:r>
      <w:r w:rsidRPr="005A5905">
        <w:rPr>
          <w:b/>
          <w:bCs/>
        </w:rPr>
        <w:t>2023</w:t>
      </w:r>
      <w:r>
        <w:t xml:space="preserve">, </w:t>
      </w:r>
      <w:r w:rsidRPr="005A5905">
        <w:rPr>
          <w:i/>
          <w:iCs/>
        </w:rPr>
        <w:t>29</w:t>
      </w:r>
      <w:r>
        <w:t>, e202303270.</w:t>
      </w:r>
    </w:p>
    <w:p w14:paraId="6A61A6C0" w14:textId="08E47B6A" w:rsidR="00351094" w:rsidRDefault="00351094" w:rsidP="005E45ED">
      <w:pPr>
        <w:pStyle w:val="References"/>
      </w:pPr>
      <w:r>
        <w:lastRenderedPageBreak/>
        <w:t>[16]</w:t>
      </w:r>
      <w:r>
        <w:tab/>
        <w:t xml:space="preserve">R. J. Armstrong, M. Nandakumar, R. M. P. Dias, A. Noble, E. L. Myers, V. K. Aggrawal, </w:t>
      </w:r>
      <w:r>
        <w:rPr>
          <w:i/>
          <w:iCs/>
        </w:rPr>
        <w:t xml:space="preserve">Angew. Chem. Int. Ed. </w:t>
      </w:r>
      <w:r>
        <w:rPr>
          <w:b/>
          <w:bCs/>
        </w:rPr>
        <w:t>2018</w:t>
      </w:r>
      <w:r>
        <w:t xml:space="preserve">, </w:t>
      </w:r>
      <w:r>
        <w:rPr>
          <w:i/>
          <w:iCs/>
        </w:rPr>
        <w:t>57</w:t>
      </w:r>
      <w:r>
        <w:t>, 8203.</w:t>
      </w:r>
    </w:p>
    <w:p w14:paraId="50A29ED0" w14:textId="77777777" w:rsidR="00773C4B" w:rsidRDefault="00351094" w:rsidP="00A878A8">
      <w:pPr>
        <w:pStyle w:val="References"/>
      </w:pPr>
      <w:r>
        <w:t>[17]</w:t>
      </w:r>
      <w:r>
        <w:tab/>
      </w:r>
      <w:r w:rsidRPr="00351094">
        <w:t xml:space="preserve">J. Wootton, N. J. Roper, C. E. Morris, V. E. Maguire, L. Duff, P. G. Waddell, A. C. Whitwood, R. Gammons, A. H Miah, J. M. Lynam, R. J. Armstrong, W. P. Unsworth, </w:t>
      </w:r>
      <w:r w:rsidRPr="00351094">
        <w:rPr>
          <w:i/>
          <w:iCs/>
        </w:rPr>
        <w:t>Chem. Sci</w:t>
      </w:r>
      <w:r w:rsidRPr="00351094">
        <w:t xml:space="preserve">. </w:t>
      </w:r>
      <w:r w:rsidRPr="00351094">
        <w:rPr>
          <w:b/>
          <w:bCs/>
        </w:rPr>
        <w:t>2025</w:t>
      </w:r>
      <w:r w:rsidRPr="00351094">
        <w:t xml:space="preserve">, </w:t>
      </w:r>
      <w:r w:rsidRPr="00351094">
        <w:rPr>
          <w:i/>
          <w:iCs/>
        </w:rPr>
        <w:t>16</w:t>
      </w:r>
      <w:r w:rsidRPr="00351094">
        <w:t>, 3938</w:t>
      </w:r>
      <w:r>
        <w:t>.</w:t>
      </w:r>
    </w:p>
    <w:p w14:paraId="44F24BA8" w14:textId="768F485A" w:rsidR="00707483" w:rsidRDefault="00707483" w:rsidP="00A878A8">
      <w:pPr>
        <w:pStyle w:val="References"/>
      </w:pPr>
      <w:r>
        <w:t>[18]</w:t>
      </w:r>
      <w:r>
        <w:tab/>
      </w:r>
      <w:r w:rsidRPr="00707483">
        <w:t xml:space="preserve">For </w:t>
      </w:r>
      <w:r>
        <w:t>other</w:t>
      </w:r>
      <w:r w:rsidRPr="00707483">
        <w:t xml:space="preserve"> strategies for the </w:t>
      </w:r>
      <w:r>
        <w:t xml:space="preserve">diversity-oriented </w:t>
      </w:r>
      <w:r w:rsidRPr="00707483">
        <w:t xml:space="preserve">synthesis </w:t>
      </w:r>
      <w:r>
        <w:t xml:space="preserve">of </w:t>
      </w:r>
      <w:r w:rsidRPr="00707483">
        <w:t>macrocycle libraries, see (a) A. Isidro-Llobet, T. Murillo, P. Bello, A. Cilibrizzi, J. T. Hodgkinson, W. R. J. D. Galloway, A. Bender, M. Welch</w:t>
      </w:r>
      <w:r>
        <w:t>,</w:t>
      </w:r>
      <w:r w:rsidRPr="00707483">
        <w:t xml:space="preserve"> D.</w:t>
      </w:r>
      <w:r>
        <w:t xml:space="preserve"> </w:t>
      </w:r>
      <w:r w:rsidRPr="00707483">
        <w:t xml:space="preserve">R. Spring, </w:t>
      </w:r>
      <w:r w:rsidRPr="00707483">
        <w:rPr>
          <w:i/>
          <w:iCs/>
        </w:rPr>
        <w:t>Proc. Natl. Acad. Sci. U.S.A</w:t>
      </w:r>
      <w:r w:rsidRPr="00707483">
        <w:t xml:space="preserve">. </w:t>
      </w:r>
      <w:r w:rsidRPr="00707483">
        <w:rPr>
          <w:b/>
          <w:bCs/>
        </w:rPr>
        <w:t>2011</w:t>
      </w:r>
      <w:r w:rsidRPr="00707483">
        <w:t xml:space="preserve">, </w:t>
      </w:r>
      <w:r w:rsidRPr="00707483">
        <w:rPr>
          <w:i/>
          <w:iCs/>
        </w:rPr>
        <w:t>108</w:t>
      </w:r>
      <w:r w:rsidRPr="00707483">
        <w:t>, 6793; (b) H. S. G. Beckmann, F. Nie, C. E. Hagerman, H. Johansson, Y. S. Tan, D. Wilcke</w:t>
      </w:r>
      <w:r>
        <w:t xml:space="preserve">, </w:t>
      </w:r>
      <w:r w:rsidRPr="00707483">
        <w:t>D. R Spring</w:t>
      </w:r>
      <w:r>
        <w:t>,</w:t>
      </w:r>
      <w:r w:rsidRPr="00707483">
        <w:t xml:space="preserve"> </w:t>
      </w:r>
      <w:r w:rsidRPr="00707483">
        <w:rPr>
          <w:i/>
          <w:iCs/>
        </w:rPr>
        <w:t>Nat. Chem</w:t>
      </w:r>
      <w:r w:rsidRPr="00707483">
        <w:t xml:space="preserve">. </w:t>
      </w:r>
      <w:r w:rsidRPr="00707483">
        <w:rPr>
          <w:b/>
          <w:bCs/>
        </w:rPr>
        <w:t>2013</w:t>
      </w:r>
      <w:r w:rsidRPr="00707483">
        <w:t xml:space="preserve">, </w:t>
      </w:r>
      <w:r w:rsidRPr="00707483">
        <w:rPr>
          <w:i/>
          <w:iCs/>
        </w:rPr>
        <w:t>10</w:t>
      </w:r>
      <w:r w:rsidRPr="00707483">
        <w:t>, 861; (c) S. Collins, S. Bartlett, F. Nie, H. F. Sore and D. R. Spring</w:t>
      </w:r>
      <w:r>
        <w:t>,</w:t>
      </w:r>
      <w:r w:rsidRPr="00707483">
        <w:t xml:space="preserve"> </w:t>
      </w:r>
      <w:r w:rsidRPr="00707483">
        <w:rPr>
          <w:i/>
          <w:iCs/>
        </w:rPr>
        <w:t>Synthesis</w:t>
      </w:r>
      <w:r w:rsidRPr="00707483">
        <w:t xml:space="preserve">. </w:t>
      </w:r>
      <w:r w:rsidRPr="00707483">
        <w:rPr>
          <w:b/>
          <w:bCs/>
        </w:rPr>
        <w:t>2016</w:t>
      </w:r>
      <w:r w:rsidRPr="00707483">
        <w:t>, 1457–1473; (d) I. B. Seiple, Z. Zhang, P. Jakubec, A. Langlois-Mercier, P. M. Wright, D. T. Hog, K. Yabu, S. R. Allu, T. Fukuzaki, P. N. Carlsen, Y. Kitamura, X. Zhou, M. L. Condakes, F. T. Szczypiński, W. D. Green and A. G. Myers</w:t>
      </w:r>
      <w:r>
        <w:t xml:space="preserve">, </w:t>
      </w:r>
      <w:r w:rsidRPr="00707483">
        <w:t xml:space="preserve">Nature </w:t>
      </w:r>
      <w:r w:rsidRPr="00707483">
        <w:rPr>
          <w:b/>
          <w:bCs/>
        </w:rPr>
        <w:t>2016</w:t>
      </w:r>
      <w:r w:rsidRPr="00707483">
        <w:t>, 533, 338; (e) F. Nie, D. L. Kunciw, D. Wilcke, J. E. Stokes, W. R. J. D. Galloway, S. Bartlett, H. F. Sore</w:t>
      </w:r>
      <w:r>
        <w:t>,</w:t>
      </w:r>
      <w:r w:rsidRPr="00707483">
        <w:t xml:space="preserve"> D. R. Spring</w:t>
      </w:r>
      <w:r>
        <w:t xml:space="preserve">, </w:t>
      </w:r>
      <w:r w:rsidRPr="00707483">
        <w:rPr>
          <w:i/>
          <w:iCs/>
        </w:rPr>
        <w:t>Angew. Chem. Int. Ed</w:t>
      </w:r>
      <w:r w:rsidRPr="00707483">
        <w:t xml:space="preserve">. </w:t>
      </w:r>
      <w:r w:rsidRPr="00707483">
        <w:rPr>
          <w:b/>
          <w:bCs/>
        </w:rPr>
        <w:t>2016</w:t>
      </w:r>
      <w:r w:rsidRPr="00707483">
        <w:t xml:space="preserve">, </w:t>
      </w:r>
      <w:r w:rsidRPr="00707483">
        <w:rPr>
          <w:i/>
          <w:iCs/>
        </w:rPr>
        <w:t>55</w:t>
      </w:r>
      <w:r w:rsidRPr="00707483">
        <w:t>, 11139; (</w:t>
      </w:r>
      <w:r>
        <w:t>f</w:t>
      </w:r>
      <w:r w:rsidRPr="00707483">
        <w:t>) Z. Guo, S. Y. Hong, J. Wang, S. Rehan, W. Liu, H. Peng, M. Das, W. Li, S. Bhat, B. Peiffer, B. R. Ullman, C.-M. Tse, Z. Tarmakova, C. Schiene-Fischer, G. Fischer, I. Coe, V. O. Paavilainen, Z. Sun</w:t>
      </w:r>
      <w:r>
        <w:t>,</w:t>
      </w:r>
      <w:r w:rsidRPr="00707483">
        <w:t xml:space="preserve"> J. O. Liu</w:t>
      </w:r>
      <w:r>
        <w:t>,</w:t>
      </w:r>
      <w:r w:rsidRPr="00707483">
        <w:t xml:space="preserve"> </w:t>
      </w:r>
      <w:r w:rsidRPr="00707483">
        <w:rPr>
          <w:i/>
          <w:iCs/>
        </w:rPr>
        <w:t>Nat. Chem</w:t>
      </w:r>
      <w:r w:rsidRPr="00707483">
        <w:t xml:space="preserve">. </w:t>
      </w:r>
      <w:r w:rsidRPr="00707483">
        <w:rPr>
          <w:b/>
          <w:bCs/>
        </w:rPr>
        <w:t>2019</w:t>
      </w:r>
      <w:r w:rsidRPr="00707483">
        <w:t xml:space="preserve">, </w:t>
      </w:r>
      <w:r w:rsidRPr="00707483">
        <w:rPr>
          <w:i/>
          <w:iCs/>
        </w:rPr>
        <w:t>11</w:t>
      </w:r>
      <w:r w:rsidRPr="00707483">
        <w:t>, 254; (</w:t>
      </w:r>
      <w:r>
        <w:t>g</w:t>
      </w:r>
      <w:r w:rsidRPr="00707483">
        <w:t xml:space="preserve">) A. L. Nielsen, Z. Bognar, G. K. Mothukuri, A. Zarda, M. Schüttel, M. L. Merz, X. Ji, E. J. Will, M. Chinellato, C. R. O. Bartling, K. Strømgaard, L. Cendron, A. Angelini, C. Heinis. </w:t>
      </w:r>
      <w:r w:rsidRPr="00707483">
        <w:rPr>
          <w:i/>
          <w:iCs/>
        </w:rPr>
        <w:t>Angew. Chem. Int. Ed</w:t>
      </w:r>
      <w:r w:rsidRPr="00707483">
        <w:t xml:space="preserve">. </w:t>
      </w:r>
      <w:r w:rsidRPr="00707483">
        <w:rPr>
          <w:b/>
          <w:bCs/>
        </w:rPr>
        <w:t>2024</w:t>
      </w:r>
      <w:r w:rsidRPr="00707483">
        <w:t xml:space="preserve">, </w:t>
      </w:r>
      <w:r w:rsidRPr="00707483">
        <w:rPr>
          <w:i/>
          <w:iCs/>
        </w:rPr>
        <w:t>63</w:t>
      </w:r>
      <w:r w:rsidRPr="00707483">
        <w:t>, e202400350</w:t>
      </w:r>
      <w:r>
        <w:t>.</w:t>
      </w:r>
    </w:p>
    <w:p w14:paraId="1D11094D" w14:textId="185C18CB" w:rsidR="00707483" w:rsidRPr="0065243C" w:rsidRDefault="00707483" w:rsidP="00A878A8">
      <w:pPr>
        <w:pStyle w:val="References"/>
        <w:sectPr w:rsidR="00707483" w:rsidRPr="0065243C" w:rsidSect="000D37AC">
          <w:type w:val="continuous"/>
          <w:pgSz w:w="11906" w:h="16838" w:code="9"/>
          <w:pgMar w:top="1673" w:right="936" w:bottom="1134" w:left="936" w:header="709" w:footer="709" w:gutter="0"/>
          <w:cols w:num="2" w:space="284"/>
          <w:docGrid w:linePitch="360"/>
        </w:sectPr>
      </w:pPr>
    </w:p>
    <w:p w14:paraId="319E9AA7" w14:textId="77777777" w:rsidR="00773C4B" w:rsidRPr="0065243C" w:rsidRDefault="00773C4B" w:rsidP="00773C4B">
      <w:pPr>
        <w:rPr>
          <w:bCs/>
          <w:lang w:val="en-GB"/>
        </w:rPr>
      </w:pPr>
    </w:p>
    <w:p w14:paraId="2C9FBDAE" w14:textId="77777777" w:rsidR="00A8458D" w:rsidRPr="0065243C" w:rsidRDefault="00A8458D" w:rsidP="00A8458D">
      <w:pPr>
        <w:rPr>
          <w:b/>
          <w:lang w:val="en-GB"/>
        </w:rPr>
      </w:pPr>
      <w:r w:rsidRPr="0065243C">
        <w:rPr>
          <w:b/>
          <w:lang w:val="en-GB"/>
        </w:rPr>
        <w:t>Entry for the Table of Contents</w:t>
      </w:r>
      <w:r w:rsidRPr="0065243C">
        <w:rPr>
          <w:lang w:val="en-GB"/>
        </w:rPr>
        <w:t xml:space="preserve"> (Please choose one layout)</w:t>
      </w:r>
    </w:p>
    <w:p w14:paraId="073C7ADB" w14:textId="77777777" w:rsidR="00A8458D" w:rsidRPr="0065243C" w:rsidRDefault="00A8458D" w:rsidP="00A8458D">
      <w:pPr>
        <w:rPr>
          <w:b/>
          <w:lang w:val="en-GB"/>
        </w:rPr>
      </w:pPr>
    </w:p>
    <w:p w14:paraId="3641D157" w14:textId="77777777" w:rsidR="00A8458D" w:rsidRPr="0065243C" w:rsidRDefault="00A8458D" w:rsidP="00A8458D">
      <w:pPr>
        <w:spacing w:after="240"/>
        <w:rPr>
          <w:lang w:val="en-GB"/>
        </w:rPr>
      </w:pPr>
      <w:r w:rsidRPr="0065243C">
        <w:rPr>
          <w:lang w:val="en-GB"/>
        </w:rPr>
        <w:t>Layout 1:</w:t>
      </w:r>
    </w:p>
    <w:p w14:paraId="1608CFC6" w14:textId="77777777" w:rsidR="00A8458D" w:rsidRPr="0065243C" w:rsidRDefault="00A8458D" w:rsidP="00A8458D">
      <w:pPr>
        <w:rPr>
          <w:lang w:val="en-GB"/>
        </w:rPr>
      </w:pPr>
    </w:p>
    <w:tbl>
      <w:tblPr>
        <w:tblW w:w="10093" w:type="dxa"/>
        <w:tblLook w:val="01E0" w:firstRow="1" w:lastRow="1" w:firstColumn="1" w:lastColumn="1" w:noHBand="0" w:noVBand="0"/>
      </w:tblPr>
      <w:tblGrid>
        <w:gridCol w:w="3118"/>
        <w:gridCol w:w="284"/>
        <w:gridCol w:w="3118"/>
        <w:gridCol w:w="284"/>
        <w:gridCol w:w="3289"/>
      </w:tblGrid>
      <w:tr w:rsidR="00A8458D" w:rsidRPr="0065243C" w14:paraId="0338A75F" w14:textId="77777777" w:rsidTr="00A968D0">
        <w:trPr>
          <w:trHeight w:hRule="exact" w:val="340"/>
        </w:trPr>
        <w:tc>
          <w:tcPr>
            <w:tcW w:w="10093" w:type="dxa"/>
            <w:gridSpan w:val="5"/>
            <w:tcBorders>
              <w:bottom w:val="single" w:sz="36" w:space="0" w:color="BFBFBF"/>
            </w:tcBorders>
          </w:tcPr>
          <w:p w14:paraId="6B17983F" w14:textId="77777777" w:rsidR="00A8458D" w:rsidRPr="0065243C" w:rsidRDefault="003B5153" w:rsidP="003B6C60">
            <w:pPr>
              <w:pStyle w:val="ColumnTitleTOC"/>
            </w:pPr>
            <w:r w:rsidRPr="0065243C">
              <w:t>RESEARCH ARTICLE</w:t>
            </w:r>
          </w:p>
        </w:tc>
      </w:tr>
      <w:tr w:rsidR="00A8458D" w:rsidRPr="0065243C" w14:paraId="04F28C37" w14:textId="77777777" w:rsidTr="00A968D0">
        <w:trPr>
          <w:trHeight w:val="340"/>
        </w:trPr>
        <w:tc>
          <w:tcPr>
            <w:tcW w:w="3118" w:type="dxa"/>
            <w:vMerge w:val="restart"/>
            <w:tcBorders>
              <w:top w:val="single" w:sz="36" w:space="0" w:color="BFBFBF"/>
            </w:tcBorders>
          </w:tcPr>
          <w:p w14:paraId="2F798C01" w14:textId="436682DE" w:rsidR="00A8458D" w:rsidRPr="00324395" w:rsidRDefault="008B5BF5" w:rsidP="003B6C60">
            <w:pPr>
              <w:pStyle w:val="TableOfContentText"/>
              <w:rPr>
                <w:highlight w:val="yellow"/>
              </w:rPr>
            </w:pPr>
            <w:r>
              <w:t>M</w:t>
            </w:r>
            <w:r w:rsidRPr="008B5BF5">
              <w:t>ethods for the efficient synthesis of macrocyclic sulfur(IV) compounds are rare. In this manuscript, a versatile strategy for the synthesis of macrocyclic sulfonamides is described using a modular three-stage protocol</w:t>
            </w:r>
            <w:r>
              <w:t>, including two consecutive cascade ring expansion reactions</w:t>
            </w:r>
            <w:r w:rsidRPr="008B5BF5">
              <w:t xml:space="preserve">. The utility of this modular approach is showcased via the synthesis of a library of </w:t>
            </w:r>
            <w:r w:rsidR="003E40F4">
              <w:t>42</w:t>
            </w:r>
            <w:r w:rsidRPr="008B5BF5">
              <w:t xml:space="preserve"> diversely functionalised 13- and 14-membered macrocyclic sulfonamides.</w:t>
            </w:r>
          </w:p>
        </w:tc>
        <w:tc>
          <w:tcPr>
            <w:tcW w:w="284" w:type="dxa"/>
            <w:tcBorders>
              <w:top w:val="single" w:sz="36" w:space="0" w:color="BFBFBF"/>
            </w:tcBorders>
          </w:tcPr>
          <w:p w14:paraId="64FCC773" w14:textId="77777777" w:rsidR="00A8458D" w:rsidRPr="00324395" w:rsidRDefault="00A8458D" w:rsidP="003B6C60">
            <w:pPr>
              <w:rPr>
                <w:highlight w:val="yellow"/>
                <w:lang w:val="en-GB"/>
              </w:rPr>
            </w:pPr>
          </w:p>
        </w:tc>
        <w:tc>
          <w:tcPr>
            <w:tcW w:w="3118" w:type="dxa"/>
            <w:vMerge w:val="restart"/>
            <w:tcBorders>
              <w:top w:val="single" w:sz="36" w:space="0" w:color="BFBFBF"/>
            </w:tcBorders>
          </w:tcPr>
          <w:p w14:paraId="507C6363" w14:textId="77777777" w:rsidR="00A8458D" w:rsidRPr="00324395" w:rsidRDefault="00AB3B6C" w:rsidP="003B6C60">
            <w:pPr>
              <w:rPr>
                <w:highlight w:val="yellow"/>
                <w:lang w:val="en-GB"/>
              </w:rPr>
            </w:pPr>
            <w:r w:rsidRPr="00324395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AC347A" wp14:editId="0F34D46E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99483</wp:posOffset>
                      </wp:positionV>
                      <wp:extent cx="1988185" cy="1189567"/>
                      <wp:effectExtent l="0" t="0" r="0" b="0"/>
                      <wp:wrapNone/>
                      <wp:docPr id="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185" cy="1189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582631" w14:textId="552B1E07" w:rsidR="00A8458D" w:rsidRPr="006F5ABC" w:rsidRDefault="00660890" w:rsidP="00DA7A5A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object w:dxaOrig="4939" w:dyaOrig="4103" w14:anchorId="09BE6531">
                                      <v:shape id="_x0000_i1029" type="#_x0000_t75" alt="" style="width:143.25pt;height:120pt" o:ole="">
                                        <v:imagedata r:id="rId16" o:title=""/>
                                      </v:shape>
                                      <o:OLEObject Type="Embed" ProgID="ChemDraw.Document.6.0" ShapeID="_x0000_i1029" DrawAspect="Content" ObjectID="_1819789376" r:id="rId1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C347A" id="Rectangle 35" o:spid="_x0000_s1026" style="position:absolute;margin-left:-5.2pt;margin-top:7.85pt;width:156.55pt;height:93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" fillcolor="#eaeaea" stroked="f">
                      <v:textbox style="mso-fit-shape-to-text:t">
                        <w:txbxContent>
                          <w:p w14:paraId="18582631" w14:textId="552B1E07" w:rsidR="00A8458D" w:rsidRPr="006F5ABC" w:rsidRDefault="00660890" w:rsidP="00DA7A5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4939" w:dyaOrig="4103" w14:anchorId="09BE6531">
                                <v:shape id="_x0000_i1029" type="#_x0000_t75" alt="" style="width:143.25pt;height:120pt" o:ole="">
                                  <v:imagedata r:id="rId18" o:title=""/>
                                </v:shape>
                                <o:OLEObject Type="Embed" ProgID="ChemDraw.Document.6.0" ShapeID="_x0000_i1029" DrawAspect="Content" ObjectID="_1814018502" r:id="rId1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36" w:space="0" w:color="BFBFBF"/>
            </w:tcBorders>
          </w:tcPr>
          <w:p w14:paraId="08BDE26C" w14:textId="77777777" w:rsidR="00A8458D" w:rsidRPr="00324395" w:rsidRDefault="00A8458D" w:rsidP="003B6C60">
            <w:pPr>
              <w:rPr>
                <w:highlight w:val="yellow"/>
                <w:lang w:val="en-GB"/>
              </w:rPr>
            </w:pPr>
          </w:p>
        </w:tc>
        <w:tc>
          <w:tcPr>
            <w:tcW w:w="3289" w:type="dxa"/>
            <w:vMerge w:val="restart"/>
            <w:tcBorders>
              <w:top w:val="single" w:sz="36" w:space="0" w:color="BFBFBF"/>
            </w:tcBorders>
          </w:tcPr>
          <w:p w14:paraId="77A3FAAF" w14:textId="3FAAE62B" w:rsidR="00A8458D" w:rsidRPr="00324395" w:rsidRDefault="00660890" w:rsidP="003B6C60">
            <w:pPr>
              <w:pStyle w:val="AuthorsTOC"/>
              <w:rPr>
                <w:highlight w:val="yellow"/>
              </w:rPr>
            </w:pPr>
            <w:r w:rsidRPr="00660890">
              <w:t xml:space="preserve">Will E. Orukotan, Ben. J. Knapper, </w:t>
            </w:r>
            <w:r w:rsidR="00A40957">
              <w:t>Daniela Dimitrova</w:t>
            </w:r>
            <w:r w:rsidRPr="00660890">
              <w:t xml:space="preserve"> and William P. Unsworth*</w:t>
            </w:r>
          </w:p>
          <w:p w14:paraId="68D50747" w14:textId="77777777" w:rsidR="00A8458D" w:rsidRPr="00660890" w:rsidRDefault="00A8458D" w:rsidP="003B6C60">
            <w:pPr>
              <w:pStyle w:val="PageNumbers"/>
              <w:rPr>
                <w:lang w:val="en-GB"/>
              </w:rPr>
            </w:pPr>
            <w:r w:rsidRPr="00660890">
              <w:rPr>
                <w:lang w:val="en-GB"/>
              </w:rPr>
              <w:t>Page No. – Page No.</w:t>
            </w:r>
          </w:p>
          <w:p w14:paraId="42C7C58D" w14:textId="5451B9ED" w:rsidR="00A8458D" w:rsidRPr="00324395" w:rsidRDefault="00660890" w:rsidP="00A11276">
            <w:pPr>
              <w:pStyle w:val="TitleTOC"/>
              <w:framePr w:hSpace="141" w:wrap="around" w:vAnchor="page" w:hAnchor="margin" w:y="1504"/>
              <w:rPr>
                <w:highlight w:val="yellow"/>
              </w:rPr>
            </w:pPr>
            <w:r w:rsidRPr="00660890">
              <w:t>Modular assembly of macrocyclic sulfonamides via consecutive cascade ring expansion reactions</w:t>
            </w:r>
          </w:p>
        </w:tc>
      </w:tr>
      <w:tr w:rsidR="00A8458D" w:rsidRPr="0065243C" w14:paraId="105609E7" w14:textId="77777777" w:rsidTr="003B6C60">
        <w:trPr>
          <w:trHeight w:hRule="exact" w:val="2796"/>
        </w:trPr>
        <w:tc>
          <w:tcPr>
            <w:tcW w:w="3118" w:type="dxa"/>
            <w:vMerge/>
          </w:tcPr>
          <w:p w14:paraId="67F9D339" w14:textId="77777777" w:rsidR="00A8458D" w:rsidRPr="0065243C" w:rsidRDefault="00A8458D" w:rsidP="003B6C60">
            <w:pPr>
              <w:rPr>
                <w:lang w:val="en-GB"/>
              </w:rPr>
            </w:pPr>
          </w:p>
        </w:tc>
        <w:tc>
          <w:tcPr>
            <w:tcW w:w="284" w:type="dxa"/>
          </w:tcPr>
          <w:p w14:paraId="76292937" w14:textId="77777777" w:rsidR="00A8458D" w:rsidRPr="0065243C" w:rsidRDefault="00A8458D" w:rsidP="003B6C60">
            <w:pPr>
              <w:rPr>
                <w:lang w:val="en-GB"/>
              </w:rPr>
            </w:pPr>
          </w:p>
        </w:tc>
        <w:tc>
          <w:tcPr>
            <w:tcW w:w="3118" w:type="dxa"/>
            <w:vMerge/>
          </w:tcPr>
          <w:p w14:paraId="241F1852" w14:textId="77777777" w:rsidR="00A8458D" w:rsidRPr="0065243C" w:rsidRDefault="00A8458D" w:rsidP="003B6C60">
            <w:pPr>
              <w:rPr>
                <w:lang w:val="en-GB"/>
              </w:rPr>
            </w:pPr>
          </w:p>
        </w:tc>
        <w:tc>
          <w:tcPr>
            <w:tcW w:w="284" w:type="dxa"/>
          </w:tcPr>
          <w:p w14:paraId="57F4C6A6" w14:textId="77777777" w:rsidR="00A8458D" w:rsidRPr="0065243C" w:rsidRDefault="00A8458D" w:rsidP="003B6C60">
            <w:pPr>
              <w:rPr>
                <w:lang w:val="en-GB"/>
              </w:rPr>
            </w:pPr>
          </w:p>
        </w:tc>
        <w:tc>
          <w:tcPr>
            <w:tcW w:w="3289" w:type="dxa"/>
            <w:vMerge/>
          </w:tcPr>
          <w:p w14:paraId="6475A55F" w14:textId="77777777" w:rsidR="00A8458D" w:rsidRPr="0065243C" w:rsidRDefault="00A8458D" w:rsidP="003B6C60">
            <w:pPr>
              <w:rPr>
                <w:lang w:val="en-GB"/>
              </w:rPr>
            </w:pPr>
          </w:p>
        </w:tc>
      </w:tr>
    </w:tbl>
    <w:p w14:paraId="4FC694F8" w14:textId="77777777" w:rsidR="00A8458D" w:rsidRPr="0065243C" w:rsidRDefault="00A8458D" w:rsidP="00A8458D">
      <w:pPr>
        <w:rPr>
          <w:lang w:val="en-GB"/>
        </w:rPr>
      </w:pPr>
    </w:p>
    <w:sectPr w:rsidR="00A8458D" w:rsidRPr="0065243C" w:rsidSect="000D37AC">
      <w:pgSz w:w="11906" w:h="16838" w:code="9"/>
      <w:pgMar w:top="1134" w:right="936" w:bottom="1134" w:left="936" w:header="1021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ED8A0" w14:textId="77777777" w:rsidR="00636948" w:rsidRDefault="00636948">
      <w:r>
        <w:separator/>
      </w:r>
    </w:p>
  </w:endnote>
  <w:endnote w:type="continuationSeparator" w:id="0">
    <w:p w14:paraId="2E5EEBFF" w14:textId="77777777" w:rsidR="00636948" w:rsidRDefault="0063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7DB8" w14:textId="77777777" w:rsidR="00205632" w:rsidRDefault="00205632" w:rsidP="000C4579">
    <w:pPr>
      <w:pStyle w:val="Footer"/>
      <w:pBdr>
        <w:top w:val="single" w:sz="18" w:space="1" w:color="C0C0C0"/>
      </w:pBdr>
    </w:pPr>
  </w:p>
  <w:p w14:paraId="688CAF64" w14:textId="77777777" w:rsidR="00205632" w:rsidRDefault="00205632" w:rsidP="000C4579">
    <w:pPr>
      <w:pStyle w:val="Footer"/>
    </w:pPr>
  </w:p>
  <w:p w14:paraId="78318E54" w14:textId="77777777" w:rsidR="00205632" w:rsidRDefault="00205632" w:rsidP="000C4579">
    <w:pPr>
      <w:pStyle w:val="Footer"/>
    </w:pPr>
  </w:p>
  <w:p w14:paraId="202E2826" w14:textId="77777777" w:rsidR="00205632" w:rsidRPr="00205632" w:rsidRDefault="00205632" w:rsidP="000C4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0202" w14:textId="77777777" w:rsidR="00636948" w:rsidRDefault="00636948">
      <w:r>
        <w:separator/>
      </w:r>
    </w:p>
  </w:footnote>
  <w:footnote w:type="continuationSeparator" w:id="0">
    <w:p w14:paraId="5E105F5B" w14:textId="77777777" w:rsidR="00636948" w:rsidRDefault="0063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9E4D" w14:textId="77777777" w:rsidR="00C8278A" w:rsidRPr="00C8278A" w:rsidRDefault="006F7D7B" w:rsidP="00490E63">
    <w:pPr>
      <w:pStyle w:val="Header"/>
      <w:pBdr>
        <w:bottom w:val="single" w:sz="36" w:space="1" w:color="C0C0C0"/>
      </w:pBdr>
      <w:rPr>
        <w:rFonts w:ascii="Arial Narrow" w:hAnsi="Arial Narrow" w:cs="Arial"/>
        <w:b/>
        <w:bCs/>
        <w:color w:val="C0C0C0"/>
        <w:sz w:val="36"/>
        <w:szCs w:val="36"/>
      </w:rPr>
    </w:pPr>
    <w:r>
      <w:rPr>
        <w:rFonts w:ascii="Arial Narrow" w:hAnsi="Arial Narrow" w:cs="Arial"/>
        <w:b/>
        <w:bCs/>
        <w:noProof/>
        <w:color w:val="C0C0C0"/>
        <w:sz w:val="40"/>
        <w:szCs w:val="36"/>
        <w:lang w:eastAsia="zh-CN"/>
      </w:rPr>
      <w:pict w14:anchorId="0DA1C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8795" o:spid="_x0000_s1027" type="#_x0000_t75" alt="" style="position:absolute;margin-left:0;margin-top:0;width:688.65pt;height:937.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iley-VCH_gedreht" gain="19661f" blacklevel="22938f"/>
          <w10:wrap anchorx="margin" anchory="margin"/>
        </v:shape>
      </w:pict>
    </w:r>
    <w:r w:rsidR="00AB3B6C" w:rsidRPr="001D7ECC">
      <w:rPr>
        <w:rFonts w:ascii="Arial Narrow" w:hAnsi="Arial Narrow" w:cs="Arial"/>
        <w:b/>
        <w:bCs/>
        <w:noProof/>
        <w:color w:val="C0C0C0"/>
        <w:sz w:val="40"/>
        <w:szCs w:val="36"/>
      </w:rPr>
      <w:drawing>
        <wp:inline distT="0" distB="0" distL="0" distR="0" wp14:anchorId="609F42B6" wp14:editId="58CF3527">
          <wp:extent cx="1456690" cy="372110"/>
          <wp:effectExtent l="0" t="0" r="0" b="0"/>
          <wp:docPr id="580264756" name="Picture 580264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0E63">
      <w:rPr>
        <w:rFonts w:ascii="Arial Narrow" w:hAnsi="Arial Narrow" w:cs="Arial"/>
        <w:b/>
        <w:bCs/>
        <w:color w:val="C0C0C0"/>
        <w:sz w:val="40"/>
        <w:szCs w:val="36"/>
      </w:rPr>
      <w:tab/>
    </w:r>
    <w:r w:rsidR="00490E63">
      <w:rPr>
        <w:rFonts w:ascii="Arial Narrow" w:hAnsi="Arial Narrow" w:cs="Arial"/>
        <w:b/>
        <w:bCs/>
        <w:color w:val="C0C0C0"/>
        <w:sz w:val="40"/>
        <w:szCs w:val="36"/>
      </w:rPr>
      <w:tab/>
      <w:t xml:space="preserve">                            </w:t>
    </w:r>
    <w:r w:rsidR="00490E63" w:rsidRPr="00FB4551">
      <w:rPr>
        <w:rFonts w:ascii="Arial" w:hAnsi="Arial" w:cs="Arial"/>
        <w:b/>
        <w:bCs/>
        <w:color w:val="C0C0C0"/>
      </w:rPr>
      <w:t>www.chemsuschem.org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FB15" w14:textId="77777777" w:rsidR="00BF14BC" w:rsidRPr="00971FC5" w:rsidRDefault="006F7D7B" w:rsidP="000C4579">
    <w:pPr>
      <w:pStyle w:val="Header"/>
      <w:pBdr>
        <w:bottom w:val="single" w:sz="18" w:space="1" w:color="C0C0C0"/>
      </w:pBdr>
      <w:rPr>
        <w:rFonts w:ascii="Arial Narrow" w:hAnsi="Arial Narrow" w:cs="Arial"/>
        <w:sz w:val="32"/>
        <w:szCs w:val="36"/>
      </w:rPr>
    </w:pPr>
    <w:r>
      <w:rPr>
        <w:noProof/>
        <w:sz w:val="20"/>
        <w:lang w:eastAsia="zh-CN"/>
      </w:rPr>
      <w:pict w14:anchorId="19BCF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8796" o:spid="_x0000_s1026" type="#_x0000_t75" alt="" style="position:absolute;margin-left:0;margin-top:0;width:688.65pt;height:937.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iley-VCH_gedreht" gain="19661f" blacklevel="22938f"/>
          <w10:wrap anchorx="margin" anchory="margin"/>
        </v:shape>
      </w:pict>
    </w:r>
    <w:r w:rsidR="00AB3B6C" w:rsidRPr="00971FC5">
      <w:rPr>
        <w:noProof/>
        <w:sz w:val="20"/>
      </w:rPr>
      <w:drawing>
        <wp:anchor distT="0" distB="0" distL="114300" distR="114300" simplePos="0" relativeHeight="251656192" behindDoc="0" locked="0" layoutInCell="1" allowOverlap="1" wp14:anchorId="20370EBC" wp14:editId="7B3CF58B">
          <wp:simplePos x="0" y="0"/>
          <wp:positionH relativeFrom="column">
            <wp:posOffset>5344160</wp:posOffset>
          </wp:positionH>
          <wp:positionV relativeFrom="paragraph">
            <wp:posOffset>-40005</wp:posOffset>
          </wp:positionV>
          <wp:extent cx="1079500" cy="273050"/>
          <wp:effectExtent l="0" t="0" r="0" b="0"/>
          <wp:wrapTopAndBottom/>
          <wp:docPr id="12796769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06E">
      <w:rPr>
        <w:rFonts w:ascii="Arial Narrow" w:hAnsi="Arial Narrow" w:cs="Arial"/>
        <w:b/>
        <w:bCs/>
        <w:color w:val="C0C0C0"/>
        <w:sz w:val="32"/>
        <w:szCs w:val="36"/>
      </w:rPr>
      <w:t>RESEARCH ARTICLE</w:t>
    </w:r>
    <w:r w:rsidR="001D7ECC" w:rsidRPr="00971FC5">
      <w:rPr>
        <w:rFonts w:ascii="Arial Narrow" w:hAnsi="Arial Narrow" w:cs="Arial"/>
        <w:sz w:val="32"/>
        <w:szCs w:val="36"/>
      </w:rPr>
      <w:tab/>
    </w:r>
    <w:r w:rsidR="001D7ECC" w:rsidRPr="00971FC5">
      <w:rPr>
        <w:rFonts w:ascii="Arial Narrow" w:hAnsi="Arial Narrow" w:cs="Arial"/>
        <w:sz w:val="32"/>
        <w:szCs w:val="36"/>
      </w:rPr>
      <w:tab/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05C0" w14:textId="77777777" w:rsidR="00FE7F47" w:rsidRDefault="006F7D7B">
    <w:pPr>
      <w:pStyle w:val="Header"/>
    </w:pPr>
    <w:r>
      <w:rPr>
        <w:noProof/>
        <w:lang w:eastAsia="zh-CN"/>
      </w:rPr>
      <w:pict w14:anchorId="19099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8794" o:spid="_x0000_s1025" type="#_x0000_t75" alt="" style="position:absolute;margin-left:0;margin-top:0;width:688.65pt;height:937.8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iley-VCH_gedreh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5.75pt" o:bullet="t">
        <v:imagedata r:id="rId1" o:title=""/>
      </v:shape>
    </w:pict>
  </w:numPicBullet>
  <w:abstractNum w:abstractNumId="0" w15:restartNumberingAfterBreak="0">
    <w:nsid w:val="149D00FE"/>
    <w:multiLevelType w:val="hybridMultilevel"/>
    <w:tmpl w:val="7B76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44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6C"/>
    <w:rsid w:val="0000214A"/>
    <w:rsid w:val="00002DBC"/>
    <w:rsid w:val="00002EF5"/>
    <w:rsid w:val="00003927"/>
    <w:rsid w:val="0000457A"/>
    <w:rsid w:val="00007298"/>
    <w:rsid w:val="00007600"/>
    <w:rsid w:val="00007637"/>
    <w:rsid w:val="00010410"/>
    <w:rsid w:val="00011D51"/>
    <w:rsid w:val="00011EB9"/>
    <w:rsid w:val="000134F7"/>
    <w:rsid w:val="00013DD7"/>
    <w:rsid w:val="0001588F"/>
    <w:rsid w:val="00022DB4"/>
    <w:rsid w:val="00024513"/>
    <w:rsid w:val="00025CDB"/>
    <w:rsid w:val="00027F3A"/>
    <w:rsid w:val="00030568"/>
    <w:rsid w:val="000310DB"/>
    <w:rsid w:val="00031258"/>
    <w:rsid w:val="000313E3"/>
    <w:rsid w:val="00033791"/>
    <w:rsid w:val="00033C26"/>
    <w:rsid w:val="00033D1A"/>
    <w:rsid w:val="00033F43"/>
    <w:rsid w:val="000345A3"/>
    <w:rsid w:val="00036490"/>
    <w:rsid w:val="000370B4"/>
    <w:rsid w:val="000377C7"/>
    <w:rsid w:val="0004091A"/>
    <w:rsid w:val="00042163"/>
    <w:rsid w:val="00042BF0"/>
    <w:rsid w:val="00045AB9"/>
    <w:rsid w:val="0005096E"/>
    <w:rsid w:val="0005140E"/>
    <w:rsid w:val="00052977"/>
    <w:rsid w:val="00055485"/>
    <w:rsid w:val="00056D9A"/>
    <w:rsid w:val="00056DD4"/>
    <w:rsid w:val="00057107"/>
    <w:rsid w:val="00057CD2"/>
    <w:rsid w:val="00057F95"/>
    <w:rsid w:val="000615ED"/>
    <w:rsid w:val="0006281D"/>
    <w:rsid w:val="00063E0F"/>
    <w:rsid w:val="0006489B"/>
    <w:rsid w:val="000650AB"/>
    <w:rsid w:val="00065EF9"/>
    <w:rsid w:val="0006694D"/>
    <w:rsid w:val="000669E3"/>
    <w:rsid w:val="00066B8E"/>
    <w:rsid w:val="00070B55"/>
    <w:rsid w:val="00070E0D"/>
    <w:rsid w:val="000714CF"/>
    <w:rsid w:val="00071BF0"/>
    <w:rsid w:val="0007315F"/>
    <w:rsid w:val="00077560"/>
    <w:rsid w:val="00080377"/>
    <w:rsid w:val="000803DF"/>
    <w:rsid w:val="0008077D"/>
    <w:rsid w:val="00080EF0"/>
    <w:rsid w:val="00085B7D"/>
    <w:rsid w:val="00086025"/>
    <w:rsid w:val="00087B8B"/>
    <w:rsid w:val="000913BF"/>
    <w:rsid w:val="0009539C"/>
    <w:rsid w:val="00095C2F"/>
    <w:rsid w:val="000960BE"/>
    <w:rsid w:val="000964D8"/>
    <w:rsid w:val="000A37F3"/>
    <w:rsid w:val="000A3891"/>
    <w:rsid w:val="000A5301"/>
    <w:rsid w:val="000A5F83"/>
    <w:rsid w:val="000A6601"/>
    <w:rsid w:val="000A752A"/>
    <w:rsid w:val="000A77DC"/>
    <w:rsid w:val="000B2946"/>
    <w:rsid w:val="000B3DD1"/>
    <w:rsid w:val="000B6B85"/>
    <w:rsid w:val="000B6D79"/>
    <w:rsid w:val="000B6DF3"/>
    <w:rsid w:val="000C1DBD"/>
    <w:rsid w:val="000C4579"/>
    <w:rsid w:val="000C53F1"/>
    <w:rsid w:val="000D37AC"/>
    <w:rsid w:val="000D3966"/>
    <w:rsid w:val="000D5146"/>
    <w:rsid w:val="000D6362"/>
    <w:rsid w:val="000D70F8"/>
    <w:rsid w:val="000D75B7"/>
    <w:rsid w:val="000D7701"/>
    <w:rsid w:val="000E0815"/>
    <w:rsid w:val="000E0CEA"/>
    <w:rsid w:val="000E0EC4"/>
    <w:rsid w:val="000E1C81"/>
    <w:rsid w:val="000E2281"/>
    <w:rsid w:val="000E2D17"/>
    <w:rsid w:val="000E4091"/>
    <w:rsid w:val="000E517A"/>
    <w:rsid w:val="000E5FDC"/>
    <w:rsid w:val="000E6B55"/>
    <w:rsid w:val="000E718F"/>
    <w:rsid w:val="000E76B8"/>
    <w:rsid w:val="000E78FD"/>
    <w:rsid w:val="000F0794"/>
    <w:rsid w:val="000F1750"/>
    <w:rsid w:val="000F1817"/>
    <w:rsid w:val="000F29A4"/>
    <w:rsid w:val="000F2C63"/>
    <w:rsid w:val="000F2EA1"/>
    <w:rsid w:val="000F4A3F"/>
    <w:rsid w:val="000F5BD1"/>
    <w:rsid w:val="000F7847"/>
    <w:rsid w:val="001037A1"/>
    <w:rsid w:val="00103EF7"/>
    <w:rsid w:val="00104119"/>
    <w:rsid w:val="001042C6"/>
    <w:rsid w:val="0010453B"/>
    <w:rsid w:val="0010543E"/>
    <w:rsid w:val="00105F97"/>
    <w:rsid w:val="00106391"/>
    <w:rsid w:val="00106D80"/>
    <w:rsid w:val="0010751C"/>
    <w:rsid w:val="001077F7"/>
    <w:rsid w:val="00107E8C"/>
    <w:rsid w:val="00113150"/>
    <w:rsid w:val="0011339E"/>
    <w:rsid w:val="00113A79"/>
    <w:rsid w:val="001158DE"/>
    <w:rsid w:val="0011697D"/>
    <w:rsid w:val="00116FC0"/>
    <w:rsid w:val="00120825"/>
    <w:rsid w:val="00120F2E"/>
    <w:rsid w:val="001218E5"/>
    <w:rsid w:val="00122CCC"/>
    <w:rsid w:val="001237B3"/>
    <w:rsid w:val="0012381E"/>
    <w:rsid w:val="00123A10"/>
    <w:rsid w:val="00123E05"/>
    <w:rsid w:val="001322FF"/>
    <w:rsid w:val="00132F05"/>
    <w:rsid w:val="0013316F"/>
    <w:rsid w:val="001332DF"/>
    <w:rsid w:val="001344F7"/>
    <w:rsid w:val="001348CD"/>
    <w:rsid w:val="00136039"/>
    <w:rsid w:val="00136696"/>
    <w:rsid w:val="0014043E"/>
    <w:rsid w:val="00141356"/>
    <w:rsid w:val="001429C1"/>
    <w:rsid w:val="00143551"/>
    <w:rsid w:val="0014374D"/>
    <w:rsid w:val="00143B89"/>
    <w:rsid w:val="001475BF"/>
    <w:rsid w:val="0014782A"/>
    <w:rsid w:val="0015024D"/>
    <w:rsid w:val="00151539"/>
    <w:rsid w:val="00152E6D"/>
    <w:rsid w:val="00155FB7"/>
    <w:rsid w:val="0015631F"/>
    <w:rsid w:val="0015743D"/>
    <w:rsid w:val="00157C67"/>
    <w:rsid w:val="00160159"/>
    <w:rsid w:val="00160A26"/>
    <w:rsid w:val="0016203E"/>
    <w:rsid w:val="001639AE"/>
    <w:rsid w:val="001654DF"/>
    <w:rsid w:val="00166340"/>
    <w:rsid w:val="00166BEB"/>
    <w:rsid w:val="00166D41"/>
    <w:rsid w:val="001678B6"/>
    <w:rsid w:val="0017048F"/>
    <w:rsid w:val="00171F5B"/>
    <w:rsid w:val="00172F48"/>
    <w:rsid w:val="001732A4"/>
    <w:rsid w:val="0017683D"/>
    <w:rsid w:val="0017737E"/>
    <w:rsid w:val="00177543"/>
    <w:rsid w:val="001800AA"/>
    <w:rsid w:val="001808E5"/>
    <w:rsid w:val="0018165B"/>
    <w:rsid w:val="00181774"/>
    <w:rsid w:val="00182A2F"/>
    <w:rsid w:val="00183062"/>
    <w:rsid w:val="00184380"/>
    <w:rsid w:val="00186601"/>
    <w:rsid w:val="001878D0"/>
    <w:rsid w:val="0019014F"/>
    <w:rsid w:val="001932E9"/>
    <w:rsid w:val="00193F3C"/>
    <w:rsid w:val="00194228"/>
    <w:rsid w:val="00194818"/>
    <w:rsid w:val="00194A21"/>
    <w:rsid w:val="0019661D"/>
    <w:rsid w:val="00196DEB"/>
    <w:rsid w:val="00197F42"/>
    <w:rsid w:val="001A0D55"/>
    <w:rsid w:val="001A3120"/>
    <w:rsid w:val="001A39AE"/>
    <w:rsid w:val="001A438D"/>
    <w:rsid w:val="001A567B"/>
    <w:rsid w:val="001A71DB"/>
    <w:rsid w:val="001B0DFC"/>
    <w:rsid w:val="001B0F70"/>
    <w:rsid w:val="001B2FCE"/>
    <w:rsid w:val="001B5023"/>
    <w:rsid w:val="001B598D"/>
    <w:rsid w:val="001C1039"/>
    <w:rsid w:val="001C21E3"/>
    <w:rsid w:val="001C26A7"/>
    <w:rsid w:val="001C2BCC"/>
    <w:rsid w:val="001C5CFF"/>
    <w:rsid w:val="001D1155"/>
    <w:rsid w:val="001D13EA"/>
    <w:rsid w:val="001D216B"/>
    <w:rsid w:val="001D29CA"/>
    <w:rsid w:val="001D44A9"/>
    <w:rsid w:val="001D5324"/>
    <w:rsid w:val="001D54CA"/>
    <w:rsid w:val="001D5E7E"/>
    <w:rsid w:val="001D646E"/>
    <w:rsid w:val="001D7ECC"/>
    <w:rsid w:val="001E164A"/>
    <w:rsid w:val="001E2F1C"/>
    <w:rsid w:val="001E32DE"/>
    <w:rsid w:val="001E5A42"/>
    <w:rsid w:val="001F09E7"/>
    <w:rsid w:val="001F16EF"/>
    <w:rsid w:val="001F1A2D"/>
    <w:rsid w:val="001F1F33"/>
    <w:rsid w:val="001F252B"/>
    <w:rsid w:val="001F2C11"/>
    <w:rsid w:val="001F4235"/>
    <w:rsid w:val="001F45C3"/>
    <w:rsid w:val="001F4EE4"/>
    <w:rsid w:val="001F5357"/>
    <w:rsid w:val="001F6715"/>
    <w:rsid w:val="00200C6E"/>
    <w:rsid w:val="00201B10"/>
    <w:rsid w:val="0020306E"/>
    <w:rsid w:val="00205632"/>
    <w:rsid w:val="002072B8"/>
    <w:rsid w:val="00210003"/>
    <w:rsid w:val="00210309"/>
    <w:rsid w:val="00212CDE"/>
    <w:rsid w:val="00213D0E"/>
    <w:rsid w:val="00214219"/>
    <w:rsid w:val="0021797B"/>
    <w:rsid w:val="00221253"/>
    <w:rsid w:val="002221BA"/>
    <w:rsid w:val="00222D97"/>
    <w:rsid w:val="0022324C"/>
    <w:rsid w:val="00224C3B"/>
    <w:rsid w:val="0022537E"/>
    <w:rsid w:val="0022582C"/>
    <w:rsid w:val="002259BB"/>
    <w:rsid w:val="00227793"/>
    <w:rsid w:val="002306CA"/>
    <w:rsid w:val="00231C4B"/>
    <w:rsid w:val="0023214B"/>
    <w:rsid w:val="00232965"/>
    <w:rsid w:val="00232C14"/>
    <w:rsid w:val="002344D3"/>
    <w:rsid w:val="00235534"/>
    <w:rsid w:val="002362C7"/>
    <w:rsid w:val="00241D85"/>
    <w:rsid w:val="00242C59"/>
    <w:rsid w:val="00242E54"/>
    <w:rsid w:val="002433F0"/>
    <w:rsid w:val="00243927"/>
    <w:rsid w:val="00244523"/>
    <w:rsid w:val="00244FB2"/>
    <w:rsid w:val="00245E08"/>
    <w:rsid w:val="00247262"/>
    <w:rsid w:val="002546A4"/>
    <w:rsid w:val="00255CA8"/>
    <w:rsid w:val="00260EDA"/>
    <w:rsid w:val="0026113A"/>
    <w:rsid w:val="00261387"/>
    <w:rsid w:val="00261882"/>
    <w:rsid w:val="00262629"/>
    <w:rsid w:val="0026415F"/>
    <w:rsid w:val="0026553A"/>
    <w:rsid w:val="00265DCA"/>
    <w:rsid w:val="00267C17"/>
    <w:rsid w:val="00267F8A"/>
    <w:rsid w:val="002702BC"/>
    <w:rsid w:val="0027068B"/>
    <w:rsid w:val="00280793"/>
    <w:rsid w:val="002808CA"/>
    <w:rsid w:val="00284A65"/>
    <w:rsid w:val="00285733"/>
    <w:rsid w:val="00287256"/>
    <w:rsid w:val="00287B32"/>
    <w:rsid w:val="002908A7"/>
    <w:rsid w:val="00291C31"/>
    <w:rsid w:val="00291C93"/>
    <w:rsid w:val="00294294"/>
    <w:rsid w:val="00294344"/>
    <w:rsid w:val="00296006"/>
    <w:rsid w:val="002967D5"/>
    <w:rsid w:val="002A0FCE"/>
    <w:rsid w:val="002A203F"/>
    <w:rsid w:val="002A36FA"/>
    <w:rsid w:val="002A561E"/>
    <w:rsid w:val="002A69D1"/>
    <w:rsid w:val="002B0B61"/>
    <w:rsid w:val="002B16E2"/>
    <w:rsid w:val="002B22BA"/>
    <w:rsid w:val="002B25E2"/>
    <w:rsid w:val="002B453B"/>
    <w:rsid w:val="002B4B94"/>
    <w:rsid w:val="002B53D6"/>
    <w:rsid w:val="002B69AC"/>
    <w:rsid w:val="002B70DD"/>
    <w:rsid w:val="002B74B0"/>
    <w:rsid w:val="002B7CA9"/>
    <w:rsid w:val="002C13EE"/>
    <w:rsid w:val="002C17E1"/>
    <w:rsid w:val="002C36E0"/>
    <w:rsid w:val="002C5A27"/>
    <w:rsid w:val="002C6B86"/>
    <w:rsid w:val="002D0B17"/>
    <w:rsid w:val="002D0EE4"/>
    <w:rsid w:val="002D24CB"/>
    <w:rsid w:val="002D39AC"/>
    <w:rsid w:val="002D3FE9"/>
    <w:rsid w:val="002D42FF"/>
    <w:rsid w:val="002D43FC"/>
    <w:rsid w:val="002D5148"/>
    <w:rsid w:val="002D5B99"/>
    <w:rsid w:val="002D6309"/>
    <w:rsid w:val="002D7BD0"/>
    <w:rsid w:val="002E066F"/>
    <w:rsid w:val="002E1EB3"/>
    <w:rsid w:val="002E2CA8"/>
    <w:rsid w:val="002F0269"/>
    <w:rsid w:val="002F0F1B"/>
    <w:rsid w:val="002F1479"/>
    <w:rsid w:val="002F17FB"/>
    <w:rsid w:val="002F2BD0"/>
    <w:rsid w:val="002F3D24"/>
    <w:rsid w:val="002F56D6"/>
    <w:rsid w:val="002F6A4C"/>
    <w:rsid w:val="002F73A5"/>
    <w:rsid w:val="003006A7"/>
    <w:rsid w:val="00301167"/>
    <w:rsid w:val="00301253"/>
    <w:rsid w:val="00301D1E"/>
    <w:rsid w:val="00302FBE"/>
    <w:rsid w:val="0030374B"/>
    <w:rsid w:val="00303FBE"/>
    <w:rsid w:val="003040CB"/>
    <w:rsid w:val="00306878"/>
    <w:rsid w:val="00306CCC"/>
    <w:rsid w:val="003078D1"/>
    <w:rsid w:val="003079D2"/>
    <w:rsid w:val="00307C5A"/>
    <w:rsid w:val="003113EB"/>
    <w:rsid w:val="003116F4"/>
    <w:rsid w:val="00312ED2"/>
    <w:rsid w:val="00314630"/>
    <w:rsid w:val="0031694F"/>
    <w:rsid w:val="00316A3F"/>
    <w:rsid w:val="0032048F"/>
    <w:rsid w:val="003219A5"/>
    <w:rsid w:val="00322D02"/>
    <w:rsid w:val="00322E1F"/>
    <w:rsid w:val="00323FC3"/>
    <w:rsid w:val="00324395"/>
    <w:rsid w:val="00324724"/>
    <w:rsid w:val="00324B59"/>
    <w:rsid w:val="00325147"/>
    <w:rsid w:val="003254D1"/>
    <w:rsid w:val="00325516"/>
    <w:rsid w:val="003275FF"/>
    <w:rsid w:val="0033054D"/>
    <w:rsid w:val="0033162E"/>
    <w:rsid w:val="00331B5E"/>
    <w:rsid w:val="00333FAD"/>
    <w:rsid w:val="0033415E"/>
    <w:rsid w:val="00334237"/>
    <w:rsid w:val="00335270"/>
    <w:rsid w:val="0033586B"/>
    <w:rsid w:val="00335920"/>
    <w:rsid w:val="00335976"/>
    <w:rsid w:val="00336A5A"/>
    <w:rsid w:val="00337EE3"/>
    <w:rsid w:val="0034036A"/>
    <w:rsid w:val="003403BB"/>
    <w:rsid w:val="00340A08"/>
    <w:rsid w:val="00341B8B"/>
    <w:rsid w:val="003445AC"/>
    <w:rsid w:val="003447D7"/>
    <w:rsid w:val="0034496B"/>
    <w:rsid w:val="00345540"/>
    <w:rsid w:val="00345D9C"/>
    <w:rsid w:val="00351094"/>
    <w:rsid w:val="00353F01"/>
    <w:rsid w:val="00354B57"/>
    <w:rsid w:val="003619ED"/>
    <w:rsid w:val="0036466B"/>
    <w:rsid w:val="00364753"/>
    <w:rsid w:val="00364A2A"/>
    <w:rsid w:val="003657B6"/>
    <w:rsid w:val="00366676"/>
    <w:rsid w:val="003669F9"/>
    <w:rsid w:val="00373EC5"/>
    <w:rsid w:val="00374A51"/>
    <w:rsid w:val="00374DA5"/>
    <w:rsid w:val="00375415"/>
    <w:rsid w:val="0037557C"/>
    <w:rsid w:val="00376792"/>
    <w:rsid w:val="00376F37"/>
    <w:rsid w:val="0038470A"/>
    <w:rsid w:val="0038506F"/>
    <w:rsid w:val="00386278"/>
    <w:rsid w:val="003870A1"/>
    <w:rsid w:val="00387944"/>
    <w:rsid w:val="00390DD7"/>
    <w:rsid w:val="00393752"/>
    <w:rsid w:val="00396BE2"/>
    <w:rsid w:val="00397C40"/>
    <w:rsid w:val="00397F59"/>
    <w:rsid w:val="003A19FC"/>
    <w:rsid w:val="003A251F"/>
    <w:rsid w:val="003A5EFB"/>
    <w:rsid w:val="003A6A33"/>
    <w:rsid w:val="003A7ED0"/>
    <w:rsid w:val="003B04BA"/>
    <w:rsid w:val="003B0FC4"/>
    <w:rsid w:val="003B26AE"/>
    <w:rsid w:val="003B2DB7"/>
    <w:rsid w:val="003B348C"/>
    <w:rsid w:val="003B3D56"/>
    <w:rsid w:val="003B3F04"/>
    <w:rsid w:val="003B47D1"/>
    <w:rsid w:val="003B5153"/>
    <w:rsid w:val="003B6177"/>
    <w:rsid w:val="003B6C60"/>
    <w:rsid w:val="003B6E69"/>
    <w:rsid w:val="003B70C8"/>
    <w:rsid w:val="003C0685"/>
    <w:rsid w:val="003C134A"/>
    <w:rsid w:val="003C1C24"/>
    <w:rsid w:val="003C1CCA"/>
    <w:rsid w:val="003C2972"/>
    <w:rsid w:val="003C2C9C"/>
    <w:rsid w:val="003C5510"/>
    <w:rsid w:val="003C6E1A"/>
    <w:rsid w:val="003D0F51"/>
    <w:rsid w:val="003D1C1A"/>
    <w:rsid w:val="003D4530"/>
    <w:rsid w:val="003E2809"/>
    <w:rsid w:val="003E40F4"/>
    <w:rsid w:val="003E45E5"/>
    <w:rsid w:val="003E48C6"/>
    <w:rsid w:val="003E54CD"/>
    <w:rsid w:val="003E5818"/>
    <w:rsid w:val="003E7319"/>
    <w:rsid w:val="003F1223"/>
    <w:rsid w:val="003F1497"/>
    <w:rsid w:val="003F2556"/>
    <w:rsid w:val="003F50D4"/>
    <w:rsid w:val="003F5527"/>
    <w:rsid w:val="003F5A93"/>
    <w:rsid w:val="0040070B"/>
    <w:rsid w:val="0040080D"/>
    <w:rsid w:val="00400BC2"/>
    <w:rsid w:val="004017B6"/>
    <w:rsid w:val="0040270E"/>
    <w:rsid w:val="00403876"/>
    <w:rsid w:val="00403BB8"/>
    <w:rsid w:val="00404C38"/>
    <w:rsid w:val="00404D90"/>
    <w:rsid w:val="004056BF"/>
    <w:rsid w:val="004062B1"/>
    <w:rsid w:val="004070B6"/>
    <w:rsid w:val="004072DD"/>
    <w:rsid w:val="00411AA6"/>
    <w:rsid w:val="004132A2"/>
    <w:rsid w:val="00413BF1"/>
    <w:rsid w:val="00414412"/>
    <w:rsid w:val="00414A78"/>
    <w:rsid w:val="00414D9C"/>
    <w:rsid w:val="00414FDF"/>
    <w:rsid w:val="00415896"/>
    <w:rsid w:val="00415971"/>
    <w:rsid w:val="00416B05"/>
    <w:rsid w:val="004173E6"/>
    <w:rsid w:val="0042222E"/>
    <w:rsid w:val="00422AFE"/>
    <w:rsid w:val="00423593"/>
    <w:rsid w:val="00423AEC"/>
    <w:rsid w:val="00424978"/>
    <w:rsid w:val="00424EA9"/>
    <w:rsid w:val="0042545B"/>
    <w:rsid w:val="00425ECC"/>
    <w:rsid w:val="00425FAA"/>
    <w:rsid w:val="00427671"/>
    <w:rsid w:val="00427CBD"/>
    <w:rsid w:val="00431151"/>
    <w:rsid w:val="00432307"/>
    <w:rsid w:val="00434A8B"/>
    <w:rsid w:val="00435D6F"/>
    <w:rsid w:val="00436338"/>
    <w:rsid w:val="00437A11"/>
    <w:rsid w:val="00437B5A"/>
    <w:rsid w:val="004427D1"/>
    <w:rsid w:val="00444E3C"/>
    <w:rsid w:val="00445D5C"/>
    <w:rsid w:val="004465F9"/>
    <w:rsid w:val="004466B0"/>
    <w:rsid w:val="00447143"/>
    <w:rsid w:val="00450F34"/>
    <w:rsid w:val="0045349E"/>
    <w:rsid w:val="00454A2D"/>
    <w:rsid w:val="004556E1"/>
    <w:rsid w:val="00455D66"/>
    <w:rsid w:val="00456683"/>
    <w:rsid w:val="004609E1"/>
    <w:rsid w:val="00460C28"/>
    <w:rsid w:val="00461BD2"/>
    <w:rsid w:val="00462838"/>
    <w:rsid w:val="00462A09"/>
    <w:rsid w:val="004644E1"/>
    <w:rsid w:val="0046574E"/>
    <w:rsid w:val="004657E8"/>
    <w:rsid w:val="00467E99"/>
    <w:rsid w:val="00467F85"/>
    <w:rsid w:val="00470790"/>
    <w:rsid w:val="00470FBB"/>
    <w:rsid w:val="004726E2"/>
    <w:rsid w:val="00473029"/>
    <w:rsid w:val="004730DD"/>
    <w:rsid w:val="00473EE4"/>
    <w:rsid w:val="00474DF4"/>
    <w:rsid w:val="0047716D"/>
    <w:rsid w:val="00477B4C"/>
    <w:rsid w:val="00477B99"/>
    <w:rsid w:val="004819D7"/>
    <w:rsid w:val="00482140"/>
    <w:rsid w:val="004841CA"/>
    <w:rsid w:val="00484390"/>
    <w:rsid w:val="004855B0"/>
    <w:rsid w:val="00485C84"/>
    <w:rsid w:val="00486215"/>
    <w:rsid w:val="0048630D"/>
    <w:rsid w:val="00490E63"/>
    <w:rsid w:val="00490F50"/>
    <w:rsid w:val="00491D7C"/>
    <w:rsid w:val="004921CF"/>
    <w:rsid w:val="004929F9"/>
    <w:rsid w:val="004930F0"/>
    <w:rsid w:val="004939AA"/>
    <w:rsid w:val="00496524"/>
    <w:rsid w:val="00497218"/>
    <w:rsid w:val="004A010D"/>
    <w:rsid w:val="004A0BA8"/>
    <w:rsid w:val="004A489D"/>
    <w:rsid w:val="004A4A2E"/>
    <w:rsid w:val="004A4CD0"/>
    <w:rsid w:val="004A5306"/>
    <w:rsid w:val="004A6921"/>
    <w:rsid w:val="004A73A8"/>
    <w:rsid w:val="004A75D5"/>
    <w:rsid w:val="004A771F"/>
    <w:rsid w:val="004A78AE"/>
    <w:rsid w:val="004B004E"/>
    <w:rsid w:val="004B0589"/>
    <w:rsid w:val="004B0B74"/>
    <w:rsid w:val="004B1783"/>
    <w:rsid w:val="004B3BBD"/>
    <w:rsid w:val="004B449C"/>
    <w:rsid w:val="004B5349"/>
    <w:rsid w:val="004B5DE5"/>
    <w:rsid w:val="004B65AE"/>
    <w:rsid w:val="004B7661"/>
    <w:rsid w:val="004C1836"/>
    <w:rsid w:val="004C22E6"/>
    <w:rsid w:val="004C2834"/>
    <w:rsid w:val="004C2FAC"/>
    <w:rsid w:val="004C3CC9"/>
    <w:rsid w:val="004C471F"/>
    <w:rsid w:val="004C4C80"/>
    <w:rsid w:val="004C4CED"/>
    <w:rsid w:val="004C5F41"/>
    <w:rsid w:val="004C6D04"/>
    <w:rsid w:val="004C75B6"/>
    <w:rsid w:val="004C7D6C"/>
    <w:rsid w:val="004D090A"/>
    <w:rsid w:val="004D0F53"/>
    <w:rsid w:val="004D1B08"/>
    <w:rsid w:val="004D24ED"/>
    <w:rsid w:val="004D2B5F"/>
    <w:rsid w:val="004D31C6"/>
    <w:rsid w:val="004D4293"/>
    <w:rsid w:val="004D5ABB"/>
    <w:rsid w:val="004D5B36"/>
    <w:rsid w:val="004D641A"/>
    <w:rsid w:val="004D6826"/>
    <w:rsid w:val="004D6DB8"/>
    <w:rsid w:val="004D7376"/>
    <w:rsid w:val="004E192B"/>
    <w:rsid w:val="004E3F83"/>
    <w:rsid w:val="004E40B0"/>
    <w:rsid w:val="004E422A"/>
    <w:rsid w:val="004E42D4"/>
    <w:rsid w:val="004E4A53"/>
    <w:rsid w:val="004E4B6E"/>
    <w:rsid w:val="004E4DFF"/>
    <w:rsid w:val="004E5278"/>
    <w:rsid w:val="004E74F4"/>
    <w:rsid w:val="004E77D8"/>
    <w:rsid w:val="004F0129"/>
    <w:rsid w:val="004F0D7F"/>
    <w:rsid w:val="004F12B2"/>
    <w:rsid w:val="004F257F"/>
    <w:rsid w:val="004F35CD"/>
    <w:rsid w:val="004F3D07"/>
    <w:rsid w:val="004F6AB4"/>
    <w:rsid w:val="004F700E"/>
    <w:rsid w:val="005005E4"/>
    <w:rsid w:val="00501639"/>
    <w:rsid w:val="00501EFF"/>
    <w:rsid w:val="0050277D"/>
    <w:rsid w:val="005035EB"/>
    <w:rsid w:val="005041DD"/>
    <w:rsid w:val="00504E13"/>
    <w:rsid w:val="00504EBC"/>
    <w:rsid w:val="0050689B"/>
    <w:rsid w:val="005068AA"/>
    <w:rsid w:val="00506B2F"/>
    <w:rsid w:val="00506EDB"/>
    <w:rsid w:val="005076E2"/>
    <w:rsid w:val="005077D9"/>
    <w:rsid w:val="00510676"/>
    <w:rsid w:val="00511093"/>
    <w:rsid w:val="00512A8E"/>
    <w:rsid w:val="005146C2"/>
    <w:rsid w:val="00514AEA"/>
    <w:rsid w:val="005165B8"/>
    <w:rsid w:val="00520422"/>
    <w:rsid w:val="00520481"/>
    <w:rsid w:val="0052085F"/>
    <w:rsid w:val="00520DA1"/>
    <w:rsid w:val="0052404D"/>
    <w:rsid w:val="00525B29"/>
    <w:rsid w:val="00527D68"/>
    <w:rsid w:val="00530284"/>
    <w:rsid w:val="005321B0"/>
    <w:rsid w:val="0053418A"/>
    <w:rsid w:val="0053481C"/>
    <w:rsid w:val="005349D6"/>
    <w:rsid w:val="005352D1"/>
    <w:rsid w:val="00536BC1"/>
    <w:rsid w:val="0053716A"/>
    <w:rsid w:val="00537351"/>
    <w:rsid w:val="00537F36"/>
    <w:rsid w:val="00541205"/>
    <w:rsid w:val="005433DE"/>
    <w:rsid w:val="0054420E"/>
    <w:rsid w:val="00544221"/>
    <w:rsid w:val="00544D73"/>
    <w:rsid w:val="0054559A"/>
    <w:rsid w:val="005472E5"/>
    <w:rsid w:val="0055057E"/>
    <w:rsid w:val="005505A4"/>
    <w:rsid w:val="00550A89"/>
    <w:rsid w:val="00550B0C"/>
    <w:rsid w:val="0055113D"/>
    <w:rsid w:val="0055245D"/>
    <w:rsid w:val="00554F10"/>
    <w:rsid w:val="005551E6"/>
    <w:rsid w:val="005551F3"/>
    <w:rsid w:val="005562A5"/>
    <w:rsid w:val="00556A65"/>
    <w:rsid w:val="00557011"/>
    <w:rsid w:val="0056042A"/>
    <w:rsid w:val="00561C0E"/>
    <w:rsid w:val="005662EA"/>
    <w:rsid w:val="00566F0A"/>
    <w:rsid w:val="00567B5A"/>
    <w:rsid w:val="00567C18"/>
    <w:rsid w:val="0057009B"/>
    <w:rsid w:val="0057106E"/>
    <w:rsid w:val="005735B3"/>
    <w:rsid w:val="00573F70"/>
    <w:rsid w:val="0057448F"/>
    <w:rsid w:val="00574E12"/>
    <w:rsid w:val="00576C8E"/>
    <w:rsid w:val="005801F0"/>
    <w:rsid w:val="00581CDF"/>
    <w:rsid w:val="005826CC"/>
    <w:rsid w:val="005839B9"/>
    <w:rsid w:val="00585A61"/>
    <w:rsid w:val="00586DF8"/>
    <w:rsid w:val="00586FD9"/>
    <w:rsid w:val="00587100"/>
    <w:rsid w:val="00591AB8"/>
    <w:rsid w:val="00593FCD"/>
    <w:rsid w:val="00596995"/>
    <w:rsid w:val="00597954"/>
    <w:rsid w:val="005A0864"/>
    <w:rsid w:val="005A0A9D"/>
    <w:rsid w:val="005A1443"/>
    <w:rsid w:val="005A5905"/>
    <w:rsid w:val="005A6213"/>
    <w:rsid w:val="005A6FAA"/>
    <w:rsid w:val="005A7A50"/>
    <w:rsid w:val="005B10C2"/>
    <w:rsid w:val="005B15A7"/>
    <w:rsid w:val="005B3509"/>
    <w:rsid w:val="005B3EE3"/>
    <w:rsid w:val="005B430B"/>
    <w:rsid w:val="005B43B7"/>
    <w:rsid w:val="005B470B"/>
    <w:rsid w:val="005B57CC"/>
    <w:rsid w:val="005B5D4F"/>
    <w:rsid w:val="005B6716"/>
    <w:rsid w:val="005B6C80"/>
    <w:rsid w:val="005B71FC"/>
    <w:rsid w:val="005C08BF"/>
    <w:rsid w:val="005C4CEE"/>
    <w:rsid w:val="005C4F38"/>
    <w:rsid w:val="005C5196"/>
    <w:rsid w:val="005D07CA"/>
    <w:rsid w:val="005D1EBB"/>
    <w:rsid w:val="005D43FD"/>
    <w:rsid w:val="005D65E6"/>
    <w:rsid w:val="005D6729"/>
    <w:rsid w:val="005D77A0"/>
    <w:rsid w:val="005E14A5"/>
    <w:rsid w:val="005E45ED"/>
    <w:rsid w:val="005E5FFD"/>
    <w:rsid w:val="005F09CD"/>
    <w:rsid w:val="005F19CB"/>
    <w:rsid w:val="005F4439"/>
    <w:rsid w:val="005F5348"/>
    <w:rsid w:val="005F74E7"/>
    <w:rsid w:val="006011C8"/>
    <w:rsid w:val="0060177D"/>
    <w:rsid w:val="0060207A"/>
    <w:rsid w:val="006024FD"/>
    <w:rsid w:val="0060310C"/>
    <w:rsid w:val="00605777"/>
    <w:rsid w:val="00605FAC"/>
    <w:rsid w:val="00605FCB"/>
    <w:rsid w:val="0060643D"/>
    <w:rsid w:val="00606F14"/>
    <w:rsid w:val="00610E84"/>
    <w:rsid w:val="006115F7"/>
    <w:rsid w:val="00612BDF"/>
    <w:rsid w:val="006133B4"/>
    <w:rsid w:val="006150DB"/>
    <w:rsid w:val="0061559B"/>
    <w:rsid w:val="00617026"/>
    <w:rsid w:val="00617373"/>
    <w:rsid w:val="006200AB"/>
    <w:rsid w:val="00620450"/>
    <w:rsid w:val="00620753"/>
    <w:rsid w:val="00620911"/>
    <w:rsid w:val="00620C61"/>
    <w:rsid w:val="006236C4"/>
    <w:rsid w:val="00623DC9"/>
    <w:rsid w:val="00627C41"/>
    <w:rsid w:val="00627F57"/>
    <w:rsid w:val="00632C13"/>
    <w:rsid w:val="00636948"/>
    <w:rsid w:val="00637006"/>
    <w:rsid w:val="0063776E"/>
    <w:rsid w:val="00641D04"/>
    <w:rsid w:val="00641F6E"/>
    <w:rsid w:val="006420B5"/>
    <w:rsid w:val="00644209"/>
    <w:rsid w:val="006445E4"/>
    <w:rsid w:val="00645BF7"/>
    <w:rsid w:val="0064612D"/>
    <w:rsid w:val="00646AD1"/>
    <w:rsid w:val="00647525"/>
    <w:rsid w:val="006479FE"/>
    <w:rsid w:val="00651544"/>
    <w:rsid w:val="0065243C"/>
    <w:rsid w:val="00652643"/>
    <w:rsid w:val="00654E17"/>
    <w:rsid w:val="00656634"/>
    <w:rsid w:val="00656F43"/>
    <w:rsid w:val="00657D6A"/>
    <w:rsid w:val="00660890"/>
    <w:rsid w:val="00660BAC"/>
    <w:rsid w:val="00661C31"/>
    <w:rsid w:val="0066216C"/>
    <w:rsid w:val="00662E0A"/>
    <w:rsid w:val="00665E34"/>
    <w:rsid w:val="006675EA"/>
    <w:rsid w:val="0067021E"/>
    <w:rsid w:val="00671E1E"/>
    <w:rsid w:val="006722A0"/>
    <w:rsid w:val="006724B9"/>
    <w:rsid w:val="00672587"/>
    <w:rsid w:val="006726D5"/>
    <w:rsid w:val="0067512C"/>
    <w:rsid w:val="00675137"/>
    <w:rsid w:val="00677135"/>
    <w:rsid w:val="00677448"/>
    <w:rsid w:val="00677AB5"/>
    <w:rsid w:val="00677D6F"/>
    <w:rsid w:val="00680657"/>
    <w:rsid w:val="006812E2"/>
    <w:rsid w:val="0068183D"/>
    <w:rsid w:val="00681864"/>
    <w:rsid w:val="00681A96"/>
    <w:rsid w:val="00681CDF"/>
    <w:rsid w:val="00681F8C"/>
    <w:rsid w:val="006836F2"/>
    <w:rsid w:val="00685DA5"/>
    <w:rsid w:val="00685FB6"/>
    <w:rsid w:val="0068673B"/>
    <w:rsid w:val="006928DA"/>
    <w:rsid w:val="0069303E"/>
    <w:rsid w:val="006933F4"/>
    <w:rsid w:val="00694EC1"/>
    <w:rsid w:val="006956E5"/>
    <w:rsid w:val="0069644B"/>
    <w:rsid w:val="006968BE"/>
    <w:rsid w:val="00696B6A"/>
    <w:rsid w:val="00696B79"/>
    <w:rsid w:val="0069726B"/>
    <w:rsid w:val="006976AD"/>
    <w:rsid w:val="00697E3B"/>
    <w:rsid w:val="006A108F"/>
    <w:rsid w:val="006A15A8"/>
    <w:rsid w:val="006A2254"/>
    <w:rsid w:val="006A6116"/>
    <w:rsid w:val="006A6C80"/>
    <w:rsid w:val="006A78C5"/>
    <w:rsid w:val="006A7E4F"/>
    <w:rsid w:val="006B01BE"/>
    <w:rsid w:val="006B04A7"/>
    <w:rsid w:val="006B369F"/>
    <w:rsid w:val="006B4DC6"/>
    <w:rsid w:val="006B4E8D"/>
    <w:rsid w:val="006B5DE9"/>
    <w:rsid w:val="006B5FEC"/>
    <w:rsid w:val="006B61B2"/>
    <w:rsid w:val="006B6806"/>
    <w:rsid w:val="006B72C2"/>
    <w:rsid w:val="006B7C3F"/>
    <w:rsid w:val="006C0494"/>
    <w:rsid w:val="006C1123"/>
    <w:rsid w:val="006C2DBE"/>
    <w:rsid w:val="006C5C46"/>
    <w:rsid w:val="006C5F03"/>
    <w:rsid w:val="006C6309"/>
    <w:rsid w:val="006C643D"/>
    <w:rsid w:val="006C6BFE"/>
    <w:rsid w:val="006C6D39"/>
    <w:rsid w:val="006C7F18"/>
    <w:rsid w:val="006D02C0"/>
    <w:rsid w:val="006D184F"/>
    <w:rsid w:val="006D2D7B"/>
    <w:rsid w:val="006D31D6"/>
    <w:rsid w:val="006D3595"/>
    <w:rsid w:val="006D420E"/>
    <w:rsid w:val="006D4F77"/>
    <w:rsid w:val="006D6793"/>
    <w:rsid w:val="006E041E"/>
    <w:rsid w:val="006E3E71"/>
    <w:rsid w:val="006E5BEA"/>
    <w:rsid w:val="006E68F9"/>
    <w:rsid w:val="006E7083"/>
    <w:rsid w:val="006E7D4E"/>
    <w:rsid w:val="006F0EB7"/>
    <w:rsid w:val="006F41FF"/>
    <w:rsid w:val="006F6671"/>
    <w:rsid w:val="006F710D"/>
    <w:rsid w:val="006F77BC"/>
    <w:rsid w:val="006F7D7B"/>
    <w:rsid w:val="00700F72"/>
    <w:rsid w:val="007013DE"/>
    <w:rsid w:val="00701830"/>
    <w:rsid w:val="00701A18"/>
    <w:rsid w:val="00702F63"/>
    <w:rsid w:val="0070306E"/>
    <w:rsid w:val="007034DE"/>
    <w:rsid w:val="00707483"/>
    <w:rsid w:val="00710812"/>
    <w:rsid w:val="00711B2D"/>
    <w:rsid w:val="00711E9D"/>
    <w:rsid w:val="007130CE"/>
    <w:rsid w:val="00713548"/>
    <w:rsid w:val="00713B1C"/>
    <w:rsid w:val="00713D8B"/>
    <w:rsid w:val="00714D00"/>
    <w:rsid w:val="00714DB9"/>
    <w:rsid w:val="00714DC9"/>
    <w:rsid w:val="00714F1E"/>
    <w:rsid w:val="007160F0"/>
    <w:rsid w:val="0071700B"/>
    <w:rsid w:val="00717BD5"/>
    <w:rsid w:val="00720AC8"/>
    <w:rsid w:val="00720FED"/>
    <w:rsid w:val="007223FD"/>
    <w:rsid w:val="00722D11"/>
    <w:rsid w:val="00723A05"/>
    <w:rsid w:val="00724347"/>
    <w:rsid w:val="007249D7"/>
    <w:rsid w:val="007252DA"/>
    <w:rsid w:val="00725DEB"/>
    <w:rsid w:val="007274CF"/>
    <w:rsid w:val="00730651"/>
    <w:rsid w:val="00730695"/>
    <w:rsid w:val="00731CDC"/>
    <w:rsid w:val="00732798"/>
    <w:rsid w:val="007335F8"/>
    <w:rsid w:val="00737264"/>
    <w:rsid w:val="007406C2"/>
    <w:rsid w:val="007407AE"/>
    <w:rsid w:val="00740CE1"/>
    <w:rsid w:val="0074126C"/>
    <w:rsid w:val="00741B47"/>
    <w:rsid w:val="007429EE"/>
    <w:rsid w:val="0074403A"/>
    <w:rsid w:val="007442B7"/>
    <w:rsid w:val="00745620"/>
    <w:rsid w:val="00745DE7"/>
    <w:rsid w:val="00746C0D"/>
    <w:rsid w:val="00746DC2"/>
    <w:rsid w:val="00747A12"/>
    <w:rsid w:val="00747E70"/>
    <w:rsid w:val="00750326"/>
    <w:rsid w:val="00751E25"/>
    <w:rsid w:val="00752637"/>
    <w:rsid w:val="0075278E"/>
    <w:rsid w:val="00754829"/>
    <w:rsid w:val="00754F5F"/>
    <w:rsid w:val="007556C6"/>
    <w:rsid w:val="00755ACE"/>
    <w:rsid w:val="00755C34"/>
    <w:rsid w:val="00757401"/>
    <w:rsid w:val="00757673"/>
    <w:rsid w:val="007576FA"/>
    <w:rsid w:val="00757C71"/>
    <w:rsid w:val="00762544"/>
    <w:rsid w:val="00762BDC"/>
    <w:rsid w:val="00762EB8"/>
    <w:rsid w:val="00763D77"/>
    <w:rsid w:val="00763EDE"/>
    <w:rsid w:val="00764F01"/>
    <w:rsid w:val="00765C4D"/>
    <w:rsid w:val="007663E0"/>
    <w:rsid w:val="00766C04"/>
    <w:rsid w:val="00770AF5"/>
    <w:rsid w:val="00772D35"/>
    <w:rsid w:val="00773904"/>
    <w:rsid w:val="00773C4B"/>
    <w:rsid w:val="00773D16"/>
    <w:rsid w:val="007740A8"/>
    <w:rsid w:val="00775C8A"/>
    <w:rsid w:val="00775F73"/>
    <w:rsid w:val="007763F6"/>
    <w:rsid w:val="00776E95"/>
    <w:rsid w:val="0077765D"/>
    <w:rsid w:val="007776E8"/>
    <w:rsid w:val="007809F4"/>
    <w:rsid w:val="007815C4"/>
    <w:rsid w:val="00783FBE"/>
    <w:rsid w:val="00785B73"/>
    <w:rsid w:val="0078628B"/>
    <w:rsid w:val="00786F7E"/>
    <w:rsid w:val="0078784C"/>
    <w:rsid w:val="00787F92"/>
    <w:rsid w:val="007958BF"/>
    <w:rsid w:val="00796C28"/>
    <w:rsid w:val="00797449"/>
    <w:rsid w:val="007977A4"/>
    <w:rsid w:val="007A6D99"/>
    <w:rsid w:val="007A6F76"/>
    <w:rsid w:val="007A75A8"/>
    <w:rsid w:val="007A7E01"/>
    <w:rsid w:val="007B05F5"/>
    <w:rsid w:val="007B2537"/>
    <w:rsid w:val="007B2FB9"/>
    <w:rsid w:val="007B5035"/>
    <w:rsid w:val="007B590E"/>
    <w:rsid w:val="007B686F"/>
    <w:rsid w:val="007B6A97"/>
    <w:rsid w:val="007B7672"/>
    <w:rsid w:val="007C0418"/>
    <w:rsid w:val="007C2805"/>
    <w:rsid w:val="007C32BF"/>
    <w:rsid w:val="007C3D60"/>
    <w:rsid w:val="007C498B"/>
    <w:rsid w:val="007C5232"/>
    <w:rsid w:val="007C5712"/>
    <w:rsid w:val="007C672F"/>
    <w:rsid w:val="007D0337"/>
    <w:rsid w:val="007D0701"/>
    <w:rsid w:val="007D27F3"/>
    <w:rsid w:val="007D2ED9"/>
    <w:rsid w:val="007E2CB8"/>
    <w:rsid w:val="007E31FF"/>
    <w:rsid w:val="007E3A49"/>
    <w:rsid w:val="007E52D5"/>
    <w:rsid w:val="007E5CC2"/>
    <w:rsid w:val="007E6725"/>
    <w:rsid w:val="007E7187"/>
    <w:rsid w:val="007E727D"/>
    <w:rsid w:val="007F0005"/>
    <w:rsid w:val="007F00BA"/>
    <w:rsid w:val="007F202F"/>
    <w:rsid w:val="007F20D9"/>
    <w:rsid w:val="007F33FF"/>
    <w:rsid w:val="007F4104"/>
    <w:rsid w:val="007F4233"/>
    <w:rsid w:val="007F46F6"/>
    <w:rsid w:val="007F4935"/>
    <w:rsid w:val="007F664A"/>
    <w:rsid w:val="007F66E6"/>
    <w:rsid w:val="007F68CC"/>
    <w:rsid w:val="008017B7"/>
    <w:rsid w:val="00803FE5"/>
    <w:rsid w:val="00804822"/>
    <w:rsid w:val="00810976"/>
    <w:rsid w:val="00811129"/>
    <w:rsid w:val="00813005"/>
    <w:rsid w:val="00813FEF"/>
    <w:rsid w:val="008142F9"/>
    <w:rsid w:val="00816BC2"/>
    <w:rsid w:val="00817277"/>
    <w:rsid w:val="00817ACD"/>
    <w:rsid w:val="00823310"/>
    <w:rsid w:val="008235F3"/>
    <w:rsid w:val="008249B7"/>
    <w:rsid w:val="00825AB5"/>
    <w:rsid w:val="00826879"/>
    <w:rsid w:val="008272FD"/>
    <w:rsid w:val="00827A4E"/>
    <w:rsid w:val="00831F32"/>
    <w:rsid w:val="00832491"/>
    <w:rsid w:val="00832891"/>
    <w:rsid w:val="008339A8"/>
    <w:rsid w:val="00834DA2"/>
    <w:rsid w:val="00836959"/>
    <w:rsid w:val="00842C60"/>
    <w:rsid w:val="00843A60"/>
    <w:rsid w:val="0084666B"/>
    <w:rsid w:val="00847D4E"/>
    <w:rsid w:val="00851D03"/>
    <w:rsid w:val="00851F7A"/>
    <w:rsid w:val="008536CE"/>
    <w:rsid w:val="00854C3B"/>
    <w:rsid w:val="0085560C"/>
    <w:rsid w:val="00855988"/>
    <w:rsid w:val="00855F02"/>
    <w:rsid w:val="00856D55"/>
    <w:rsid w:val="00856D80"/>
    <w:rsid w:val="00857862"/>
    <w:rsid w:val="00857CC6"/>
    <w:rsid w:val="00860060"/>
    <w:rsid w:val="00860C40"/>
    <w:rsid w:val="00860F2C"/>
    <w:rsid w:val="00862A5B"/>
    <w:rsid w:val="00862D4C"/>
    <w:rsid w:val="0086441B"/>
    <w:rsid w:val="00865C7C"/>
    <w:rsid w:val="00867BAA"/>
    <w:rsid w:val="00870558"/>
    <w:rsid w:val="0087133A"/>
    <w:rsid w:val="008715A2"/>
    <w:rsid w:val="00871C3A"/>
    <w:rsid w:val="00873E64"/>
    <w:rsid w:val="00874E44"/>
    <w:rsid w:val="00874EBC"/>
    <w:rsid w:val="00875FFC"/>
    <w:rsid w:val="008773A8"/>
    <w:rsid w:val="008779D0"/>
    <w:rsid w:val="00880861"/>
    <w:rsid w:val="0088099A"/>
    <w:rsid w:val="00882ACF"/>
    <w:rsid w:val="00884733"/>
    <w:rsid w:val="00886901"/>
    <w:rsid w:val="00890BC2"/>
    <w:rsid w:val="008935DC"/>
    <w:rsid w:val="00896252"/>
    <w:rsid w:val="0089651C"/>
    <w:rsid w:val="00896608"/>
    <w:rsid w:val="008A1A5D"/>
    <w:rsid w:val="008A24B4"/>
    <w:rsid w:val="008A2C17"/>
    <w:rsid w:val="008A2E80"/>
    <w:rsid w:val="008A311F"/>
    <w:rsid w:val="008A371B"/>
    <w:rsid w:val="008A5DEB"/>
    <w:rsid w:val="008A75A2"/>
    <w:rsid w:val="008B05AC"/>
    <w:rsid w:val="008B07D3"/>
    <w:rsid w:val="008B52D3"/>
    <w:rsid w:val="008B5A22"/>
    <w:rsid w:val="008B5BF5"/>
    <w:rsid w:val="008B789B"/>
    <w:rsid w:val="008C0905"/>
    <w:rsid w:val="008C26A3"/>
    <w:rsid w:val="008C4273"/>
    <w:rsid w:val="008C4A56"/>
    <w:rsid w:val="008C5196"/>
    <w:rsid w:val="008C642F"/>
    <w:rsid w:val="008C6715"/>
    <w:rsid w:val="008D05CC"/>
    <w:rsid w:val="008D0D68"/>
    <w:rsid w:val="008D1CCB"/>
    <w:rsid w:val="008D306F"/>
    <w:rsid w:val="008D3292"/>
    <w:rsid w:val="008D35B7"/>
    <w:rsid w:val="008D3912"/>
    <w:rsid w:val="008E1877"/>
    <w:rsid w:val="008E3447"/>
    <w:rsid w:val="008E44B7"/>
    <w:rsid w:val="008E4C32"/>
    <w:rsid w:val="008E7E6D"/>
    <w:rsid w:val="008F02A4"/>
    <w:rsid w:val="008F031A"/>
    <w:rsid w:val="008F0705"/>
    <w:rsid w:val="008F195C"/>
    <w:rsid w:val="008F3789"/>
    <w:rsid w:val="008F3918"/>
    <w:rsid w:val="008F3DCB"/>
    <w:rsid w:val="008F4F5C"/>
    <w:rsid w:val="008F525A"/>
    <w:rsid w:val="008F5663"/>
    <w:rsid w:val="008F6D3F"/>
    <w:rsid w:val="008F71A1"/>
    <w:rsid w:val="008F7FE1"/>
    <w:rsid w:val="0090023E"/>
    <w:rsid w:val="00900B9E"/>
    <w:rsid w:val="00900CCE"/>
    <w:rsid w:val="00901A45"/>
    <w:rsid w:val="00902471"/>
    <w:rsid w:val="0090255D"/>
    <w:rsid w:val="00902AF3"/>
    <w:rsid w:val="0090361E"/>
    <w:rsid w:val="00903AFE"/>
    <w:rsid w:val="00907E20"/>
    <w:rsid w:val="0091179B"/>
    <w:rsid w:val="00915C4D"/>
    <w:rsid w:val="00915EE0"/>
    <w:rsid w:val="00915FA4"/>
    <w:rsid w:val="009179FB"/>
    <w:rsid w:val="00920266"/>
    <w:rsid w:val="009203FD"/>
    <w:rsid w:val="00922073"/>
    <w:rsid w:val="00922E89"/>
    <w:rsid w:val="0092483C"/>
    <w:rsid w:val="009264DF"/>
    <w:rsid w:val="009268B1"/>
    <w:rsid w:val="009273BC"/>
    <w:rsid w:val="009317ED"/>
    <w:rsid w:val="0093307A"/>
    <w:rsid w:val="0093355D"/>
    <w:rsid w:val="00935D92"/>
    <w:rsid w:val="009361EB"/>
    <w:rsid w:val="00936730"/>
    <w:rsid w:val="009402B3"/>
    <w:rsid w:val="0094051A"/>
    <w:rsid w:val="00941003"/>
    <w:rsid w:val="009425B3"/>
    <w:rsid w:val="00942F89"/>
    <w:rsid w:val="00945BF2"/>
    <w:rsid w:val="0094711E"/>
    <w:rsid w:val="0094724E"/>
    <w:rsid w:val="00947321"/>
    <w:rsid w:val="00947C7A"/>
    <w:rsid w:val="00952951"/>
    <w:rsid w:val="00952AF7"/>
    <w:rsid w:val="00953A07"/>
    <w:rsid w:val="00954442"/>
    <w:rsid w:val="0095456C"/>
    <w:rsid w:val="0095551F"/>
    <w:rsid w:val="00955B6D"/>
    <w:rsid w:val="00956A23"/>
    <w:rsid w:val="00956EA2"/>
    <w:rsid w:val="009570F0"/>
    <w:rsid w:val="00957398"/>
    <w:rsid w:val="00961B33"/>
    <w:rsid w:val="0096219B"/>
    <w:rsid w:val="00963289"/>
    <w:rsid w:val="00963607"/>
    <w:rsid w:val="0096432A"/>
    <w:rsid w:val="009655F5"/>
    <w:rsid w:val="009658DA"/>
    <w:rsid w:val="009662E5"/>
    <w:rsid w:val="0096675F"/>
    <w:rsid w:val="00966884"/>
    <w:rsid w:val="00966E3F"/>
    <w:rsid w:val="009707DF"/>
    <w:rsid w:val="00970F45"/>
    <w:rsid w:val="00971D8C"/>
    <w:rsid w:val="00971FC5"/>
    <w:rsid w:val="00972425"/>
    <w:rsid w:val="009733F5"/>
    <w:rsid w:val="00974E9A"/>
    <w:rsid w:val="0098401D"/>
    <w:rsid w:val="009849E5"/>
    <w:rsid w:val="00985B34"/>
    <w:rsid w:val="0098683C"/>
    <w:rsid w:val="0098753E"/>
    <w:rsid w:val="00991481"/>
    <w:rsid w:val="009916A4"/>
    <w:rsid w:val="00991B4E"/>
    <w:rsid w:val="009923A9"/>
    <w:rsid w:val="00996071"/>
    <w:rsid w:val="009964CD"/>
    <w:rsid w:val="00997637"/>
    <w:rsid w:val="009A27D2"/>
    <w:rsid w:val="009A2A76"/>
    <w:rsid w:val="009A3E4B"/>
    <w:rsid w:val="009A500C"/>
    <w:rsid w:val="009A53C8"/>
    <w:rsid w:val="009A6414"/>
    <w:rsid w:val="009A690B"/>
    <w:rsid w:val="009B3D65"/>
    <w:rsid w:val="009B426B"/>
    <w:rsid w:val="009B490D"/>
    <w:rsid w:val="009B53B4"/>
    <w:rsid w:val="009B5513"/>
    <w:rsid w:val="009B626F"/>
    <w:rsid w:val="009B7251"/>
    <w:rsid w:val="009B7F11"/>
    <w:rsid w:val="009C0ABF"/>
    <w:rsid w:val="009C3B80"/>
    <w:rsid w:val="009C43E7"/>
    <w:rsid w:val="009C592C"/>
    <w:rsid w:val="009D14CA"/>
    <w:rsid w:val="009D4677"/>
    <w:rsid w:val="009D5757"/>
    <w:rsid w:val="009D5F42"/>
    <w:rsid w:val="009D63D0"/>
    <w:rsid w:val="009D7DB0"/>
    <w:rsid w:val="009E1D78"/>
    <w:rsid w:val="009E20AB"/>
    <w:rsid w:val="009E295D"/>
    <w:rsid w:val="009E3499"/>
    <w:rsid w:val="009E48B1"/>
    <w:rsid w:val="009E5B17"/>
    <w:rsid w:val="009E6B05"/>
    <w:rsid w:val="009E78B5"/>
    <w:rsid w:val="009E7925"/>
    <w:rsid w:val="009E798E"/>
    <w:rsid w:val="009F02F6"/>
    <w:rsid w:val="009F0693"/>
    <w:rsid w:val="009F0D8A"/>
    <w:rsid w:val="009F1127"/>
    <w:rsid w:val="009F1E2A"/>
    <w:rsid w:val="009F3EF0"/>
    <w:rsid w:val="009F6FBF"/>
    <w:rsid w:val="009F70DC"/>
    <w:rsid w:val="009F7E93"/>
    <w:rsid w:val="00A001C3"/>
    <w:rsid w:val="00A0105C"/>
    <w:rsid w:val="00A02C15"/>
    <w:rsid w:val="00A0349A"/>
    <w:rsid w:val="00A04427"/>
    <w:rsid w:val="00A04B91"/>
    <w:rsid w:val="00A04D83"/>
    <w:rsid w:val="00A054B0"/>
    <w:rsid w:val="00A0664F"/>
    <w:rsid w:val="00A06803"/>
    <w:rsid w:val="00A069E1"/>
    <w:rsid w:val="00A1019C"/>
    <w:rsid w:val="00A11276"/>
    <w:rsid w:val="00A11648"/>
    <w:rsid w:val="00A11C65"/>
    <w:rsid w:val="00A1717C"/>
    <w:rsid w:val="00A2029A"/>
    <w:rsid w:val="00A20E2B"/>
    <w:rsid w:val="00A21053"/>
    <w:rsid w:val="00A230D4"/>
    <w:rsid w:val="00A24878"/>
    <w:rsid w:val="00A25ED4"/>
    <w:rsid w:val="00A260C9"/>
    <w:rsid w:val="00A26E89"/>
    <w:rsid w:val="00A3072D"/>
    <w:rsid w:val="00A30DC0"/>
    <w:rsid w:val="00A3197D"/>
    <w:rsid w:val="00A32D0C"/>
    <w:rsid w:val="00A33868"/>
    <w:rsid w:val="00A3587B"/>
    <w:rsid w:val="00A36746"/>
    <w:rsid w:val="00A3720D"/>
    <w:rsid w:val="00A4058B"/>
    <w:rsid w:val="00A40957"/>
    <w:rsid w:val="00A41956"/>
    <w:rsid w:val="00A42756"/>
    <w:rsid w:val="00A43EB3"/>
    <w:rsid w:val="00A44DD4"/>
    <w:rsid w:val="00A452FD"/>
    <w:rsid w:val="00A46138"/>
    <w:rsid w:val="00A4641A"/>
    <w:rsid w:val="00A474CF"/>
    <w:rsid w:val="00A477AA"/>
    <w:rsid w:val="00A47DD9"/>
    <w:rsid w:val="00A5034C"/>
    <w:rsid w:val="00A50FB9"/>
    <w:rsid w:val="00A51F4E"/>
    <w:rsid w:val="00A5397B"/>
    <w:rsid w:val="00A53C1F"/>
    <w:rsid w:val="00A54DA6"/>
    <w:rsid w:val="00A55056"/>
    <w:rsid w:val="00A5615F"/>
    <w:rsid w:val="00A57BE4"/>
    <w:rsid w:val="00A57D58"/>
    <w:rsid w:val="00A605A1"/>
    <w:rsid w:val="00A6111B"/>
    <w:rsid w:val="00A6116D"/>
    <w:rsid w:val="00A61504"/>
    <w:rsid w:val="00A65F2C"/>
    <w:rsid w:val="00A67266"/>
    <w:rsid w:val="00A71DC3"/>
    <w:rsid w:val="00A72188"/>
    <w:rsid w:val="00A72D95"/>
    <w:rsid w:val="00A72ED0"/>
    <w:rsid w:val="00A734EF"/>
    <w:rsid w:val="00A737D3"/>
    <w:rsid w:val="00A73873"/>
    <w:rsid w:val="00A75F5F"/>
    <w:rsid w:val="00A779B2"/>
    <w:rsid w:val="00A8041F"/>
    <w:rsid w:val="00A8055D"/>
    <w:rsid w:val="00A8062A"/>
    <w:rsid w:val="00A807A5"/>
    <w:rsid w:val="00A81AA1"/>
    <w:rsid w:val="00A842F8"/>
    <w:rsid w:val="00A8458D"/>
    <w:rsid w:val="00A845F1"/>
    <w:rsid w:val="00A8555E"/>
    <w:rsid w:val="00A85A9C"/>
    <w:rsid w:val="00A85E75"/>
    <w:rsid w:val="00A86290"/>
    <w:rsid w:val="00A87051"/>
    <w:rsid w:val="00A878A8"/>
    <w:rsid w:val="00A87B0A"/>
    <w:rsid w:val="00A93198"/>
    <w:rsid w:val="00A94B39"/>
    <w:rsid w:val="00A9668D"/>
    <w:rsid w:val="00A968D0"/>
    <w:rsid w:val="00A97137"/>
    <w:rsid w:val="00A97BBB"/>
    <w:rsid w:val="00AA1BF0"/>
    <w:rsid w:val="00AA3990"/>
    <w:rsid w:val="00AA4441"/>
    <w:rsid w:val="00AA5045"/>
    <w:rsid w:val="00AA73FE"/>
    <w:rsid w:val="00AA7D8F"/>
    <w:rsid w:val="00AB10DF"/>
    <w:rsid w:val="00AB14AF"/>
    <w:rsid w:val="00AB3B6C"/>
    <w:rsid w:val="00AB4AB1"/>
    <w:rsid w:val="00AB58E0"/>
    <w:rsid w:val="00AB72AE"/>
    <w:rsid w:val="00AC390C"/>
    <w:rsid w:val="00AC4656"/>
    <w:rsid w:val="00AC496D"/>
    <w:rsid w:val="00AC51F3"/>
    <w:rsid w:val="00AC532F"/>
    <w:rsid w:val="00AC6144"/>
    <w:rsid w:val="00AC6706"/>
    <w:rsid w:val="00AC710B"/>
    <w:rsid w:val="00AC768E"/>
    <w:rsid w:val="00AC7B67"/>
    <w:rsid w:val="00AD0B89"/>
    <w:rsid w:val="00AD41A5"/>
    <w:rsid w:val="00AD47D4"/>
    <w:rsid w:val="00AD62D8"/>
    <w:rsid w:val="00AD6EAE"/>
    <w:rsid w:val="00AD722C"/>
    <w:rsid w:val="00AE1546"/>
    <w:rsid w:val="00AE1F24"/>
    <w:rsid w:val="00AE2EE1"/>
    <w:rsid w:val="00AE33D9"/>
    <w:rsid w:val="00AE434E"/>
    <w:rsid w:val="00AE5609"/>
    <w:rsid w:val="00AE7A63"/>
    <w:rsid w:val="00AF267E"/>
    <w:rsid w:val="00AF3C87"/>
    <w:rsid w:val="00AF4D54"/>
    <w:rsid w:val="00AF63C3"/>
    <w:rsid w:val="00AF6B55"/>
    <w:rsid w:val="00AF7CE1"/>
    <w:rsid w:val="00B00E7C"/>
    <w:rsid w:val="00B011E3"/>
    <w:rsid w:val="00B012CA"/>
    <w:rsid w:val="00B01770"/>
    <w:rsid w:val="00B017CD"/>
    <w:rsid w:val="00B01DAD"/>
    <w:rsid w:val="00B0301F"/>
    <w:rsid w:val="00B0351C"/>
    <w:rsid w:val="00B03934"/>
    <w:rsid w:val="00B03F5C"/>
    <w:rsid w:val="00B048B1"/>
    <w:rsid w:val="00B10191"/>
    <w:rsid w:val="00B11686"/>
    <w:rsid w:val="00B12C6B"/>
    <w:rsid w:val="00B13276"/>
    <w:rsid w:val="00B139D9"/>
    <w:rsid w:val="00B13B3C"/>
    <w:rsid w:val="00B13DFE"/>
    <w:rsid w:val="00B161EA"/>
    <w:rsid w:val="00B16678"/>
    <w:rsid w:val="00B22DD8"/>
    <w:rsid w:val="00B23A09"/>
    <w:rsid w:val="00B254CB"/>
    <w:rsid w:val="00B26826"/>
    <w:rsid w:val="00B27C42"/>
    <w:rsid w:val="00B31C27"/>
    <w:rsid w:val="00B31D15"/>
    <w:rsid w:val="00B31D8E"/>
    <w:rsid w:val="00B32E81"/>
    <w:rsid w:val="00B34146"/>
    <w:rsid w:val="00B34499"/>
    <w:rsid w:val="00B351C5"/>
    <w:rsid w:val="00B36B0A"/>
    <w:rsid w:val="00B37B6B"/>
    <w:rsid w:val="00B40898"/>
    <w:rsid w:val="00B437D7"/>
    <w:rsid w:val="00B43A15"/>
    <w:rsid w:val="00B43C10"/>
    <w:rsid w:val="00B4673C"/>
    <w:rsid w:val="00B46744"/>
    <w:rsid w:val="00B477DB"/>
    <w:rsid w:val="00B47DA1"/>
    <w:rsid w:val="00B50307"/>
    <w:rsid w:val="00B5050B"/>
    <w:rsid w:val="00B50EBF"/>
    <w:rsid w:val="00B52D07"/>
    <w:rsid w:val="00B53ED3"/>
    <w:rsid w:val="00B54A5C"/>
    <w:rsid w:val="00B54E3D"/>
    <w:rsid w:val="00B55214"/>
    <w:rsid w:val="00B55FAF"/>
    <w:rsid w:val="00B60634"/>
    <w:rsid w:val="00B61E75"/>
    <w:rsid w:val="00B63345"/>
    <w:rsid w:val="00B63D60"/>
    <w:rsid w:val="00B64858"/>
    <w:rsid w:val="00B64AEB"/>
    <w:rsid w:val="00B64D08"/>
    <w:rsid w:val="00B66652"/>
    <w:rsid w:val="00B70A39"/>
    <w:rsid w:val="00B70AB2"/>
    <w:rsid w:val="00B70BD7"/>
    <w:rsid w:val="00B71733"/>
    <w:rsid w:val="00B72278"/>
    <w:rsid w:val="00B72EEE"/>
    <w:rsid w:val="00B731F7"/>
    <w:rsid w:val="00B76F72"/>
    <w:rsid w:val="00B77C24"/>
    <w:rsid w:val="00B809B1"/>
    <w:rsid w:val="00B824F1"/>
    <w:rsid w:val="00B83215"/>
    <w:rsid w:val="00B8371B"/>
    <w:rsid w:val="00B86988"/>
    <w:rsid w:val="00B87183"/>
    <w:rsid w:val="00B92AD4"/>
    <w:rsid w:val="00B9312A"/>
    <w:rsid w:val="00B93A11"/>
    <w:rsid w:val="00B93C45"/>
    <w:rsid w:val="00B96FBF"/>
    <w:rsid w:val="00BA155F"/>
    <w:rsid w:val="00BA1684"/>
    <w:rsid w:val="00BA3742"/>
    <w:rsid w:val="00BA48D6"/>
    <w:rsid w:val="00BA4F10"/>
    <w:rsid w:val="00BA691D"/>
    <w:rsid w:val="00BA7463"/>
    <w:rsid w:val="00BB036F"/>
    <w:rsid w:val="00BB0C4F"/>
    <w:rsid w:val="00BB0E4B"/>
    <w:rsid w:val="00BB1819"/>
    <w:rsid w:val="00BB1A01"/>
    <w:rsid w:val="00BB1A56"/>
    <w:rsid w:val="00BB269D"/>
    <w:rsid w:val="00BB42DF"/>
    <w:rsid w:val="00BB4CE1"/>
    <w:rsid w:val="00BB4EBA"/>
    <w:rsid w:val="00BB4F81"/>
    <w:rsid w:val="00BB55DA"/>
    <w:rsid w:val="00BB5DA9"/>
    <w:rsid w:val="00BC014F"/>
    <w:rsid w:val="00BC0164"/>
    <w:rsid w:val="00BC04B6"/>
    <w:rsid w:val="00BC1CE4"/>
    <w:rsid w:val="00BC23AA"/>
    <w:rsid w:val="00BC28D4"/>
    <w:rsid w:val="00BC5B54"/>
    <w:rsid w:val="00BC78A2"/>
    <w:rsid w:val="00BC7983"/>
    <w:rsid w:val="00BD092C"/>
    <w:rsid w:val="00BD09E2"/>
    <w:rsid w:val="00BD142D"/>
    <w:rsid w:val="00BD2778"/>
    <w:rsid w:val="00BD31EA"/>
    <w:rsid w:val="00BD505D"/>
    <w:rsid w:val="00BD61A7"/>
    <w:rsid w:val="00BD688B"/>
    <w:rsid w:val="00BD6A14"/>
    <w:rsid w:val="00BD6CB4"/>
    <w:rsid w:val="00BE030A"/>
    <w:rsid w:val="00BE09CA"/>
    <w:rsid w:val="00BE10D4"/>
    <w:rsid w:val="00BE114C"/>
    <w:rsid w:val="00BE7761"/>
    <w:rsid w:val="00BF03A9"/>
    <w:rsid w:val="00BF0F57"/>
    <w:rsid w:val="00BF14BC"/>
    <w:rsid w:val="00BF7292"/>
    <w:rsid w:val="00C00948"/>
    <w:rsid w:val="00C014FF"/>
    <w:rsid w:val="00C047F9"/>
    <w:rsid w:val="00C06CDB"/>
    <w:rsid w:val="00C06D0F"/>
    <w:rsid w:val="00C070FB"/>
    <w:rsid w:val="00C11666"/>
    <w:rsid w:val="00C13799"/>
    <w:rsid w:val="00C1572B"/>
    <w:rsid w:val="00C173D0"/>
    <w:rsid w:val="00C2411A"/>
    <w:rsid w:val="00C2460C"/>
    <w:rsid w:val="00C2552A"/>
    <w:rsid w:val="00C25A35"/>
    <w:rsid w:val="00C27E3A"/>
    <w:rsid w:val="00C308BE"/>
    <w:rsid w:val="00C31B50"/>
    <w:rsid w:val="00C31F5F"/>
    <w:rsid w:val="00C32053"/>
    <w:rsid w:val="00C34B88"/>
    <w:rsid w:val="00C35985"/>
    <w:rsid w:val="00C36154"/>
    <w:rsid w:val="00C36ED6"/>
    <w:rsid w:val="00C40761"/>
    <w:rsid w:val="00C40FD8"/>
    <w:rsid w:val="00C41733"/>
    <w:rsid w:val="00C41F6A"/>
    <w:rsid w:val="00C420CD"/>
    <w:rsid w:val="00C4247C"/>
    <w:rsid w:val="00C43D44"/>
    <w:rsid w:val="00C445F3"/>
    <w:rsid w:val="00C462C4"/>
    <w:rsid w:val="00C5206B"/>
    <w:rsid w:val="00C558F7"/>
    <w:rsid w:val="00C55A65"/>
    <w:rsid w:val="00C5686F"/>
    <w:rsid w:val="00C604E1"/>
    <w:rsid w:val="00C608AA"/>
    <w:rsid w:val="00C60C71"/>
    <w:rsid w:val="00C61EBF"/>
    <w:rsid w:val="00C622C1"/>
    <w:rsid w:val="00C632B3"/>
    <w:rsid w:val="00C63B7C"/>
    <w:rsid w:val="00C65004"/>
    <w:rsid w:val="00C6773C"/>
    <w:rsid w:val="00C70035"/>
    <w:rsid w:val="00C70340"/>
    <w:rsid w:val="00C70D48"/>
    <w:rsid w:val="00C71038"/>
    <w:rsid w:val="00C71098"/>
    <w:rsid w:val="00C71610"/>
    <w:rsid w:val="00C741B4"/>
    <w:rsid w:val="00C7592C"/>
    <w:rsid w:val="00C77158"/>
    <w:rsid w:val="00C77DFE"/>
    <w:rsid w:val="00C8029D"/>
    <w:rsid w:val="00C808EE"/>
    <w:rsid w:val="00C80D4B"/>
    <w:rsid w:val="00C8153A"/>
    <w:rsid w:val="00C8278A"/>
    <w:rsid w:val="00C8558C"/>
    <w:rsid w:val="00C85ABE"/>
    <w:rsid w:val="00C85B93"/>
    <w:rsid w:val="00C87571"/>
    <w:rsid w:val="00C90A57"/>
    <w:rsid w:val="00C90CE3"/>
    <w:rsid w:val="00C91F07"/>
    <w:rsid w:val="00C92120"/>
    <w:rsid w:val="00C930AF"/>
    <w:rsid w:val="00C942FC"/>
    <w:rsid w:val="00C966DA"/>
    <w:rsid w:val="00C976B2"/>
    <w:rsid w:val="00CA1213"/>
    <w:rsid w:val="00CA2E29"/>
    <w:rsid w:val="00CA3607"/>
    <w:rsid w:val="00CA3BB0"/>
    <w:rsid w:val="00CA4E7D"/>
    <w:rsid w:val="00CA72F1"/>
    <w:rsid w:val="00CB0CF2"/>
    <w:rsid w:val="00CB124C"/>
    <w:rsid w:val="00CB1306"/>
    <w:rsid w:val="00CB2DCB"/>
    <w:rsid w:val="00CB403F"/>
    <w:rsid w:val="00CB4591"/>
    <w:rsid w:val="00CB566C"/>
    <w:rsid w:val="00CB63AD"/>
    <w:rsid w:val="00CB6580"/>
    <w:rsid w:val="00CB6F85"/>
    <w:rsid w:val="00CC0473"/>
    <w:rsid w:val="00CC1794"/>
    <w:rsid w:val="00CC19E3"/>
    <w:rsid w:val="00CC1E8D"/>
    <w:rsid w:val="00CC3970"/>
    <w:rsid w:val="00CC3ED1"/>
    <w:rsid w:val="00CC4988"/>
    <w:rsid w:val="00CC68F0"/>
    <w:rsid w:val="00CD16A7"/>
    <w:rsid w:val="00CD3B21"/>
    <w:rsid w:val="00CD528D"/>
    <w:rsid w:val="00CD66D5"/>
    <w:rsid w:val="00CE0A40"/>
    <w:rsid w:val="00CE1852"/>
    <w:rsid w:val="00CE2946"/>
    <w:rsid w:val="00CE2D39"/>
    <w:rsid w:val="00CE3D48"/>
    <w:rsid w:val="00CE3ED9"/>
    <w:rsid w:val="00CE4329"/>
    <w:rsid w:val="00CE5439"/>
    <w:rsid w:val="00CE54A0"/>
    <w:rsid w:val="00CE6014"/>
    <w:rsid w:val="00CF05A7"/>
    <w:rsid w:val="00CF0A39"/>
    <w:rsid w:val="00CF1014"/>
    <w:rsid w:val="00CF181A"/>
    <w:rsid w:val="00CF3910"/>
    <w:rsid w:val="00CF729D"/>
    <w:rsid w:val="00CF7619"/>
    <w:rsid w:val="00D00EA0"/>
    <w:rsid w:val="00D01999"/>
    <w:rsid w:val="00D01A50"/>
    <w:rsid w:val="00D02AFB"/>
    <w:rsid w:val="00D05D33"/>
    <w:rsid w:val="00D07A80"/>
    <w:rsid w:val="00D10B10"/>
    <w:rsid w:val="00D1176E"/>
    <w:rsid w:val="00D154D5"/>
    <w:rsid w:val="00D160F3"/>
    <w:rsid w:val="00D17B61"/>
    <w:rsid w:val="00D17B72"/>
    <w:rsid w:val="00D17E86"/>
    <w:rsid w:val="00D201E6"/>
    <w:rsid w:val="00D20D67"/>
    <w:rsid w:val="00D20FFB"/>
    <w:rsid w:val="00D21D54"/>
    <w:rsid w:val="00D23118"/>
    <w:rsid w:val="00D233EB"/>
    <w:rsid w:val="00D2517E"/>
    <w:rsid w:val="00D25CD7"/>
    <w:rsid w:val="00D3035E"/>
    <w:rsid w:val="00D303EA"/>
    <w:rsid w:val="00D3261D"/>
    <w:rsid w:val="00D33A08"/>
    <w:rsid w:val="00D35F06"/>
    <w:rsid w:val="00D36226"/>
    <w:rsid w:val="00D42996"/>
    <w:rsid w:val="00D43772"/>
    <w:rsid w:val="00D452B4"/>
    <w:rsid w:val="00D455D4"/>
    <w:rsid w:val="00D45E62"/>
    <w:rsid w:val="00D45F3A"/>
    <w:rsid w:val="00D46A88"/>
    <w:rsid w:val="00D46DC4"/>
    <w:rsid w:val="00D503D3"/>
    <w:rsid w:val="00D5062B"/>
    <w:rsid w:val="00D50F6D"/>
    <w:rsid w:val="00D53541"/>
    <w:rsid w:val="00D53FB4"/>
    <w:rsid w:val="00D55C59"/>
    <w:rsid w:val="00D55E39"/>
    <w:rsid w:val="00D56786"/>
    <w:rsid w:val="00D60633"/>
    <w:rsid w:val="00D61D27"/>
    <w:rsid w:val="00D620FF"/>
    <w:rsid w:val="00D63E1C"/>
    <w:rsid w:val="00D65377"/>
    <w:rsid w:val="00D65A73"/>
    <w:rsid w:val="00D65A90"/>
    <w:rsid w:val="00D65BF3"/>
    <w:rsid w:val="00D66286"/>
    <w:rsid w:val="00D6694B"/>
    <w:rsid w:val="00D71CF0"/>
    <w:rsid w:val="00D73D35"/>
    <w:rsid w:val="00D74C34"/>
    <w:rsid w:val="00D74FD7"/>
    <w:rsid w:val="00D75162"/>
    <w:rsid w:val="00D761E4"/>
    <w:rsid w:val="00D76274"/>
    <w:rsid w:val="00D7679A"/>
    <w:rsid w:val="00D76A3B"/>
    <w:rsid w:val="00D82CAB"/>
    <w:rsid w:val="00D83505"/>
    <w:rsid w:val="00D84A9D"/>
    <w:rsid w:val="00D86BAD"/>
    <w:rsid w:val="00D872B1"/>
    <w:rsid w:val="00D91D07"/>
    <w:rsid w:val="00D92A3F"/>
    <w:rsid w:val="00D939CD"/>
    <w:rsid w:val="00D96B45"/>
    <w:rsid w:val="00DA1463"/>
    <w:rsid w:val="00DA169A"/>
    <w:rsid w:val="00DA1C16"/>
    <w:rsid w:val="00DA2196"/>
    <w:rsid w:val="00DA55F6"/>
    <w:rsid w:val="00DA7285"/>
    <w:rsid w:val="00DA741A"/>
    <w:rsid w:val="00DA7A5A"/>
    <w:rsid w:val="00DB0CEC"/>
    <w:rsid w:val="00DB3903"/>
    <w:rsid w:val="00DB4632"/>
    <w:rsid w:val="00DB59B9"/>
    <w:rsid w:val="00DC168C"/>
    <w:rsid w:val="00DC1CC0"/>
    <w:rsid w:val="00DC1EF1"/>
    <w:rsid w:val="00DC2195"/>
    <w:rsid w:val="00DC273F"/>
    <w:rsid w:val="00DC38B8"/>
    <w:rsid w:val="00DC4475"/>
    <w:rsid w:val="00DC4957"/>
    <w:rsid w:val="00DC58C0"/>
    <w:rsid w:val="00DC59F5"/>
    <w:rsid w:val="00DC5B36"/>
    <w:rsid w:val="00DD1E7B"/>
    <w:rsid w:val="00DD374E"/>
    <w:rsid w:val="00DD3A2B"/>
    <w:rsid w:val="00DD4208"/>
    <w:rsid w:val="00DD5D43"/>
    <w:rsid w:val="00DD61DE"/>
    <w:rsid w:val="00DD7094"/>
    <w:rsid w:val="00DE006A"/>
    <w:rsid w:val="00DE11A5"/>
    <w:rsid w:val="00DE25A0"/>
    <w:rsid w:val="00DE48F8"/>
    <w:rsid w:val="00DE4E91"/>
    <w:rsid w:val="00DE673B"/>
    <w:rsid w:val="00DE73C6"/>
    <w:rsid w:val="00DF0B35"/>
    <w:rsid w:val="00DF2E7B"/>
    <w:rsid w:val="00DF39D2"/>
    <w:rsid w:val="00DF4B55"/>
    <w:rsid w:val="00DF520D"/>
    <w:rsid w:val="00DF56A7"/>
    <w:rsid w:val="00DF5E02"/>
    <w:rsid w:val="00DF6A73"/>
    <w:rsid w:val="00DF6BBB"/>
    <w:rsid w:val="00DF7125"/>
    <w:rsid w:val="00E017F3"/>
    <w:rsid w:val="00E01912"/>
    <w:rsid w:val="00E02FD6"/>
    <w:rsid w:val="00E04749"/>
    <w:rsid w:val="00E0500E"/>
    <w:rsid w:val="00E07A22"/>
    <w:rsid w:val="00E10161"/>
    <w:rsid w:val="00E118C1"/>
    <w:rsid w:val="00E13088"/>
    <w:rsid w:val="00E14906"/>
    <w:rsid w:val="00E158CA"/>
    <w:rsid w:val="00E1649E"/>
    <w:rsid w:val="00E16674"/>
    <w:rsid w:val="00E217DE"/>
    <w:rsid w:val="00E21911"/>
    <w:rsid w:val="00E2302E"/>
    <w:rsid w:val="00E2417A"/>
    <w:rsid w:val="00E24516"/>
    <w:rsid w:val="00E24557"/>
    <w:rsid w:val="00E24F65"/>
    <w:rsid w:val="00E253B5"/>
    <w:rsid w:val="00E25B4B"/>
    <w:rsid w:val="00E26437"/>
    <w:rsid w:val="00E35BFC"/>
    <w:rsid w:val="00E36192"/>
    <w:rsid w:val="00E37F4B"/>
    <w:rsid w:val="00E411A9"/>
    <w:rsid w:val="00E4350D"/>
    <w:rsid w:val="00E4387D"/>
    <w:rsid w:val="00E438A4"/>
    <w:rsid w:val="00E43A22"/>
    <w:rsid w:val="00E47842"/>
    <w:rsid w:val="00E506DE"/>
    <w:rsid w:val="00E5325E"/>
    <w:rsid w:val="00E545C9"/>
    <w:rsid w:val="00E54CEB"/>
    <w:rsid w:val="00E557D7"/>
    <w:rsid w:val="00E55E85"/>
    <w:rsid w:val="00E55EED"/>
    <w:rsid w:val="00E560EA"/>
    <w:rsid w:val="00E57FE2"/>
    <w:rsid w:val="00E60D1E"/>
    <w:rsid w:val="00E62588"/>
    <w:rsid w:val="00E6313E"/>
    <w:rsid w:val="00E64C66"/>
    <w:rsid w:val="00E664B6"/>
    <w:rsid w:val="00E7396A"/>
    <w:rsid w:val="00E73D7B"/>
    <w:rsid w:val="00E73FD6"/>
    <w:rsid w:val="00E74EFA"/>
    <w:rsid w:val="00E75850"/>
    <w:rsid w:val="00E76CD4"/>
    <w:rsid w:val="00E80C48"/>
    <w:rsid w:val="00E8436C"/>
    <w:rsid w:val="00E86CF4"/>
    <w:rsid w:val="00E90586"/>
    <w:rsid w:val="00E9183E"/>
    <w:rsid w:val="00E91C1D"/>
    <w:rsid w:val="00E936B6"/>
    <w:rsid w:val="00E93EE0"/>
    <w:rsid w:val="00E94476"/>
    <w:rsid w:val="00E948E4"/>
    <w:rsid w:val="00E95EBC"/>
    <w:rsid w:val="00E960BA"/>
    <w:rsid w:val="00E96C90"/>
    <w:rsid w:val="00E9768D"/>
    <w:rsid w:val="00EA067A"/>
    <w:rsid w:val="00EA1854"/>
    <w:rsid w:val="00EA1A26"/>
    <w:rsid w:val="00EA20C0"/>
    <w:rsid w:val="00EA2778"/>
    <w:rsid w:val="00EA2F92"/>
    <w:rsid w:val="00EA4E31"/>
    <w:rsid w:val="00EA5A23"/>
    <w:rsid w:val="00EA7141"/>
    <w:rsid w:val="00EA7413"/>
    <w:rsid w:val="00EB110B"/>
    <w:rsid w:val="00EB27E9"/>
    <w:rsid w:val="00EB362E"/>
    <w:rsid w:val="00EB3898"/>
    <w:rsid w:val="00EB5774"/>
    <w:rsid w:val="00EB6169"/>
    <w:rsid w:val="00EB6288"/>
    <w:rsid w:val="00EB64CF"/>
    <w:rsid w:val="00EB74A3"/>
    <w:rsid w:val="00EC055C"/>
    <w:rsid w:val="00EC102C"/>
    <w:rsid w:val="00EC1F3E"/>
    <w:rsid w:val="00EC590F"/>
    <w:rsid w:val="00EC65CA"/>
    <w:rsid w:val="00EC661F"/>
    <w:rsid w:val="00EC713C"/>
    <w:rsid w:val="00ED2C01"/>
    <w:rsid w:val="00ED3DFE"/>
    <w:rsid w:val="00ED4E43"/>
    <w:rsid w:val="00ED7B9C"/>
    <w:rsid w:val="00EE2467"/>
    <w:rsid w:val="00EE27AB"/>
    <w:rsid w:val="00EE3131"/>
    <w:rsid w:val="00EE520A"/>
    <w:rsid w:val="00EE6D9A"/>
    <w:rsid w:val="00EE7426"/>
    <w:rsid w:val="00EF0027"/>
    <w:rsid w:val="00EF08C6"/>
    <w:rsid w:val="00EF0F49"/>
    <w:rsid w:val="00EF26EB"/>
    <w:rsid w:val="00EF291C"/>
    <w:rsid w:val="00EF2B1A"/>
    <w:rsid w:val="00EF3120"/>
    <w:rsid w:val="00EF4CF6"/>
    <w:rsid w:val="00EF572F"/>
    <w:rsid w:val="00EF584E"/>
    <w:rsid w:val="00EF7298"/>
    <w:rsid w:val="00EF7F2B"/>
    <w:rsid w:val="00F007F5"/>
    <w:rsid w:val="00F014AE"/>
    <w:rsid w:val="00F01D4C"/>
    <w:rsid w:val="00F0200A"/>
    <w:rsid w:val="00F02583"/>
    <w:rsid w:val="00F047FA"/>
    <w:rsid w:val="00F04C12"/>
    <w:rsid w:val="00F052B6"/>
    <w:rsid w:val="00F115D4"/>
    <w:rsid w:val="00F11707"/>
    <w:rsid w:val="00F14219"/>
    <w:rsid w:val="00F14A3D"/>
    <w:rsid w:val="00F1565A"/>
    <w:rsid w:val="00F156C3"/>
    <w:rsid w:val="00F21515"/>
    <w:rsid w:val="00F24913"/>
    <w:rsid w:val="00F2546A"/>
    <w:rsid w:val="00F25E14"/>
    <w:rsid w:val="00F262E2"/>
    <w:rsid w:val="00F271F7"/>
    <w:rsid w:val="00F303B0"/>
    <w:rsid w:val="00F3247E"/>
    <w:rsid w:val="00F32645"/>
    <w:rsid w:val="00F36B32"/>
    <w:rsid w:val="00F418F0"/>
    <w:rsid w:val="00F4232B"/>
    <w:rsid w:val="00F444F7"/>
    <w:rsid w:val="00F45722"/>
    <w:rsid w:val="00F462EB"/>
    <w:rsid w:val="00F4701A"/>
    <w:rsid w:val="00F50082"/>
    <w:rsid w:val="00F519C6"/>
    <w:rsid w:val="00F51B2D"/>
    <w:rsid w:val="00F521F2"/>
    <w:rsid w:val="00F52F95"/>
    <w:rsid w:val="00F54568"/>
    <w:rsid w:val="00F54B9B"/>
    <w:rsid w:val="00F55497"/>
    <w:rsid w:val="00F56075"/>
    <w:rsid w:val="00F5738A"/>
    <w:rsid w:val="00F576B6"/>
    <w:rsid w:val="00F57A5E"/>
    <w:rsid w:val="00F62599"/>
    <w:rsid w:val="00F62C3C"/>
    <w:rsid w:val="00F62E40"/>
    <w:rsid w:val="00F63B47"/>
    <w:rsid w:val="00F64602"/>
    <w:rsid w:val="00F648D7"/>
    <w:rsid w:val="00F64D0F"/>
    <w:rsid w:val="00F65701"/>
    <w:rsid w:val="00F658DB"/>
    <w:rsid w:val="00F66108"/>
    <w:rsid w:val="00F66C88"/>
    <w:rsid w:val="00F7012A"/>
    <w:rsid w:val="00F7230C"/>
    <w:rsid w:val="00F73CA9"/>
    <w:rsid w:val="00F741FA"/>
    <w:rsid w:val="00F74353"/>
    <w:rsid w:val="00F74C22"/>
    <w:rsid w:val="00F755E6"/>
    <w:rsid w:val="00F76031"/>
    <w:rsid w:val="00F80B2F"/>
    <w:rsid w:val="00F80F37"/>
    <w:rsid w:val="00F814F3"/>
    <w:rsid w:val="00F819FB"/>
    <w:rsid w:val="00F81D1A"/>
    <w:rsid w:val="00F83A4A"/>
    <w:rsid w:val="00F84389"/>
    <w:rsid w:val="00F851EC"/>
    <w:rsid w:val="00F854CA"/>
    <w:rsid w:val="00F855A7"/>
    <w:rsid w:val="00F86500"/>
    <w:rsid w:val="00F86551"/>
    <w:rsid w:val="00F86B1F"/>
    <w:rsid w:val="00F86D8B"/>
    <w:rsid w:val="00F87AF0"/>
    <w:rsid w:val="00F9139D"/>
    <w:rsid w:val="00F930C1"/>
    <w:rsid w:val="00F937CD"/>
    <w:rsid w:val="00F94259"/>
    <w:rsid w:val="00F94E14"/>
    <w:rsid w:val="00F95B75"/>
    <w:rsid w:val="00F96F1F"/>
    <w:rsid w:val="00FA0025"/>
    <w:rsid w:val="00FA0E7F"/>
    <w:rsid w:val="00FA24B0"/>
    <w:rsid w:val="00FA4314"/>
    <w:rsid w:val="00FA45BB"/>
    <w:rsid w:val="00FA5099"/>
    <w:rsid w:val="00FA72FD"/>
    <w:rsid w:val="00FA7F7F"/>
    <w:rsid w:val="00FB04B7"/>
    <w:rsid w:val="00FB057D"/>
    <w:rsid w:val="00FB1079"/>
    <w:rsid w:val="00FB5ABB"/>
    <w:rsid w:val="00FB5C69"/>
    <w:rsid w:val="00FB645F"/>
    <w:rsid w:val="00FB698B"/>
    <w:rsid w:val="00FC2286"/>
    <w:rsid w:val="00FC2BBA"/>
    <w:rsid w:val="00FC2F44"/>
    <w:rsid w:val="00FC4D7C"/>
    <w:rsid w:val="00FC62BC"/>
    <w:rsid w:val="00FC63D2"/>
    <w:rsid w:val="00FD1481"/>
    <w:rsid w:val="00FD30D6"/>
    <w:rsid w:val="00FD4258"/>
    <w:rsid w:val="00FD53EE"/>
    <w:rsid w:val="00FD5892"/>
    <w:rsid w:val="00FD5D52"/>
    <w:rsid w:val="00FD6378"/>
    <w:rsid w:val="00FE0F07"/>
    <w:rsid w:val="00FE2612"/>
    <w:rsid w:val="00FE2DE8"/>
    <w:rsid w:val="00FE6D9F"/>
    <w:rsid w:val="00FE7F47"/>
    <w:rsid w:val="00FF018B"/>
    <w:rsid w:val="00FF0708"/>
    <w:rsid w:val="00FF0CF2"/>
    <w:rsid w:val="00FF170B"/>
    <w:rsid w:val="00FF3038"/>
    <w:rsid w:val="00FF432E"/>
    <w:rsid w:val="00FF47AC"/>
    <w:rsid w:val="00FF4CC3"/>
    <w:rsid w:val="00FF569D"/>
    <w:rsid w:val="00FF60AC"/>
    <w:rsid w:val="00FF7048"/>
    <w:rsid w:val="00FF7066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1C360912"/>
  <w15:chartTrackingRefBased/>
  <w15:docId w15:val="{6706CDB1-BDB7-4830-BAB9-88336CAC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next w:val="Normal"/>
    <w:qFormat/>
    <w:rsid w:val="00411AA6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Normal"/>
    <w:qFormat/>
    <w:rsid w:val="00656634"/>
    <w:pPr>
      <w:spacing w:before="120" w:after="120" w:line="320" w:lineRule="exact"/>
    </w:pPr>
    <w:rPr>
      <w:rFonts w:ascii="Arial" w:hAnsi="Arial"/>
      <w:sz w:val="22"/>
      <w:lang w:val="en-GB"/>
    </w:rPr>
  </w:style>
  <w:style w:type="paragraph" w:customStyle="1" w:styleId="Dedication">
    <w:name w:val="Dedication"/>
    <w:basedOn w:val="Normal"/>
    <w:qFormat/>
    <w:rsid w:val="002D5B99"/>
    <w:pPr>
      <w:spacing w:before="230" w:after="360" w:line="230" w:lineRule="exact"/>
    </w:pPr>
    <w:rPr>
      <w:rFonts w:ascii="Arial" w:hAnsi="Arial"/>
      <w:sz w:val="17"/>
    </w:rPr>
  </w:style>
  <w:style w:type="paragraph" w:customStyle="1" w:styleId="P1withoutIndendation">
    <w:name w:val="P1_without_Indendation"/>
    <w:basedOn w:val="Normal"/>
    <w:qFormat/>
    <w:rsid w:val="008D3292"/>
    <w:pPr>
      <w:spacing w:line="225" w:lineRule="exact"/>
      <w:jc w:val="both"/>
    </w:pPr>
    <w:rPr>
      <w:rFonts w:ascii="Arial" w:hAnsi="Arial"/>
      <w:sz w:val="17"/>
    </w:rPr>
  </w:style>
  <w:style w:type="paragraph" w:customStyle="1" w:styleId="History">
    <w:name w:val="History"/>
    <w:basedOn w:val="Normal"/>
    <w:rsid w:val="00713548"/>
    <w:pPr>
      <w:spacing w:before="230" w:after="460" w:line="180" w:lineRule="exact"/>
    </w:pPr>
    <w:rPr>
      <w:rFonts w:ascii="Arial" w:hAnsi="Arial"/>
      <w:sz w:val="14"/>
      <w:szCs w:val="16"/>
    </w:rPr>
  </w:style>
  <w:style w:type="paragraph" w:customStyle="1" w:styleId="Adress">
    <w:name w:val="Adress"/>
    <w:basedOn w:val="Normal"/>
    <w:qFormat/>
    <w:rsid w:val="000D37AC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customStyle="1" w:styleId="Footnote">
    <w:name w:val="Footnote"/>
    <w:basedOn w:val="Adress"/>
    <w:rsid w:val="00E9183E"/>
    <w:pPr>
      <w:spacing w:before="120"/>
    </w:pPr>
    <w:rPr>
      <w:szCs w:val="14"/>
      <w:lang w:val="en-GB"/>
    </w:rPr>
  </w:style>
  <w:style w:type="paragraph" w:customStyle="1" w:styleId="References">
    <w:name w:val="References"/>
    <w:basedOn w:val="Normal"/>
    <w:qFormat/>
    <w:rsid w:val="00EB27E9"/>
    <w:pPr>
      <w:spacing w:line="200" w:lineRule="exact"/>
      <w:ind w:left="425" w:hanging="425"/>
      <w:jc w:val="both"/>
    </w:pPr>
    <w:rPr>
      <w:rFonts w:ascii="Arial" w:hAnsi="Arial"/>
      <w:sz w:val="14"/>
      <w:szCs w:val="14"/>
      <w:lang w:val="en-GB"/>
    </w:rPr>
  </w:style>
  <w:style w:type="paragraph" w:customStyle="1" w:styleId="ColumnTitle">
    <w:name w:val="ColumnTitle"/>
    <w:basedOn w:val="Normal"/>
    <w:rsid w:val="005B15A7"/>
    <w:pPr>
      <w:pBdr>
        <w:bottom w:val="single" w:sz="36" w:space="1" w:color="DDDDDD"/>
      </w:pBdr>
      <w:spacing w:after="320"/>
      <w:jc w:val="right"/>
    </w:pPr>
    <w:rPr>
      <w:rFonts w:ascii="Arial" w:hAnsi="Arial" w:cs="Arial"/>
      <w:b/>
      <w:color w:val="C0C0C0"/>
      <w:sz w:val="36"/>
      <w:szCs w:val="36"/>
      <w:lang w:val="en-GB"/>
    </w:rPr>
  </w:style>
  <w:style w:type="paragraph" w:customStyle="1" w:styleId="ExperimentalSection">
    <w:name w:val="ExperimentalSection"/>
    <w:basedOn w:val="Normal"/>
    <w:qFormat/>
    <w:rsid w:val="008C642F"/>
    <w:pPr>
      <w:spacing w:after="240" w:line="200" w:lineRule="exact"/>
      <w:jc w:val="both"/>
    </w:pPr>
    <w:rPr>
      <w:rFonts w:ascii="Arial" w:hAnsi="Arial"/>
      <w:sz w:val="15"/>
      <w:szCs w:val="14"/>
      <w:lang w:val="en-GB"/>
    </w:rPr>
  </w:style>
  <w:style w:type="paragraph" w:customStyle="1" w:styleId="HExperimentalSection">
    <w:name w:val="HExperimental_Section"/>
    <w:basedOn w:val="Normal"/>
    <w:autoRedefine/>
    <w:qFormat/>
    <w:rsid w:val="0070306E"/>
    <w:pPr>
      <w:spacing w:before="460" w:after="230" w:line="230" w:lineRule="atLeast"/>
    </w:pPr>
    <w:rPr>
      <w:rFonts w:ascii="Arial" w:hAnsi="Arial"/>
      <w:b/>
      <w:sz w:val="22"/>
      <w:szCs w:val="20"/>
    </w:rPr>
  </w:style>
  <w:style w:type="paragraph" w:customStyle="1" w:styleId="SchemeCaption">
    <w:name w:val="SchemeCaption"/>
    <w:basedOn w:val="Normal"/>
    <w:rsid w:val="00BD505D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FigureCaption">
    <w:name w:val="FigureCaption"/>
    <w:basedOn w:val="Normal"/>
    <w:rsid w:val="00BD505D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Caption">
    <w:name w:val="TableCaption"/>
    <w:basedOn w:val="Normal"/>
    <w:qFormat/>
    <w:rsid w:val="000D37AC"/>
    <w:pPr>
      <w:spacing w:after="12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Head">
    <w:name w:val="TableHead"/>
    <w:basedOn w:val="TableCaption"/>
    <w:qFormat/>
    <w:rsid w:val="00D02AF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/>
    </w:pPr>
  </w:style>
  <w:style w:type="paragraph" w:customStyle="1" w:styleId="TableBody">
    <w:name w:val="TableBody"/>
    <w:basedOn w:val="TableHead"/>
    <w:rsid w:val="00880861"/>
  </w:style>
  <w:style w:type="paragraph" w:customStyle="1" w:styleId="TableFoot">
    <w:name w:val="TableFoot"/>
    <w:basedOn w:val="TableBody"/>
    <w:rsid w:val="007E3A49"/>
    <w:pPr>
      <w:spacing w:before="60" w:after="60"/>
    </w:pPr>
  </w:style>
  <w:style w:type="paragraph" w:customStyle="1" w:styleId="Keywords">
    <w:name w:val="Keywords"/>
    <w:basedOn w:val="Normal"/>
    <w:qFormat/>
    <w:rsid w:val="008C642F"/>
    <w:pPr>
      <w:spacing w:before="240" w:after="240" w:line="250" w:lineRule="exact"/>
    </w:pPr>
    <w:rPr>
      <w:rFonts w:ascii="Arial" w:hAnsi="Arial"/>
      <w:sz w:val="17"/>
      <w:szCs w:val="20"/>
      <w:lang w:val="en-GB"/>
    </w:rPr>
  </w:style>
  <w:style w:type="paragraph" w:customStyle="1" w:styleId="ManuscriptID">
    <w:name w:val="ManuscriptID"/>
    <w:basedOn w:val="Normal"/>
    <w:qFormat/>
    <w:rsid w:val="00EB27E9"/>
    <w:pPr>
      <w:spacing w:before="220" w:line="230" w:lineRule="exact"/>
    </w:pPr>
    <w:rPr>
      <w:rFonts w:ascii="Arial" w:hAnsi="Arial"/>
      <w:b/>
      <w:sz w:val="17"/>
      <w:szCs w:val="15"/>
      <w:lang w:val="en-GB"/>
    </w:rPr>
  </w:style>
  <w:style w:type="paragraph" w:customStyle="1" w:styleId="AuthorsTOC">
    <w:name w:val="Authors_TOC"/>
    <w:basedOn w:val="Authors"/>
    <w:rsid w:val="00CC3970"/>
    <w:pPr>
      <w:spacing w:after="0" w:line="225" w:lineRule="atLeast"/>
    </w:pPr>
    <w:rPr>
      <w:i/>
      <w:sz w:val="17"/>
      <w:szCs w:val="20"/>
    </w:rPr>
  </w:style>
  <w:style w:type="paragraph" w:customStyle="1" w:styleId="TitleTOC">
    <w:name w:val="Title_TOC"/>
    <w:basedOn w:val="AuthorsTOC"/>
    <w:rsid w:val="00C942FC"/>
    <w:rPr>
      <w:b/>
      <w:i w:val="0"/>
    </w:rPr>
  </w:style>
  <w:style w:type="paragraph" w:customStyle="1" w:styleId="TableOfContentText">
    <w:name w:val="TableOfContentText"/>
    <w:basedOn w:val="AuthorsTOC"/>
    <w:rsid w:val="003040CB"/>
    <w:rPr>
      <w:i w:val="0"/>
      <w:color w:val="000000"/>
    </w:rPr>
  </w:style>
  <w:style w:type="paragraph" w:customStyle="1" w:styleId="P1withIndendation">
    <w:name w:val="P1_with_Indendation"/>
    <w:basedOn w:val="TableCaption"/>
    <w:qFormat/>
    <w:rsid w:val="00EB27E9"/>
    <w:pPr>
      <w:spacing w:line="225" w:lineRule="exact"/>
      <w:ind w:firstLine="284"/>
    </w:pPr>
    <w:rPr>
      <w:sz w:val="17"/>
    </w:rPr>
  </w:style>
  <w:style w:type="paragraph" w:customStyle="1" w:styleId="HAcknowledgements">
    <w:name w:val="HAcknowledgements"/>
    <w:basedOn w:val="Normal"/>
    <w:qFormat/>
    <w:rsid w:val="008C642F"/>
    <w:pPr>
      <w:spacing w:before="480" w:after="230" w:line="230" w:lineRule="atLeast"/>
    </w:pPr>
    <w:rPr>
      <w:rFonts w:ascii="Arial" w:hAnsi="Arial"/>
      <w:b/>
      <w:sz w:val="22"/>
      <w:lang w:val="en-GB"/>
    </w:rPr>
  </w:style>
  <w:style w:type="paragraph" w:customStyle="1" w:styleId="Acknowledgements">
    <w:name w:val="Acknowledgements"/>
    <w:basedOn w:val="P1withoutIndendation"/>
    <w:qFormat/>
    <w:rsid w:val="008C642F"/>
    <w:pPr>
      <w:spacing w:after="240" w:line="230" w:lineRule="atLeast"/>
    </w:pPr>
  </w:style>
  <w:style w:type="paragraph" w:customStyle="1" w:styleId="ColumnTitleTOC">
    <w:name w:val="ColumnTitle_TOC"/>
    <w:basedOn w:val="ColumnTitle"/>
    <w:rsid w:val="00F115D4"/>
    <w:pPr>
      <w:pBdr>
        <w:bottom w:val="single" w:sz="36" w:space="3" w:color="008080"/>
      </w:pBdr>
      <w:spacing w:after="0"/>
      <w:jc w:val="left"/>
    </w:pPr>
    <w:rPr>
      <w:b w:val="0"/>
      <w:color w:val="000000"/>
      <w:sz w:val="28"/>
      <w:szCs w:val="28"/>
    </w:rPr>
  </w:style>
  <w:style w:type="paragraph" w:customStyle="1" w:styleId="SubjectHeadingTOC">
    <w:name w:val="SubjectHeading_TOC"/>
    <w:basedOn w:val="Normal"/>
    <w:rsid w:val="000650AB"/>
    <w:pPr>
      <w:spacing w:before="60" w:after="60" w:line="230" w:lineRule="exact"/>
    </w:pPr>
    <w:rPr>
      <w:rFonts w:ascii="Arial" w:hAnsi="Arial"/>
      <w:b/>
      <w:i/>
      <w:color w:val="FFFFFF"/>
      <w:sz w:val="21"/>
      <w:szCs w:val="18"/>
      <w:lang w:val="en-GB"/>
    </w:rPr>
  </w:style>
  <w:style w:type="paragraph" w:customStyle="1" w:styleId="GAAuthors">
    <w:name w:val="GAAuthors"/>
    <w:basedOn w:val="Normal"/>
    <w:rsid w:val="000650AB"/>
    <w:pPr>
      <w:spacing w:before="360" w:after="60" w:line="220" w:lineRule="exact"/>
    </w:pPr>
    <w:rPr>
      <w:b/>
      <w:sz w:val="18"/>
      <w:szCs w:val="20"/>
      <w:lang w:val="en-GB"/>
    </w:rPr>
  </w:style>
  <w:style w:type="paragraph" w:customStyle="1" w:styleId="GACatchPhrase">
    <w:name w:val="GACatchPhrase"/>
    <w:basedOn w:val="Normal"/>
    <w:rsid w:val="000650AB"/>
    <w:pPr>
      <w:spacing w:before="40"/>
      <w:jc w:val="right"/>
    </w:pPr>
    <w:rPr>
      <w:rFonts w:cs="Arial"/>
      <w:b/>
      <w:color w:val="008080"/>
      <w:sz w:val="18"/>
      <w:szCs w:val="16"/>
      <w:lang w:val="en-GB"/>
    </w:rPr>
  </w:style>
  <w:style w:type="paragraph" w:customStyle="1" w:styleId="GAText">
    <w:name w:val="GAText"/>
    <w:basedOn w:val="Normal"/>
    <w:rsid w:val="000650AB"/>
    <w:pPr>
      <w:spacing w:before="120" w:line="220" w:lineRule="exact"/>
    </w:pPr>
    <w:rPr>
      <w:color w:val="000000"/>
      <w:sz w:val="18"/>
    </w:rPr>
  </w:style>
  <w:style w:type="paragraph" w:customStyle="1" w:styleId="GATitel">
    <w:name w:val="GATitel"/>
    <w:basedOn w:val="GAAuthors"/>
    <w:rsid w:val="000650AB"/>
    <w:pPr>
      <w:spacing w:before="240"/>
    </w:pPr>
    <w:rPr>
      <w:b w:val="0"/>
    </w:rPr>
  </w:style>
  <w:style w:type="paragraph" w:customStyle="1" w:styleId="GAKeywords">
    <w:name w:val="GAKeywords"/>
    <w:basedOn w:val="Keywords"/>
    <w:rsid w:val="000650AB"/>
    <w:pPr>
      <w:framePr w:hSpace="141" w:wrap="around" w:hAnchor="text" w:y="673"/>
      <w:spacing w:before="200" w:after="0" w:line="220" w:lineRule="exact"/>
    </w:pPr>
    <w:rPr>
      <w:rFonts w:ascii="Times New Roman" w:hAnsi="Times New Roman"/>
      <w:b/>
      <w:szCs w:val="24"/>
    </w:rPr>
  </w:style>
  <w:style w:type="paragraph" w:customStyle="1" w:styleId="MSType">
    <w:name w:val="MSType"/>
    <w:basedOn w:val="ColumnTitleTOC"/>
    <w:rsid w:val="000650AB"/>
    <w:pPr>
      <w:framePr w:hSpace="141" w:wrap="around" w:vAnchor="page" w:hAnchor="margin" w:y="1504"/>
      <w:pBdr>
        <w:bottom w:val="none" w:sz="0" w:space="0" w:color="auto"/>
      </w:pBdr>
      <w:spacing w:before="60" w:after="60"/>
    </w:pPr>
    <w:rPr>
      <w:rFonts w:ascii="Arial Black" w:hAnsi="Arial Black"/>
      <w:b/>
      <w:color w:val="FFFFFF"/>
      <w:spacing w:val="20"/>
      <w:sz w:val="20"/>
      <w:szCs w:val="20"/>
    </w:rPr>
  </w:style>
  <w:style w:type="paragraph" w:customStyle="1" w:styleId="PageNumbers">
    <w:name w:val="PageNumbers"/>
    <w:basedOn w:val="Normal"/>
    <w:rsid w:val="004B0B74"/>
    <w:pPr>
      <w:spacing w:before="230"/>
    </w:pPr>
    <w:rPr>
      <w:rFonts w:ascii="Arial" w:hAnsi="Arial"/>
      <w:b/>
      <w:i/>
      <w:sz w:val="17"/>
    </w:rPr>
  </w:style>
  <w:style w:type="paragraph" w:styleId="Header">
    <w:name w:val="header"/>
    <w:basedOn w:val="Normal"/>
    <w:link w:val="HeaderChar"/>
    <w:uiPriority w:val="99"/>
    <w:unhideWhenUsed/>
    <w:rsid w:val="001E2F1C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1E2F1C"/>
    <w:rPr>
      <w:sz w:val="24"/>
      <w:szCs w:val="24"/>
      <w:lang w:val="de-DE" w:eastAsia="ja-JP" w:bidi="ar-SA"/>
    </w:rPr>
  </w:style>
  <w:style w:type="paragraph" w:styleId="Footer">
    <w:name w:val="footer"/>
    <w:basedOn w:val="Normal"/>
    <w:link w:val="FooterChar"/>
    <w:uiPriority w:val="99"/>
    <w:unhideWhenUsed/>
    <w:rsid w:val="001E2F1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1E2F1C"/>
    <w:rPr>
      <w:sz w:val="24"/>
      <w:szCs w:val="24"/>
      <w:lang w:val="de-DE"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426"/>
    <w:rPr>
      <w:rFonts w:ascii="Tahoma" w:hAnsi="Tahoma" w:cs="Tahoma"/>
      <w:sz w:val="16"/>
      <w:szCs w:val="16"/>
      <w:lang w:val="de-DE" w:eastAsia="ja-JP" w:bidi="ar-SA"/>
    </w:rPr>
  </w:style>
  <w:style w:type="paragraph" w:customStyle="1" w:styleId="FormatvorlageHistoryObenEinfacheeinfarbigeLinie05PtZeilenbr">
    <w:name w:val="Formatvorlage History + Oben: (Einfache einfarbige Linie  05 Pt. Zeilenbr..."/>
    <w:basedOn w:val="History"/>
    <w:qFormat/>
    <w:rsid w:val="00955B6D"/>
    <w:pPr>
      <w:pBdr>
        <w:top w:val="single" w:sz="4" w:space="14" w:color="000000"/>
      </w:pBdr>
    </w:pPr>
    <w:rPr>
      <w:szCs w:val="20"/>
    </w:rPr>
  </w:style>
  <w:style w:type="paragraph" w:customStyle="1" w:styleId="FormatvorlageP1withoutIndendationVor36Pt">
    <w:name w:val="Formatvorlage P1_without_Indendation + Vor:  36 Pt."/>
    <w:basedOn w:val="P1withoutIndendation"/>
    <w:qFormat/>
    <w:rsid w:val="00EB27E9"/>
    <w:pPr>
      <w:spacing w:before="720"/>
    </w:pPr>
    <w:rPr>
      <w:szCs w:val="20"/>
    </w:rPr>
  </w:style>
  <w:style w:type="paragraph" w:customStyle="1" w:styleId="TableSpacer">
    <w:name w:val="TableSpacer"/>
    <w:basedOn w:val="Normal"/>
    <w:qFormat/>
    <w:rsid w:val="00C8278A"/>
    <w:pPr>
      <w:spacing w:before="360"/>
    </w:pPr>
    <w:rPr>
      <w:rFonts w:ascii="Arial" w:hAnsi="Arial"/>
      <w:noProof/>
      <w:sz w:val="14"/>
    </w:rPr>
  </w:style>
  <w:style w:type="paragraph" w:customStyle="1" w:styleId="Abstract">
    <w:name w:val="Abstract"/>
    <w:basedOn w:val="Normal"/>
    <w:qFormat/>
    <w:rsid w:val="002D5B99"/>
    <w:pPr>
      <w:spacing w:after="360" w:line="225" w:lineRule="exact"/>
      <w:jc w:val="both"/>
    </w:pPr>
    <w:rPr>
      <w:rFonts w:ascii="Arial" w:hAnsi="Arial"/>
      <w:sz w:val="16"/>
      <w:szCs w:val="20"/>
      <w:lang w:val="en-GB"/>
    </w:rPr>
  </w:style>
  <w:style w:type="paragraph" w:customStyle="1" w:styleId="P1">
    <w:name w:val="P1"/>
    <w:basedOn w:val="P1withoutIndendation"/>
    <w:qFormat/>
    <w:rsid w:val="009A3E4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151539"/>
    <w:rPr>
      <w:color w:val="0563C1" w:themeColor="hyperlink"/>
      <w:u w:val="single"/>
    </w:rPr>
  </w:style>
  <w:style w:type="paragraph" w:customStyle="1" w:styleId="RSCF02FootnotestoTitleAuthors">
    <w:name w:val="RSC F02 Footnotes to Title/Authors"/>
    <w:basedOn w:val="Normal"/>
    <w:link w:val="RSCF02FootnotestoTitleAuthorsChar"/>
    <w:qFormat/>
    <w:rsid w:val="00BD6CB4"/>
    <w:pPr>
      <w:tabs>
        <w:tab w:val="left" w:pos="284"/>
      </w:tabs>
      <w:suppressOverlap/>
      <w:jc w:val="both"/>
    </w:pPr>
    <w:rPr>
      <w:rFonts w:asciiTheme="minorHAnsi" w:eastAsiaTheme="minorHAnsi" w:hAnsiTheme="minorHAnsi"/>
      <w:w w:val="105"/>
      <w:sz w:val="14"/>
      <w:szCs w:val="14"/>
      <w:lang w:val="en-GB" w:eastAsia="en-US"/>
    </w:rPr>
  </w:style>
  <w:style w:type="character" w:customStyle="1" w:styleId="RSCF02FootnotestoTitleAuthorsChar">
    <w:name w:val="RSC F02 Footnotes to Title/Authors Char"/>
    <w:basedOn w:val="DefaultParagraphFont"/>
    <w:link w:val="RSCF02FootnotestoTitleAuthors"/>
    <w:rsid w:val="00BD6CB4"/>
    <w:rPr>
      <w:rFonts w:asciiTheme="minorHAnsi" w:eastAsiaTheme="minorHAnsi" w:hAnsiTheme="minorHAnsi"/>
      <w:w w:val="105"/>
      <w:sz w:val="14"/>
      <w:szCs w:val="14"/>
      <w:lang w:eastAsia="en-US"/>
    </w:rPr>
  </w:style>
  <w:style w:type="paragraph" w:styleId="Revision">
    <w:name w:val="Revision"/>
    <w:hidden/>
    <w:uiPriority w:val="99"/>
    <w:semiHidden/>
    <w:rsid w:val="0010751C"/>
    <w:rPr>
      <w:sz w:val="24"/>
      <w:szCs w:val="24"/>
      <w:lang w:val="de-DE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07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5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51C"/>
    <w:rPr>
      <w:lang w:val="de-DE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51C"/>
    <w:rPr>
      <w:b/>
      <w:bCs/>
      <w:lang w:val="de-DE" w:eastAsia="ja-JP"/>
    </w:rPr>
  </w:style>
  <w:style w:type="table" w:styleId="TableGrid">
    <w:name w:val="Table Grid"/>
    <w:basedOn w:val="TableNormal"/>
    <w:uiPriority w:val="59"/>
    <w:rsid w:val="003F5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73EC5"/>
    <w:rPr>
      <w:color w:val="605E5C"/>
      <w:shd w:val="clear" w:color="auto" w:fill="E1DFDD"/>
    </w:rPr>
  </w:style>
  <w:style w:type="paragraph" w:customStyle="1" w:styleId="pf0">
    <w:name w:val="pf0"/>
    <w:basedOn w:val="Normal"/>
    <w:rsid w:val="00D6694B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cf01">
    <w:name w:val="cf01"/>
    <w:basedOn w:val="DefaultParagraphFont"/>
    <w:rsid w:val="00D6694B"/>
    <w:rPr>
      <w:rFonts w:ascii="Segoe UI" w:hAnsi="Segoe UI" w:cs="Segoe UI" w:hint="default"/>
      <w:color w:val="222222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D6694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09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699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1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88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971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9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55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1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780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8262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6921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0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2326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012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398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7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250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0375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7847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244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791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689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328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742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9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510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908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6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817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501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425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18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4027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10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279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0005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0282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046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299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2133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399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243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930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5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295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5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161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4999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255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013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58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890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785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7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82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0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757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293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0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3869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1708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79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866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483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15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9097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8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699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13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8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452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040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70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footer" Target="footer1.xm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\AppData\Local\Temp\Temp1_wvch_research_article.zip\research_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BF173-6F8D-42BA-8BC2-804FBE56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research_article</Template>
  <TotalTime>188</TotalTime>
  <Pages>6</Pages>
  <Words>3630</Words>
  <Characters>18518</Characters>
  <Application>Microsoft Office Word</Application>
  <DocSecurity>0</DocSecurity>
  <Lines>154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((Title))</vt:lpstr>
      <vt:lpstr>((Title))</vt:lpstr>
    </vt:vector>
  </TitlesOfParts>
  <Company>WILEY-VCH Verlag GmbH &amp; Co. KGaA</Company>
  <LinksUpToDate>false</LinksUpToDate>
  <CharactersWithSpaces>22104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((Title))</dc:title>
  <dc:subject/>
  <dc:creator>Will</dc:creator>
  <cp:keywords/>
  <cp:lastModifiedBy>William Unsworth</cp:lastModifiedBy>
  <cp:revision>4</cp:revision>
  <cp:lastPrinted>2019-06-03T07:19:00Z</cp:lastPrinted>
  <dcterms:created xsi:type="dcterms:W3CDTF">2025-09-19T08:09:00Z</dcterms:created>
  <dcterms:modified xsi:type="dcterms:W3CDTF">2025-09-19T11:16:00Z</dcterms:modified>
</cp:coreProperties>
</file>