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57FB1" w14:textId="77777777" w:rsidR="00240C71" w:rsidRPr="00726D95" w:rsidRDefault="00240C71" w:rsidP="007C6CEA">
      <w:pPr>
        <w:spacing w:line="276" w:lineRule="auto"/>
        <w:jc w:val="center"/>
        <w:rPr>
          <w:rFonts w:cs="Times New Roman"/>
          <w:b/>
          <w:bCs/>
          <w:sz w:val="32"/>
          <w:szCs w:val="32"/>
        </w:rPr>
      </w:pPr>
    </w:p>
    <w:p w14:paraId="1D495E7C" w14:textId="2F44C8CB" w:rsidR="00F7060F" w:rsidRPr="00004765" w:rsidRDefault="00337F30" w:rsidP="00004765">
      <w:pPr>
        <w:pStyle w:val="Title"/>
      </w:pPr>
      <w:r>
        <w:t>Side-stepping</w:t>
      </w:r>
      <w:r w:rsidR="00E82996">
        <w:t xml:space="preserve"> international law on the sly: The secret severing of the EU Settlement Scheme from the </w:t>
      </w:r>
      <w:r w:rsidR="00000D1B">
        <w:t>Withdrawal Agreement</w:t>
      </w:r>
    </w:p>
    <w:p w14:paraId="1F797653" w14:textId="77777777" w:rsidR="00726D95" w:rsidRDefault="00726D95" w:rsidP="00726D95">
      <w:pPr>
        <w:spacing w:line="276" w:lineRule="auto"/>
        <w:rPr>
          <w:rFonts w:cs="Times New Roman"/>
          <w:b/>
          <w:bCs/>
        </w:rPr>
      </w:pPr>
    </w:p>
    <w:p w14:paraId="1ED8E8B9" w14:textId="0727A09A" w:rsidR="007C6CEA" w:rsidRDefault="00000D1B" w:rsidP="00EE07F2">
      <w:pPr>
        <w:spacing w:line="276" w:lineRule="auto"/>
        <w:jc w:val="center"/>
        <w:rPr>
          <w:rFonts w:cs="Times New Roman"/>
          <w:sz w:val="28"/>
          <w:szCs w:val="28"/>
        </w:rPr>
      </w:pPr>
      <w:r>
        <w:rPr>
          <w:rFonts w:cs="Times New Roman"/>
          <w:sz w:val="28"/>
          <w:szCs w:val="28"/>
        </w:rPr>
        <w:t>Charlotte O’Brien</w:t>
      </w:r>
      <w:r w:rsidR="00726D95" w:rsidRPr="00726D95">
        <w:rPr>
          <w:rStyle w:val="FootnoteReference"/>
          <w:rFonts w:cs="Times New Roman"/>
          <w:sz w:val="28"/>
          <w:szCs w:val="28"/>
        </w:rPr>
        <w:footnoteReference w:id="2"/>
      </w:r>
      <w:r>
        <w:rPr>
          <w:rFonts w:cs="Times New Roman"/>
          <w:sz w:val="28"/>
          <w:szCs w:val="28"/>
        </w:rPr>
        <w:t xml:space="preserve"> and</w:t>
      </w:r>
      <w:r w:rsidR="00726D95" w:rsidRPr="00726D95">
        <w:rPr>
          <w:rFonts w:cs="Times New Roman"/>
          <w:sz w:val="28"/>
          <w:szCs w:val="28"/>
        </w:rPr>
        <w:t xml:space="preserve"> </w:t>
      </w:r>
      <w:r>
        <w:rPr>
          <w:rFonts w:cs="Times New Roman"/>
          <w:sz w:val="28"/>
          <w:szCs w:val="28"/>
        </w:rPr>
        <w:t>Alice Welsh</w:t>
      </w:r>
      <w:r w:rsidR="00726D95" w:rsidRPr="00726D95">
        <w:rPr>
          <w:rStyle w:val="FootnoteReference"/>
          <w:rFonts w:cs="Times New Roman"/>
          <w:sz w:val="28"/>
          <w:szCs w:val="28"/>
        </w:rPr>
        <w:footnoteReference w:id="3"/>
      </w:r>
    </w:p>
    <w:p w14:paraId="06B7A257" w14:textId="77777777" w:rsidR="00EE07F2" w:rsidRPr="00EE07F2" w:rsidRDefault="00EE07F2" w:rsidP="00EE07F2">
      <w:pPr>
        <w:spacing w:line="276" w:lineRule="auto"/>
        <w:jc w:val="center"/>
        <w:rPr>
          <w:rFonts w:cs="Times New Roman"/>
          <w:sz w:val="28"/>
          <w:szCs w:val="28"/>
        </w:rPr>
      </w:pPr>
    </w:p>
    <w:p w14:paraId="3AFEEF7E" w14:textId="3C970C10" w:rsidR="00240C71" w:rsidRPr="00207844" w:rsidRDefault="00C73CD7" w:rsidP="00C73CD7">
      <w:pPr>
        <w:pStyle w:val="Heading1"/>
      </w:pPr>
      <w:r w:rsidRPr="00207844">
        <w:t>I</w:t>
      </w:r>
      <w:r>
        <w:t>NTRODUCTION</w:t>
      </w:r>
    </w:p>
    <w:p w14:paraId="10C0A998" w14:textId="2E222017" w:rsidR="00582A9F" w:rsidRDefault="00582A9F" w:rsidP="00B32C6B">
      <w:pPr>
        <w:ind w:firstLine="720"/>
        <w:rPr>
          <w:rFonts w:cs="Times New Roman"/>
        </w:rPr>
      </w:pPr>
      <w:r>
        <w:rPr>
          <w:rFonts w:cs="Times New Roman"/>
        </w:rPr>
        <w:t xml:space="preserve">The creation of the EU Settlement Scheme was a massive, unprecedented operation, to register millions of EU nationals and family members living in the UK, in a short space of time.   </w:t>
      </w:r>
    </w:p>
    <w:p w14:paraId="3A4D534D" w14:textId="135CD647" w:rsidR="00090BBE" w:rsidRDefault="00056584" w:rsidP="00DE7F71">
      <w:pPr>
        <w:spacing w:after="120"/>
        <w:rPr>
          <w:rFonts w:cs="Times New Roman"/>
        </w:rPr>
      </w:pPr>
      <w:r>
        <w:rPr>
          <w:rFonts w:cs="Times New Roman"/>
        </w:rPr>
        <w:t xml:space="preserve">The </w:t>
      </w:r>
      <w:r w:rsidR="00582A9F">
        <w:rPr>
          <w:rFonts w:cs="Times New Roman"/>
        </w:rPr>
        <w:t xml:space="preserve">scheme implemented the UK’s obligations under the Withdrawal Agreements </w:t>
      </w:r>
      <w:r>
        <w:rPr>
          <w:rFonts w:cs="Times New Roman"/>
        </w:rPr>
        <w:t xml:space="preserve">to </w:t>
      </w:r>
      <w:r w:rsidR="00582A9F">
        <w:rPr>
          <w:rFonts w:cs="Times New Roman"/>
        </w:rPr>
        <w:t xml:space="preserve">protect rights </w:t>
      </w:r>
      <w:r>
        <w:rPr>
          <w:rFonts w:cs="Times New Roman"/>
        </w:rPr>
        <w:t>after Brexit. However,</w:t>
      </w:r>
      <w:r w:rsidR="00867F76">
        <w:rPr>
          <w:rFonts w:cs="Times New Roman"/>
        </w:rPr>
        <w:t xml:space="preserve"> </w:t>
      </w:r>
      <w:proofErr w:type="gramStart"/>
      <w:r w:rsidR="00867F76">
        <w:rPr>
          <w:rFonts w:cs="Times New Roman"/>
        </w:rPr>
        <w:t xml:space="preserve">in </w:t>
      </w:r>
      <w:r w:rsidR="00582A9F">
        <w:rPr>
          <w:rFonts w:cs="Times New Roman"/>
        </w:rPr>
        <w:t xml:space="preserve">order </w:t>
      </w:r>
      <w:r w:rsidR="00867F76">
        <w:rPr>
          <w:rFonts w:cs="Times New Roman"/>
        </w:rPr>
        <w:t>to</w:t>
      </w:r>
      <w:proofErr w:type="gramEnd"/>
      <w:r w:rsidR="00867F76">
        <w:rPr>
          <w:rFonts w:cs="Times New Roman"/>
        </w:rPr>
        <w:t xml:space="preserve"> avoid </w:t>
      </w:r>
      <w:r w:rsidR="00582A9F">
        <w:rPr>
          <w:rFonts w:cs="Times New Roman"/>
        </w:rPr>
        <w:t xml:space="preserve">making </w:t>
      </w:r>
      <w:r w:rsidR="00867F76">
        <w:rPr>
          <w:rFonts w:cs="Times New Roman"/>
        </w:rPr>
        <w:t xml:space="preserve">welfare payments </w:t>
      </w:r>
      <w:r w:rsidR="00582A9F">
        <w:rPr>
          <w:rFonts w:cs="Times New Roman"/>
        </w:rPr>
        <w:t>to</w:t>
      </w:r>
      <w:r w:rsidR="00867F76">
        <w:rPr>
          <w:rFonts w:cs="Times New Roman"/>
        </w:rPr>
        <w:t xml:space="preserve"> a small cohort </w:t>
      </w:r>
      <w:r w:rsidR="00582A9F">
        <w:rPr>
          <w:rFonts w:cs="Times New Roman"/>
        </w:rPr>
        <w:t xml:space="preserve">of </w:t>
      </w:r>
      <w:r w:rsidR="00867F76">
        <w:rPr>
          <w:rFonts w:cs="Times New Roman"/>
        </w:rPr>
        <w:t>EEA nationals,</w:t>
      </w:r>
      <w:r>
        <w:rPr>
          <w:rFonts w:cs="Times New Roman"/>
        </w:rPr>
        <w:t xml:space="preserve"> </w:t>
      </w:r>
      <w:r w:rsidR="0069099C" w:rsidRPr="0069099C">
        <w:rPr>
          <w:rFonts w:cs="Times New Roman"/>
        </w:rPr>
        <w:t xml:space="preserve">UK authorities have been arguing that EUSS status is not in itself proof that someone has Withdrawal Agreement </w:t>
      </w:r>
      <w:r w:rsidR="00413EFA">
        <w:rPr>
          <w:rFonts w:cs="Times New Roman"/>
        </w:rPr>
        <w:t xml:space="preserve">residence </w:t>
      </w:r>
      <w:r w:rsidR="0069099C" w:rsidRPr="0069099C">
        <w:rPr>
          <w:rFonts w:cs="Times New Roman"/>
        </w:rPr>
        <w:t>rights</w:t>
      </w:r>
      <w:r w:rsidR="00582A9F">
        <w:rPr>
          <w:rFonts w:cs="Times New Roman"/>
        </w:rPr>
        <w:t>,</w:t>
      </w:r>
      <w:r w:rsidR="004F44B9">
        <w:rPr>
          <w:rStyle w:val="FootnoteReference"/>
          <w:rFonts w:cs="Times New Roman"/>
        </w:rPr>
        <w:footnoteReference w:id="4"/>
      </w:r>
      <w:r w:rsidR="00582A9F">
        <w:rPr>
          <w:rFonts w:cs="Times New Roman"/>
        </w:rPr>
        <w:t xml:space="preserve"> in effect severing the link between the two schemes.</w:t>
      </w:r>
      <w:r w:rsidR="0069099C" w:rsidRPr="0069099C">
        <w:rPr>
          <w:rFonts w:cs="Times New Roman"/>
        </w:rPr>
        <w:t xml:space="preserve"> This means that none of the 6 million+ people registered with the EUSS know</w:t>
      </w:r>
      <w:r w:rsidR="00090BBE">
        <w:rPr>
          <w:rFonts w:cs="Times New Roman"/>
        </w:rPr>
        <w:t>s</w:t>
      </w:r>
      <w:r w:rsidR="0069099C" w:rsidRPr="0069099C">
        <w:rPr>
          <w:rFonts w:cs="Times New Roman"/>
        </w:rPr>
        <w:t xml:space="preserve"> </w:t>
      </w:r>
      <w:r w:rsidR="000263FA" w:rsidRPr="0069099C">
        <w:rPr>
          <w:rFonts w:cs="Times New Roman"/>
        </w:rPr>
        <w:t>whether</w:t>
      </w:r>
      <w:r w:rsidR="0069099C" w:rsidRPr="0069099C">
        <w:rPr>
          <w:rFonts w:cs="Times New Roman"/>
        </w:rPr>
        <w:t xml:space="preserve"> they are </w:t>
      </w:r>
      <w:r w:rsidR="008F6D07">
        <w:rPr>
          <w:rFonts w:cs="Times New Roman"/>
        </w:rPr>
        <w:t>resi</w:t>
      </w:r>
      <w:r w:rsidR="001A1180">
        <w:rPr>
          <w:rFonts w:cs="Times New Roman"/>
        </w:rPr>
        <w:t xml:space="preserve">ding </w:t>
      </w:r>
      <w:proofErr w:type="gramStart"/>
      <w:r w:rsidR="001A1180">
        <w:rPr>
          <w:rFonts w:cs="Times New Roman"/>
        </w:rPr>
        <w:t>on the basis of</w:t>
      </w:r>
      <w:proofErr w:type="gramEnd"/>
      <w:r w:rsidR="0069099C" w:rsidRPr="0069099C">
        <w:rPr>
          <w:rFonts w:cs="Times New Roman"/>
        </w:rPr>
        <w:t xml:space="preserve"> the Agreement</w:t>
      </w:r>
      <w:r w:rsidR="00867F76">
        <w:rPr>
          <w:rFonts w:cs="Times New Roman"/>
        </w:rPr>
        <w:t xml:space="preserve"> or not</w:t>
      </w:r>
      <w:r w:rsidR="00090BBE">
        <w:rPr>
          <w:rFonts w:cs="Times New Roman"/>
        </w:rPr>
        <w:t xml:space="preserve"> – but they have been led to believe that they are. They do not even know that they do not know. </w:t>
      </w:r>
    </w:p>
    <w:p w14:paraId="23483600" w14:textId="39AB103C" w:rsidR="00DE7F71" w:rsidRDefault="008C3DDB" w:rsidP="00DE7F71">
      <w:pPr>
        <w:spacing w:after="120"/>
        <w:rPr>
          <w:rFonts w:cs="Times New Roman"/>
        </w:rPr>
      </w:pPr>
      <w:r>
        <w:rPr>
          <w:rFonts w:cs="Times New Roman"/>
        </w:rPr>
        <w:t>T</w:t>
      </w:r>
      <w:r w:rsidR="00867F76">
        <w:rPr>
          <w:rFonts w:cs="Times New Roman"/>
        </w:rPr>
        <w:t xml:space="preserve">his </w:t>
      </w:r>
      <w:r>
        <w:rPr>
          <w:rFonts w:cs="Times New Roman"/>
        </w:rPr>
        <w:t>means, that instead of providing documentary evidence of someone’s WA status, and effectively passporting the holder to WA rights, the EUSS offers profound uncertainty not only for whether someone has</w:t>
      </w:r>
      <w:r w:rsidR="00867F76">
        <w:rPr>
          <w:rFonts w:cs="Times New Roman"/>
        </w:rPr>
        <w:t xml:space="preserve"> access to equal treatment rights</w:t>
      </w:r>
      <w:r>
        <w:rPr>
          <w:rFonts w:cs="Times New Roman"/>
        </w:rPr>
        <w:t xml:space="preserve">, but also </w:t>
      </w:r>
      <w:r w:rsidR="00867F76">
        <w:rPr>
          <w:rFonts w:cs="Times New Roman"/>
        </w:rPr>
        <w:t xml:space="preserve">whether someone with EUSS status even falls into the scope of the WA at all. </w:t>
      </w:r>
      <w:r>
        <w:rPr>
          <w:rFonts w:cs="Times New Roman"/>
        </w:rPr>
        <w:t xml:space="preserve">This means that the UK has failed to discharge </w:t>
      </w:r>
      <w:r>
        <w:rPr>
          <w:rFonts w:cs="Times New Roman"/>
        </w:rPr>
        <w:lastRenderedPageBreak/>
        <w:t xml:space="preserve">its obligations to provide clear evidence of WA residence </w:t>
      </w:r>
      <w:proofErr w:type="gramStart"/>
      <w:r>
        <w:rPr>
          <w:rFonts w:cs="Times New Roman"/>
        </w:rPr>
        <w:t>status, and</w:t>
      </w:r>
      <w:proofErr w:type="gramEnd"/>
      <w:r>
        <w:rPr>
          <w:rFonts w:cs="Times New Roman"/>
        </w:rPr>
        <w:t xml:space="preserve"> also means that it is quietly stoking up</w:t>
      </w:r>
      <w:r w:rsidR="00D13671">
        <w:rPr>
          <w:rFonts w:cs="Times New Roman"/>
        </w:rPr>
        <w:t xml:space="preserve"> </w:t>
      </w:r>
      <w:r w:rsidR="00D13671" w:rsidRPr="00B86CAC">
        <w:rPr>
          <w:rFonts w:cs="Times New Roman"/>
        </w:rPr>
        <w:t xml:space="preserve">a </w:t>
      </w:r>
      <w:r w:rsidR="006D6EC2" w:rsidRPr="00B86CAC">
        <w:rPr>
          <w:rFonts w:cs="Times New Roman"/>
        </w:rPr>
        <w:t>route to</w:t>
      </w:r>
      <w:r>
        <w:rPr>
          <w:rFonts w:cs="Times New Roman"/>
        </w:rPr>
        <w:t xml:space="preserve"> future mass disentitlement. </w:t>
      </w:r>
    </w:p>
    <w:p w14:paraId="23EC0CCC" w14:textId="67304DD8" w:rsidR="00DE7F71" w:rsidRDefault="006D1E82" w:rsidP="00337F30">
      <w:pPr>
        <w:spacing w:after="120"/>
        <w:rPr>
          <w:rFonts w:cs="Times New Roman"/>
        </w:rPr>
      </w:pPr>
      <w:r>
        <w:rPr>
          <w:rFonts w:cs="Times New Roman"/>
        </w:rPr>
        <w:t xml:space="preserve">The Withdrawal Agreement has long-lasting consequences. It supposedly protects the rights of </w:t>
      </w:r>
      <w:r w:rsidR="00155288">
        <w:rPr>
          <w:rFonts w:cs="Times New Roman"/>
        </w:rPr>
        <w:t>EU citizens</w:t>
      </w:r>
      <w:r w:rsidR="00867F76">
        <w:rPr>
          <w:rFonts w:cs="Times New Roman"/>
        </w:rPr>
        <w:t xml:space="preserve"> </w:t>
      </w:r>
      <w:r>
        <w:rPr>
          <w:rFonts w:cs="Times New Roman"/>
        </w:rPr>
        <w:t>in the UK (</w:t>
      </w:r>
      <w:r w:rsidR="00867F76">
        <w:rPr>
          <w:rFonts w:cs="Times New Roman"/>
        </w:rPr>
        <w:t>and their family members</w:t>
      </w:r>
      <w:r>
        <w:rPr>
          <w:rFonts w:cs="Times New Roman"/>
        </w:rPr>
        <w:t>)</w:t>
      </w:r>
      <w:r w:rsidR="00867F76">
        <w:rPr>
          <w:rFonts w:cs="Times New Roman"/>
        </w:rPr>
        <w:t xml:space="preserve"> for their lifetimes, and the</w:t>
      </w:r>
      <w:r>
        <w:rPr>
          <w:rFonts w:cs="Times New Roman"/>
        </w:rPr>
        <w:t xml:space="preserve"> lifetimes of their children. But the very residence status which was meant to give real-world effect to the WA has been casually severed from the Agreement. </w:t>
      </w:r>
      <w:r w:rsidR="00155288">
        <w:rPr>
          <w:rFonts w:cs="Times New Roman"/>
        </w:rPr>
        <w:t xml:space="preserve">There are three main drivers for this problem: </w:t>
      </w:r>
      <w:r>
        <w:rPr>
          <w:rFonts w:cs="Times New Roman"/>
        </w:rPr>
        <w:t>(</w:t>
      </w:r>
      <w:proofErr w:type="spellStart"/>
      <w:r w:rsidR="00155288" w:rsidRPr="00BE62FB">
        <w:rPr>
          <w:rFonts w:cs="Times New Roman"/>
        </w:rPr>
        <w:t>i</w:t>
      </w:r>
      <w:proofErr w:type="spellEnd"/>
      <w:r>
        <w:rPr>
          <w:rFonts w:cs="Times New Roman"/>
        </w:rPr>
        <w:t>)</w:t>
      </w:r>
      <w:r w:rsidR="00155288" w:rsidRPr="00BE62FB">
        <w:rPr>
          <w:rFonts w:cs="Times New Roman"/>
        </w:rPr>
        <w:t xml:space="preserve"> </w:t>
      </w:r>
      <w:r>
        <w:rPr>
          <w:rFonts w:cs="Times New Roman"/>
        </w:rPr>
        <w:t>t</w:t>
      </w:r>
      <w:r w:rsidR="00155288" w:rsidRPr="00BE62FB">
        <w:rPr>
          <w:rFonts w:cs="Times New Roman"/>
        </w:rPr>
        <w:t xml:space="preserve">he EUSS and the </w:t>
      </w:r>
      <w:r w:rsidR="00D36D2D">
        <w:rPr>
          <w:rFonts w:cs="Times New Roman"/>
        </w:rPr>
        <w:t>WA</w:t>
      </w:r>
      <w:r w:rsidR="00155288" w:rsidRPr="00BE62FB">
        <w:rPr>
          <w:rFonts w:cs="Times New Roman"/>
        </w:rPr>
        <w:t xml:space="preserve"> contain different conditions</w:t>
      </w:r>
      <w:r>
        <w:rPr>
          <w:rFonts w:cs="Times New Roman"/>
        </w:rPr>
        <w:t>; (</w:t>
      </w:r>
      <w:r w:rsidR="00155288" w:rsidRPr="00BE62FB">
        <w:rPr>
          <w:rFonts w:cs="Times New Roman"/>
        </w:rPr>
        <w:t>ii</w:t>
      </w:r>
      <w:r>
        <w:rPr>
          <w:rFonts w:cs="Times New Roman"/>
        </w:rPr>
        <w:t>) t</w:t>
      </w:r>
      <w:r w:rsidR="00155288" w:rsidRPr="00BE62FB">
        <w:rPr>
          <w:rFonts w:cs="Times New Roman"/>
        </w:rPr>
        <w:t>he EUSS introduces, as permitted by the WA, a constitutive scheme, which is different to pre-Brexit schemes, and has legal consequences that neither the EU nor the UK government have properly addressed</w:t>
      </w:r>
      <w:r>
        <w:rPr>
          <w:rFonts w:cs="Times New Roman"/>
        </w:rPr>
        <w:t>;</w:t>
      </w:r>
      <w:r w:rsidR="00155288" w:rsidRPr="00BE62FB">
        <w:rPr>
          <w:rFonts w:cs="Times New Roman"/>
        </w:rPr>
        <w:t xml:space="preserve"> and </w:t>
      </w:r>
      <w:r>
        <w:rPr>
          <w:rFonts w:cs="Times New Roman"/>
        </w:rPr>
        <w:t>(</w:t>
      </w:r>
      <w:r w:rsidR="00155288" w:rsidRPr="00BE62FB">
        <w:rPr>
          <w:rFonts w:cs="Times New Roman"/>
        </w:rPr>
        <w:t>iii</w:t>
      </w:r>
      <w:r>
        <w:rPr>
          <w:rFonts w:cs="Times New Roman"/>
        </w:rPr>
        <w:t>)</w:t>
      </w:r>
      <w:r w:rsidR="00155288" w:rsidRPr="00BE62FB">
        <w:rPr>
          <w:rFonts w:cs="Times New Roman"/>
        </w:rPr>
        <w:t xml:space="preserve"> </w:t>
      </w:r>
      <w:r>
        <w:rPr>
          <w:rFonts w:cs="Times New Roman"/>
        </w:rPr>
        <w:t>t</w:t>
      </w:r>
      <w:r w:rsidR="00155288" w:rsidRPr="00BE62FB">
        <w:rPr>
          <w:rFonts w:cs="Times New Roman"/>
        </w:rPr>
        <w:t>he UK government wants to rely on its pre-Brexit</w:t>
      </w:r>
      <w:r w:rsidR="007E16DA">
        <w:rPr>
          <w:rFonts w:cs="Times New Roman"/>
        </w:rPr>
        <w:t xml:space="preserve"> ability</w:t>
      </w:r>
      <w:r w:rsidR="00155288" w:rsidRPr="00BE62FB">
        <w:rPr>
          <w:rFonts w:cs="Times New Roman"/>
        </w:rPr>
        <w:t xml:space="preserve"> to tolerate the presence of some EU nationals without according them equal treatment rights to benefits.</w:t>
      </w:r>
      <w:r w:rsidR="00BE62FB">
        <w:rPr>
          <w:rFonts w:cs="Times New Roman"/>
        </w:rPr>
        <w:t xml:space="preserve"> </w:t>
      </w:r>
    </w:p>
    <w:p w14:paraId="06E14A5E" w14:textId="7BB759F8" w:rsidR="00DE7F71" w:rsidRDefault="00CA79BB" w:rsidP="00DE7F71">
      <w:pPr>
        <w:tabs>
          <w:tab w:val="left" w:pos="5234"/>
        </w:tabs>
        <w:spacing w:after="120"/>
        <w:rPr>
          <w:rFonts w:cs="Times New Roman"/>
        </w:rPr>
      </w:pPr>
      <w:r>
        <w:rPr>
          <w:rFonts w:cs="Times New Roman"/>
        </w:rPr>
        <w:t>In the next section, t</w:t>
      </w:r>
      <w:r w:rsidR="00A7353F">
        <w:rPr>
          <w:rFonts w:cs="Times New Roman"/>
        </w:rPr>
        <w:t>h</w:t>
      </w:r>
      <w:r w:rsidR="006D1E82">
        <w:rPr>
          <w:rFonts w:cs="Times New Roman"/>
        </w:rPr>
        <w:t>is article analyses</w:t>
      </w:r>
      <w:r>
        <w:rPr>
          <w:rFonts w:cs="Times New Roman"/>
        </w:rPr>
        <w:t xml:space="preserve"> </w:t>
      </w:r>
      <w:r w:rsidR="00A7353F">
        <w:rPr>
          <w:rFonts w:cs="Times New Roman"/>
        </w:rPr>
        <w:t xml:space="preserve">the policy and legal journey </w:t>
      </w:r>
      <w:r w:rsidR="006D1E82">
        <w:rPr>
          <w:rFonts w:cs="Times New Roman"/>
        </w:rPr>
        <w:t>leading</w:t>
      </w:r>
      <w:r w:rsidR="00DA792F">
        <w:rPr>
          <w:rFonts w:cs="Times New Roman"/>
        </w:rPr>
        <w:t xml:space="preserve"> to the current</w:t>
      </w:r>
      <w:r w:rsidR="00517F70">
        <w:rPr>
          <w:rFonts w:cs="Times New Roman"/>
        </w:rPr>
        <w:t xml:space="preserve"> </w:t>
      </w:r>
      <w:r w:rsidR="004C5E34">
        <w:rPr>
          <w:rFonts w:cs="Times New Roman"/>
        </w:rPr>
        <w:t xml:space="preserve">divergence of rights, </w:t>
      </w:r>
      <w:r w:rsidR="00B32C6B">
        <w:rPr>
          <w:rFonts w:cs="Times New Roman"/>
        </w:rPr>
        <w:t>identifying</w:t>
      </w:r>
      <w:r w:rsidR="00517F70">
        <w:rPr>
          <w:rFonts w:cs="Times New Roman"/>
        </w:rPr>
        <w:t xml:space="preserve"> where </w:t>
      </w:r>
      <w:r w:rsidR="001423D1">
        <w:rPr>
          <w:rFonts w:cs="Times New Roman"/>
        </w:rPr>
        <w:t>short-term</w:t>
      </w:r>
      <w:r w:rsidR="003961FA">
        <w:rPr>
          <w:rFonts w:cs="Times New Roman"/>
        </w:rPr>
        <w:t>, administrative</w:t>
      </w:r>
      <w:r w:rsidR="001423D1">
        <w:rPr>
          <w:rFonts w:cs="Times New Roman"/>
        </w:rPr>
        <w:t xml:space="preserve"> fixes </w:t>
      </w:r>
      <w:r w:rsidR="003961FA">
        <w:rPr>
          <w:rFonts w:cs="Times New Roman"/>
        </w:rPr>
        <w:t xml:space="preserve">resulted in the EUSS and WA having two different sets of conditions. </w:t>
      </w:r>
      <w:r>
        <w:rPr>
          <w:rFonts w:cs="Times New Roman"/>
        </w:rPr>
        <w:t>Section two</w:t>
      </w:r>
      <w:r w:rsidR="003961FA">
        <w:rPr>
          <w:rFonts w:cs="Times New Roman"/>
        </w:rPr>
        <w:t xml:space="preserve"> </w:t>
      </w:r>
      <w:r w:rsidR="00DE7F71">
        <w:rPr>
          <w:rFonts w:cs="Times New Roman"/>
        </w:rPr>
        <w:t>highlights the tortured saga of the UK’s treatment of the broad ‘personal scope’</w:t>
      </w:r>
      <w:r w:rsidR="00D81BFE">
        <w:rPr>
          <w:rFonts w:cs="Times New Roman"/>
        </w:rPr>
        <w:t xml:space="preserve"> </w:t>
      </w:r>
      <w:r w:rsidR="00DE7F71">
        <w:rPr>
          <w:rFonts w:cs="Times New Roman"/>
        </w:rPr>
        <w:t xml:space="preserve">provision (Article 10 WA), as a cautionary tale of exactly why it is important that residence and equal treatment rights provided for in an international legal instrument should not be ignored in favour of simply trusting the UK to be nice to EUSS status holders. </w:t>
      </w:r>
    </w:p>
    <w:p w14:paraId="4EB14579" w14:textId="47C02880" w:rsidR="00DE7F71" w:rsidRPr="00DE7F71" w:rsidRDefault="00B2207B" w:rsidP="00DE7F71">
      <w:pPr>
        <w:tabs>
          <w:tab w:val="left" w:pos="5234"/>
        </w:tabs>
        <w:rPr>
          <w:rFonts w:cs="Times New Roman"/>
        </w:rPr>
      </w:pPr>
      <w:r>
        <w:rPr>
          <w:rFonts w:cs="Times New Roman"/>
        </w:rPr>
        <w:t xml:space="preserve">The </w:t>
      </w:r>
      <w:r w:rsidR="00D81BFE">
        <w:rPr>
          <w:rFonts w:cs="Times New Roman"/>
        </w:rPr>
        <w:t>third</w:t>
      </w:r>
      <w:r w:rsidR="004E2E1E">
        <w:rPr>
          <w:rFonts w:cs="Times New Roman"/>
        </w:rPr>
        <w:t xml:space="preserve"> </w:t>
      </w:r>
      <w:r>
        <w:rPr>
          <w:rFonts w:cs="Times New Roman"/>
        </w:rPr>
        <w:t xml:space="preserve">section will </w:t>
      </w:r>
      <w:r w:rsidR="0065151B">
        <w:rPr>
          <w:rFonts w:cs="Times New Roman"/>
        </w:rPr>
        <w:t>then turn to the current litigation over the rights of EUSS status holders</w:t>
      </w:r>
      <w:r w:rsidR="00CA79BB">
        <w:rPr>
          <w:rFonts w:cs="Times New Roman"/>
        </w:rPr>
        <w:t>;</w:t>
      </w:r>
      <w:r w:rsidR="004E2E1E">
        <w:rPr>
          <w:rFonts w:cs="Times New Roman"/>
        </w:rPr>
        <w:t xml:space="preserve"> </w:t>
      </w:r>
      <w:r w:rsidR="00CA79BB">
        <w:rPr>
          <w:rFonts w:cs="Times New Roman"/>
        </w:rPr>
        <w:t xml:space="preserve">focusing on the question of </w:t>
      </w:r>
      <w:r w:rsidR="004E2E1E">
        <w:rPr>
          <w:rFonts w:cs="Times New Roman"/>
        </w:rPr>
        <w:t xml:space="preserve">whether an award of pre-settled status is confirmation of </w:t>
      </w:r>
      <w:r w:rsidR="00CA79BB">
        <w:rPr>
          <w:rFonts w:cs="Times New Roman"/>
        </w:rPr>
        <w:t xml:space="preserve">temporary </w:t>
      </w:r>
      <w:r w:rsidR="004E2E1E">
        <w:rPr>
          <w:rFonts w:cs="Times New Roman"/>
        </w:rPr>
        <w:t xml:space="preserve">residence rights under Article 13 WA. </w:t>
      </w:r>
      <w:r w:rsidR="00CA79BB">
        <w:rPr>
          <w:rFonts w:cs="Times New Roman"/>
        </w:rPr>
        <w:t>We argue</w:t>
      </w:r>
      <w:r w:rsidR="001D4947">
        <w:rPr>
          <w:rFonts w:cs="Times New Roman"/>
        </w:rPr>
        <w:t xml:space="preserve"> </w:t>
      </w:r>
      <w:r w:rsidR="009871EA">
        <w:rPr>
          <w:rFonts w:cs="Times New Roman"/>
        </w:rPr>
        <w:t xml:space="preserve">that the position of the UK authorities </w:t>
      </w:r>
      <w:r w:rsidR="00CA79BB">
        <w:rPr>
          <w:rFonts w:cs="Times New Roman"/>
        </w:rPr>
        <w:t xml:space="preserve">is incoherent, unlawful and dangerous, for three key reasons: </w:t>
      </w:r>
      <w:r w:rsidR="0048613E">
        <w:rPr>
          <w:rFonts w:cs="Times New Roman"/>
        </w:rPr>
        <w:t>first,</w:t>
      </w:r>
      <w:r w:rsidR="00CA79BB">
        <w:rPr>
          <w:rFonts w:cs="Times New Roman"/>
        </w:rPr>
        <w:t xml:space="preserve"> if EUSS is not documentary evidence of a Withdrawal Agreement based residence right – then </w:t>
      </w:r>
      <w:r w:rsidR="00CA79BB" w:rsidRPr="00CA79BB">
        <w:rPr>
          <w:rFonts w:cs="Times New Roman"/>
          <w:i/>
          <w:iCs/>
        </w:rPr>
        <w:t>what is</w:t>
      </w:r>
      <w:r w:rsidR="00CA79BB">
        <w:rPr>
          <w:rFonts w:cs="Times New Roman"/>
        </w:rPr>
        <w:t xml:space="preserve">? By failing to provide any such evidence, the UK has failed to fulfil its obligations under Article 18 WA. </w:t>
      </w:r>
      <w:r w:rsidR="0048613E">
        <w:rPr>
          <w:rFonts w:cs="Times New Roman"/>
        </w:rPr>
        <w:t>Second,</w:t>
      </w:r>
      <w:r w:rsidR="00CA79BB">
        <w:rPr>
          <w:rFonts w:cs="Times New Roman"/>
        </w:rPr>
        <w:t xml:space="preserve"> </w:t>
      </w:r>
      <w:r w:rsidR="00337F30">
        <w:rPr>
          <w:rFonts w:cs="Times New Roman"/>
        </w:rPr>
        <w:t>i</w:t>
      </w:r>
      <w:r w:rsidR="00CA79BB">
        <w:rPr>
          <w:rFonts w:cs="Times New Roman"/>
        </w:rPr>
        <w:t xml:space="preserve">f the EUSS is not documentary evidence of the Withdrawal Agreement based residence right, </w:t>
      </w:r>
      <w:r w:rsidR="00CA79BB">
        <w:rPr>
          <w:rFonts w:cs="Times New Roman"/>
        </w:rPr>
        <w:lastRenderedPageBreak/>
        <w:t xml:space="preserve">then </w:t>
      </w:r>
      <w:r w:rsidR="00CA79BB" w:rsidRPr="00CA79BB">
        <w:rPr>
          <w:rFonts w:cs="Times New Roman"/>
          <w:i/>
          <w:iCs/>
        </w:rPr>
        <w:t>what is it</w:t>
      </w:r>
      <w:r w:rsidR="00CA79BB">
        <w:rPr>
          <w:rFonts w:cs="Times New Roman"/>
        </w:rPr>
        <w:t xml:space="preserve">? The imposition of a mandatory registration process with severe consequences for non-compliance was justified as being permitted by Article 18 WA. If, in fact, it was not a </w:t>
      </w:r>
      <w:r w:rsidR="00CA79BB" w:rsidRPr="00CB4A99">
        <w:rPr>
          <w:rFonts w:cs="Times New Roman"/>
        </w:rPr>
        <w:t>WA status, then it was an act of mass discrimination on the grounds of nationality</w:t>
      </w:r>
      <w:r w:rsidR="00CB4A99" w:rsidRPr="00CB4A99">
        <w:rPr>
          <w:rFonts w:cs="Times New Roman"/>
        </w:rPr>
        <w:t>, given that</w:t>
      </w:r>
      <w:r w:rsidR="00B4164B" w:rsidRPr="00CB4A99">
        <w:rPr>
          <w:rFonts w:cs="Times New Roman"/>
        </w:rPr>
        <w:t xml:space="preserve"> EU citizens were required to go through a burdensome administrative process</w:t>
      </w:r>
      <w:r w:rsidR="00410C72" w:rsidRPr="00CB4A99">
        <w:rPr>
          <w:rFonts w:cs="Times New Roman"/>
        </w:rPr>
        <w:t xml:space="preserve"> that was </w:t>
      </w:r>
      <w:r w:rsidR="00CB4A99" w:rsidRPr="00CB4A99">
        <w:rPr>
          <w:rFonts w:cs="Times New Roman"/>
        </w:rPr>
        <w:t xml:space="preserve">only imposed because of their nationality, was </w:t>
      </w:r>
      <w:r w:rsidR="00410C72" w:rsidRPr="00CB4A99">
        <w:rPr>
          <w:rFonts w:cs="Times New Roman"/>
        </w:rPr>
        <w:t>not permitted by the WA</w:t>
      </w:r>
      <w:r w:rsidR="00CB4A99" w:rsidRPr="00CB4A99">
        <w:rPr>
          <w:rFonts w:cs="Times New Roman"/>
        </w:rPr>
        <w:t>,</w:t>
      </w:r>
      <w:r w:rsidR="00410C72" w:rsidRPr="00CB4A99">
        <w:rPr>
          <w:rFonts w:cs="Times New Roman"/>
        </w:rPr>
        <w:t xml:space="preserve"> </w:t>
      </w:r>
      <w:r w:rsidR="00B86CAC">
        <w:rPr>
          <w:rFonts w:cs="Times New Roman"/>
        </w:rPr>
        <w:t xml:space="preserve">and </w:t>
      </w:r>
      <w:r w:rsidR="00CB4A99" w:rsidRPr="00CB4A99">
        <w:rPr>
          <w:rFonts w:cs="Times New Roman"/>
        </w:rPr>
        <w:t xml:space="preserve">was not required of </w:t>
      </w:r>
      <w:r w:rsidR="002A2112" w:rsidRPr="00CB4A99">
        <w:rPr>
          <w:rFonts w:cs="Times New Roman"/>
        </w:rPr>
        <w:t>UK nationals</w:t>
      </w:r>
      <w:r w:rsidR="00CA79BB" w:rsidRPr="00CB4A99">
        <w:rPr>
          <w:rFonts w:cs="Times New Roman"/>
        </w:rPr>
        <w:t>.</w:t>
      </w:r>
      <w:r w:rsidR="00CA79BB">
        <w:rPr>
          <w:rFonts w:cs="Times New Roman"/>
        </w:rPr>
        <w:t xml:space="preserve"> And finally, </w:t>
      </w:r>
      <w:r w:rsidR="0048613E">
        <w:rPr>
          <w:rFonts w:cs="Times New Roman"/>
        </w:rPr>
        <w:t>third,</w:t>
      </w:r>
      <w:r w:rsidR="00CA79BB">
        <w:rPr>
          <w:rFonts w:cs="Times New Roman"/>
        </w:rPr>
        <w:t xml:space="preserve"> </w:t>
      </w:r>
      <w:r w:rsidR="007F16C2">
        <w:rPr>
          <w:rFonts w:cs="Times New Roman"/>
        </w:rPr>
        <w:t xml:space="preserve">if EUSS status is not WA residence status, then the UK has created a permanent, secret disjuncture affecting not only people with pre-settled status, but also anyone with settled status – and that disjuncture may not become apparent for years, or decades to come, when at some point, rights-holders need to rely on their WA status, believe they have evidence of it, and discover they do not and never did have such evidence. It is this Windrush-effect in the making that is the subject of the final section, which notes that </w:t>
      </w:r>
      <w:r w:rsidR="00B32C6B">
        <w:rPr>
          <w:rFonts w:cs="Times New Roman"/>
        </w:rPr>
        <w:t xml:space="preserve">at a </w:t>
      </w:r>
      <w:r w:rsidR="003937D4">
        <w:rPr>
          <w:rFonts w:cs="Times New Roman"/>
        </w:rPr>
        <w:t>moment’s</w:t>
      </w:r>
      <w:r w:rsidR="00B32C6B">
        <w:rPr>
          <w:rFonts w:cs="Times New Roman"/>
        </w:rPr>
        <w:t xml:space="preserve"> notice, </w:t>
      </w:r>
      <w:r w:rsidR="007F16C2">
        <w:rPr>
          <w:rFonts w:cs="Times New Roman"/>
        </w:rPr>
        <w:t xml:space="preserve">EUSS holders </w:t>
      </w:r>
      <w:r w:rsidR="00B32C6B">
        <w:rPr>
          <w:rFonts w:cs="Times New Roman"/>
        </w:rPr>
        <w:t xml:space="preserve">may find that they have to re-litigate their </w:t>
      </w:r>
      <w:r w:rsidR="007F16C2">
        <w:rPr>
          <w:rFonts w:cs="Times New Roman"/>
        </w:rPr>
        <w:t>Withdrawal Agreement status, and will be expected to undertake a vast documentary archaeological dig, never having been told that they needed to collate evidence in the first place</w:t>
      </w:r>
      <w:r w:rsidR="00B32C6B">
        <w:rPr>
          <w:rFonts w:cs="Times New Roman"/>
        </w:rPr>
        <w:t>.</w:t>
      </w:r>
    </w:p>
    <w:p w14:paraId="377E713D" w14:textId="6244F16F" w:rsidR="009743D2" w:rsidRPr="00947049" w:rsidRDefault="00DE7F71" w:rsidP="00C73CD7">
      <w:pPr>
        <w:pStyle w:val="Heading1"/>
      </w:pPr>
      <w:r>
        <w:t>PRAGMATISM AND PAPERWORK</w:t>
      </w:r>
      <w:r w:rsidR="00C73CD7">
        <w:t>: DESIGNING THE EUSS</w:t>
      </w:r>
    </w:p>
    <w:p w14:paraId="2379EF84" w14:textId="2786B1BA" w:rsidR="00DE7F71" w:rsidRDefault="00A36F42" w:rsidP="00DE7F71">
      <w:pPr>
        <w:spacing w:after="120"/>
        <w:rPr>
          <w:rFonts w:cs="Times New Roman"/>
        </w:rPr>
      </w:pPr>
      <w:r>
        <w:rPr>
          <w:rFonts w:cs="Times New Roman"/>
          <w:color w:val="000000" w:themeColor="text1"/>
          <w:shd w:val="clear" w:color="auto" w:fill="FFFFFF"/>
        </w:rPr>
        <w:t xml:space="preserve">The </w:t>
      </w:r>
      <w:r w:rsidR="0048613E">
        <w:rPr>
          <w:rFonts w:cs="Times New Roman"/>
          <w:color w:val="000000" w:themeColor="text1"/>
          <w:shd w:val="clear" w:color="auto" w:fill="FFFFFF"/>
        </w:rPr>
        <w:t>W</w:t>
      </w:r>
      <w:r>
        <w:rPr>
          <w:rFonts w:cs="Times New Roman"/>
          <w:color w:val="000000" w:themeColor="text1"/>
          <w:shd w:val="clear" w:color="auto" w:fill="FFFFFF"/>
        </w:rPr>
        <w:t xml:space="preserve">ithdrawal </w:t>
      </w:r>
      <w:r w:rsidR="0048613E">
        <w:rPr>
          <w:rFonts w:cs="Times New Roman"/>
          <w:color w:val="000000" w:themeColor="text1"/>
          <w:shd w:val="clear" w:color="auto" w:fill="FFFFFF"/>
        </w:rPr>
        <w:t>A</w:t>
      </w:r>
      <w:r>
        <w:rPr>
          <w:rFonts w:cs="Times New Roman"/>
          <w:color w:val="000000" w:themeColor="text1"/>
          <w:shd w:val="clear" w:color="auto" w:fill="FFFFFF"/>
        </w:rPr>
        <w:t>greement protects the residence rights for EEA nationals in the UK</w:t>
      </w:r>
      <w:r w:rsidR="0048613E">
        <w:rPr>
          <w:rFonts w:cs="Times New Roman"/>
          <w:color w:val="000000" w:themeColor="text1"/>
          <w:shd w:val="clear" w:color="auto" w:fill="FFFFFF"/>
        </w:rPr>
        <w:t xml:space="preserve"> (and vice versa)</w:t>
      </w:r>
      <w:r>
        <w:rPr>
          <w:rFonts w:cs="Times New Roman"/>
          <w:color w:val="000000" w:themeColor="text1"/>
          <w:shd w:val="clear" w:color="auto" w:fill="FFFFFF"/>
        </w:rPr>
        <w:t xml:space="preserve"> before Brexit.</w:t>
      </w:r>
      <w:r>
        <w:rPr>
          <w:rStyle w:val="FootnoteReference"/>
          <w:rFonts w:cs="Times New Roman"/>
          <w:color w:val="000000" w:themeColor="text1"/>
          <w:shd w:val="clear" w:color="auto" w:fill="FFFFFF"/>
        </w:rPr>
        <w:footnoteReference w:id="5"/>
      </w:r>
      <w:r>
        <w:rPr>
          <w:rFonts w:cs="Times New Roman"/>
          <w:color w:val="000000" w:themeColor="text1"/>
          <w:shd w:val="clear" w:color="auto" w:fill="FFFFFF"/>
        </w:rPr>
        <w:t xml:space="preserve"> Under Article 18 WA, Member States can choose to implement this protection in two main ways</w:t>
      </w:r>
      <w:r w:rsidR="00B548EE">
        <w:rPr>
          <w:rFonts w:cs="Times New Roman"/>
          <w:color w:val="000000" w:themeColor="text1"/>
          <w:shd w:val="clear" w:color="auto" w:fill="FFFFFF"/>
        </w:rPr>
        <w:t xml:space="preserve"> – through </w:t>
      </w:r>
      <w:r w:rsidR="0048613E">
        <w:rPr>
          <w:rFonts w:cs="Times New Roman"/>
          <w:color w:val="000000" w:themeColor="text1"/>
          <w:shd w:val="clear" w:color="auto" w:fill="FFFFFF"/>
        </w:rPr>
        <w:t xml:space="preserve">activating the </w:t>
      </w:r>
      <w:r w:rsidR="00F50F9D">
        <w:rPr>
          <w:rFonts w:cs="Times New Roman"/>
          <w:color w:val="000000" w:themeColor="text1"/>
          <w:shd w:val="clear" w:color="auto" w:fill="FFFFFF"/>
        </w:rPr>
        <w:t>power</w:t>
      </w:r>
      <w:r w:rsidR="0048613E">
        <w:rPr>
          <w:rFonts w:cs="Times New Roman"/>
          <w:color w:val="000000" w:themeColor="text1"/>
          <w:shd w:val="clear" w:color="auto" w:fill="FFFFFF"/>
        </w:rPr>
        <w:t xml:space="preserve"> to create a new, constitutive residence status under</w:t>
      </w:r>
      <w:r>
        <w:rPr>
          <w:rFonts w:cs="Times New Roman"/>
          <w:color w:val="000000" w:themeColor="text1"/>
          <w:shd w:val="clear" w:color="auto" w:fill="FFFFFF"/>
        </w:rPr>
        <w:t xml:space="preserve"> Article 18(1) and requiring all EEA nationals and their family members to register, or </w:t>
      </w:r>
      <w:r w:rsidR="00B548EE">
        <w:rPr>
          <w:rFonts w:cs="Times New Roman"/>
          <w:color w:val="000000" w:themeColor="text1"/>
          <w:shd w:val="clear" w:color="auto" w:fill="FFFFFF"/>
        </w:rPr>
        <w:t>by</w:t>
      </w:r>
      <w:r>
        <w:rPr>
          <w:rFonts w:cs="Times New Roman"/>
          <w:color w:val="000000" w:themeColor="text1"/>
          <w:shd w:val="clear" w:color="auto" w:fill="FFFFFF"/>
        </w:rPr>
        <w:t xml:space="preserve"> </w:t>
      </w:r>
      <w:r w:rsidR="0048613E">
        <w:rPr>
          <w:rFonts w:cs="Times New Roman"/>
          <w:color w:val="000000" w:themeColor="text1"/>
          <w:shd w:val="clear" w:color="auto" w:fill="FFFFFF"/>
        </w:rPr>
        <w:t>continuing to rely</w:t>
      </w:r>
      <w:r>
        <w:rPr>
          <w:rFonts w:cs="Times New Roman"/>
          <w:color w:val="000000" w:themeColor="text1"/>
          <w:shd w:val="clear" w:color="auto" w:fill="FFFFFF"/>
        </w:rPr>
        <w:t xml:space="preserve"> on a declaratory scheme</w:t>
      </w:r>
      <w:r w:rsidR="0048613E">
        <w:rPr>
          <w:rFonts w:cs="Times New Roman"/>
          <w:color w:val="000000" w:themeColor="text1"/>
          <w:shd w:val="clear" w:color="auto" w:fill="FFFFFF"/>
        </w:rPr>
        <w:t>,</w:t>
      </w:r>
      <w:r>
        <w:rPr>
          <w:rFonts w:cs="Times New Roman"/>
          <w:color w:val="000000" w:themeColor="text1"/>
          <w:shd w:val="clear" w:color="auto" w:fill="FFFFFF"/>
        </w:rPr>
        <w:t xml:space="preserve"> w</w:t>
      </w:r>
      <w:r w:rsidR="0048613E">
        <w:rPr>
          <w:rFonts w:cs="Times New Roman"/>
          <w:color w:val="000000" w:themeColor="text1"/>
          <w:shd w:val="clear" w:color="auto" w:fill="FFFFFF"/>
        </w:rPr>
        <w:t>h</w:t>
      </w:r>
      <w:r>
        <w:rPr>
          <w:rFonts w:cs="Times New Roman"/>
          <w:color w:val="000000" w:themeColor="text1"/>
          <w:shd w:val="clear" w:color="auto" w:fill="FFFFFF"/>
        </w:rPr>
        <w:t xml:space="preserve">ere </w:t>
      </w:r>
      <w:r w:rsidRPr="00EA1DBF">
        <w:rPr>
          <w:rFonts w:cs="Times New Roman"/>
          <w:color w:val="000000" w:themeColor="text1"/>
          <w:shd w:val="clear" w:color="auto" w:fill="FFFFFF"/>
        </w:rPr>
        <w:t>people might have to demonstrate that they m</w:t>
      </w:r>
      <w:r w:rsidR="0048613E">
        <w:rPr>
          <w:rFonts w:cs="Times New Roman"/>
          <w:color w:val="000000" w:themeColor="text1"/>
          <w:shd w:val="clear" w:color="auto" w:fill="FFFFFF"/>
        </w:rPr>
        <w:t>e</w:t>
      </w:r>
      <w:r w:rsidRPr="00EA1DBF">
        <w:rPr>
          <w:rFonts w:cs="Times New Roman"/>
          <w:color w:val="000000" w:themeColor="text1"/>
          <w:shd w:val="clear" w:color="auto" w:fill="FFFFFF"/>
        </w:rPr>
        <w:t xml:space="preserve">et the conditions in the WA at subsequent points (along the lines of </w:t>
      </w:r>
      <w:r w:rsidRPr="00EA1DBF">
        <w:rPr>
          <w:rFonts w:cs="Times New Roman"/>
          <w:color w:val="000000" w:themeColor="text1"/>
          <w:shd w:val="clear" w:color="auto" w:fill="FFFFFF"/>
        </w:rPr>
        <w:lastRenderedPageBreak/>
        <w:t>EU free movement law),</w:t>
      </w:r>
      <w:r>
        <w:rPr>
          <w:rStyle w:val="FootnoteReference"/>
          <w:rFonts w:cs="Times New Roman"/>
          <w:color w:val="000000" w:themeColor="text1"/>
          <w:shd w:val="clear" w:color="auto" w:fill="FFFFFF"/>
        </w:rPr>
        <w:footnoteReference w:id="6"/>
      </w:r>
      <w:r w:rsidRPr="00EA1DBF">
        <w:rPr>
          <w:rFonts w:cs="Times New Roman"/>
          <w:color w:val="000000" w:themeColor="text1"/>
          <w:shd w:val="clear" w:color="auto" w:fill="FFFFFF"/>
        </w:rPr>
        <w:t xml:space="preserve"> for example when seeking to establish eligibility for welfare benefits.</w:t>
      </w:r>
      <w:r>
        <w:rPr>
          <w:rFonts w:cs="Times New Roman"/>
          <w:color w:val="000000" w:themeColor="text1"/>
          <w:shd w:val="clear" w:color="auto" w:fill="FFFFFF"/>
        </w:rPr>
        <w:t xml:space="preserve"> </w:t>
      </w:r>
      <w:r w:rsidR="00847412">
        <w:rPr>
          <w:rFonts w:cs="Times New Roman"/>
          <w:color w:val="000000" w:themeColor="text1"/>
          <w:shd w:val="clear" w:color="auto" w:fill="FFFFFF"/>
        </w:rPr>
        <w:t xml:space="preserve">The UK opted for the </w:t>
      </w:r>
      <w:proofErr w:type="gramStart"/>
      <w:r w:rsidR="00847412">
        <w:rPr>
          <w:rFonts w:cs="Times New Roman"/>
          <w:color w:val="000000" w:themeColor="text1"/>
          <w:shd w:val="clear" w:color="auto" w:fill="FFFFFF"/>
        </w:rPr>
        <w:t xml:space="preserve">former, </w:t>
      </w:r>
      <w:r w:rsidR="002F5FE7">
        <w:rPr>
          <w:rFonts w:cs="Times New Roman"/>
          <w:color w:val="000000" w:themeColor="text1"/>
          <w:shd w:val="clear" w:color="auto" w:fill="FFFFFF"/>
        </w:rPr>
        <w:t>and</w:t>
      </w:r>
      <w:proofErr w:type="gramEnd"/>
      <w:r w:rsidR="002F5FE7">
        <w:rPr>
          <w:rFonts w:cs="Times New Roman"/>
          <w:color w:val="000000" w:themeColor="text1"/>
          <w:shd w:val="clear" w:color="auto" w:fill="FFFFFF"/>
        </w:rPr>
        <w:t xml:space="preserve"> </w:t>
      </w:r>
      <w:r w:rsidR="00847412">
        <w:rPr>
          <w:rFonts w:cs="Times New Roman"/>
          <w:color w:val="000000" w:themeColor="text1"/>
          <w:shd w:val="clear" w:color="auto" w:fill="FFFFFF"/>
        </w:rPr>
        <w:t>introduce</w:t>
      </w:r>
      <w:r w:rsidR="002F5FE7">
        <w:rPr>
          <w:rFonts w:cs="Times New Roman"/>
          <w:color w:val="000000" w:themeColor="text1"/>
          <w:shd w:val="clear" w:color="auto" w:fill="FFFFFF"/>
        </w:rPr>
        <w:t>d</w:t>
      </w:r>
      <w:r w:rsidR="00847412">
        <w:rPr>
          <w:rFonts w:cs="Times New Roman"/>
          <w:color w:val="000000" w:themeColor="text1"/>
          <w:shd w:val="clear" w:color="auto" w:fill="FFFFFF"/>
        </w:rPr>
        <w:t xml:space="preserve"> </w:t>
      </w:r>
      <w:r w:rsidR="006E1EB3">
        <w:rPr>
          <w:rFonts w:cs="Times New Roman"/>
          <w:color w:val="000000" w:themeColor="text1"/>
          <w:shd w:val="clear" w:color="auto" w:fill="FFFFFF"/>
        </w:rPr>
        <w:t>the EU Settlement Scheme</w:t>
      </w:r>
      <w:r w:rsidR="00847412">
        <w:rPr>
          <w:rFonts w:cs="Times New Roman"/>
          <w:color w:val="000000" w:themeColor="text1"/>
          <w:shd w:val="clear" w:color="auto" w:fill="FFFFFF"/>
        </w:rPr>
        <w:t xml:space="preserve"> </w:t>
      </w:r>
      <w:r w:rsidR="0048613E">
        <w:rPr>
          <w:rFonts w:cs="Times New Roman"/>
          <w:color w:val="000000" w:themeColor="text1"/>
          <w:shd w:val="clear" w:color="auto" w:fill="FFFFFF"/>
        </w:rPr>
        <w:t>requiring</w:t>
      </w:r>
      <w:r w:rsidR="00847412">
        <w:rPr>
          <w:rFonts w:cs="Times New Roman"/>
          <w:color w:val="000000" w:themeColor="text1"/>
          <w:shd w:val="clear" w:color="auto" w:fill="FFFFFF"/>
        </w:rPr>
        <w:t xml:space="preserve"> EU citizens and their family members to register for a new immigration status</w:t>
      </w:r>
      <w:r w:rsidR="00F20EB0">
        <w:rPr>
          <w:rFonts w:cs="Times New Roman"/>
          <w:color w:val="000000" w:themeColor="text1"/>
          <w:shd w:val="clear" w:color="auto" w:fill="FFFFFF"/>
        </w:rPr>
        <w:t xml:space="preserve"> by a specific deadline. </w:t>
      </w:r>
      <w:r w:rsidR="00C2493C" w:rsidRPr="00A72723">
        <w:rPr>
          <w:rFonts w:cs="Times New Roman"/>
        </w:rPr>
        <w:t xml:space="preserve">This is a novel phenomenon in the EU legal order, which has long rested on </w:t>
      </w:r>
      <w:r w:rsidR="00613A14">
        <w:rPr>
          <w:rFonts w:cs="Times New Roman"/>
        </w:rPr>
        <w:t xml:space="preserve">the </w:t>
      </w:r>
      <w:r w:rsidR="00C2493C" w:rsidRPr="00A72723">
        <w:rPr>
          <w:rFonts w:cs="Times New Roman"/>
        </w:rPr>
        <w:t xml:space="preserve">declaratory rights </w:t>
      </w:r>
      <w:r w:rsidR="00613A14">
        <w:rPr>
          <w:rFonts w:cs="Times New Roman"/>
        </w:rPr>
        <w:t xml:space="preserve">option </w:t>
      </w:r>
      <w:r w:rsidR="00C2493C" w:rsidRPr="00A72723">
        <w:rPr>
          <w:rFonts w:cs="Times New Roman"/>
        </w:rPr>
        <w:t xml:space="preserve">– you </w:t>
      </w:r>
      <w:r w:rsidR="0048613E">
        <w:rPr>
          <w:rFonts w:cs="Times New Roman"/>
        </w:rPr>
        <w:t>must</w:t>
      </w:r>
      <w:r w:rsidR="00C2493C" w:rsidRPr="00A72723">
        <w:rPr>
          <w:rFonts w:cs="Times New Roman"/>
        </w:rPr>
        <w:t xml:space="preserve"> meet the conditions to have the rights, but meeting the conditions should be enough. </w:t>
      </w:r>
      <w:r w:rsidR="00073052">
        <w:rPr>
          <w:rFonts w:cs="Times New Roman"/>
        </w:rPr>
        <w:t>Member States have been allowed to require EU migrants to register, but such registration has not been part and parcel of the status; failure to comply could lead to a sanction which mu</w:t>
      </w:r>
      <w:r w:rsidR="00DE2FB8">
        <w:rPr>
          <w:rFonts w:cs="Times New Roman"/>
        </w:rPr>
        <w:t>st</w:t>
      </w:r>
      <w:r w:rsidR="00073052">
        <w:rPr>
          <w:rFonts w:cs="Times New Roman"/>
        </w:rPr>
        <w:t xml:space="preserve"> not be disproportionate, and the EU migrant could still have an underlying right to reside.</w:t>
      </w:r>
      <w:r w:rsidR="00AC6171">
        <w:rPr>
          <w:rStyle w:val="FootnoteReference"/>
          <w:rFonts w:cs="Times New Roman"/>
        </w:rPr>
        <w:footnoteReference w:id="7"/>
      </w:r>
      <w:r w:rsidR="00C724E8">
        <w:rPr>
          <w:rFonts w:cs="Times New Roman"/>
        </w:rPr>
        <w:t xml:space="preserve"> </w:t>
      </w:r>
      <w:r w:rsidR="00073052">
        <w:rPr>
          <w:rFonts w:cs="Times New Roman"/>
        </w:rPr>
        <w:t xml:space="preserve">Conversely, it is possible to have registered but also be found not to have the status in question if </w:t>
      </w:r>
      <w:r w:rsidR="00AA6621">
        <w:rPr>
          <w:rFonts w:cs="Times New Roman"/>
        </w:rPr>
        <w:t>the conditions of residence are not met</w:t>
      </w:r>
      <w:r w:rsidR="001309D5">
        <w:rPr>
          <w:rFonts w:cs="Times New Roman"/>
        </w:rPr>
        <w:t>;</w:t>
      </w:r>
      <w:r w:rsidR="00AA6621">
        <w:rPr>
          <w:rStyle w:val="FootnoteReference"/>
          <w:rFonts w:cs="Times New Roman"/>
        </w:rPr>
        <w:footnoteReference w:id="8"/>
      </w:r>
      <w:r w:rsidR="001309D5">
        <w:rPr>
          <w:rFonts w:cs="Times New Roman"/>
        </w:rPr>
        <w:t xml:space="preserve"> ultimately, in a declaratory scheme, the important thing is meeting the substantive, rather than administrative, conditions of residence.</w:t>
      </w:r>
      <w:r w:rsidR="00AA6621">
        <w:rPr>
          <w:rFonts w:cs="Times New Roman"/>
        </w:rPr>
        <w:t xml:space="preserve"> </w:t>
      </w:r>
      <w:r w:rsidR="001309D5">
        <w:rPr>
          <w:rFonts w:cs="Times New Roman"/>
        </w:rPr>
        <w:t xml:space="preserve">Registration is not necessary for the right to subsist, but nor is it sufficient. </w:t>
      </w:r>
      <w:r w:rsidR="00776BA6">
        <w:rPr>
          <w:rFonts w:cs="Times New Roman"/>
        </w:rPr>
        <w:t xml:space="preserve">Instead, </w:t>
      </w:r>
      <w:r w:rsidR="00073052">
        <w:rPr>
          <w:rFonts w:cs="Times New Roman"/>
        </w:rPr>
        <w:t xml:space="preserve">using </w:t>
      </w:r>
      <w:r w:rsidR="00776BA6">
        <w:rPr>
          <w:rFonts w:cs="Times New Roman"/>
        </w:rPr>
        <w:t>the powers under Article 18</w:t>
      </w:r>
      <w:r w:rsidR="0045657F">
        <w:rPr>
          <w:rFonts w:cs="Times New Roman"/>
        </w:rPr>
        <w:t xml:space="preserve"> WA</w:t>
      </w:r>
      <w:r w:rsidR="00776BA6">
        <w:rPr>
          <w:rFonts w:cs="Times New Roman"/>
        </w:rPr>
        <w:t xml:space="preserve">, </w:t>
      </w:r>
      <w:r w:rsidR="00073052">
        <w:rPr>
          <w:rFonts w:cs="Times New Roman"/>
        </w:rPr>
        <w:t>the UK has constructed the</w:t>
      </w:r>
      <w:r w:rsidR="00776BA6">
        <w:rPr>
          <w:rFonts w:cs="Times New Roman"/>
        </w:rPr>
        <w:t xml:space="preserve"> EUSS</w:t>
      </w:r>
      <w:r w:rsidR="00073052">
        <w:rPr>
          <w:rFonts w:cs="Times New Roman"/>
        </w:rPr>
        <w:t xml:space="preserve"> as </w:t>
      </w:r>
      <w:r w:rsidR="00073052" w:rsidRPr="007766F8">
        <w:rPr>
          <w:rFonts w:cs="Times New Roman"/>
        </w:rPr>
        <w:t>constitutive</w:t>
      </w:r>
      <w:r w:rsidR="00D06875">
        <w:rPr>
          <w:rFonts w:cs="Times New Roman"/>
        </w:rPr>
        <w:t>,</w:t>
      </w:r>
      <w:r w:rsidR="00776BA6">
        <w:rPr>
          <w:rFonts w:cs="Times New Roman"/>
        </w:rPr>
        <w:t xml:space="preserve"> </w:t>
      </w:r>
      <w:r w:rsidR="001309D5">
        <w:rPr>
          <w:rFonts w:cs="Times New Roman"/>
        </w:rPr>
        <w:t xml:space="preserve">where the administrative registration itself is </w:t>
      </w:r>
      <w:r w:rsidR="00337F30">
        <w:rPr>
          <w:rFonts w:cs="Times New Roman"/>
        </w:rPr>
        <w:t xml:space="preserve">a </w:t>
      </w:r>
      <w:r w:rsidR="007766F8">
        <w:rPr>
          <w:rFonts w:cs="Times New Roman"/>
        </w:rPr>
        <w:t>necessary</w:t>
      </w:r>
      <w:r w:rsidR="00337F30">
        <w:rPr>
          <w:rFonts w:cs="Times New Roman"/>
        </w:rPr>
        <w:t xml:space="preserve"> element of the status. T</w:t>
      </w:r>
      <w:r w:rsidR="007766F8">
        <w:rPr>
          <w:rFonts w:cs="Times New Roman"/>
        </w:rPr>
        <w:t xml:space="preserve">he </w:t>
      </w:r>
      <w:r w:rsidR="001309D5">
        <w:rPr>
          <w:rFonts w:cs="Times New Roman"/>
        </w:rPr>
        <w:t xml:space="preserve">standard flipside </w:t>
      </w:r>
      <w:r w:rsidR="007766F8">
        <w:rPr>
          <w:rFonts w:cs="Times New Roman"/>
        </w:rPr>
        <w:t xml:space="preserve">of </w:t>
      </w:r>
      <w:r w:rsidR="00337F30">
        <w:rPr>
          <w:rFonts w:cs="Times New Roman"/>
        </w:rPr>
        <w:t xml:space="preserve">a </w:t>
      </w:r>
      <w:r w:rsidR="007766F8">
        <w:rPr>
          <w:rFonts w:cs="Times New Roman"/>
        </w:rPr>
        <w:t xml:space="preserve">constitutive </w:t>
      </w:r>
      <w:r w:rsidR="00337F30">
        <w:rPr>
          <w:rFonts w:cs="Times New Roman"/>
        </w:rPr>
        <w:t>scheme</w:t>
      </w:r>
      <w:r w:rsidR="007766F8">
        <w:rPr>
          <w:rFonts w:cs="Times New Roman"/>
        </w:rPr>
        <w:t xml:space="preserve"> is that</w:t>
      </w:r>
      <w:r w:rsidR="001309D5">
        <w:rPr>
          <w:rFonts w:cs="Times New Roman"/>
        </w:rPr>
        <w:t xml:space="preserve"> </w:t>
      </w:r>
      <w:r w:rsidR="00337F30">
        <w:rPr>
          <w:rFonts w:cs="Times New Roman"/>
        </w:rPr>
        <w:t xml:space="preserve">having successfully registered </w:t>
      </w:r>
      <w:r w:rsidR="001309D5">
        <w:rPr>
          <w:rFonts w:cs="Times New Roman"/>
        </w:rPr>
        <w:t xml:space="preserve">is </w:t>
      </w:r>
      <w:r w:rsidR="00337F30">
        <w:rPr>
          <w:rFonts w:cs="Times New Roman"/>
        </w:rPr>
        <w:t>then</w:t>
      </w:r>
      <w:r w:rsidR="007766F8">
        <w:rPr>
          <w:rFonts w:cs="Times New Roman"/>
        </w:rPr>
        <w:t xml:space="preserve"> </w:t>
      </w:r>
      <w:r w:rsidR="001309D5" w:rsidRPr="001309D5">
        <w:rPr>
          <w:rFonts w:cs="Times New Roman"/>
          <w:i/>
          <w:iCs/>
        </w:rPr>
        <w:t>sufficient</w:t>
      </w:r>
      <w:r w:rsidR="001309D5">
        <w:rPr>
          <w:rFonts w:cs="Times New Roman"/>
        </w:rPr>
        <w:t xml:space="preserve"> to demonstrate status. Examples might be passports or driving licenses; your entitlement to travel under a passport, or to drive, are not enough on their own – you must have the document. But you should not expect to have to demonstrate your entitlement to that document every time you rely on it.  </w:t>
      </w:r>
    </w:p>
    <w:p w14:paraId="499315A6" w14:textId="79D60B3C" w:rsidR="00EB3739" w:rsidRPr="00DE7F71" w:rsidRDefault="001309D5" w:rsidP="00DE7F71">
      <w:pPr>
        <w:rPr>
          <w:rFonts w:cs="Times New Roman"/>
        </w:rPr>
      </w:pPr>
      <w:r>
        <w:rPr>
          <w:rFonts w:cs="Times New Roman"/>
        </w:rPr>
        <w:t xml:space="preserve">However, so far, the UK government has only shown appetite for the ‘necessity’ element of a constitutive status, opting for a hybrid scheme </w:t>
      </w:r>
      <w:r w:rsidR="00601D14">
        <w:rPr>
          <w:rFonts w:cs="Times New Roman"/>
        </w:rPr>
        <w:t xml:space="preserve">where registration is necessary but not sufficient. </w:t>
      </w:r>
      <w:r w:rsidR="0053741C">
        <w:rPr>
          <w:rFonts w:cs="Times New Roman"/>
          <w:color w:val="000000" w:themeColor="text1"/>
          <w:shd w:val="clear" w:color="auto" w:fill="FFFFFF"/>
        </w:rPr>
        <w:lastRenderedPageBreak/>
        <w:t xml:space="preserve">If the deadline for applications </w:t>
      </w:r>
      <w:r w:rsidR="00601D14">
        <w:rPr>
          <w:rFonts w:cs="Times New Roman"/>
          <w:color w:val="000000" w:themeColor="text1"/>
          <w:shd w:val="clear" w:color="auto" w:fill="FFFFFF"/>
        </w:rPr>
        <w:t>were</w:t>
      </w:r>
      <w:r w:rsidR="0053741C">
        <w:rPr>
          <w:rFonts w:cs="Times New Roman"/>
          <w:color w:val="000000" w:themeColor="text1"/>
          <w:shd w:val="clear" w:color="auto" w:fill="FFFFFF"/>
        </w:rPr>
        <w:t xml:space="preserve"> missed</w:t>
      </w:r>
      <w:r w:rsidR="0053741C" w:rsidRPr="002F5FE7">
        <w:rPr>
          <w:rFonts w:cs="Times New Roman"/>
          <w:color w:val="000000" w:themeColor="text1"/>
          <w:shd w:val="clear" w:color="auto" w:fill="FFFFFF"/>
        </w:rPr>
        <w:t xml:space="preserve">, </w:t>
      </w:r>
      <w:r w:rsidR="00C46F90">
        <w:rPr>
          <w:rFonts w:cs="Times New Roman"/>
          <w:color w:val="000000" w:themeColor="text1"/>
          <w:shd w:val="clear" w:color="auto" w:fill="FFFFFF"/>
        </w:rPr>
        <w:t xml:space="preserve">EU citizens </w:t>
      </w:r>
      <w:r w:rsidR="00601D14">
        <w:rPr>
          <w:rFonts w:cs="Times New Roman"/>
          <w:color w:val="000000" w:themeColor="text1"/>
          <w:shd w:val="clear" w:color="auto" w:fill="FFFFFF"/>
        </w:rPr>
        <w:t>would lose</w:t>
      </w:r>
      <w:r w:rsidR="0053741C" w:rsidRPr="002F5FE7">
        <w:rPr>
          <w:rFonts w:cs="Times New Roman"/>
          <w:color w:val="000000" w:themeColor="text1"/>
          <w:shd w:val="clear" w:color="auto" w:fill="FFFFFF"/>
        </w:rPr>
        <w:t xml:space="preserve"> their residence rights in the UK</w:t>
      </w:r>
      <w:r w:rsidR="00EA334A">
        <w:rPr>
          <w:rFonts w:cs="Times New Roman"/>
          <w:color w:val="000000" w:themeColor="text1"/>
          <w:shd w:val="clear" w:color="auto" w:fill="FFFFFF"/>
        </w:rPr>
        <w:t xml:space="preserve"> (unless the Home Office accepts that there have been reasonable grounds for making a late application)</w:t>
      </w:r>
      <w:r w:rsidR="00045059">
        <w:rPr>
          <w:rFonts w:cs="Times New Roman"/>
          <w:color w:val="000000" w:themeColor="text1"/>
          <w:shd w:val="clear" w:color="auto" w:fill="FFFFFF"/>
        </w:rPr>
        <w:t>.</w:t>
      </w:r>
      <w:r w:rsidR="00A32C3F">
        <w:rPr>
          <w:rFonts w:cs="Times New Roman"/>
          <w:color w:val="000000" w:themeColor="text1"/>
          <w:shd w:val="clear" w:color="auto" w:fill="FFFFFF"/>
        </w:rPr>
        <w:t xml:space="preserve"> </w:t>
      </w:r>
      <w:r w:rsidR="00407245">
        <w:rPr>
          <w:rFonts w:cs="Times New Roman"/>
        </w:rPr>
        <w:t>With these higher stakes in mind, t</w:t>
      </w:r>
      <w:r w:rsidR="000F1EE7">
        <w:rPr>
          <w:rFonts w:cs="Times New Roman"/>
        </w:rPr>
        <w:t xml:space="preserve">his section examines how the construction of the </w:t>
      </w:r>
      <w:r w:rsidR="00407245">
        <w:rPr>
          <w:rFonts w:cs="Times New Roman"/>
        </w:rPr>
        <w:t>EUSS</w:t>
      </w:r>
      <w:r w:rsidR="009D035C">
        <w:rPr>
          <w:rFonts w:cs="Times New Roman"/>
        </w:rPr>
        <w:t>, including the political and policy choices made,</w:t>
      </w:r>
      <w:r w:rsidR="000F1EE7">
        <w:rPr>
          <w:rFonts w:cs="Times New Roman"/>
        </w:rPr>
        <w:t xml:space="preserve"> </w:t>
      </w:r>
      <w:r w:rsidR="009533F6">
        <w:rPr>
          <w:rFonts w:cs="Times New Roman"/>
        </w:rPr>
        <w:t>established</w:t>
      </w:r>
      <w:r w:rsidR="00920135">
        <w:rPr>
          <w:rFonts w:cs="Times New Roman"/>
        </w:rPr>
        <w:t xml:space="preserve"> a scheme with</w:t>
      </w:r>
      <w:r w:rsidR="00A26336">
        <w:rPr>
          <w:rFonts w:cs="Times New Roman"/>
        </w:rPr>
        <w:t xml:space="preserve"> differ</w:t>
      </w:r>
      <w:r w:rsidR="00601D14">
        <w:rPr>
          <w:rFonts w:cs="Times New Roman"/>
        </w:rPr>
        <w:t xml:space="preserve">ent </w:t>
      </w:r>
      <w:r w:rsidR="00A26336">
        <w:rPr>
          <w:rFonts w:cs="Times New Roman"/>
        </w:rPr>
        <w:t>conditions</w:t>
      </w:r>
      <w:r w:rsidR="00601D14">
        <w:rPr>
          <w:rFonts w:cs="Times New Roman"/>
        </w:rPr>
        <w:t xml:space="preserve"> of entitlement</w:t>
      </w:r>
      <w:r w:rsidR="00A26336">
        <w:rPr>
          <w:rFonts w:cs="Times New Roman"/>
        </w:rPr>
        <w:t xml:space="preserve"> from the </w:t>
      </w:r>
      <w:r w:rsidR="00601D14">
        <w:rPr>
          <w:rFonts w:cs="Times New Roman"/>
        </w:rPr>
        <w:t>W</w:t>
      </w:r>
      <w:r w:rsidR="00A26336">
        <w:rPr>
          <w:rFonts w:cs="Times New Roman"/>
        </w:rPr>
        <w:t xml:space="preserve">ithdrawal </w:t>
      </w:r>
      <w:r w:rsidR="00601D14">
        <w:rPr>
          <w:rFonts w:cs="Times New Roman"/>
        </w:rPr>
        <w:t>A</w:t>
      </w:r>
      <w:r w:rsidR="00A26336">
        <w:rPr>
          <w:rFonts w:cs="Times New Roman"/>
        </w:rPr>
        <w:t>greement</w:t>
      </w:r>
      <w:r w:rsidR="009533F6">
        <w:rPr>
          <w:rFonts w:cs="Times New Roman"/>
        </w:rPr>
        <w:t xml:space="preserve">, </w:t>
      </w:r>
      <w:r w:rsidR="00601D14">
        <w:rPr>
          <w:rFonts w:cs="Times New Roman"/>
        </w:rPr>
        <w:t xml:space="preserve">leading to the </w:t>
      </w:r>
      <w:r w:rsidR="009533F6">
        <w:rPr>
          <w:rFonts w:cs="Times New Roman"/>
        </w:rPr>
        <w:t xml:space="preserve">phenomenon </w:t>
      </w:r>
      <w:r w:rsidR="00601D14">
        <w:rPr>
          <w:rFonts w:cs="Times New Roman"/>
        </w:rPr>
        <w:t xml:space="preserve">some have termed the </w:t>
      </w:r>
      <w:r w:rsidR="009533F6">
        <w:rPr>
          <w:rFonts w:cs="Times New Roman"/>
          <w:color w:val="000000" w:themeColor="text1"/>
          <w:shd w:val="clear" w:color="auto" w:fill="FFFFFF"/>
        </w:rPr>
        <w:t>‘true’ and ‘extra’ cohort.</w:t>
      </w:r>
      <w:r w:rsidR="000D73FC">
        <w:rPr>
          <w:rFonts w:cs="Times New Roman"/>
          <w:color w:val="000000" w:themeColor="text1"/>
          <w:shd w:val="clear" w:color="auto" w:fill="FFFFFF"/>
        </w:rPr>
        <w:t xml:space="preserve"> This policy development</w:t>
      </w:r>
      <w:r w:rsidR="00C67C60">
        <w:rPr>
          <w:rFonts w:cs="Times New Roman"/>
          <w:color w:val="000000" w:themeColor="text1"/>
          <w:shd w:val="clear" w:color="auto" w:fill="FFFFFF"/>
        </w:rPr>
        <w:t xml:space="preserve"> </w:t>
      </w:r>
      <w:r w:rsidR="003C0781">
        <w:rPr>
          <w:rFonts w:cs="Times New Roman"/>
          <w:color w:val="000000" w:themeColor="text1"/>
          <w:shd w:val="clear" w:color="auto" w:fill="FFFFFF"/>
        </w:rPr>
        <w:t xml:space="preserve">set in motion the dislocation of the EUSS from </w:t>
      </w:r>
      <w:r w:rsidR="000D73FC">
        <w:rPr>
          <w:rFonts w:cs="Times New Roman"/>
          <w:color w:val="000000" w:themeColor="text1"/>
          <w:shd w:val="clear" w:color="auto" w:fill="FFFFFF"/>
        </w:rPr>
        <w:t xml:space="preserve">the </w:t>
      </w:r>
      <w:r w:rsidR="003C0781">
        <w:rPr>
          <w:rFonts w:cs="Times New Roman"/>
          <w:color w:val="000000" w:themeColor="text1"/>
          <w:shd w:val="clear" w:color="auto" w:fill="FFFFFF"/>
        </w:rPr>
        <w:t>W</w:t>
      </w:r>
      <w:r w:rsidR="000D73FC">
        <w:rPr>
          <w:rFonts w:cs="Times New Roman"/>
          <w:color w:val="000000" w:themeColor="text1"/>
          <w:shd w:val="clear" w:color="auto" w:fill="FFFFFF"/>
        </w:rPr>
        <w:t xml:space="preserve">ithdrawal </w:t>
      </w:r>
      <w:r w:rsidR="003C0781">
        <w:rPr>
          <w:rFonts w:cs="Times New Roman"/>
          <w:color w:val="000000" w:themeColor="text1"/>
          <w:shd w:val="clear" w:color="auto" w:fill="FFFFFF"/>
        </w:rPr>
        <w:t>A</w:t>
      </w:r>
      <w:r w:rsidR="000D73FC">
        <w:rPr>
          <w:rFonts w:cs="Times New Roman"/>
          <w:color w:val="000000" w:themeColor="text1"/>
          <w:shd w:val="clear" w:color="auto" w:fill="FFFFFF"/>
        </w:rPr>
        <w:t>greement</w:t>
      </w:r>
      <w:r w:rsidR="00E82996">
        <w:rPr>
          <w:rFonts w:cs="Times New Roman"/>
          <w:color w:val="000000" w:themeColor="text1"/>
          <w:shd w:val="clear" w:color="auto" w:fill="FFFFFF"/>
        </w:rPr>
        <w:t>,</w:t>
      </w:r>
      <w:r w:rsidR="000D73FC">
        <w:rPr>
          <w:rFonts w:cs="Times New Roman"/>
          <w:color w:val="000000" w:themeColor="text1"/>
          <w:shd w:val="clear" w:color="auto" w:fill="FFFFFF"/>
        </w:rPr>
        <w:t xml:space="preserve"> and </w:t>
      </w:r>
      <w:r w:rsidR="00203CDB">
        <w:rPr>
          <w:rFonts w:cs="Times New Roman"/>
          <w:color w:val="000000" w:themeColor="text1"/>
          <w:shd w:val="clear" w:color="auto" w:fill="FFFFFF"/>
        </w:rPr>
        <w:t xml:space="preserve">a </w:t>
      </w:r>
      <w:r w:rsidR="007946AB">
        <w:rPr>
          <w:rFonts w:cs="Times New Roman"/>
        </w:rPr>
        <w:t xml:space="preserve">legal patchwork of reactive </w:t>
      </w:r>
      <w:r w:rsidR="003C0781">
        <w:rPr>
          <w:rFonts w:cs="Times New Roman"/>
        </w:rPr>
        <w:t>‘</w:t>
      </w:r>
      <w:r w:rsidR="007946AB">
        <w:rPr>
          <w:rFonts w:cs="Times New Roman"/>
        </w:rPr>
        <w:t>fixes</w:t>
      </w:r>
      <w:r w:rsidR="003C0781">
        <w:rPr>
          <w:rFonts w:cs="Times New Roman"/>
        </w:rPr>
        <w:t xml:space="preserve">’ </w:t>
      </w:r>
      <w:r w:rsidR="00E82996">
        <w:rPr>
          <w:rFonts w:cs="Times New Roman"/>
        </w:rPr>
        <w:t>has exacerbated the</w:t>
      </w:r>
      <w:r w:rsidR="003C0781">
        <w:rPr>
          <w:rFonts w:cs="Times New Roman"/>
        </w:rPr>
        <w:t xml:space="preserve"> divergence</w:t>
      </w:r>
      <w:r w:rsidR="007B5301">
        <w:rPr>
          <w:rFonts w:cs="Times New Roman"/>
        </w:rPr>
        <w:t xml:space="preserve">. </w:t>
      </w:r>
    </w:p>
    <w:p w14:paraId="37C64383" w14:textId="77777777" w:rsidR="00B84101" w:rsidRPr="00BF56E6" w:rsidRDefault="00B84101" w:rsidP="00BF56E6">
      <w:pPr>
        <w:ind w:firstLine="720"/>
        <w:rPr>
          <w:rFonts w:cs="Times New Roman"/>
        </w:rPr>
      </w:pPr>
    </w:p>
    <w:p w14:paraId="4D316B05" w14:textId="3F5771BD" w:rsidR="009E2D7E" w:rsidRPr="009E2D7E" w:rsidRDefault="004C3D63" w:rsidP="00A45C95">
      <w:pPr>
        <w:pStyle w:val="Heading2"/>
        <w:rPr>
          <w:shd w:val="clear" w:color="auto" w:fill="FFFFFF"/>
        </w:rPr>
      </w:pPr>
      <w:r>
        <w:rPr>
          <w:shd w:val="clear" w:color="auto" w:fill="FFFFFF"/>
        </w:rPr>
        <w:t>Security and certainty</w:t>
      </w:r>
      <w:r w:rsidR="00FC6978">
        <w:rPr>
          <w:shd w:val="clear" w:color="auto" w:fill="FFFFFF"/>
        </w:rPr>
        <w:t xml:space="preserve"> as priorities</w:t>
      </w:r>
      <w:r w:rsidR="00A45C95">
        <w:rPr>
          <w:shd w:val="clear" w:color="auto" w:fill="FFFFFF"/>
        </w:rPr>
        <w:t xml:space="preserve"> </w:t>
      </w:r>
    </w:p>
    <w:p w14:paraId="367524DF" w14:textId="59F3D847" w:rsidR="00C03E77" w:rsidRPr="00EA1DBF" w:rsidRDefault="00EB6B13" w:rsidP="00DE7F71">
      <w:pPr>
        <w:rPr>
          <w:rFonts w:cs="Times New Roman"/>
          <w:color w:val="000000" w:themeColor="text1"/>
          <w:shd w:val="clear" w:color="auto" w:fill="FFFFFF"/>
        </w:rPr>
      </w:pPr>
      <w:r>
        <w:rPr>
          <w:rFonts w:cs="Times New Roman"/>
          <w:color w:val="000000" w:themeColor="text1"/>
          <w:shd w:val="clear" w:color="auto" w:fill="FFFFFF"/>
        </w:rPr>
        <w:t xml:space="preserve">The preamble of the Withdrawal Agreement </w:t>
      </w:r>
      <w:r w:rsidR="00E3781B">
        <w:rPr>
          <w:rFonts w:cs="Times New Roman"/>
          <w:color w:val="000000" w:themeColor="text1"/>
          <w:shd w:val="clear" w:color="auto" w:fill="FFFFFF"/>
        </w:rPr>
        <w:t>states that it seeks to ‘prevent disruption’ and to ‘provide legal certainty to citizens</w:t>
      </w:r>
      <w:r w:rsidR="00663D5D">
        <w:rPr>
          <w:rFonts w:cs="Times New Roman"/>
          <w:color w:val="000000" w:themeColor="text1"/>
          <w:shd w:val="clear" w:color="auto" w:fill="FFFFFF"/>
        </w:rPr>
        <w:t>’ and administrative authorities.</w:t>
      </w:r>
      <w:r w:rsidR="00663D5D">
        <w:rPr>
          <w:rStyle w:val="FootnoteReference"/>
          <w:rFonts w:cs="Times New Roman"/>
          <w:color w:val="000000" w:themeColor="text1"/>
          <w:shd w:val="clear" w:color="auto" w:fill="FFFFFF"/>
        </w:rPr>
        <w:footnoteReference w:id="9"/>
      </w:r>
      <w:r w:rsidR="00663D5D">
        <w:rPr>
          <w:rFonts w:cs="Times New Roman"/>
          <w:color w:val="000000" w:themeColor="text1"/>
          <w:shd w:val="clear" w:color="auto" w:fill="FFFFFF"/>
        </w:rPr>
        <w:t xml:space="preserve"> </w:t>
      </w:r>
      <w:r w:rsidR="003D0D29">
        <w:rPr>
          <w:rFonts w:cs="Times New Roman"/>
          <w:color w:val="000000" w:themeColor="text1"/>
          <w:shd w:val="clear" w:color="auto" w:fill="FFFFFF"/>
        </w:rPr>
        <w:t xml:space="preserve">The </w:t>
      </w:r>
      <w:r w:rsidR="00EA1DBF" w:rsidRPr="00EA1DBF">
        <w:rPr>
          <w:rFonts w:cs="Times New Roman"/>
          <w:color w:val="000000" w:themeColor="text1"/>
          <w:shd w:val="clear" w:color="auto" w:fill="FFFFFF"/>
        </w:rPr>
        <w:t xml:space="preserve">goal of certainty </w:t>
      </w:r>
      <w:r w:rsidR="003D0D29">
        <w:rPr>
          <w:rFonts w:cs="Times New Roman"/>
          <w:color w:val="000000" w:themeColor="text1"/>
          <w:shd w:val="clear" w:color="auto" w:fill="FFFFFF"/>
        </w:rPr>
        <w:t>w</w:t>
      </w:r>
      <w:r w:rsidR="003F382A">
        <w:rPr>
          <w:rFonts w:cs="Times New Roman"/>
          <w:color w:val="000000" w:themeColor="text1"/>
          <w:shd w:val="clear" w:color="auto" w:fill="FFFFFF"/>
        </w:rPr>
        <w:t>as</w:t>
      </w:r>
      <w:r w:rsidR="003D0D29">
        <w:rPr>
          <w:rFonts w:cs="Times New Roman"/>
          <w:color w:val="000000" w:themeColor="text1"/>
          <w:shd w:val="clear" w:color="auto" w:fill="FFFFFF"/>
        </w:rPr>
        <w:t xml:space="preserve"> </w:t>
      </w:r>
      <w:r w:rsidR="00663D5D">
        <w:rPr>
          <w:rFonts w:cs="Times New Roman"/>
          <w:color w:val="000000" w:themeColor="text1"/>
          <w:shd w:val="clear" w:color="auto" w:fill="FFFFFF"/>
        </w:rPr>
        <w:t xml:space="preserve">also </w:t>
      </w:r>
      <w:r w:rsidR="003D0D29">
        <w:rPr>
          <w:rFonts w:cs="Times New Roman"/>
          <w:color w:val="000000" w:themeColor="text1"/>
          <w:shd w:val="clear" w:color="auto" w:fill="FFFFFF"/>
        </w:rPr>
        <w:t>cited as</w:t>
      </w:r>
      <w:r w:rsidR="00EA1DBF" w:rsidRPr="00EA1DBF">
        <w:rPr>
          <w:rFonts w:cs="Times New Roman"/>
          <w:color w:val="000000" w:themeColor="text1"/>
          <w:shd w:val="clear" w:color="auto" w:fill="FFFFFF"/>
        </w:rPr>
        <w:t xml:space="preserve"> the reason for ins</w:t>
      </w:r>
      <w:r w:rsidR="00E9471E">
        <w:rPr>
          <w:rFonts w:cs="Times New Roman"/>
          <w:color w:val="000000" w:themeColor="text1"/>
          <w:shd w:val="clear" w:color="auto" w:fill="FFFFFF"/>
        </w:rPr>
        <w:t xml:space="preserve">isting </w:t>
      </w:r>
      <w:r w:rsidR="00FB6747">
        <w:rPr>
          <w:rFonts w:cs="Times New Roman"/>
          <w:color w:val="000000" w:themeColor="text1"/>
          <w:shd w:val="clear" w:color="auto" w:fill="FFFFFF"/>
        </w:rPr>
        <w:t>that</w:t>
      </w:r>
      <w:r w:rsidR="00EA1DBF" w:rsidRPr="00EA1DBF">
        <w:rPr>
          <w:rFonts w:cs="Times New Roman"/>
          <w:color w:val="000000" w:themeColor="text1"/>
          <w:shd w:val="clear" w:color="auto" w:fill="FFFFFF"/>
        </w:rPr>
        <w:t xml:space="preserve"> the EUSS </w:t>
      </w:r>
      <w:r w:rsidR="00FB6747">
        <w:rPr>
          <w:rFonts w:cs="Times New Roman"/>
          <w:color w:val="000000" w:themeColor="text1"/>
          <w:shd w:val="clear" w:color="auto" w:fill="FFFFFF"/>
        </w:rPr>
        <w:t>be</w:t>
      </w:r>
      <w:r w:rsidR="00EA1DBF" w:rsidRPr="00EA1DBF">
        <w:rPr>
          <w:rFonts w:cs="Times New Roman"/>
          <w:color w:val="000000" w:themeColor="text1"/>
          <w:shd w:val="clear" w:color="auto" w:fill="FFFFFF"/>
        </w:rPr>
        <w:t xml:space="preserve"> a compulsory, constitutive scheme.</w:t>
      </w:r>
      <w:r w:rsidR="00C03E77">
        <w:rPr>
          <w:rFonts w:cs="Times New Roman"/>
          <w:color w:val="000000" w:themeColor="text1"/>
          <w:shd w:val="clear" w:color="auto" w:fill="FFFFFF"/>
        </w:rPr>
        <w:t xml:space="preserve"> </w:t>
      </w:r>
      <w:r w:rsidR="00270B55" w:rsidRPr="00EA1DBF">
        <w:rPr>
          <w:rFonts w:cs="Times New Roman"/>
          <w:color w:val="000000" w:themeColor="text1"/>
          <w:shd w:val="clear" w:color="auto" w:fill="FFFFFF"/>
        </w:rPr>
        <w:t>The UK could have opted for a declaratory scheme, which would have avoided disentitling people overnight</w:t>
      </w:r>
      <w:r w:rsidR="000216EC">
        <w:rPr>
          <w:rFonts w:cs="Times New Roman"/>
          <w:color w:val="000000" w:themeColor="text1"/>
          <w:shd w:val="clear" w:color="auto" w:fill="FFFFFF"/>
        </w:rPr>
        <w:t xml:space="preserve"> if they missed a cliff-edge deadline.</w:t>
      </w:r>
      <w:r w:rsidR="000216EC">
        <w:rPr>
          <w:rStyle w:val="FootnoteReference"/>
          <w:rFonts w:cs="Times New Roman"/>
          <w:color w:val="000000" w:themeColor="text1"/>
          <w:shd w:val="clear" w:color="auto" w:fill="FFFFFF"/>
        </w:rPr>
        <w:footnoteReference w:id="10"/>
      </w:r>
      <w:r w:rsidR="000216EC">
        <w:rPr>
          <w:rFonts w:cs="Times New Roman"/>
          <w:color w:val="000000" w:themeColor="text1"/>
          <w:shd w:val="clear" w:color="auto" w:fill="FFFFFF"/>
        </w:rPr>
        <w:t xml:space="preserve"> </w:t>
      </w:r>
      <w:r w:rsidR="00C03E77" w:rsidRPr="00EA1DBF">
        <w:rPr>
          <w:rFonts w:cs="Times New Roman"/>
          <w:color w:val="000000" w:themeColor="text1"/>
          <w:shd w:val="clear" w:color="auto" w:fill="FFFFFF"/>
        </w:rPr>
        <w:t xml:space="preserve">When asked why the government was </w:t>
      </w:r>
      <w:r w:rsidR="00011761">
        <w:rPr>
          <w:rFonts w:cs="Times New Roman"/>
          <w:color w:val="000000" w:themeColor="text1"/>
          <w:shd w:val="clear" w:color="auto" w:fill="FFFFFF"/>
        </w:rPr>
        <w:t xml:space="preserve">requiring </w:t>
      </w:r>
      <w:r w:rsidR="00C50B1A">
        <w:rPr>
          <w:rFonts w:cs="Times New Roman"/>
          <w:color w:val="000000" w:themeColor="text1"/>
          <w:shd w:val="clear" w:color="auto" w:fill="FFFFFF"/>
        </w:rPr>
        <w:t>registration</w:t>
      </w:r>
      <w:r w:rsidR="00011761">
        <w:rPr>
          <w:rFonts w:cs="Times New Roman"/>
          <w:color w:val="000000" w:themeColor="text1"/>
          <w:shd w:val="clear" w:color="auto" w:fill="FFFFFF"/>
        </w:rPr>
        <w:t xml:space="preserve"> and </w:t>
      </w:r>
      <w:r w:rsidR="00C03E77" w:rsidRPr="00EA1DBF">
        <w:rPr>
          <w:rFonts w:cs="Times New Roman"/>
          <w:color w:val="000000" w:themeColor="text1"/>
          <w:shd w:val="clear" w:color="auto" w:fill="FFFFFF"/>
        </w:rPr>
        <w:t>adopting the EUSS, then Home Secretary, Sajid Javid responded “In a word, Windrush”.</w:t>
      </w:r>
      <w:r w:rsidR="00F62530">
        <w:rPr>
          <w:rStyle w:val="FootnoteReference"/>
          <w:rFonts w:cs="Times New Roman"/>
          <w:color w:val="000000" w:themeColor="text1"/>
          <w:shd w:val="clear" w:color="auto" w:fill="FFFFFF"/>
        </w:rPr>
        <w:footnoteReference w:id="11"/>
      </w:r>
      <w:r w:rsidR="00C03E77" w:rsidRPr="00EA1DBF">
        <w:rPr>
          <w:rFonts w:cs="Times New Roman"/>
          <w:color w:val="000000" w:themeColor="text1"/>
          <w:shd w:val="clear" w:color="auto" w:fill="FFFFFF"/>
        </w:rPr>
        <w:t xml:space="preserve"> While concerns were raised that the scheme could be exclusionary, Javid said the EUSS was necessary to ensure people had documentary evidence of their rights:</w:t>
      </w:r>
    </w:p>
    <w:p w14:paraId="4714594D" w14:textId="266BFB18" w:rsidR="00C03E77" w:rsidRDefault="00C03E77" w:rsidP="00DE7F71">
      <w:pPr>
        <w:spacing w:after="120"/>
        <w:ind w:left="720"/>
        <w:rPr>
          <w:rFonts w:cs="Times New Roman"/>
          <w:i/>
          <w:iCs/>
          <w:color w:val="000000" w:themeColor="text1"/>
          <w:shd w:val="clear" w:color="auto" w:fill="FFFFFF"/>
        </w:rPr>
      </w:pPr>
      <w:r w:rsidRPr="00F77A2B">
        <w:rPr>
          <w:rFonts w:cs="Times New Roman"/>
          <w:i/>
          <w:iCs/>
          <w:color w:val="000000" w:themeColor="text1"/>
          <w:shd w:val="clear" w:color="auto" w:fill="FFFFFF"/>
        </w:rPr>
        <w:t>“</w:t>
      </w:r>
      <w:proofErr w:type="gramStart"/>
      <w:r w:rsidRPr="00F77A2B">
        <w:rPr>
          <w:rFonts w:cs="Times New Roman"/>
          <w:i/>
          <w:iCs/>
          <w:color w:val="000000" w:themeColor="text1"/>
          <w:shd w:val="clear" w:color="auto" w:fill="FFFFFF"/>
        </w:rPr>
        <w:t>the</w:t>
      </w:r>
      <w:proofErr w:type="gramEnd"/>
      <w:r w:rsidRPr="00F77A2B">
        <w:rPr>
          <w:rFonts w:cs="Times New Roman"/>
          <w:i/>
          <w:iCs/>
          <w:color w:val="000000" w:themeColor="text1"/>
          <w:shd w:val="clear" w:color="auto" w:fill="FFFFFF"/>
        </w:rPr>
        <w:t xml:space="preserve"> Windrush generation have always, quite correctly, had their rights. The problem was by doing it only through a declaratory system it meant that there was no documentation to prove </w:t>
      </w:r>
      <w:proofErr w:type="gramStart"/>
      <w:r w:rsidRPr="00F77A2B">
        <w:rPr>
          <w:rFonts w:cs="Times New Roman"/>
          <w:i/>
          <w:iCs/>
          <w:color w:val="000000" w:themeColor="text1"/>
          <w:shd w:val="clear" w:color="auto" w:fill="FFFFFF"/>
        </w:rPr>
        <w:t>that,</w:t>
      </w:r>
      <w:proofErr w:type="gramEnd"/>
      <w:r w:rsidRPr="00F77A2B">
        <w:rPr>
          <w:rFonts w:cs="Times New Roman"/>
          <w:i/>
          <w:iCs/>
          <w:color w:val="000000" w:themeColor="text1"/>
          <w:shd w:val="clear" w:color="auto" w:fill="FFFFFF"/>
        </w:rPr>
        <w:t xml:space="preserve"> which many years later became a problem.”</w:t>
      </w:r>
      <w:r w:rsidR="00F62530" w:rsidRPr="00F77A2B">
        <w:rPr>
          <w:rStyle w:val="FootnoteReference"/>
          <w:rFonts w:cs="Times New Roman"/>
          <w:color w:val="000000" w:themeColor="text1"/>
          <w:shd w:val="clear" w:color="auto" w:fill="FFFFFF"/>
        </w:rPr>
        <w:footnoteReference w:id="12"/>
      </w:r>
    </w:p>
    <w:p w14:paraId="43FCC889" w14:textId="7DDC5CD1" w:rsidR="00C77FB3" w:rsidRDefault="00393830" w:rsidP="00DE7F71">
      <w:pPr>
        <w:spacing w:after="120"/>
        <w:rPr>
          <w:rFonts w:cs="Times New Roman"/>
          <w:color w:val="000000" w:themeColor="text1"/>
          <w:shd w:val="clear" w:color="auto" w:fill="FFFFFF"/>
        </w:rPr>
      </w:pPr>
      <w:r>
        <w:rPr>
          <w:rFonts w:cs="Times New Roman"/>
          <w:color w:val="000000" w:themeColor="text1"/>
          <w:shd w:val="clear" w:color="auto" w:fill="FFFFFF"/>
        </w:rPr>
        <w:lastRenderedPageBreak/>
        <w:t>His</w:t>
      </w:r>
      <w:r w:rsidR="00C50B1A">
        <w:rPr>
          <w:rFonts w:cs="Times New Roman"/>
          <w:color w:val="000000" w:themeColor="text1"/>
          <w:shd w:val="clear" w:color="auto" w:fill="FFFFFF"/>
        </w:rPr>
        <w:t xml:space="preserve"> argument was that, without a constitutive scheme there was a risk that many years down the line, people would be asked to prove that they met </w:t>
      </w:r>
      <w:r w:rsidR="00C438C0">
        <w:rPr>
          <w:rFonts w:cs="Times New Roman"/>
          <w:color w:val="000000" w:themeColor="text1"/>
          <w:shd w:val="clear" w:color="auto" w:fill="FFFFFF"/>
        </w:rPr>
        <w:t xml:space="preserve">all </w:t>
      </w:r>
      <w:r w:rsidR="00C50B1A">
        <w:rPr>
          <w:rFonts w:cs="Times New Roman"/>
          <w:color w:val="000000" w:themeColor="text1"/>
          <w:shd w:val="clear" w:color="auto" w:fill="FFFFFF"/>
        </w:rPr>
        <w:t>the conditions of the Withdrawal Agreement</w:t>
      </w:r>
      <w:r w:rsidR="0039234D">
        <w:rPr>
          <w:rFonts w:cs="Times New Roman"/>
          <w:color w:val="000000" w:themeColor="text1"/>
          <w:shd w:val="clear" w:color="auto" w:fill="FFFFFF"/>
        </w:rPr>
        <w:t xml:space="preserve"> (WA)</w:t>
      </w:r>
      <w:r w:rsidR="00696285">
        <w:rPr>
          <w:rFonts w:cs="Times New Roman"/>
          <w:color w:val="000000" w:themeColor="text1"/>
          <w:shd w:val="clear" w:color="auto" w:fill="FFFFFF"/>
        </w:rPr>
        <w:t xml:space="preserve">. </w:t>
      </w:r>
      <w:r w:rsidR="0039234D">
        <w:rPr>
          <w:rFonts w:cs="Times New Roman"/>
          <w:color w:val="000000" w:themeColor="text1"/>
          <w:shd w:val="clear" w:color="auto" w:fill="FFFFFF"/>
        </w:rPr>
        <w:t>Based on the government’s understanding of WA rights, t</w:t>
      </w:r>
      <w:r w:rsidR="00696285">
        <w:rPr>
          <w:rFonts w:cs="Times New Roman"/>
          <w:color w:val="000000" w:themeColor="text1"/>
          <w:shd w:val="clear" w:color="auto" w:fill="FFFFFF"/>
        </w:rPr>
        <w:t>his would</w:t>
      </w:r>
      <w:r w:rsidR="005A5FF0">
        <w:rPr>
          <w:rFonts w:cs="Times New Roman"/>
          <w:color w:val="000000" w:themeColor="text1"/>
          <w:shd w:val="clear" w:color="auto" w:fill="FFFFFF"/>
        </w:rPr>
        <w:t xml:space="preserve"> presumably</w:t>
      </w:r>
      <w:r w:rsidR="00696285">
        <w:rPr>
          <w:rFonts w:cs="Times New Roman"/>
          <w:color w:val="000000" w:themeColor="text1"/>
          <w:shd w:val="clear" w:color="auto" w:fill="FFFFFF"/>
        </w:rPr>
        <w:t xml:space="preserve"> include evidencing</w:t>
      </w:r>
      <w:r w:rsidR="00255599">
        <w:rPr>
          <w:rFonts w:cs="Times New Roman"/>
          <w:color w:val="000000" w:themeColor="text1"/>
          <w:shd w:val="clear" w:color="auto" w:fill="FFFFFF"/>
        </w:rPr>
        <w:t xml:space="preserve"> that</w:t>
      </w:r>
      <w:r w:rsidR="00C438C0">
        <w:rPr>
          <w:rFonts w:cs="Times New Roman"/>
          <w:color w:val="000000" w:themeColor="text1"/>
          <w:shd w:val="clear" w:color="auto" w:fill="FFFFFF"/>
        </w:rPr>
        <w:t>:</w:t>
      </w:r>
      <w:r w:rsidR="00255599">
        <w:rPr>
          <w:rFonts w:cs="Times New Roman"/>
          <w:color w:val="000000" w:themeColor="text1"/>
          <w:shd w:val="clear" w:color="auto" w:fill="FFFFFF"/>
        </w:rPr>
        <w:t xml:space="preserve"> they </w:t>
      </w:r>
      <w:r w:rsidR="00873C31">
        <w:rPr>
          <w:rFonts w:cs="Times New Roman"/>
          <w:color w:val="000000" w:themeColor="text1"/>
          <w:shd w:val="clear" w:color="auto" w:fill="FFFFFF"/>
        </w:rPr>
        <w:t xml:space="preserve">were </w:t>
      </w:r>
      <w:r w:rsidR="00255599">
        <w:rPr>
          <w:rFonts w:cs="Times New Roman"/>
          <w:color w:val="000000" w:themeColor="text1"/>
          <w:shd w:val="clear" w:color="auto" w:fill="FFFFFF"/>
        </w:rPr>
        <w:t xml:space="preserve">residing in the UK on the basis of treaty rights </w:t>
      </w:r>
      <w:r w:rsidR="00873C31">
        <w:rPr>
          <w:rFonts w:cs="Times New Roman"/>
          <w:color w:val="000000" w:themeColor="text1"/>
          <w:shd w:val="clear" w:color="auto" w:fill="FFFFFF"/>
        </w:rPr>
        <w:t>before the end of the transition period</w:t>
      </w:r>
      <w:r w:rsidR="00C438C0">
        <w:rPr>
          <w:rFonts w:cs="Times New Roman"/>
          <w:color w:val="000000" w:themeColor="text1"/>
          <w:shd w:val="clear" w:color="auto" w:fill="FFFFFF"/>
        </w:rPr>
        <w:t>;</w:t>
      </w:r>
      <w:r w:rsidR="00873C31">
        <w:rPr>
          <w:rFonts w:cs="Times New Roman"/>
          <w:color w:val="000000" w:themeColor="text1"/>
          <w:shd w:val="clear" w:color="auto" w:fill="FFFFFF"/>
        </w:rPr>
        <w:t xml:space="preserve"> </w:t>
      </w:r>
      <w:r w:rsidR="009E1CB3">
        <w:rPr>
          <w:rFonts w:cs="Times New Roman"/>
          <w:color w:val="000000" w:themeColor="text1"/>
          <w:shd w:val="clear" w:color="auto" w:fill="FFFFFF"/>
        </w:rPr>
        <w:t xml:space="preserve">that they </w:t>
      </w:r>
      <w:r w:rsidR="00CB7E96">
        <w:rPr>
          <w:rFonts w:cs="Times New Roman"/>
          <w:color w:val="000000" w:themeColor="text1"/>
          <w:shd w:val="clear" w:color="auto" w:fill="FFFFFF"/>
        </w:rPr>
        <w:t xml:space="preserve">continued to reside on the basis of treaty rights </w:t>
      </w:r>
      <w:r w:rsidR="00A229A5">
        <w:rPr>
          <w:rFonts w:cs="Times New Roman"/>
          <w:color w:val="000000" w:themeColor="text1"/>
          <w:shd w:val="clear" w:color="auto" w:fill="FFFFFF"/>
        </w:rPr>
        <w:t xml:space="preserve">under Articles 13 or 15 of the </w:t>
      </w:r>
      <w:r w:rsidR="00C438C0">
        <w:rPr>
          <w:rFonts w:cs="Times New Roman"/>
          <w:color w:val="000000" w:themeColor="text1"/>
          <w:shd w:val="clear" w:color="auto" w:fill="FFFFFF"/>
        </w:rPr>
        <w:t>A</w:t>
      </w:r>
      <w:r w:rsidR="00A229A5">
        <w:rPr>
          <w:rFonts w:cs="Times New Roman"/>
          <w:color w:val="000000" w:themeColor="text1"/>
          <w:shd w:val="clear" w:color="auto" w:fill="FFFFFF"/>
        </w:rPr>
        <w:t>greement</w:t>
      </w:r>
      <w:r w:rsidR="00C438C0">
        <w:rPr>
          <w:rFonts w:cs="Times New Roman"/>
          <w:color w:val="000000" w:themeColor="text1"/>
          <w:shd w:val="clear" w:color="auto" w:fill="FFFFFF"/>
        </w:rPr>
        <w:t>;</w:t>
      </w:r>
      <w:r w:rsidR="00A229A5">
        <w:rPr>
          <w:rFonts w:cs="Times New Roman"/>
          <w:color w:val="000000" w:themeColor="text1"/>
          <w:shd w:val="clear" w:color="auto" w:fill="FFFFFF"/>
        </w:rPr>
        <w:t xml:space="preserve"> and</w:t>
      </w:r>
      <w:r w:rsidR="003E3BD3">
        <w:rPr>
          <w:rFonts w:cs="Times New Roman"/>
          <w:color w:val="000000" w:themeColor="text1"/>
          <w:shd w:val="clear" w:color="auto" w:fill="FFFFFF"/>
        </w:rPr>
        <w:t xml:space="preserve"> that they </w:t>
      </w:r>
      <w:r w:rsidR="00696285">
        <w:rPr>
          <w:rFonts w:cs="Times New Roman"/>
          <w:color w:val="000000" w:themeColor="text1"/>
          <w:shd w:val="clear" w:color="auto" w:fill="FFFFFF"/>
        </w:rPr>
        <w:t xml:space="preserve">had not </w:t>
      </w:r>
      <w:r w:rsidR="003E3BD3">
        <w:rPr>
          <w:rFonts w:cs="Times New Roman"/>
          <w:color w:val="000000" w:themeColor="text1"/>
          <w:shd w:val="clear" w:color="auto" w:fill="FFFFFF"/>
        </w:rPr>
        <w:t xml:space="preserve">been absent from the UK for long enough to break their continuity of residence. Such evidence </w:t>
      </w:r>
      <w:r w:rsidR="00151D6A">
        <w:rPr>
          <w:rFonts w:cs="Times New Roman"/>
          <w:color w:val="000000" w:themeColor="text1"/>
          <w:shd w:val="clear" w:color="auto" w:fill="FFFFFF"/>
        </w:rPr>
        <w:t>w</w:t>
      </w:r>
      <w:r w:rsidR="003E3BD3">
        <w:rPr>
          <w:rFonts w:cs="Times New Roman"/>
          <w:color w:val="000000" w:themeColor="text1"/>
          <w:shd w:val="clear" w:color="auto" w:fill="FFFFFF"/>
        </w:rPr>
        <w:t xml:space="preserve">ould have to be safeguarded by individuals many decades after Brexit. </w:t>
      </w:r>
      <w:r w:rsidR="00151D6A">
        <w:rPr>
          <w:rFonts w:cs="Times New Roman"/>
          <w:color w:val="000000" w:themeColor="text1"/>
          <w:shd w:val="clear" w:color="auto" w:fill="FFFFFF"/>
        </w:rPr>
        <w:t>While</w:t>
      </w:r>
      <w:r w:rsidR="00CE748D">
        <w:rPr>
          <w:rFonts w:cs="Times New Roman"/>
          <w:color w:val="000000" w:themeColor="text1"/>
          <w:shd w:val="clear" w:color="auto" w:fill="FFFFFF"/>
        </w:rPr>
        <w:t xml:space="preserve"> Javid may have been relying on </w:t>
      </w:r>
      <w:r w:rsidR="00151D6A">
        <w:rPr>
          <w:rFonts w:cs="Times New Roman"/>
          <w:color w:val="000000" w:themeColor="text1"/>
          <w:shd w:val="clear" w:color="auto" w:fill="FFFFFF"/>
        </w:rPr>
        <w:t>a false dichotomy</w:t>
      </w:r>
      <w:r w:rsidR="00CE748D">
        <w:rPr>
          <w:rFonts w:cs="Times New Roman"/>
          <w:color w:val="000000" w:themeColor="text1"/>
          <w:shd w:val="clear" w:color="auto" w:fill="FFFFFF"/>
        </w:rPr>
        <w:t xml:space="preserve"> (</w:t>
      </w:r>
      <w:r w:rsidR="00151D6A">
        <w:rPr>
          <w:rFonts w:cs="Times New Roman"/>
          <w:color w:val="000000" w:themeColor="text1"/>
          <w:shd w:val="clear" w:color="auto" w:fill="FFFFFF"/>
        </w:rPr>
        <w:t xml:space="preserve">it would have been possible for the UK to offer </w:t>
      </w:r>
      <w:r w:rsidR="00C438C0">
        <w:rPr>
          <w:rFonts w:cs="Times New Roman"/>
          <w:color w:val="000000" w:themeColor="text1"/>
          <w:shd w:val="clear" w:color="auto" w:fill="FFFFFF"/>
        </w:rPr>
        <w:t>registration</w:t>
      </w:r>
      <w:r w:rsidR="00151D6A">
        <w:rPr>
          <w:rFonts w:cs="Times New Roman"/>
          <w:color w:val="000000" w:themeColor="text1"/>
          <w:shd w:val="clear" w:color="auto" w:fill="FFFFFF"/>
        </w:rPr>
        <w:t xml:space="preserve"> but not </w:t>
      </w:r>
      <w:r w:rsidR="00CE748D">
        <w:rPr>
          <w:rFonts w:cs="Times New Roman"/>
          <w:color w:val="000000" w:themeColor="text1"/>
          <w:shd w:val="clear" w:color="auto" w:fill="FFFFFF"/>
        </w:rPr>
        <w:t xml:space="preserve">make rights conditional </w:t>
      </w:r>
      <w:r w:rsidR="00C438C0">
        <w:rPr>
          <w:rFonts w:cs="Times New Roman"/>
          <w:color w:val="000000" w:themeColor="text1"/>
          <w:shd w:val="clear" w:color="auto" w:fill="FFFFFF"/>
        </w:rPr>
        <w:t>upon</w:t>
      </w:r>
      <w:r w:rsidR="00CE748D">
        <w:rPr>
          <w:rFonts w:cs="Times New Roman"/>
          <w:color w:val="000000" w:themeColor="text1"/>
          <w:shd w:val="clear" w:color="auto" w:fill="FFFFFF"/>
        </w:rPr>
        <w:t xml:space="preserve"> registration)</w:t>
      </w:r>
      <w:r w:rsidR="00151D6A">
        <w:rPr>
          <w:rFonts w:cs="Times New Roman"/>
          <w:color w:val="000000" w:themeColor="text1"/>
          <w:shd w:val="clear" w:color="auto" w:fill="FFFFFF"/>
        </w:rPr>
        <w:t xml:space="preserve">, the </w:t>
      </w:r>
      <w:r w:rsidR="00CE748D">
        <w:rPr>
          <w:rFonts w:cs="Times New Roman"/>
          <w:color w:val="000000" w:themeColor="text1"/>
          <w:shd w:val="clear" w:color="auto" w:fill="FFFFFF"/>
        </w:rPr>
        <w:t xml:space="preserve">desire to ensure long-lasting security and certainty to </w:t>
      </w:r>
      <w:r w:rsidR="00EB6BCA">
        <w:rPr>
          <w:rFonts w:cs="Times New Roman"/>
          <w:color w:val="000000" w:themeColor="text1"/>
          <w:shd w:val="clear" w:color="auto" w:fill="FFFFFF"/>
        </w:rPr>
        <w:t>EU citizens</w:t>
      </w:r>
      <w:r w:rsidR="00CE748D">
        <w:rPr>
          <w:rFonts w:cs="Times New Roman"/>
          <w:color w:val="000000" w:themeColor="text1"/>
          <w:shd w:val="clear" w:color="auto" w:fill="FFFFFF"/>
        </w:rPr>
        <w:t xml:space="preserve"> and their family members </w:t>
      </w:r>
      <w:r w:rsidR="00AB0097">
        <w:rPr>
          <w:rFonts w:cs="Times New Roman"/>
          <w:color w:val="000000" w:themeColor="text1"/>
          <w:shd w:val="clear" w:color="auto" w:fill="FFFFFF"/>
        </w:rPr>
        <w:t>played an important role in the design of the scheme.</w:t>
      </w:r>
      <w:r w:rsidR="00C62B16">
        <w:rPr>
          <w:rFonts w:cs="Times New Roman"/>
          <w:color w:val="000000" w:themeColor="text1"/>
          <w:shd w:val="clear" w:color="auto" w:fill="FFFFFF"/>
        </w:rPr>
        <w:t xml:space="preserve"> </w:t>
      </w:r>
      <w:r w:rsidR="0026477A">
        <w:rPr>
          <w:rFonts w:cs="Times New Roman"/>
          <w:color w:val="000000" w:themeColor="text1"/>
          <w:shd w:val="clear" w:color="auto" w:fill="FFFFFF"/>
        </w:rPr>
        <w:t xml:space="preserve">Instead of </w:t>
      </w:r>
      <w:r w:rsidR="008A0CD5">
        <w:rPr>
          <w:rFonts w:cs="Times New Roman"/>
          <w:color w:val="000000" w:themeColor="text1"/>
          <w:shd w:val="clear" w:color="auto" w:fill="FFFFFF"/>
        </w:rPr>
        <w:t>having to keep sufficient records of your history in the UK</w:t>
      </w:r>
      <w:r w:rsidR="00C438C0">
        <w:rPr>
          <w:rFonts w:cs="Times New Roman"/>
          <w:color w:val="000000" w:themeColor="text1"/>
          <w:shd w:val="clear" w:color="auto" w:fill="FFFFFF"/>
        </w:rPr>
        <w:t>,</w:t>
      </w:r>
      <w:r w:rsidR="008A0CD5">
        <w:rPr>
          <w:rFonts w:cs="Times New Roman"/>
          <w:color w:val="000000" w:themeColor="text1"/>
          <w:shd w:val="clear" w:color="auto" w:fill="FFFFFF"/>
        </w:rPr>
        <w:t xml:space="preserve"> and </w:t>
      </w:r>
      <w:r w:rsidR="00C438C0">
        <w:rPr>
          <w:rFonts w:cs="Times New Roman"/>
          <w:color w:val="000000" w:themeColor="text1"/>
          <w:shd w:val="clear" w:color="auto" w:fill="FFFFFF"/>
        </w:rPr>
        <w:t xml:space="preserve">evidence of </w:t>
      </w:r>
      <w:r w:rsidR="008A0CD5">
        <w:rPr>
          <w:rFonts w:cs="Times New Roman"/>
          <w:color w:val="000000" w:themeColor="text1"/>
          <w:shd w:val="clear" w:color="auto" w:fill="FFFFFF"/>
        </w:rPr>
        <w:t>economic activit</w:t>
      </w:r>
      <w:r w:rsidR="00C438C0">
        <w:rPr>
          <w:rFonts w:cs="Times New Roman"/>
          <w:color w:val="000000" w:themeColor="text1"/>
          <w:shd w:val="clear" w:color="auto" w:fill="FFFFFF"/>
        </w:rPr>
        <w:t>ies</w:t>
      </w:r>
      <w:r w:rsidR="008A0CD5">
        <w:rPr>
          <w:rFonts w:cs="Times New Roman"/>
          <w:color w:val="000000" w:themeColor="text1"/>
          <w:shd w:val="clear" w:color="auto" w:fill="FFFFFF"/>
        </w:rPr>
        <w:t xml:space="preserve"> you were engaged in at specific points in time, </w:t>
      </w:r>
      <w:r w:rsidR="00C438C0">
        <w:rPr>
          <w:rFonts w:cs="Times New Roman"/>
          <w:color w:val="000000" w:themeColor="text1"/>
          <w:shd w:val="clear" w:color="auto" w:fill="FFFFFF"/>
        </w:rPr>
        <w:t>having EUSS status would act as</w:t>
      </w:r>
      <w:r w:rsidR="00F9212B">
        <w:rPr>
          <w:rFonts w:cs="Times New Roman"/>
          <w:color w:val="000000" w:themeColor="text1"/>
          <w:shd w:val="clear" w:color="auto" w:fill="FFFFFF"/>
        </w:rPr>
        <w:t xml:space="preserve"> confirmation </w:t>
      </w:r>
      <w:r w:rsidR="00C438C0">
        <w:rPr>
          <w:rFonts w:cs="Times New Roman"/>
          <w:color w:val="000000" w:themeColor="text1"/>
          <w:shd w:val="clear" w:color="auto" w:fill="FFFFFF"/>
        </w:rPr>
        <w:t>of</w:t>
      </w:r>
      <w:r w:rsidR="00F9212B">
        <w:rPr>
          <w:rFonts w:cs="Times New Roman"/>
          <w:color w:val="000000" w:themeColor="text1"/>
          <w:shd w:val="clear" w:color="auto" w:fill="FFFFFF"/>
        </w:rPr>
        <w:t xml:space="preserve"> me</w:t>
      </w:r>
      <w:r w:rsidR="00C438C0">
        <w:rPr>
          <w:rFonts w:cs="Times New Roman"/>
          <w:color w:val="000000" w:themeColor="text1"/>
          <w:shd w:val="clear" w:color="auto" w:fill="FFFFFF"/>
        </w:rPr>
        <w:t>e</w:t>
      </w:r>
      <w:r w:rsidR="004D76CF">
        <w:rPr>
          <w:rFonts w:cs="Times New Roman"/>
          <w:color w:val="000000" w:themeColor="text1"/>
          <w:shd w:val="clear" w:color="auto" w:fill="FFFFFF"/>
        </w:rPr>
        <w:t>t</w:t>
      </w:r>
      <w:r w:rsidR="00C438C0">
        <w:rPr>
          <w:rFonts w:cs="Times New Roman"/>
          <w:color w:val="000000" w:themeColor="text1"/>
          <w:shd w:val="clear" w:color="auto" w:fill="FFFFFF"/>
        </w:rPr>
        <w:t>ing</w:t>
      </w:r>
      <w:r w:rsidR="004D76CF">
        <w:rPr>
          <w:rFonts w:cs="Times New Roman"/>
          <w:color w:val="000000" w:themeColor="text1"/>
          <w:shd w:val="clear" w:color="auto" w:fill="FFFFFF"/>
        </w:rPr>
        <w:t xml:space="preserve"> the criteria for continued residence rights in the UK. This status would then secure their rights, and their </w:t>
      </w:r>
      <w:r w:rsidR="00530624">
        <w:rPr>
          <w:rFonts w:cs="Times New Roman"/>
          <w:color w:val="000000" w:themeColor="text1"/>
          <w:shd w:val="clear" w:color="auto" w:fill="FFFFFF"/>
        </w:rPr>
        <w:t>children’s</w:t>
      </w:r>
      <w:r w:rsidR="004D76CF">
        <w:rPr>
          <w:rFonts w:cs="Times New Roman"/>
          <w:color w:val="000000" w:themeColor="text1"/>
          <w:shd w:val="clear" w:color="auto" w:fill="FFFFFF"/>
        </w:rPr>
        <w:t xml:space="preserve"> rights</w:t>
      </w:r>
      <w:r w:rsidR="00936AF5">
        <w:rPr>
          <w:rFonts w:cs="Times New Roman"/>
          <w:color w:val="000000" w:themeColor="text1"/>
          <w:shd w:val="clear" w:color="auto" w:fill="FFFFFF"/>
        </w:rPr>
        <w:t>,</w:t>
      </w:r>
      <w:r w:rsidR="004D76CF">
        <w:rPr>
          <w:rFonts w:cs="Times New Roman"/>
          <w:color w:val="000000" w:themeColor="text1"/>
          <w:shd w:val="clear" w:color="auto" w:fill="FFFFFF"/>
        </w:rPr>
        <w:t xml:space="preserve"> for t</w:t>
      </w:r>
      <w:r w:rsidR="00530624">
        <w:rPr>
          <w:rFonts w:cs="Times New Roman"/>
          <w:color w:val="000000" w:themeColor="text1"/>
          <w:shd w:val="clear" w:color="auto" w:fill="FFFFFF"/>
        </w:rPr>
        <w:t xml:space="preserve">heir lifetimes, provided their status was not curtailed, cancelled or </w:t>
      </w:r>
      <w:r w:rsidR="00243913">
        <w:rPr>
          <w:rFonts w:cs="Times New Roman"/>
          <w:color w:val="000000" w:themeColor="text1"/>
          <w:shd w:val="clear" w:color="auto" w:fill="FFFFFF"/>
        </w:rPr>
        <w:t>revoked</w:t>
      </w:r>
      <w:r w:rsidR="00C21DDD">
        <w:rPr>
          <w:rFonts w:cs="Times New Roman"/>
          <w:color w:val="000000" w:themeColor="text1"/>
          <w:shd w:val="clear" w:color="auto" w:fill="FFFFFF"/>
        </w:rPr>
        <w:t>.</w:t>
      </w:r>
      <w:r w:rsidR="00C21DDD">
        <w:rPr>
          <w:rStyle w:val="FootnoteReference"/>
          <w:rFonts w:cs="Times New Roman"/>
          <w:color w:val="000000" w:themeColor="text1"/>
          <w:shd w:val="clear" w:color="auto" w:fill="FFFFFF"/>
        </w:rPr>
        <w:footnoteReference w:id="13"/>
      </w:r>
      <w:r w:rsidR="00C4385F">
        <w:rPr>
          <w:rFonts w:cs="Times New Roman"/>
          <w:color w:val="000000" w:themeColor="text1"/>
          <w:shd w:val="clear" w:color="auto" w:fill="FFFFFF"/>
        </w:rPr>
        <w:t xml:space="preserve"> </w:t>
      </w:r>
    </w:p>
    <w:p w14:paraId="17EE8472" w14:textId="1AADAD98" w:rsidR="00C608F4" w:rsidRDefault="00342913" w:rsidP="00DE7F71">
      <w:pPr>
        <w:rPr>
          <w:rFonts w:cs="Times New Roman"/>
          <w:color w:val="000000" w:themeColor="text1"/>
          <w:shd w:val="clear" w:color="auto" w:fill="FFFFFF"/>
        </w:rPr>
      </w:pPr>
      <w:r>
        <w:rPr>
          <w:rFonts w:cs="Times New Roman"/>
          <w:color w:val="000000" w:themeColor="text1"/>
          <w:shd w:val="clear" w:color="auto" w:fill="FFFFFF"/>
        </w:rPr>
        <w:t>The scheme had to provide certainty and security, but it had to do so as straightforwardly</w:t>
      </w:r>
      <w:r w:rsidR="0064293B">
        <w:rPr>
          <w:rFonts w:cs="Times New Roman"/>
          <w:color w:val="000000" w:themeColor="text1"/>
          <w:shd w:val="clear" w:color="auto" w:fill="FFFFFF"/>
        </w:rPr>
        <w:t xml:space="preserve"> as</w:t>
      </w:r>
      <w:r>
        <w:rPr>
          <w:rFonts w:cs="Times New Roman"/>
          <w:color w:val="000000" w:themeColor="text1"/>
          <w:shd w:val="clear" w:color="auto" w:fill="FFFFFF"/>
        </w:rPr>
        <w:t xml:space="preserve"> possible; it had to be administratively practicable in a short time scale, as the UK opted for the soonest permitted deadline for application,</w:t>
      </w:r>
      <w:r>
        <w:rPr>
          <w:rStyle w:val="FootnoteReference"/>
          <w:rFonts w:cs="Times New Roman"/>
          <w:color w:val="000000" w:themeColor="text1"/>
          <w:shd w:val="clear" w:color="auto" w:fill="FFFFFF"/>
        </w:rPr>
        <w:footnoteReference w:id="14"/>
      </w:r>
      <w:r>
        <w:rPr>
          <w:rFonts w:cs="Times New Roman"/>
          <w:color w:val="000000" w:themeColor="text1"/>
          <w:shd w:val="clear" w:color="auto" w:fill="FFFFFF"/>
        </w:rPr>
        <w:t xml:space="preserve"> aware that millions of such applications must be processed. </w:t>
      </w:r>
      <w:r w:rsidR="00171790">
        <w:rPr>
          <w:rFonts w:cs="Times New Roman"/>
          <w:color w:val="000000" w:themeColor="text1"/>
          <w:shd w:val="clear" w:color="auto" w:fill="FFFFFF"/>
        </w:rPr>
        <w:t xml:space="preserve">This was a monumental </w:t>
      </w:r>
      <w:r w:rsidR="001D35B8">
        <w:rPr>
          <w:rFonts w:cs="Times New Roman"/>
          <w:color w:val="000000" w:themeColor="text1"/>
          <w:shd w:val="clear" w:color="auto" w:fill="FFFFFF"/>
        </w:rPr>
        <w:t>task and</w:t>
      </w:r>
      <w:r w:rsidR="009E2D7E">
        <w:rPr>
          <w:rFonts w:cs="Times New Roman"/>
          <w:color w:val="000000" w:themeColor="text1"/>
          <w:shd w:val="clear" w:color="auto" w:fill="FFFFFF"/>
        </w:rPr>
        <w:t xml:space="preserve"> ultimately relied on </w:t>
      </w:r>
      <w:r w:rsidR="00C438C0">
        <w:rPr>
          <w:rFonts w:cs="Times New Roman"/>
          <w:color w:val="000000" w:themeColor="text1"/>
          <w:shd w:val="clear" w:color="auto" w:fill="FFFFFF"/>
        </w:rPr>
        <w:t>simplifying</w:t>
      </w:r>
      <w:r w:rsidR="009E2D7E">
        <w:rPr>
          <w:rFonts w:cs="Times New Roman"/>
          <w:color w:val="000000" w:themeColor="text1"/>
          <w:shd w:val="clear" w:color="auto" w:fill="FFFFFF"/>
        </w:rPr>
        <w:t xml:space="preserve"> the conditions for residence status, easing both the evidential burden on applicants and, importantly, the </w:t>
      </w:r>
      <w:r w:rsidR="009E2D7E">
        <w:rPr>
          <w:rFonts w:cs="Times New Roman"/>
          <w:color w:val="000000" w:themeColor="text1"/>
          <w:shd w:val="clear" w:color="auto" w:fill="FFFFFF"/>
        </w:rPr>
        <w:lastRenderedPageBreak/>
        <w:t>administrative burden on the state to process applications.</w:t>
      </w:r>
      <w:r>
        <w:rPr>
          <w:rStyle w:val="FootnoteReference"/>
          <w:rFonts w:cs="Times New Roman"/>
          <w:color w:val="000000" w:themeColor="text1"/>
          <w:shd w:val="clear" w:color="auto" w:fill="FFFFFF"/>
        </w:rPr>
        <w:footnoteReference w:id="15"/>
      </w:r>
      <w:r>
        <w:rPr>
          <w:rFonts w:cs="Times New Roman"/>
          <w:color w:val="000000" w:themeColor="text1"/>
          <w:shd w:val="clear" w:color="auto" w:fill="FFFFFF"/>
        </w:rPr>
        <w:t xml:space="preserve"> This resulted in a </w:t>
      </w:r>
      <w:r w:rsidR="000A4A6B">
        <w:rPr>
          <w:rFonts w:cs="Times New Roman"/>
          <w:color w:val="000000" w:themeColor="text1"/>
          <w:shd w:val="clear" w:color="auto" w:fill="FFFFFF"/>
        </w:rPr>
        <w:t xml:space="preserve">parallel system of different </w:t>
      </w:r>
      <w:r>
        <w:rPr>
          <w:rFonts w:cs="Times New Roman"/>
          <w:color w:val="000000" w:themeColor="text1"/>
          <w:shd w:val="clear" w:color="auto" w:fill="FFFFFF"/>
        </w:rPr>
        <w:t>–</w:t>
      </w:r>
      <w:r w:rsidR="00785EF1">
        <w:rPr>
          <w:rFonts w:cs="Times New Roman"/>
          <w:color w:val="000000" w:themeColor="text1"/>
          <w:shd w:val="clear" w:color="auto" w:fill="FFFFFF"/>
        </w:rPr>
        <w:t xml:space="preserve"> </w:t>
      </w:r>
      <w:r>
        <w:rPr>
          <w:rFonts w:cs="Times New Roman"/>
          <w:color w:val="000000" w:themeColor="text1"/>
          <w:shd w:val="clear" w:color="auto" w:fill="FFFFFF"/>
        </w:rPr>
        <w:t xml:space="preserve">less onerous – conditions </w:t>
      </w:r>
      <w:r w:rsidR="00AE4628">
        <w:rPr>
          <w:rFonts w:cs="Times New Roman"/>
          <w:color w:val="000000" w:themeColor="text1"/>
          <w:shd w:val="clear" w:color="auto" w:fill="FFFFFF"/>
        </w:rPr>
        <w:t>to th</w:t>
      </w:r>
      <w:r>
        <w:rPr>
          <w:rFonts w:cs="Times New Roman"/>
          <w:color w:val="000000" w:themeColor="text1"/>
          <w:shd w:val="clear" w:color="auto" w:fill="FFFFFF"/>
        </w:rPr>
        <w:t>os</w:t>
      </w:r>
      <w:r w:rsidR="00AE4628">
        <w:rPr>
          <w:rFonts w:cs="Times New Roman"/>
          <w:color w:val="000000" w:themeColor="text1"/>
          <w:shd w:val="clear" w:color="auto" w:fill="FFFFFF"/>
        </w:rPr>
        <w:t>e</w:t>
      </w:r>
      <w:r>
        <w:rPr>
          <w:rFonts w:cs="Times New Roman"/>
          <w:color w:val="000000" w:themeColor="text1"/>
          <w:shd w:val="clear" w:color="auto" w:fill="FFFFFF"/>
        </w:rPr>
        <w:t xml:space="preserve"> permitted under the</w:t>
      </w:r>
      <w:r w:rsidR="002C7127">
        <w:rPr>
          <w:rFonts w:cs="Times New Roman"/>
          <w:color w:val="000000" w:themeColor="text1"/>
          <w:shd w:val="clear" w:color="auto" w:fill="FFFFFF"/>
        </w:rPr>
        <w:t xml:space="preserve"> </w:t>
      </w:r>
      <w:r w:rsidR="000A4A6B">
        <w:rPr>
          <w:rFonts w:cs="Times New Roman"/>
          <w:color w:val="000000" w:themeColor="text1"/>
          <w:shd w:val="clear" w:color="auto" w:fill="FFFFFF"/>
        </w:rPr>
        <w:t>WA</w:t>
      </w:r>
      <w:r w:rsidR="002C7127">
        <w:rPr>
          <w:rFonts w:cs="Times New Roman"/>
          <w:color w:val="000000" w:themeColor="text1"/>
          <w:shd w:val="clear" w:color="auto" w:fill="FFFFFF"/>
        </w:rPr>
        <w:t xml:space="preserve">. </w:t>
      </w:r>
    </w:p>
    <w:p w14:paraId="4882193D" w14:textId="77777777" w:rsidR="000C2849" w:rsidRDefault="000C2849" w:rsidP="009743D2">
      <w:pPr>
        <w:rPr>
          <w:rFonts w:cs="Times New Roman"/>
          <w:i/>
          <w:iCs/>
          <w:color w:val="000000" w:themeColor="text1"/>
          <w:shd w:val="clear" w:color="auto" w:fill="FFFFFF"/>
        </w:rPr>
      </w:pPr>
    </w:p>
    <w:p w14:paraId="4A1CA688" w14:textId="3F09AE2C" w:rsidR="009743D2" w:rsidRPr="009743D2" w:rsidRDefault="009743D2" w:rsidP="00A45C95">
      <w:pPr>
        <w:pStyle w:val="Heading2"/>
        <w:rPr>
          <w:shd w:val="clear" w:color="auto" w:fill="FFFFFF"/>
        </w:rPr>
      </w:pPr>
      <w:r>
        <w:rPr>
          <w:shd w:val="clear" w:color="auto" w:fill="FFFFFF"/>
        </w:rPr>
        <w:t>Domestic</w:t>
      </w:r>
      <w:r w:rsidR="001B0B0C">
        <w:rPr>
          <w:shd w:val="clear" w:color="auto" w:fill="FFFFFF"/>
        </w:rPr>
        <w:t xml:space="preserve"> diversion</w:t>
      </w:r>
      <w:r w:rsidR="00471AF5">
        <w:rPr>
          <w:shd w:val="clear" w:color="auto" w:fill="FFFFFF"/>
        </w:rPr>
        <w:t>: ‘simplifying’ the EUSS</w:t>
      </w:r>
    </w:p>
    <w:p w14:paraId="2B40C445" w14:textId="339D12A4" w:rsidR="00D222C5" w:rsidRDefault="00883EBB" w:rsidP="00DE7F71">
      <w:pPr>
        <w:spacing w:after="120"/>
        <w:rPr>
          <w:rFonts w:cs="Times New Roman"/>
          <w:color w:val="000000" w:themeColor="text1"/>
          <w:shd w:val="clear" w:color="auto" w:fill="FFFFFF"/>
        </w:rPr>
      </w:pPr>
      <w:r w:rsidRPr="00883EBB">
        <w:rPr>
          <w:rFonts w:cs="Times New Roman"/>
          <w:color w:val="000000" w:themeColor="text1"/>
          <w:shd w:val="clear" w:color="auto" w:fill="FFFFFF"/>
        </w:rPr>
        <w:t>The Withdrawal Agreement permit</w:t>
      </w:r>
      <w:r w:rsidR="0079509D">
        <w:rPr>
          <w:rFonts w:cs="Times New Roman"/>
          <w:color w:val="000000" w:themeColor="text1"/>
          <w:shd w:val="clear" w:color="auto" w:fill="FFFFFF"/>
        </w:rPr>
        <w:t>ted</w:t>
      </w:r>
      <w:r w:rsidRPr="00883EBB">
        <w:rPr>
          <w:rFonts w:cs="Times New Roman"/>
          <w:color w:val="000000" w:themeColor="text1"/>
          <w:shd w:val="clear" w:color="auto" w:fill="FFFFFF"/>
        </w:rPr>
        <w:t xml:space="preserve"> the UK to require EU nationals to meet certain conditions before becoming entitled to ‘temporary residence’ (Article 13), or ‘permanent residence’ (Article 15). These </w:t>
      </w:r>
      <w:r w:rsidR="003C3480">
        <w:rPr>
          <w:rFonts w:cs="Times New Roman"/>
          <w:color w:val="000000" w:themeColor="text1"/>
          <w:shd w:val="clear" w:color="auto" w:fill="FFFFFF"/>
        </w:rPr>
        <w:t>replicate</w:t>
      </w:r>
      <w:r w:rsidRPr="00883EBB">
        <w:rPr>
          <w:rFonts w:cs="Times New Roman"/>
          <w:color w:val="000000" w:themeColor="text1"/>
          <w:shd w:val="clear" w:color="auto" w:fill="FFFFFF"/>
        </w:rPr>
        <w:t xml:space="preserve"> the traditional ‘right to reside’ conditions in EU free movement law. The focus is on economic status – being in work</w:t>
      </w:r>
      <w:r w:rsidR="005C5334">
        <w:rPr>
          <w:rFonts w:cs="Times New Roman"/>
          <w:color w:val="000000" w:themeColor="text1"/>
          <w:shd w:val="clear" w:color="auto" w:fill="FFFFFF"/>
        </w:rPr>
        <w:t xml:space="preserve"> or self-employment</w:t>
      </w:r>
      <w:r w:rsidRPr="00883EBB">
        <w:rPr>
          <w:rFonts w:cs="Times New Roman"/>
          <w:color w:val="000000" w:themeColor="text1"/>
          <w:shd w:val="clear" w:color="auto" w:fill="FFFFFF"/>
        </w:rPr>
        <w:t xml:space="preserve">, or being the family member of a worker, being self-sufficient (which the Upper Tribunal has interpreted as </w:t>
      </w:r>
      <w:r w:rsidR="00450434">
        <w:rPr>
          <w:rFonts w:cs="Times New Roman"/>
          <w:color w:val="000000" w:themeColor="text1"/>
          <w:shd w:val="clear" w:color="auto" w:fill="FFFFFF"/>
        </w:rPr>
        <w:t xml:space="preserve">meaning </w:t>
      </w:r>
      <w:r w:rsidRPr="00883EBB">
        <w:rPr>
          <w:rFonts w:cs="Times New Roman"/>
          <w:color w:val="000000" w:themeColor="text1"/>
          <w:shd w:val="clear" w:color="auto" w:fill="FFFFFF"/>
        </w:rPr>
        <w:t>command</w:t>
      </w:r>
      <w:r w:rsidR="00450434">
        <w:rPr>
          <w:rFonts w:cs="Times New Roman"/>
          <w:color w:val="000000" w:themeColor="text1"/>
          <w:shd w:val="clear" w:color="auto" w:fill="FFFFFF"/>
        </w:rPr>
        <w:t xml:space="preserve">s </w:t>
      </w:r>
      <w:r w:rsidRPr="00883EBB">
        <w:rPr>
          <w:rFonts w:cs="Times New Roman"/>
          <w:color w:val="000000" w:themeColor="text1"/>
          <w:shd w:val="clear" w:color="auto" w:fill="FFFFFF"/>
        </w:rPr>
        <w:t>a substantial degree of resources at the outset)</w:t>
      </w:r>
      <w:r w:rsidR="000022A8">
        <w:rPr>
          <w:rStyle w:val="FootnoteReference"/>
          <w:rFonts w:cs="Times New Roman"/>
          <w:color w:val="000000" w:themeColor="text1"/>
          <w:shd w:val="clear" w:color="auto" w:fill="FFFFFF"/>
        </w:rPr>
        <w:footnoteReference w:id="16"/>
      </w:r>
      <w:r w:rsidRPr="00883EBB">
        <w:rPr>
          <w:rFonts w:cs="Times New Roman"/>
          <w:color w:val="000000" w:themeColor="text1"/>
          <w:shd w:val="clear" w:color="auto" w:fill="FFFFFF"/>
        </w:rPr>
        <w:t>, or being a student (with limited equal treatment rights).</w:t>
      </w:r>
      <w:r w:rsidR="0046408A">
        <w:rPr>
          <w:rStyle w:val="FootnoteReference"/>
          <w:rFonts w:cs="Times New Roman"/>
          <w:color w:val="000000" w:themeColor="text1"/>
          <w:shd w:val="clear" w:color="auto" w:fill="FFFFFF"/>
        </w:rPr>
        <w:footnoteReference w:id="17"/>
      </w:r>
      <w:r w:rsidRPr="00883EBB">
        <w:rPr>
          <w:rFonts w:cs="Times New Roman"/>
          <w:color w:val="000000" w:themeColor="text1"/>
          <w:shd w:val="clear" w:color="auto" w:fill="FFFFFF"/>
        </w:rPr>
        <w:t xml:space="preserve"> Under the old rules, someone then had to show they were continually exercising </w:t>
      </w:r>
      <w:r w:rsidR="00450434">
        <w:rPr>
          <w:rFonts w:cs="Times New Roman"/>
          <w:color w:val="000000" w:themeColor="text1"/>
          <w:shd w:val="clear" w:color="auto" w:fill="FFFFFF"/>
        </w:rPr>
        <w:t>one or more</w:t>
      </w:r>
      <w:r w:rsidRPr="00883EBB">
        <w:rPr>
          <w:rFonts w:cs="Times New Roman"/>
          <w:color w:val="000000" w:themeColor="text1"/>
          <w:shd w:val="clear" w:color="auto" w:fill="FFFFFF"/>
        </w:rPr>
        <w:t xml:space="preserve"> right</w:t>
      </w:r>
      <w:r w:rsidR="00450434">
        <w:rPr>
          <w:rFonts w:cs="Times New Roman"/>
          <w:color w:val="000000" w:themeColor="text1"/>
          <w:shd w:val="clear" w:color="auto" w:fill="FFFFFF"/>
        </w:rPr>
        <w:t>s</w:t>
      </w:r>
      <w:r w:rsidRPr="00883EBB">
        <w:rPr>
          <w:rFonts w:cs="Times New Roman"/>
          <w:color w:val="000000" w:themeColor="text1"/>
          <w:shd w:val="clear" w:color="auto" w:fill="FFFFFF"/>
        </w:rPr>
        <w:t xml:space="preserve"> to reside </w:t>
      </w:r>
      <w:r w:rsidR="00450434">
        <w:rPr>
          <w:rFonts w:cs="Times New Roman"/>
          <w:color w:val="000000" w:themeColor="text1"/>
          <w:shd w:val="clear" w:color="auto" w:fill="FFFFFF"/>
        </w:rPr>
        <w:t xml:space="preserve">continuously </w:t>
      </w:r>
      <w:r w:rsidRPr="00883EBB">
        <w:rPr>
          <w:rFonts w:cs="Times New Roman"/>
          <w:color w:val="000000" w:themeColor="text1"/>
          <w:shd w:val="clear" w:color="auto" w:fill="FFFFFF"/>
        </w:rPr>
        <w:t xml:space="preserve">for five years before getting </w:t>
      </w:r>
      <w:r w:rsidR="00450434">
        <w:rPr>
          <w:rFonts w:cs="Times New Roman"/>
          <w:color w:val="000000" w:themeColor="text1"/>
          <w:shd w:val="clear" w:color="auto" w:fill="FFFFFF"/>
        </w:rPr>
        <w:t xml:space="preserve">the right to </w:t>
      </w:r>
      <w:r w:rsidRPr="00883EBB">
        <w:rPr>
          <w:rFonts w:cs="Times New Roman"/>
          <w:color w:val="000000" w:themeColor="text1"/>
          <w:shd w:val="clear" w:color="auto" w:fill="FFFFFF"/>
        </w:rPr>
        <w:t xml:space="preserve">permanent residence </w:t>
      </w:r>
      <w:r w:rsidR="00450434">
        <w:rPr>
          <w:rFonts w:cs="Times New Roman"/>
          <w:color w:val="000000" w:themeColor="text1"/>
          <w:shd w:val="clear" w:color="auto" w:fill="FFFFFF"/>
        </w:rPr>
        <w:t>provided for in Directive 2004/38.</w:t>
      </w:r>
      <w:r w:rsidR="0046408A">
        <w:rPr>
          <w:rStyle w:val="FootnoteReference"/>
          <w:rFonts w:cs="Times New Roman"/>
          <w:color w:val="000000" w:themeColor="text1"/>
          <w:shd w:val="clear" w:color="auto" w:fill="FFFFFF"/>
        </w:rPr>
        <w:footnoteReference w:id="18"/>
      </w:r>
      <w:r w:rsidR="00A63D0A">
        <w:rPr>
          <w:rFonts w:cs="Times New Roman"/>
          <w:color w:val="000000" w:themeColor="text1"/>
          <w:shd w:val="clear" w:color="auto" w:fill="FFFFFF"/>
        </w:rPr>
        <w:t xml:space="preserve"> </w:t>
      </w:r>
      <w:r w:rsidR="00450434">
        <w:rPr>
          <w:rFonts w:cs="Times New Roman"/>
          <w:color w:val="000000" w:themeColor="text1"/>
          <w:shd w:val="clear" w:color="auto" w:fill="FFFFFF"/>
        </w:rPr>
        <w:t>T</w:t>
      </w:r>
      <w:r w:rsidR="00A63D0A">
        <w:rPr>
          <w:rFonts w:cs="Times New Roman"/>
          <w:color w:val="000000" w:themeColor="text1"/>
          <w:shd w:val="clear" w:color="auto" w:fill="FFFFFF"/>
        </w:rPr>
        <w:t xml:space="preserve">his was not required to continue to live in the UK well beyond a </w:t>
      </w:r>
      <w:r w:rsidR="0046408A">
        <w:rPr>
          <w:rFonts w:cs="Times New Roman"/>
          <w:color w:val="000000" w:themeColor="text1"/>
          <w:shd w:val="clear" w:color="auto" w:fill="FFFFFF"/>
        </w:rPr>
        <w:t>five-year</w:t>
      </w:r>
      <w:r w:rsidR="00A63D0A">
        <w:rPr>
          <w:rFonts w:cs="Times New Roman"/>
          <w:color w:val="000000" w:themeColor="text1"/>
          <w:shd w:val="clear" w:color="auto" w:fill="FFFFFF"/>
        </w:rPr>
        <w:t xml:space="preserve"> period</w:t>
      </w:r>
      <w:r w:rsidR="003178D0">
        <w:rPr>
          <w:rFonts w:cs="Times New Roman"/>
          <w:color w:val="000000" w:themeColor="text1"/>
          <w:shd w:val="clear" w:color="auto" w:fill="FFFFFF"/>
        </w:rPr>
        <w:t xml:space="preserve">; for many people whose economic activity was interrupted the ‘clock’ just started again, and they ended up with temporary residence rights, long-term. As, prior to Brexit, the UK did not require registration of residence on the part of those exercising EU free movement rights, </w:t>
      </w:r>
      <w:r w:rsidR="00A63D0A">
        <w:rPr>
          <w:rFonts w:cs="Times New Roman"/>
          <w:color w:val="000000" w:themeColor="text1"/>
          <w:shd w:val="clear" w:color="auto" w:fill="FFFFFF"/>
        </w:rPr>
        <w:t xml:space="preserve">many EU citizens had lived in the UK for many years, without </w:t>
      </w:r>
      <w:r w:rsidR="004C26E9">
        <w:rPr>
          <w:rFonts w:cs="Times New Roman"/>
          <w:color w:val="000000" w:themeColor="text1"/>
          <w:shd w:val="clear" w:color="auto" w:fill="FFFFFF"/>
        </w:rPr>
        <w:t>having ever been</w:t>
      </w:r>
      <w:r w:rsidR="00A63D0A">
        <w:rPr>
          <w:rFonts w:cs="Times New Roman"/>
          <w:color w:val="000000" w:themeColor="text1"/>
          <w:shd w:val="clear" w:color="auto" w:fill="FFFFFF"/>
        </w:rPr>
        <w:t xml:space="preserve"> told </w:t>
      </w:r>
      <w:r w:rsidR="003178D0">
        <w:rPr>
          <w:rFonts w:cs="Times New Roman"/>
          <w:color w:val="000000" w:themeColor="text1"/>
          <w:shd w:val="clear" w:color="auto" w:fill="FFFFFF"/>
        </w:rPr>
        <w:t xml:space="preserve">whether they were </w:t>
      </w:r>
      <w:r w:rsidR="00A63D0A">
        <w:rPr>
          <w:rFonts w:cs="Times New Roman"/>
          <w:color w:val="000000" w:themeColor="text1"/>
          <w:shd w:val="clear" w:color="auto" w:fill="FFFFFF"/>
        </w:rPr>
        <w:t>residing ‘lawfully’ under EU free movement rules</w:t>
      </w:r>
      <w:r w:rsidR="002C2377">
        <w:rPr>
          <w:rFonts w:cs="Times New Roman"/>
          <w:color w:val="000000" w:themeColor="text1"/>
          <w:shd w:val="clear" w:color="auto" w:fill="FFFFFF"/>
        </w:rPr>
        <w:t xml:space="preserve">. </w:t>
      </w:r>
      <w:r w:rsidR="00FD24FD">
        <w:rPr>
          <w:rFonts w:cs="Times New Roman"/>
          <w:color w:val="000000" w:themeColor="text1"/>
          <w:shd w:val="clear" w:color="auto" w:fill="FFFFFF"/>
        </w:rPr>
        <w:t>Usually, on</w:t>
      </w:r>
      <w:r w:rsidR="00A63D0A">
        <w:rPr>
          <w:rFonts w:cs="Times New Roman"/>
          <w:color w:val="000000" w:themeColor="text1"/>
          <w:shd w:val="clear" w:color="auto" w:fill="FFFFFF"/>
        </w:rPr>
        <w:t>ly</w:t>
      </w:r>
      <w:r w:rsidR="002C2377">
        <w:rPr>
          <w:rFonts w:cs="Times New Roman"/>
          <w:color w:val="000000" w:themeColor="text1"/>
          <w:shd w:val="clear" w:color="auto" w:fill="FFFFFF"/>
        </w:rPr>
        <w:t xml:space="preserve"> an application for means-tested</w:t>
      </w:r>
      <w:r w:rsidR="00A63D0A">
        <w:rPr>
          <w:rFonts w:cs="Times New Roman"/>
          <w:color w:val="000000" w:themeColor="text1"/>
          <w:shd w:val="clear" w:color="auto" w:fill="FFFFFF"/>
        </w:rPr>
        <w:t xml:space="preserve"> welfare benefits</w:t>
      </w:r>
      <w:r w:rsidR="00FD24FD">
        <w:rPr>
          <w:rFonts w:cs="Times New Roman"/>
          <w:color w:val="000000" w:themeColor="text1"/>
          <w:shd w:val="clear" w:color="auto" w:fill="FFFFFF"/>
        </w:rPr>
        <w:t>,</w:t>
      </w:r>
      <w:r w:rsidR="00A63D0A">
        <w:rPr>
          <w:rFonts w:cs="Times New Roman"/>
          <w:color w:val="000000" w:themeColor="text1"/>
          <w:shd w:val="clear" w:color="auto" w:fill="FFFFFF"/>
        </w:rPr>
        <w:t xml:space="preserve"> housing</w:t>
      </w:r>
      <w:r w:rsidR="00FD24FD">
        <w:rPr>
          <w:rFonts w:cs="Times New Roman"/>
          <w:color w:val="000000" w:themeColor="text1"/>
          <w:shd w:val="clear" w:color="auto" w:fill="FFFFFF"/>
        </w:rPr>
        <w:t xml:space="preserve"> or a document confirming permanent </w:t>
      </w:r>
      <w:r w:rsidR="00B25AAA">
        <w:rPr>
          <w:rFonts w:cs="Times New Roman"/>
          <w:color w:val="000000" w:themeColor="text1"/>
          <w:shd w:val="clear" w:color="auto" w:fill="FFFFFF"/>
        </w:rPr>
        <w:t>residence</w:t>
      </w:r>
      <w:r w:rsidR="002C2377">
        <w:rPr>
          <w:rFonts w:cs="Times New Roman"/>
          <w:color w:val="000000" w:themeColor="text1"/>
          <w:shd w:val="clear" w:color="auto" w:fill="FFFFFF"/>
        </w:rPr>
        <w:t xml:space="preserve"> would trigger </w:t>
      </w:r>
      <w:r w:rsidR="00FD24FD">
        <w:rPr>
          <w:rFonts w:cs="Times New Roman"/>
          <w:color w:val="000000" w:themeColor="text1"/>
          <w:shd w:val="clear" w:color="auto" w:fill="FFFFFF"/>
        </w:rPr>
        <w:t xml:space="preserve">an investigation into </w:t>
      </w:r>
      <w:r w:rsidR="00B25AAA">
        <w:rPr>
          <w:rFonts w:cs="Times New Roman"/>
          <w:color w:val="000000" w:themeColor="text1"/>
          <w:shd w:val="clear" w:color="auto" w:fill="FFFFFF"/>
        </w:rPr>
        <w:t>someone’s</w:t>
      </w:r>
      <w:r w:rsidR="00FD24FD">
        <w:rPr>
          <w:rFonts w:cs="Times New Roman"/>
          <w:color w:val="000000" w:themeColor="text1"/>
          <w:shd w:val="clear" w:color="auto" w:fill="FFFFFF"/>
        </w:rPr>
        <w:t xml:space="preserve"> right </w:t>
      </w:r>
      <w:r w:rsidR="003178D0">
        <w:rPr>
          <w:rFonts w:cs="Times New Roman"/>
          <w:color w:val="000000" w:themeColor="text1"/>
          <w:shd w:val="clear" w:color="auto" w:fill="FFFFFF"/>
        </w:rPr>
        <w:t>to reside</w:t>
      </w:r>
      <w:r w:rsidR="00A63D0A">
        <w:rPr>
          <w:rFonts w:cs="Times New Roman"/>
          <w:color w:val="000000" w:themeColor="text1"/>
          <w:shd w:val="clear" w:color="auto" w:fill="FFFFFF"/>
        </w:rPr>
        <w:t xml:space="preserve">. </w:t>
      </w:r>
      <w:r w:rsidR="003F357D">
        <w:rPr>
          <w:rFonts w:cs="Times New Roman"/>
          <w:color w:val="000000" w:themeColor="text1"/>
          <w:shd w:val="clear" w:color="auto" w:fill="FFFFFF"/>
        </w:rPr>
        <w:t xml:space="preserve">The Government acknowledged that the system for processing </w:t>
      </w:r>
      <w:r w:rsidR="003F357D">
        <w:rPr>
          <w:rFonts w:cs="Times New Roman"/>
          <w:color w:val="000000" w:themeColor="text1"/>
          <w:shd w:val="clear" w:color="auto" w:fill="FFFFFF"/>
        </w:rPr>
        <w:lastRenderedPageBreak/>
        <w:t>pre-Brexit applications under Directive 2004/38 was ‘</w:t>
      </w:r>
      <w:r w:rsidR="003F357D" w:rsidRPr="00B13CF1">
        <w:rPr>
          <w:rFonts w:cs="Times New Roman"/>
          <w:color w:val="000000" w:themeColor="text1"/>
          <w:shd w:val="clear" w:color="auto" w:fill="FFFFFF"/>
        </w:rPr>
        <w:t>complicated and bureaucratic</w:t>
      </w:r>
      <w:r w:rsidR="003F357D">
        <w:rPr>
          <w:rFonts w:cs="Times New Roman"/>
          <w:color w:val="000000" w:themeColor="text1"/>
          <w:shd w:val="clear" w:color="auto" w:fill="FFFFFF"/>
        </w:rPr>
        <w:t>’</w:t>
      </w:r>
      <w:r w:rsidR="003F357D" w:rsidRPr="00B13CF1">
        <w:rPr>
          <w:rFonts w:cs="Times New Roman"/>
          <w:color w:val="000000" w:themeColor="text1"/>
          <w:shd w:val="clear" w:color="auto" w:fill="FFFFFF"/>
        </w:rPr>
        <w:t xml:space="preserve"> </w:t>
      </w:r>
      <w:r w:rsidR="003F357D">
        <w:rPr>
          <w:rFonts w:cs="Times New Roman"/>
          <w:color w:val="000000" w:themeColor="text1"/>
          <w:shd w:val="clear" w:color="auto" w:fill="FFFFFF"/>
        </w:rPr>
        <w:t>and ‘</w:t>
      </w:r>
      <w:r w:rsidR="003F357D" w:rsidRPr="00B13CF1">
        <w:rPr>
          <w:rFonts w:cs="Times New Roman"/>
          <w:color w:val="000000" w:themeColor="text1"/>
          <w:shd w:val="clear" w:color="auto" w:fill="FFFFFF"/>
        </w:rPr>
        <w:t>not fit to deal with the situation after we leave the EU</w:t>
      </w:r>
      <w:r w:rsidR="003F357D">
        <w:rPr>
          <w:rFonts w:cs="Times New Roman"/>
          <w:color w:val="000000" w:themeColor="text1"/>
          <w:shd w:val="clear" w:color="auto" w:fill="FFFFFF"/>
        </w:rPr>
        <w:t>’.</w:t>
      </w:r>
      <w:r w:rsidR="003F357D">
        <w:rPr>
          <w:rStyle w:val="FootnoteReference"/>
          <w:rFonts w:cs="Times New Roman"/>
          <w:color w:val="000000" w:themeColor="text1"/>
          <w:shd w:val="clear" w:color="auto" w:fill="FFFFFF"/>
        </w:rPr>
        <w:footnoteReference w:id="19"/>
      </w:r>
      <w:r w:rsidR="003F357D" w:rsidRPr="00B13CF1">
        <w:rPr>
          <w:rFonts w:cs="Times New Roman"/>
          <w:color w:val="000000" w:themeColor="text1"/>
          <w:shd w:val="clear" w:color="auto" w:fill="FFFFFF"/>
        </w:rPr>
        <w:t xml:space="preserve"> </w:t>
      </w:r>
      <w:r w:rsidR="003178D0">
        <w:rPr>
          <w:rFonts w:cs="Times New Roman"/>
          <w:color w:val="000000" w:themeColor="text1"/>
          <w:shd w:val="clear" w:color="auto" w:fill="FFFFFF"/>
        </w:rPr>
        <w:t>Right to reside investigations were frequently protracted, thwarted by evidential barriers, and fraught with decision-maker error.</w:t>
      </w:r>
      <w:r w:rsidR="003178D0">
        <w:rPr>
          <w:rStyle w:val="FootnoteReference"/>
          <w:rFonts w:cs="Times New Roman"/>
          <w:color w:val="000000" w:themeColor="text1"/>
          <w:shd w:val="clear" w:color="auto" w:fill="FFFFFF"/>
        </w:rPr>
        <w:footnoteReference w:id="20"/>
      </w:r>
      <w:r w:rsidR="003178D0">
        <w:rPr>
          <w:rFonts w:cs="Times New Roman"/>
          <w:color w:val="000000" w:themeColor="text1"/>
          <w:shd w:val="clear" w:color="auto" w:fill="FFFFFF"/>
        </w:rPr>
        <w:t xml:space="preserve"> </w:t>
      </w:r>
      <w:r w:rsidR="00715758">
        <w:rPr>
          <w:rFonts w:cs="Times New Roman"/>
          <w:color w:val="000000" w:themeColor="text1"/>
          <w:shd w:val="clear" w:color="auto" w:fill="FFFFFF"/>
        </w:rPr>
        <w:t>T</w:t>
      </w:r>
      <w:r w:rsidR="00B25AAA">
        <w:rPr>
          <w:rFonts w:cs="Times New Roman"/>
          <w:color w:val="000000" w:themeColor="text1"/>
          <w:shd w:val="clear" w:color="auto" w:fill="FFFFFF"/>
        </w:rPr>
        <w:t xml:space="preserve">o </w:t>
      </w:r>
      <w:r w:rsidR="00697ABB">
        <w:rPr>
          <w:rFonts w:cs="Times New Roman"/>
          <w:color w:val="000000" w:themeColor="text1"/>
          <w:shd w:val="clear" w:color="auto" w:fill="FFFFFF"/>
        </w:rPr>
        <w:t xml:space="preserve">suddenly </w:t>
      </w:r>
      <w:r w:rsidR="0044473E">
        <w:rPr>
          <w:rFonts w:cs="Times New Roman"/>
          <w:color w:val="000000" w:themeColor="text1"/>
          <w:shd w:val="clear" w:color="auto" w:fill="FFFFFF"/>
        </w:rPr>
        <w:t xml:space="preserve">enforce these </w:t>
      </w:r>
      <w:r w:rsidR="003178D0">
        <w:rPr>
          <w:rFonts w:cs="Times New Roman"/>
          <w:color w:val="000000" w:themeColor="text1"/>
          <w:shd w:val="clear" w:color="auto" w:fill="FFFFFF"/>
        </w:rPr>
        <w:t>processes</w:t>
      </w:r>
      <w:r w:rsidR="00A00063">
        <w:rPr>
          <w:rFonts w:cs="Times New Roman"/>
          <w:color w:val="000000" w:themeColor="text1"/>
          <w:shd w:val="clear" w:color="auto" w:fill="FFFFFF"/>
        </w:rPr>
        <w:t xml:space="preserve"> on </w:t>
      </w:r>
      <w:r w:rsidR="00A00063" w:rsidRPr="00D2134C">
        <w:rPr>
          <w:rFonts w:cs="Times New Roman"/>
          <w:i/>
          <w:iCs/>
          <w:color w:val="000000" w:themeColor="text1"/>
          <w:shd w:val="clear" w:color="auto" w:fill="FFFFFF"/>
        </w:rPr>
        <w:t>all</w:t>
      </w:r>
      <w:r w:rsidR="00A00063">
        <w:rPr>
          <w:rFonts w:cs="Times New Roman"/>
          <w:color w:val="000000" w:themeColor="text1"/>
          <w:shd w:val="clear" w:color="auto" w:fill="FFFFFF"/>
        </w:rPr>
        <w:t xml:space="preserve"> EU citizens</w:t>
      </w:r>
      <w:r w:rsidR="00F00809">
        <w:rPr>
          <w:rFonts w:cs="Times New Roman"/>
          <w:color w:val="000000" w:themeColor="text1"/>
          <w:shd w:val="clear" w:color="auto" w:fill="FFFFFF"/>
        </w:rPr>
        <w:t>,</w:t>
      </w:r>
      <w:r w:rsidR="0044473E">
        <w:rPr>
          <w:rFonts w:cs="Times New Roman"/>
          <w:color w:val="000000" w:themeColor="text1"/>
          <w:shd w:val="clear" w:color="auto" w:fill="FFFFFF"/>
        </w:rPr>
        <w:t xml:space="preserve"> </w:t>
      </w:r>
      <w:r w:rsidR="00D2134C">
        <w:rPr>
          <w:rFonts w:cs="Times New Roman"/>
          <w:color w:val="000000" w:themeColor="text1"/>
          <w:shd w:val="clear" w:color="auto" w:fill="FFFFFF"/>
        </w:rPr>
        <w:t xml:space="preserve">who </w:t>
      </w:r>
      <w:r w:rsidR="00A00063">
        <w:rPr>
          <w:rFonts w:cs="Times New Roman"/>
          <w:color w:val="000000" w:themeColor="text1"/>
          <w:shd w:val="clear" w:color="auto" w:fill="FFFFFF"/>
        </w:rPr>
        <w:t xml:space="preserve">had </w:t>
      </w:r>
      <w:r w:rsidR="00D2134C">
        <w:rPr>
          <w:rFonts w:cs="Times New Roman"/>
          <w:color w:val="000000" w:themeColor="text1"/>
          <w:shd w:val="clear" w:color="auto" w:fill="FFFFFF"/>
        </w:rPr>
        <w:t>hitherto</w:t>
      </w:r>
      <w:r w:rsidR="00F00809">
        <w:rPr>
          <w:rFonts w:cs="Times New Roman"/>
          <w:color w:val="000000" w:themeColor="text1"/>
          <w:shd w:val="clear" w:color="auto" w:fill="FFFFFF"/>
        </w:rPr>
        <w:t xml:space="preserve"> not been prompted to keep </w:t>
      </w:r>
      <w:r w:rsidR="00A00063">
        <w:rPr>
          <w:rFonts w:cs="Times New Roman"/>
          <w:color w:val="000000" w:themeColor="text1"/>
          <w:shd w:val="clear" w:color="auto" w:fill="FFFFFF"/>
        </w:rPr>
        <w:t>specific evidence about long histories of residence</w:t>
      </w:r>
      <w:r w:rsidR="00F00809">
        <w:rPr>
          <w:rFonts w:cs="Times New Roman"/>
          <w:color w:val="000000" w:themeColor="text1"/>
          <w:shd w:val="clear" w:color="auto" w:fill="FFFFFF"/>
        </w:rPr>
        <w:t>,</w:t>
      </w:r>
      <w:r w:rsidR="00A00063">
        <w:rPr>
          <w:rFonts w:cs="Times New Roman"/>
          <w:color w:val="000000" w:themeColor="text1"/>
          <w:shd w:val="clear" w:color="auto" w:fill="FFFFFF"/>
        </w:rPr>
        <w:t xml:space="preserve"> would have been </w:t>
      </w:r>
      <w:r w:rsidR="009419F8">
        <w:rPr>
          <w:rFonts w:cs="Times New Roman"/>
          <w:color w:val="000000" w:themeColor="text1"/>
          <w:shd w:val="clear" w:color="auto" w:fill="FFFFFF"/>
        </w:rPr>
        <w:t xml:space="preserve">chaotic, unfair and </w:t>
      </w:r>
      <w:r w:rsidR="003178D0">
        <w:rPr>
          <w:rFonts w:cs="Times New Roman"/>
          <w:color w:val="000000" w:themeColor="text1"/>
          <w:shd w:val="clear" w:color="auto" w:fill="FFFFFF"/>
        </w:rPr>
        <w:t>exclusionar</w:t>
      </w:r>
      <w:r w:rsidR="00337F30">
        <w:rPr>
          <w:rFonts w:cs="Times New Roman"/>
          <w:color w:val="000000" w:themeColor="text1"/>
          <w:shd w:val="clear" w:color="auto" w:fill="FFFFFF"/>
        </w:rPr>
        <w:t xml:space="preserve">y, </w:t>
      </w:r>
      <w:r w:rsidR="003178D0">
        <w:rPr>
          <w:rFonts w:cs="Times New Roman"/>
          <w:color w:val="000000" w:themeColor="text1"/>
          <w:shd w:val="clear" w:color="auto" w:fill="FFFFFF"/>
        </w:rPr>
        <w:t xml:space="preserve">and would have led </w:t>
      </w:r>
      <w:r w:rsidR="009419F8">
        <w:rPr>
          <w:rFonts w:cs="Times New Roman"/>
          <w:color w:val="000000" w:themeColor="text1"/>
          <w:shd w:val="clear" w:color="auto" w:fill="FFFFFF"/>
        </w:rPr>
        <w:t xml:space="preserve">to a </w:t>
      </w:r>
      <w:r w:rsidR="003178D0">
        <w:rPr>
          <w:rFonts w:cs="Times New Roman"/>
          <w:color w:val="000000" w:themeColor="text1"/>
          <w:shd w:val="clear" w:color="auto" w:fill="FFFFFF"/>
        </w:rPr>
        <w:t>hundreds of thousands of EU nationals</w:t>
      </w:r>
      <w:r w:rsidR="00D2134C">
        <w:rPr>
          <w:rFonts w:cs="Times New Roman"/>
          <w:color w:val="000000" w:themeColor="text1"/>
          <w:shd w:val="clear" w:color="auto" w:fill="FFFFFF"/>
        </w:rPr>
        <w:t xml:space="preserve"> – disproportionately women, children, older and disabled people</w:t>
      </w:r>
      <w:r w:rsidR="00D2134C">
        <w:rPr>
          <w:rStyle w:val="FootnoteReference"/>
          <w:rFonts w:cs="Times New Roman"/>
          <w:color w:val="000000" w:themeColor="text1"/>
          <w:shd w:val="clear" w:color="auto" w:fill="FFFFFF"/>
        </w:rPr>
        <w:footnoteReference w:id="21"/>
      </w:r>
      <w:r w:rsidR="00D2134C">
        <w:rPr>
          <w:rFonts w:cs="Times New Roman"/>
          <w:color w:val="000000" w:themeColor="text1"/>
          <w:shd w:val="clear" w:color="auto" w:fill="FFFFFF"/>
        </w:rPr>
        <w:t xml:space="preserve"> – being </w:t>
      </w:r>
      <w:r w:rsidR="003178D0">
        <w:rPr>
          <w:rFonts w:cs="Times New Roman"/>
          <w:color w:val="000000" w:themeColor="text1"/>
          <w:shd w:val="clear" w:color="auto" w:fill="FFFFFF"/>
        </w:rPr>
        <w:t>stripped of the right</w:t>
      </w:r>
      <w:r w:rsidR="009419F8">
        <w:rPr>
          <w:rFonts w:cs="Times New Roman"/>
          <w:color w:val="000000" w:themeColor="text1"/>
          <w:shd w:val="clear" w:color="auto" w:fill="FFFFFF"/>
        </w:rPr>
        <w:t xml:space="preserve"> </w:t>
      </w:r>
      <w:r w:rsidR="00B93424">
        <w:rPr>
          <w:rFonts w:cs="Times New Roman"/>
          <w:color w:val="000000" w:themeColor="text1"/>
          <w:shd w:val="clear" w:color="auto" w:fill="FFFFFF"/>
        </w:rPr>
        <w:t xml:space="preserve">to </w:t>
      </w:r>
      <w:r w:rsidR="00541C5B">
        <w:rPr>
          <w:rFonts w:cs="Times New Roman"/>
          <w:color w:val="000000" w:themeColor="text1"/>
          <w:shd w:val="clear" w:color="auto" w:fill="FFFFFF"/>
        </w:rPr>
        <w:t>remain in the</w:t>
      </w:r>
      <w:r w:rsidR="003178D0">
        <w:rPr>
          <w:rFonts w:cs="Times New Roman"/>
          <w:color w:val="000000" w:themeColor="text1"/>
          <w:shd w:val="clear" w:color="auto" w:fill="FFFFFF"/>
        </w:rPr>
        <w:t>ir home in the</w:t>
      </w:r>
      <w:r w:rsidR="00541C5B">
        <w:rPr>
          <w:rFonts w:cs="Times New Roman"/>
          <w:color w:val="000000" w:themeColor="text1"/>
          <w:shd w:val="clear" w:color="auto" w:fill="FFFFFF"/>
        </w:rPr>
        <w:t xml:space="preserve"> </w:t>
      </w:r>
      <w:r w:rsidR="00541C5B" w:rsidRPr="00541C5B">
        <w:rPr>
          <w:rFonts w:cs="Times New Roman"/>
          <w:color w:val="000000" w:themeColor="text1"/>
          <w:shd w:val="clear" w:color="auto" w:fill="FFFFFF"/>
        </w:rPr>
        <w:t>UK after Brexit</w:t>
      </w:r>
      <w:r w:rsidR="00D2134C">
        <w:rPr>
          <w:rFonts w:cs="Times New Roman"/>
          <w:color w:val="000000" w:themeColor="text1"/>
          <w:shd w:val="clear" w:color="auto" w:fill="FFFFFF"/>
        </w:rPr>
        <w:t>.</w:t>
      </w:r>
      <w:r w:rsidR="00224D76">
        <w:rPr>
          <w:rFonts w:cs="Times New Roman"/>
          <w:color w:val="000000" w:themeColor="text1"/>
          <w:shd w:val="clear" w:color="auto" w:fill="FFFFFF"/>
        </w:rPr>
        <w:t xml:space="preserve"> </w:t>
      </w:r>
    </w:p>
    <w:p w14:paraId="0FFDAB52" w14:textId="1BAB012F" w:rsidR="00327694" w:rsidRDefault="00D2134C" w:rsidP="00DE7F71">
      <w:pPr>
        <w:spacing w:after="120"/>
        <w:rPr>
          <w:rFonts w:cs="Times New Roman"/>
          <w:color w:val="000000" w:themeColor="text1"/>
          <w:shd w:val="clear" w:color="auto" w:fill="FFFFFF"/>
        </w:rPr>
      </w:pPr>
      <w:r>
        <w:rPr>
          <w:rFonts w:cs="Times New Roman"/>
          <w:color w:val="000000" w:themeColor="text1"/>
          <w:shd w:val="clear" w:color="auto" w:fill="FFFFFF"/>
        </w:rPr>
        <w:t>Nevertheless, t</w:t>
      </w:r>
      <w:r w:rsidR="00746756">
        <w:rPr>
          <w:rFonts w:cs="Times New Roman"/>
          <w:color w:val="000000" w:themeColor="text1"/>
          <w:shd w:val="clear" w:color="auto" w:fill="FFFFFF"/>
        </w:rPr>
        <w:t>he</w:t>
      </w:r>
      <w:r w:rsidR="00867F76">
        <w:rPr>
          <w:rFonts w:cs="Times New Roman"/>
          <w:color w:val="000000" w:themeColor="text1"/>
          <w:shd w:val="clear" w:color="auto" w:fill="FFFFFF"/>
        </w:rPr>
        <w:t xml:space="preserve"> </w:t>
      </w:r>
      <w:r>
        <w:rPr>
          <w:rFonts w:cs="Times New Roman"/>
          <w:color w:val="000000" w:themeColor="text1"/>
          <w:shd w:val="clear" w:color="auto" w:fill="FFFFFF"/>
        </w:rPr>
        <w:t>W</w:t>
      </w:r>
      <w:r w:rsidR="00022B42">
        <w:rPr>
          <w:rFonts w:cs="Times New Roman"/>
          <w:color w:val="000000" w:themeColor="text1"/>
          <w:shd w:val="clear" w:color="auto" w:fill="FFFFFF"/>
        </w:rPr>
        <w:t xml:space="preserve">ithdrawal </w:t>
      </w:r>
      <w:r>
        <w:rPr>
          <w:rFonts w:cs="Times New Roman"/>
          <w:color w:val="000000" w:themeColor="text1"/>
          <w:shd w:val="clear" w:color="auto" w:fill="FFFFFF"/>
        </w:rPr>
        <w:t>A</w:t>
      </w:r>
      <w:r w:rsidR="00022B42">
        <w:rPr>
          <w:rFonts w:cs="Times New Roman"/>
          <w:color w:val="000000" w:themeColor="text1"/>
          <w:shd w:val="clear" w:color="auto" w:fill="FFFFFF"/>
        </w:rPr>
        <w:t>greement</w:t>
      </w:r>
      <w:r>
        <w:rPr>
          <w:rFonts w:cs="Times New Roman"/>
          <w:color w:val="000000" w:themeColor="text1"/>
          <w:shd w:val="clear" w:color="auto" w:fill="FFFFFF"/>
        </w:rPr>
        <w:t xml:space="preserve"> allowed its signatories to draw upon</w:t>
      </w:r>
      <w:r w:rsidR="00867F76">
        <w:rPr>
          <w:rFonts w:cs="Times New Roman"/>
          <w:color w:val="000000" w:themeColor="text1"/>
          <w:shd w:val="clear" w:color="auto" w:fill="FFFFFF"/>
        </w:rPr>
        <w:t xml:space="preserve"> </w:t>
      </w:r>
      <w:r>
        <w:rPr>
          <w:rFonts w:cs="Times New Roman"/>
          <w:color w:val="000000" w:themeColor="text1"/>
          <w:shd w:val="clear" w:color="auto" w:fill="FFFFFF"/>
        </w:rPr>
        <w:t>these</w:t>
      </w:r>
      <w:r w:rsidR="00755E97">
        <w:rPr>
          <w:rFonts w:cs="Times New Roman"/>
          <w:color w:val="000000" w:themeColor="text1"/>
          <w:shd w:val="clear" w:color="auto" w:fill="FFFFFF"/>
        </w:rPr>
        <w:t xml:space="preserve"> old</w:t>
      </w:r>
      <w:r>
        <w:rPr>
          <w:rFonts w:cs="Times New Roman"/>
          <w:color w:val="000000" w:themeColor="text1"/>
          <w:shd w:val="clear" w:color="auto" w:fill="FFFFFF"/>
        </w:rPr>
        <w:t>, exclusionary</w:t>
      </w:r>
      <w:r w:rsidR="00755E97">
        <w:rPr>
          <w:rFonts w:cs="Times New Roman"/>
          <w:color w:val="000000" w:themeColor="text1"/>
          <w:shd w:val="clear" w:color="auto" w:fill="FFFFFF"/>
        </w:rPr>
        <w:t xml:space="preserve"> categories of</w:t>
      </w:r>
      <w:r w:rsidR="00867F76">
        <w:rPr>
          <w:rFonts w:cs="Times New Roman"/>
          <w:color w:val="000000" w:themeColor="text1"/>
          <w:shd w:val="clear" w:color="auto" w:fill="FFFFFF"/>
        </w:rPr>
        <w:t xml:space="preserve"> residence rights</w:t>
      </w:r>
      <w:r w:rsidR="00D813B3">
        <w:rPr>
          <w:rFonts w:cs="Times New Roman"/>
          <w:color w:val="000000" w:themeColor="text1"/>
          <w:shd w:val="clear" w:color="auto" w:fill="FFFFFF"/>
        </w:rPr>
        <w:t>.</w:t>
      </w:r>
      <w:r w:rsidR="00022B42">
        <w:rPr>
          <w:rStyle w:val="FootnoteReference"/>
          <w:rFonts w:cs="Times New Roman"/>
          <w:color w:val="000000" w:themeColor="text1"/>
          <w:shd w:val="clear" w:color="auto" w:fill="FFFFFF"/>
        </w:rPr>
        <w:footnoteReference w:id="22"/>
      </w:r>
      <w:r w:rsidR="00D813B3">
        <w:rPr>
          <w:rFonts w:cs="Times New Roman"/>
          <w:color w:val="000000" w:themeColor="text1"/>
          <w:shd w:val="clear" w:color="auto" w:fill="FFFFFF"/>
        </w:rPr>
        <w:t xml:space="preserve"> </w:t>
      </w:r>
      <w:r>
        <w:rPr>
          <w:rFonts w:cs="Times New Roman"/>
          <w:color w:val="000000" w:themeColor="text1"/>
          <w:shd w:val="clear" w:color="auto" w:fill="FFFFFF"/>
        </w:rPr>
        <w:t>The temporary</w:t>
      </w:r>
      <w:r w:rsidR="008D0E9A">
        <w:rPr>
          <w:rFonts w:cs="Times New Roman"/>
          <w:color w:val="000000" w:themeColor="text1"/>
          <w:shd w:val="clear" w:color="auto" w:fill="FFFFFF"/>
        </w:rPr>
        <w:t xml:space="preserve"> residence rights available </w:t>
      </w:r>
      <w:r w:rsidR="00B03AB8">
        <w:rPr>
          <w:rFonts w:cs="Times New Roman"/>
          <w:color w:val="000000" w:themeColor="text1"/>
          <w:shd w:val="clear" w:color="auto" w:fill="FFFFFF"/>
        </w:rPr>
        <w:t>under Article 13</w:t>
      </w:r>
      <w:r>
        <w:rPr>
          <w:rFonts w:cs="Times New Roman"/>
          <w:color w:val="000000" w:themeColor="text1"/>
          <w:shd w:val="clear" w:color="auto" w:fill="FFFFFF"/>
        </w:rPr>
        <w:t xml:space="preserve"> </w:t>
      </w:r>
      <w:r w:rsidR="00CD23D4">
        <w:rPr>
          <w:rFonts w:cs="Times New Roman"/>
          <w:color w:val="000000" w:themeColor="text1"/>
          <w:shd w:val="clear" w:color="auto" w:fill="FFFFFF"/>
        </w:rPr>
        <w:t>may be made subject to the conditions contained</w:t>
      </w:r>
      <w:r w:rsidR="00B03AB8">
        <w:rPr>
          <w:rFonts w:cs="Times New Roman"/>
          <w:color w:val="000000" w:themeColor="text1"/>
          <w:shd w:val="clear" w:color="auto" w:fill="FFFFFF"/>
        </w:rPr>
        <w:t xml:space="preserve"> in Directive 2004/38. </w:t>
      </w:r>
      <w:r w:rsidR="00CD23D4">
        <w:rPr>
          <w:rFonts w:cs="Times New Roman"/>
          <w:color w:val="000000" w:themeColor="text1"/>
          <w:shd w:val="clear" w:color="auto" w:fill="FFFFFF"/>
        </w:rPr>
        <w:t>Meanwhile, p</w:t>
      </w:r>
      <w:r w:rsidR="005211E0">
        <w:rPr>
          <w:rFonts w:cs="Times New Roman"/>
          <w:color w:val="000000" w:themeColor="text1"/>
          <w:shd w:val="clear" w:color="auto" w:fill="FFFFFF"/>
        </w:rPr>
        <w:t xml:space="preserve">ermanent residence rights </w:t>
      </w:r>
      <w:r w:rsidR="00CD23D4">
        <w:rPr>
          <w:rFonts w:cs="Times New Roman"/>
          <w:color w:val="000000" w:themeColor="text1"/>
          <w:shd w:val="clear" w:color="auto" w:fill="FFFFFF"/>
        </w:rPr>
        <w:t xml:space="preserve">in Article 15 WA may also be made subject to the conditions provided for </w:t>
      </w:r>
      <w:r w:rsidR="008F0C8F">
        <w:rPr>
          <w:rFonts w:cs="Times New Roman"/>
          <w:color w:val="000000" w:themeColor="text1"/>
          <w:shd w:val="clear" w:color="auto" w:fill="FFFFFF"/>
        </w:rPr>
        <w:t>in Article</w:t>
      </w:r>
      <w:r w:rsidR="00CD23D4">
        <w:rPr>
          <w:rFonts w:cs="Times New Roman"/>
          <w:color w:val="000000" w:themeColor="text1"/>
          <w:shd w:val="clear" w:color="auto" w:fill="FFFFFF"/>
        </w:rPr>
        <w:t>s 16 and</w:t>
      </w:r>
      <w:r w:rsidR="008F0C8F">
        <w:rPr>
          <w:rFonts w:cs="Times New Roman"/>
          <w:color w:val="000000" w:themeColor="text1"/>
          <w:shd w:val="clear" w:color="auto" w:fill="FFFFFF"/>
        </w:rPr>
        <w:t xml:space="preserve"> 17</w:t>
      </w:r>
      <w:r w:rsidR="00CD23D4">
        <w:rPr>
          <w:rFonts w:cs="Times New Roman"/>
          <w:color w:val="000000" w:themeColor="text1"/>
          <w:shd w:val="clear" w:color="auto" w:fill="FFFFFF"/>
        </w:rPr>
        <w:t xml:space="preserve"> of</w:t>
      </w:r>
      <w:r w:rsidR="008F0C8F">
        <w:rPr>
          <w:rFonts w:cs="Times New Roman"/>
          <w:color w:val="000000" w:themeColor="text1"/>
          <w:shd w:val="clear" w:color="auto" w:fill="FFFFFF"/>
        </w:rPr>
        <w:t xml:space="preserve"> Directive 2004/38.</w:t>
      </w:r>
      <w:r w:rsidR="005211E0">
        <w:rPr>
          <w:rFonts w:cs="Times New Roman"/>
          <w:color w:val="000000" w:themeColor="text1"/>
          <w:shd w:val="clear" w:color="auto" w:fill="FFFFFF"/>
        </w:rPr>
        <w:t xml:space="preserve"> </w:t>
      </w:r>
      <w:r w:rsidR="005953D0">
        <w:rPr>
          <w:rFonts w:cs="Times New Roman"/>
          <w:color w:val="000000" w:themeColor="text1"/>
          <w:shd w:val="clear" w:color="auto" w:fill="FFFFFF"/>
        </w:rPr>
        <w:t xml:space="preserve">While the </w:t>
      </w:r>
      <w:r w:rsidR="002549B6">
        <w:rPr>
          <w:rFonts w:cs="Times New Roman"/>
          <w:color w:val="000000" w:themeColor="text1"/>
          <w:shd w:val="clear" w:color="auto" w:fill="FFFFFF"/>
        </w:rPr>
        <w:t>final agreement</w:t>
      </w:r>
      <w:r w:rsidR="005953D0">
        <w:rPr>
          <w:rFonts w:cs="Times New Roman"/>
          <w:color w:val="000000" w:themeColor="text1"/>
          <w:shd w:val="clear" w:color="auto" w:fill="FFFFFF"/>
        </w:rPr>
        <w:t xml:space="preserve"> maintained its reliance on these residence rules, the</w:t>
      </w:r>
      <w:r w:rsidR="00BA7553">
        <w:rPr>
          <w:rFonts w:cs="Times New Roman"/>
          <w:color w:val="000000" w:themeColor="text1"/>
          <w:shd w:val="clear" w:color="auto" w:fill="FFFFFF"/>
        </w:rPr>
        <w:t xml:space="preserve"> 2017</w:t>
      </w:r>
      <w:r w:rsidR="005953D0">
        <w:rPr>
          <w:rFonts w:cs="Times New Roman"/>
          <w:color w:val="000000" w:themeColor="text1"/>
          <w:shd w:val="clear" w:color="auto" w:fill="FFFFFF"/>
        </w:rPr>
        <w:t xml:space="preserve"> domestic proposals</w:t>
      </w:r>
      <w:r w:rsidR="00E24F07">
        <w:rPr>
          <w:rFonts w:cs="Times New Roman"/>
          <w:color w:val="000000" w:themeColor="text1"/>
          <w:shd w:val="clear" w:color="auto" w:fill="FFFFFF"/>
        </w:rPr>
        <w:t xml:space="preserve"> for a residence scheme</w:t>
      </w:r>
      <w:r w:rsidR="005953D0">
        <w:rPr>
          <w:rFonts w:cs="Times New Roman"/>
          <w:color w:val="000000" w:themeColor="text1"/>
          <w:shd w:val="clear" w:color="auto" w:fill="FFFFFF"/>
        </w:rPr>
        <w:t xml:space="preserve"> sought to simplify parts of this process</w:t>
      </w:r>
      <w:r w:rsidR="003F357D">
        <w:rPr>
          <w:rFonts w:cs="Times New Roman"/>
          <w:color w:val="000000" w:themeColor="text1"/>
          <w:shd w:val="clear" w:color="auto" w:fill="FFFFFF"/>
        </w:rPr>
        <w:t xml:space="preserve"> </w:t>
      </w:r>
      <w:r w:rsidR="003F357D" w:rsidRPr="00B13CF1">
        <w:rPr>
          <w:rFonts w:cs="Times New Roman"/>
          <w:color w:val="000000" w:themeColor="text1"/>
          <w:shd w:val="clear" w:color="auto" w:fill="FFFFFF"/>
        </w:rPr>
        <w:t xml:space="preserve">in light of the </w:t>
      </w:r>
      <w:r w:rsidR="003F357D">
        <w:rPr>
          <w:rFonts w:cs="Times New Roman"/>
          <w:color w:val="000000" w:themeColor="text1"/>
          <w:shd w:val="clear" w:color="auto" w:fill="FFFFFF"/>
        </w:rPr>
        <w:t>‘</w:t>
      </w:r>
      <w:r w:rsidR="003F357D" w:rsidRPr="00B13CF1">
        <w:rPr>
          <w:rFonts w:cs="Times New Roman"/>
          <w:color w:val="000000" w:themeColor="text1"/>
          <w:shd w:val="clear" w:color="auto" w:fill="FFFFFF"/>
        </w:rPr>
        <w:t>scale of the challenge of granting status to potentially more than three million EU citizens</w:t>
      </w:r>
      <w:r w:rsidR="003F357D">
        <w:rPr>
          <w:rFonts w:cs="Times New Roman"/>
          <w:color w:val="000000" w:themeColor="text1"/>
          <w:shd w:val="clear" w:color="auto" w:fill="FFFFFF"/>
        </w:rPr>
        <w:t xml:space="preserve"> and their families’</w:t>
      </w:r>
      <w:r w:rsidR="005953D0">
        <w:rPr>
          <w:rFonts w:cs="Times New Roman"/>
          <w:color w:val="000000" w:themeColor="text1"/>
          <w:shd w:val="clear" w:color="auto" w:fill="FFFFFF"/>
        </w:rPr>
        <w:t>.</w:t>
      </w:r>
      <w:r w:rsidR="005953D0">
        <w:rPr>
          <w:rStyle w:val="FootnoteReference"/>
          <w:rFonts w:cs="Times New Roman"/>
          <w:color w:val="000000" w:themeColor="text1"/>
          <w:shd w:val="clear" w:color="auto" w:fill="FFFFFF"/>
        </w:rPr>
        <w:footnoteReference w:id="23"/>
      </w:r>
      <w:r w:rsidR="005953D0">
        <w:rPr>
          <w:rFonts w:cs="Times New Roman"/>
          <w:color w:val="000000" w:themeColor="text1"/>
          <w:shd w:val="clear" w:color="auto" w:fill="FFFFFF"/>
        </w:rPr>
        <w:t xml:space="preserve"> </w:t>
      </w:r>
      <w:r w:rsidR="00C34D6F">
        <w:rPr>
          <w:rFonts w:cs="Times New Roman"/>
          <w:color w:val="000000" w:themeColor="text1"/>
          <w:shd w:val="clear" w:color="auto" w:fill="FFFFFF"/>
        </w:rPr>
        <w:t>The proposal was to a</w:t>
      </w:r>
      <w:r w:rsidR="005953D0">
        <w:rPr>
          <w:rFonts w:cs="Times New Roman"/>
          <w:color w:val="000000" w:themeColor="text1"/>
          <w:shd w:val="clear" w:color="auto" w:fill="FFFFFF"/>
        </w:rPr>
        <w:t>llow</w:t>
      </w:r>
      <w:r w:rsidR="00C34D6F">
        <w:rPr>
          <w:rFonts w:cs="Times New Roman"/>
          <w:color w:val="000000" w:themeColor="text1"/>
          <w:shd w:val="clear" w:color="auto" w:fill="FFFFFF"/>
        </w:rPr>
        <w:t xml:space="preserve"> </w:t>
      </w:r>
      <w:r w:rsidR="005953D0">
        <w:rPr>
          <w:rFonts w:cs="Times New Roman"/>
          <w:color w:val="000000" w:themeColor="text1"/>
          <w:shd w:val="clear" w:color="auto" w:fill="FFFFFF"/>
        </w:rPr>
        <w:t>people to register for a new status based on factual residence</w:t>
      </w:r>
      <w:r w:rsidR="00B12F24">
        <w:rPr>
          <w:rFonts w:cs="Times New Roman"/>
          <w:color w:val="000000" w:themeColor="text1"/>
          <w:shd w:val="clear" w:color="auto" w:fill="FFFFFF"/>
        </w:rPr>
        <w:t xml:space="preserve"> alone. However, it </w:t>
      </w:r>
      <w:r w:rsidR="009C3738">
        <w:rPr>
          <w:rFonts w:cs="Times New Roman"/>
          <w:color w:val="000000" w:themeColor="text1"/>
          <w:shd w:val="clear" w:color="auto" w:fill="FFFFFF"/>
        </w:rPr>
        <w:t xml:space="preserve">did </w:t>
      </w:r>
      <w:r w:rsidR="00B12F24">
        <w:rPr>
          <w:rFonts w:cs="Times New Roman"/>
          <w:color w:val="000000" w:themeColor="text1"/>
          <w:shd w:val="clear" w:color="auto" w:fill="FFFFFF"/>
        </w:rPr>
        <w:t>intend t</w:t>
      </w:r>
      <w:r w:rsidR="00C34D6F">
        <w:rPr>
          <w:rFonts w:cs="Times New Roman"/>
          <w:color w:val="000000" w:themeColor="text1"/>
          <w:shd w:val="clear" w:color="auto" w:fill="FFFFFF"/>
        </w:rPr>
        <w:t xml:space="preserve">o </w:t>
      </w:r>
      <w:r w:rsidR="00E91210">
        <w:rPr>
          <w:rFonts w:cs="Times New Roman"/>
          <w:color w:val="000000" w:themeColor="text1"/>
          <w:shd w:val="clear" w:color="auto" w:fill="FFFFFF"/>
        </w:rPr>
        <w:t xml:space="preserve">make </w:t>
      </w:r>
      <w:r w:rsidR="005953D0">
        <w:rPr>
          <w:rFonts w:cs="Times New Roman"/>
          <w:color w:val="000000" w:themeColor="text1"/>
          <w:shd w:val="clear" w:color="auto" w:fill="FFFFFF"/>
        </w:rPr>
        <w:t xml:space="preserve">evidence of continuous </w:t>
      </w:r>
      <w:r w:rsidR="005953D0" w:rsidRPr="00016999">
        <w:rPr>
          <w:rFonts w:cs="Times New Roman"/>
          <w:i/>
          <w:iCs/>
          <w:color w:val="000000" w:themeColor="text1"/>
          <w:shd w:val="clear" w:color="auto" w:fill="FFFFFF"/>
        </w:rPr>
        <w:t>lawful</w:t>
      </w:r>
      <w:r w:rsidR="005953D0">
        <w:rPr>
          <w:rFonts w:cs="Times New Roman"/>
          <w:color w:val="000000" w:themeColor="text1"/>
          <w:shd w:val="clear" w:color="auto" w:fill="FFFFFF"/>
        </w:rPr>
        <w:t xml:space="preserve"> residence</w:t>
      </w:r>
      <w:r w:rsidR="00B453CC">
        <w:rPr>
          <w:rFonts w:cs="Times New Roman"/>
          <w:color w:val="000000" w:themeColor="text1"/>
          <w:shd w:val="clear" w:color="auto" w:fill="FFFFFF"/>
        </w:rPr>
        <w:t>, based on the conditions of Directive 2004/38,</w:t>
      </w:r>
      <w:r w:rsidR="005953D0">
        <w:rPr>
          <w:rFonts w:cs="Times New Roman"/>
          <w:color w:val="000000" w:themeColor="text1"/>
          <w:shd w:val="clear" w:color="auto" w:fill="FFFFFF"/>
        </w:rPr>
        <w:t xml:space="preserve"> </w:t>
      </w:r>
      <w:r w:rsidR="00E91210">
        <w:rPr>
          <w:rFonts w:cs="Times New Roman"/>
          <w:color w:val="000000" w:themeColor="text1"/>
          <w:shd w:val="clear" w:color="auto" w:fill="FFFFFF"/>
        </w:rPr>
        <w:lastRenderedPageBreak/>
        <w:t xml:space="preserve">essential </w:t>
      </w:r>
      <w:r w:rsidR="005953D0">
        <w:rPr>
          <w:rFonts w:cs="Times New Roman"/>
          <w:color w:val="000000" w:themeColor="text1"/>
          <w:shd w:val="clear" w:color="auto" w:fill="FFFFFF"/>
        </w:rPr>
        <w:t>for the more secure status of permanent residence.</w:t>
      </w:r>
      <w:r w:rsidR="005953D0">
        <w:rPr>
          <w:rStyle w:val="FootnoteReference"/>
          <w:rFonts w:cs="Times New Roman"/>
          <w:color w:val="000000" w:themeColor="text1"/>
          <w:shd w:val="clear" w:color="auto" w:fill="FFFFFF"/>
        </w:rPr>
        <w:footnoteReference w:id="24"/>
      </w:r>
      <w:r w:rsidR="005953D0">
        <w:rPr>
          <w:rFonts w:cs="Times New Roman"/>
          <w:color w:val="000000" w:themeColor="text1"/>
          <w:shd w:val="clear" w:color="auto" w:fill="FFFFFF"/>
        </w:rPr>
        <w:t xml:space="preserve"> </w:t>
      </w:r>
      <w:r w:rsidR="00AF4F12">
        <w:rPr>
          <w:rFonts w:cs="Times New Roman"/>
          <w:color w:val="000000" w:themeColor="text1"/>
          <w:shd w:val="clear" w:color="auto" w:fill="FFFFFF"/>
        </w:rPr>
        <w:t>Concerns were raised</w:t>
      </w:r>
      <w:r w:rsidR="00850139">
        <w:rPr>
          <w:rFonts w:cs="Times New Roman"/>
          <w:color w:val="000000" w:themeColor="text1"/>
          <w:shd w:val="clear" w:color="auto" w:fill="FFFFFF"/>
        </w:rPr>
        <w:t xml:space="preserve"> – because </w:t>
      </w:r>
      <w:r w:rsidR="00680FA7" w:rsidRPr="007F0704">
        <w:rPr>
          <w:rFonts w:eastAsia="Times New Roman" w:cs="Times New Roman"/>
          <w:color w:val="000000"/>
          <w:kern w:val="0"/>
          <w:lang w:eastAsia="en-GB"/>
          <w14:ligatures w14:val="none"/>
        </w:rPr>
        <w:t>child</w:t>
      </w:r>
      <w:r w:rsidR="00850139">
        <w:rPr>
          <w:rFonts w:eastAsia="Times New Roman" w:cs="Times New Roman"/>
          <w:color w:val="000000"/>
          <w:kern w:val="0"/>
          <w:lang w:eastAsia="en-GB"/>
          <w14:ligatures w14:val="none"/>
        </w:rPr>
        <w:t>ren cannot</w:t>
      </w:r>
      <w:r w:rsidR="00680FA7" w:rsidRPr="007F0704">
        <w:rPr>
          <w:rFonts w:eastAsia="Times New Roman" w:cs="Times New Roman"/>
          <w:color w:val="000000"/>
          <w:kern w:val="0"/>
          <w:lang w:eastAsia="en-GB"/>
          <w14:ligatures w14:val="none"/>
        </w:rPr>
        <w:t xml:space="preserve"> demonstrate</w:t>
      </w:r>
      <w:r w:rsidR="00850139">
        <w:rPr>
          <w:rFonts w:eastAsia="Times New Roman" w:cs="Times New Roman"/>
          <w:color w:val="000000"/>
          <w:kern w:val="0"/>
          <w:lang w:eastAsia="en-GB"/>
          <w14:ligatures w14:val="none"/>
        </w:rPr>
        <w:t xml:space="preserve"> </w:t>
      </w:r>
      <w:r w:rsidR="00680FA7" w:rsidRPr="007F0704">
        <w:rPr>
          <w:rFonts w:eastAsia="Times New Roman" w:cs="Times New Roman"/>
          <w:color w:val="000000"/>
          <w:kern w:val="0"/>
          <w:lang w:eastAsia="en-GB"/>
          <w14:ligatures w14:val="none"/>
        </w:rPr>
        <w:t>right</w:t>
      </w:r>
      <w:r w:rsidR="00850139">
        <w:rPr>
          <w:rFonts w:eastAsia="Times New Roman" w:cs="Times New Roman"/>
          <w:color w:val="000000"/>
          <w:kern w:val="0"/>
          <w:lang w:eastAsia="en-GB"/>
          <w14:ligatures w14:val="none"/>
        </w:rPr>
        <w:t>s</w:t>
      </w:r>
      <w:r w:rsidR="00680FA7" w:rsidRPr="007F0704">
        <w:rPr>
          <w:rFonts w:eastAsia="Times New Roman" w:cs="Times New Roman"/>
          <w:color w:val="000000"/>
          <w:kern w:val="0"/>
          <w:lang w:eastAsia="en-GB"/>
          <w14:ligatures w14:val="none"/>
        </w:rPr>
        <w:t xml:space="preserve"> to reside in their own right</w:t>
      </w:r>
      <w:r w:rsidR="00DC6C82">
        <w:rPr>
          <w:rFonts w:eastAsia="Times New Roman" w:cs="Times New Roman"/>
          <w:color w:val="000000"/>
          <w:kern w:val="0"/>
          <w:lang w:eastAsia="en-GB"/>
          <w14:ligatures w14:val="none"/>
        </w:rPr>
        <w:t>,</w:t>
      </w:r>
      <w:r w:rsidR="00DC6C82">
        <w:rPr>
          <w:rStyle w:val="FootnoteReference"/>
          <w:rFonts w:eastAsia="Times New Roman" w:cs="Times New Roman"/>
          <w:color w:val="000000"/>
          <w:kern w:val="0"/>
          <w:lang w:eastAsia="en-GB"/>
          <w14:ligatures w14:val="none"/>
        </w:rPr>
        <w:footnoteReference w:id="25"/>
      </w:r>
      <w:r w:rsidR="00680FA7">
        <w:rPr>
          <w:rFonts w:eastAsia="Times New Roman" w:cs="Times New Roman"/>
          <w:color w:val="000000"/>
          <w:kern w:val="0"/>
          <w:lang w:eastAsia="en-GB"/>
          <w14:ligatures w14:val="none"/>
        </w:rPr>
        <w:t xml:space="preserve"> and </w:t>
      </w:r>
      <w:r w:rsidR="00B25FAA">
        <w:rPr>
          <w:rFonts w:eastAsia="Times New Roman" w:cs="Times New Roman"/>
          <w:color w:val="000000"/>
          <w:kern w:val="0"/>
          <w:lang w:eastAsia="en-GB"/>
          <w14:ligatures w14:val="none"/>
        </w:rPr>
        <w:t xml:space="preserve">because </w:t>
      </w:r>
      <w:r w:rsidR="00662143">
        <w:rPr>
          <w:rFonts w:eastAsia="Times New Roman" w:cs="Times New Roman"/>
          <w:color w:val="000000"/>
          <w:kern w:val="0"/>
          <w:lang w:eastAsia="en-GB"/>
          <w14:ligatures w14:val="none"/>
        </w:rPr>
        <w:t xml:space="preserve">the rules </w:t>
      </w:r>
      <w:r w:rsidR="00B25FAA">
        <w:rPr>
          <w:rFonts w:eastAsia="Times New Roman" w:cs="Times New Roman"/>
          <w:color w:val="000000"/>
          <w:kern w:val="0"/>
          <w:lang w:eastAsia="en-GB"/>
          <w14:ligatures w14:val="none"/>
        </w:rPr>
        <w:t xml:space="preserve">in Directive 2004/38 </w:t>
      </w:r>
      <w:r w:rsidR="00E327A8">
        <w:rPr>
          <w:rFonts w:eastAsia="Times New Roman" w:cs="Times New Roman"/>
          <w:color w:val="000000"/>
          <w:kern w:val="0"/>
          <w:lang w:eastAsia="en-GB"/>
          <w14:ligatures w14:val="none"/>
        </w:rPr>
        <w:t xml:space="preserve">are </w:t>
      </w:r>
      <w:r w:rsidR="00867F76">
        <w:rPr>
          <w:rFonts w:cs="Times New Roman"/>
          <w:color w:val="000000" w:themeColor="text1"/>
          <w:shd w:val="clear" w:color="auto" w:fill="FFFFFF"/>
        </w:rPr>
        <w:t>riddled with gendered gaps</w:t>
      </w:r>
      <w:r w:rsidR="00850139">
        <w:rPr>
          <w:rFonts w:cs="Times New Roman"/>
          <w:color w:val="000000" w:themeColor="text1"/>
          <w:shd w:val="clear" w:color="auto" w:fill="FFFFFF"/>
        </w:rPr>
        <w:t>. F</w:t>
      </w:r>
      <w:r w:rsidR="000130F8">
        <w:rPr>
          <w:rFonts w:cs="Times New Roman"/>
          <w:color w:val="000000" w:themeColor="text1"/>
          <w:shd w:val="clear" w:color="auto" w:fill="FFFFFF"/>
        </w:rPr>
        <w:t xml:space="preserve">or instance, women with broken work histories </w:t>
      </w:r>
      <w:r w:rsidR="00361755">
        <w:rPr>
          <w:rFonts w:cs="Times New Roman"/>
          <w:color w:val="000000" w:themeColor="text1"/>
          <w:shd w:val="clear" w:color="auto" w:fill="FFFFFF"/>
        </w:rPr>
        <w:t xml:space="preserve">due to </w:t>
      </w:r>
      <w:r w:rsidR="00B20810">
        <w:rPr>
          <w:rFonts w:cs="Times New Roman"/>
          <w:color w:val="000000" w:themeColor="text1"/>
          <w:shd w:val="clear" w:color="auto" w:fill="FFFFFF"/>
        </w:rPr>
        <w:t>caring</w:t>
      </w:r>
      <w:r w:rsidR="00361755">
        <w:rPr>
          <w:rFonts w:cs="Times New Roman"/>
          <w:color w:val="000000" w:themeColor="text1"/>
          <w:shd w:val="clear" w:color="auto" w:fill="FFFFFF"/>
        </w:rPr>
        <w:t xml:space="preserve"> for family members faced </w:t>
      </w:r>
      <w:r w:rsidR="00D83141">
        <w:rPr>
          <w:rFonts w:cs="Times New Roman"/>
          <w:color w:val="000000" w:themeColor="text1"/>
          <w:shd w:val="clear" w:color="auto" w:fill="FFFFFF"/>
        </w:rPr>
        <w:t xml:space="preserve">breaks in their continuity of residence and </w:t>
      </w:r>
      <w:r w:rsidR="00502E60">
        <w:rPr>
          <w:rFonts w:cs="Times New Roman"/>
          <w:color w:val="000000" w:themeColor="text1"/>
          <w:shd w:val="clear" w:color="auto" w:fill="FFFFFF"/>
        </w:rPr>
        <w:t xml:space="preserve">had to </w:t>
      </w:r>
      <w:r w:rsidR="00850139">
        <w:rPr>
          <w:rFonts w:cs="Times New Roman"/>
          <w:color w:val="000000" w:themeColor="text1"/>
          <w:shd w:val="clear" w:color="auto" w:fill="FFFFFF"/>
        </w:rPr>
        <w:t xml:space="preserve">repeatedly </w:t>
      </w:r>
      <w:r w:rsidR="00502E60">
        <w:rPr>
          <w:rFonts w:cs="Times New Roman"/>
          <w:color w:val="000000" w:themeColor="text1"/>
          <w:shd w:val="clear" w:color="auto" w:fill="FFFFFF"/>
        </w:rPr>
        <w:t>restart their ‘five-year clock’.</w:t>
      </w:r>
      <w:r w:rsidR="00C67893">
        <w:rPr>
          <w:rStyle w:val="FootnoteReference"/>
          <w:rFonts w:cs="Times New Roman"/>
          <w:color w:val="000000" w:themeColor="text1"/>
          <w:shd w:val="clear" w:color="auto" w:fill="FFFFFF"/>
        </w:rPr>
        <w:footnoteReference w:id="26"/>
      </w:r>
      <w:r w:rsidR="00867F76">
        <w:rPr>
          <w:rFonts w:cs="Times New Roman"/>
          <w:color w:val="000000" w:themeColor="text1"/>
          <w:shd w:val="clear" w:color="auto" w:fill="FFFFFF"/>
        </w:rPr>
        <w:t xml:space="preserve"> </w:t>
      </w:r>
      <w:r w:rsidR="00DC4A6B">
        <w:rPr>
          <w:rFonts w:cs="Times New Roman"/>
          <w:color w:val="000000" w:themeColor="text1"/>
          <w:shd w:val="clear" w:color="auto" w:fill="FFFFFF"/>
        </w:rPr>
        <w:t xml:space="preserve">The rules were </w:t>
      </w:r>
      <w:r w:rsidR="00365938">
        <w:rPr>
          <w:rFonts w:cs="Times New Roman"/>
          <w:color w:val="000000" w:themeColor="text1"/>
          <w:shd w:val="clear" w:color="auto" w:fill="FFFFFF"/>
        </w:rPr>
        <w:t xml:space="preserve">also </w:t>
      </w:r>
      <w:r w:rsidR="00DC4A6B">
        <w:rPr>
          <w:rFonts w:cs="Times New Roman"/>
          <w:color w:val="000000" w:themeColor="text1"/>
          <w:shd w:val="clear" w:color="auto" w:fill="FFFFFF"/>
        </w:rPr>
        <w:t>cumbersome</w:t>
      </w:r>
      <w:r w:rsidR="00365938">
        <w:rPr>
          <w:rFonts w:cs="Times New Roman"/>
          <w:color w:val="000000" w:themeColor="text1"/>
          <w:shd w:val="clear" w:color="auto" w:fill="FFFFFF"/>
        </w:rPr>
        <w:t>. I</w:t>
      </w:r>
      <w:r w:rsidR="005D5F2F" w:rsidRPr="005D5F2F">
        <w:rPr>
          <w:rFonts w:cs="Times New Roman"/>
          <w:color w:val="000000" w:themeColor="text1"/>
          <w:shd w:val="clear" w:color="auto" w:fill="FFFFFF"/>
        </w:rPr>
        <w:t>ndividual pre-Brexit benefit cases</w:t>
      </w:r>
      <w:r w:rsidR="00850139">
        <w:rPr>
          <w:rFonts w:cs="Times New Roman"/>
          <w:color w:val="000000" w:themeColor="text1"/>
          <w:shd w:val="clear" w:color="auto" w:fill="FFFFFF"/>
        </w:rPr>
        <w:t xml:space="preserve"> requiring right to reside assessments </w:t>
      </w:r>
      <w:r w:rsidR="005D5F2F" w:rsidRPr="005D5F2F">
        <w:rPr>
          <w:rFonts w:cs="Times New Roman"/>
          <w:color w:val="000000" w:themeColor="text1"/>
          <w:shd w:val="clear" w:color="auto" w:fill="FFFFFF"/>
        </w:rPr>
        <w:t>involved huge amounts of paperwork, evidence and litigation</w:t>
      </w:r>
      <w:r w:rsidR="00850139">
        <w:rPr>
          <w:rFonts w:cs="Times New Roman"/>
          <w:color w:val="000000" w:themeColor="text1"/>
          <w:shd w:val="clear" w:color="auto" w:fill="FFFFFF"/>
        </w:rPr>
        <w:t>.</w:t>
      </w:r>
      <w:r w:rsidR="0075595B">
        <w:rPr>
          <w:rFonts w:cs="Times New Roman"/>
          <w:color w:val="000000" w:themeColor="text1"/>
          <w:shd w:val="clear" w:color="auto" w:fill="FFFFFF"/>
        </w:rPr>
        <w:t xml:space="preserve"> </w:t>
      </w:r>
      <w:r w:rsidR="00850139">
        <w:rPr>
          <w:rFonts w:cs="Times New Roman"/>
          <w:color w:val="000000" w:themeColor="text1"/>
          <w:shd w:val="clear" w:color="auto" w:fill="FFFFFF"/>
        </w:rPr>
        <w:t>Our re</w:t>
      </w:r>
      <w:r w:rsidR="002C43AA">
        <w:rPr>
          <w:rFonts w:cs="Times New Roman"/>
          <w:color w:val="000000" w:themeColor="text1"/>
          <w:shd w:val="clear" w:color="auto" w:fill="FFFFFF"/>
        </w:rPr>
        <w:t xml:space="preserve">search looking at decision making in this area </w:t>
      </w:r>
      <w:r w:rsidR="00850139">
        <w:rPr>
          <w:rFonts w:cs="Times New Roman"/>
          <w:color w:val="000000" w:themeColor="text1"/>
          <w:shd w:val="clear" w:color="auto" w:fill="FFFFFF"/>
        </w:rPr>
        <w:t xml:space="preserve">has </w:t>
      </w:r>
      <w:r w:rsidR="002C43AA">
        <w:rPr>
          <w:rFonts w:cs="Times New Roman"/>
          <w:color w:val="000000" w:themeColor="text1"/>
          <w:shd w:val="clear" w:color="auto" w:fill="FFFFFF"/>
        </w:rPr>
        <w:t>highlight</w:t>
      </w:r>
      <w:r w:rsidR="00850139">
        <w:rPr>
          <w:rFonts w:cs="Times New Roman"/>
          <w:color w:val="000000" w:themeColor="text1"/>
          <w:shd w:val="clear" w:color="auto" w:fill="FFFFFF"/>
        </w:rPr>
        <w:t>ed</w:t>
      </w:r>
      <w:r w:rsidR="002C43AA">
        <w:rPr>
          <w:rFonts w:cs="Times New Roman"/>
          <w:color w:val="000000" w:themeColor="text1"/>
          <w:shd w:val="clear" w:color="auto" w:fill="FFFFFF"/>
        </w:rPr>
        <w:t xml:space="preserve"> </w:t>
      </w:r>
      <w:r w:rsidR="000820BF">
        <w:rPr>
          <w:rFonts w:cs="Times New Roman"/>
          <w:color w:val="000000" w:themeColor="text1"/>
          <w:shd w:val="clear" w:color="auto" w:fill="FFFFFF"/>
        </w:rPr>
        <w:t>errors,</w:t>
      </w:r>
      <w:r w:rsidR="00415913">
        <w:rPr>
          <w:rFonts w:cs="Times New Roman"/>
          <w:color w:val="000000" w:themeColor="text1"/>
          <w:shd w:val="clear" w:color="auto" w:fill="FFFFFF"/>
        </w:rPr>
        <w:t xml:space="preserve"> a refuse-first</w:t>
      </w:r>
      <w:r w:rsidR="001837FB">
        <w:rPr>
          <w:rFonts w:cs="Times New Roman"/>
          <w:color w:val="000000" w:themeColor="text1"/>
          <w:shd w:val="clear" w:color="auto" w:fill="FFFFFF"/>
        </w:rPr>
        <w:t xml:space="preserve"> ask questions later</w:t>
      </w:r>
      <w:r w:rsidR="004B6F01">
        <w:rPr>
          <w:rFonts w:cs="Times New Roman"/>
          <w:color w:val="000000" w:themeColor="text1"/>
          <w:shd w:val="clear" w:color="auto" w:fill="FFFFFF"/>
        </w:rPr>
        <w:t xml:space="preserve"> culture,</w:t>
      </w:r>
      <w:r w:rsidR="000820BF">
        <w:rPr>
          <w:rFonts w:cs="Times New Roman"/>
          <w:color w:val="000000" w:themeColor="text1"/>
          <w:shd w:val="clear" w:color="auto" w:fill="FFFFFF"/>
        </w:rPr>
        <w:t xml:space="preserve"> restrictive interpretations </w:t>
      </w:r>
      <w:r w:rsidR="00097DB8">
        <w:rPr>
          <w:rFonts w:cs="Times New Roman"/>
          <w:color w:val="000000" w:themeColor="text1"/>
          <w:shd w:val="clear" w:color="auto" w:fill="FFFFFF"/>
        </w:rPr>
        <w:t>and a tendency to deny access to welfare</w:t>
      </w:r>
      <w:r w:rsidR="00357542">
        <w:rPr>
          <w:rFonts w:cs="Times New Roman"/>
          <w:color w:val="000000" w:themeColor="text1"/>
          <w:shd w:val="clear" w:color="auto" w:fill="FFFFFF"/>
        </w:rPr>
        <w:t>.</w:t>
      </w:r>
      <w:r w:rsidR="00357542">
        <w:rPr>
          <w:rStyle w:val="FootnoteReference"/>
          <w:rFonts w:cs="Times New Roman"/>
          <w:color w:val="000000" w:themeColor="text1"/>
          <w:shd w:val="clear" w:color="auto" w:fill="FFFFFF"/>
        </w:rPr>
        <w:footnoteReference w:id="27"/>
      </w:r>
      <w:r w:rsidR="00357542">
        <w:rPr>
          <w:rFonts w:cs="Times New Roman"/>
          <w:color w:val="000000" w:themeColor="text1"/>
          <w:shd w:val="clear" w:color="auto" w:fill="FFFFFF"/>
        </w:rPr>
        <w:t xml:space="preserve"> </w:t>
      </w:r>
      <w:r w:rsidR="00161CB8">
        <w:rPr>
          <w:rFonts w:cs="Times New Roman"/>
          <w:color w:val="000000" w:themeColor="text1"/>
          <w:shd w:val="clear" w:color="auto" w:fill="FFFFFF"/>
        </w:rPr>
        <w:t>The risk</w:t>
      </w:r>
      <w:r w:rsidR="00817B22">
        <w:rPr>
          <w:rFonts w:cs="Times New Roman"/>
          <w:color w:val="000000" w:themeColor="text1"/>
          <w:shd w:val="clear" w:color="auto" w:fill="FFFFFF"/>
        </w:rPr>
        <w:t>s</w:t>
      </w:r>
      <w:r w:rsidR="00161CB8">
        <w:rPr>
          <w:rFonts w:cs="Times New Roman"/>
          <w:color w:val="000000" w:themeColor="text1"/>
          <w:shd w:val="clear" w:color="auto" w:fill="FFFFFF"/>
        </w:rPr>
        <w:t xml:space="preserve"> of relying on these rules for post-</w:t>
      </w:r>
      <w:r w:rsidR="00E66D31">
        <w:rPr>
          <w:rFonts w:cs="Times New Roman"/>
          <w:color w:val="000000" w:themeColor="text1"/>
          <w:shd w:val="clear" w:color="auto" w:fill="FFFFFF"/>
        </w:rPr>
        <w:t>B</w:t>
      </w:r>
      <w:r w:rsidR="00161CB8">
        <w:rPr>
          <w:rFonts w:cs="Times New Roman"/>
          <w:color w:val="000000" w:themeColor="text1"/>
          <w:shd w:val="clear" w:color="auto" w:fill="FFFFFF"/>
        </w:rPr>
        <w:t xml:space="preserve">rexit residence rights </w:t>
      </w:r>
      <w:r w:rsidR="00E66D31">
        <w:rPr>
          <w:rFonts w:cs="Times New Roman"/>
          <w:color w:val="000000" w:themeColor="text1"/>
          <w:shd w:val="clear" w:color="auto" w:fill="FFFFFF"/>
        </w:rPr>
        <w:t>were</w:t>
      </w:r>
      <w:r w:rsidR="00161CB8">
        <w:rPr>
          <w:rFonts w:cs="Times New Roman"/>
          <w:color w:val="000000" w:themeColor="text1"/>
          <w:shd w:val="clear" w:color="auto" w:fill="FFFFFF"/>
        </w:rPr>
        <w:t xml:space="preserve"> </w:t>
      </w:r>
      <w:r w:rsidR="00850139">
        <w:rPr>
          <w:rFonts w:cs="Times New Roman"/>
          <w:color w:val="000000" w:themeColor="text1"/>
          <w:shd w:val="clear" w:color="auto" w:fill="FFFFFF"/>
        </w:rPr>
        <w:t xml:space="preserve">severe – this </w:t>
      </w:r>
      <w:r w:rsidR="001E5B0B">
        <w:rPr>
          <w:rFonts w:cs="Times New Roman"/>
          <w:color w:val="000000" w:themeColor="text1"/>
          <w:shd w:val="clear" w:color="auto" w:fill="FFFFFF"/>
        </w:rPr>
        <w:t xml:space="preserve">was no longer a matter of </w:t>
      </w:r>
      <w:r w:rsidR="00850139">
        <w:rPr>
          <w:rFonts w:cs="Times New Roman"/>
          <w:color w:val="000000" w:themeColor="text1"/>
          <w:shd w:val="clear" w:color="auto" w:fill="FFFFFF"/>
        </w:rPr>
        <w:t>conditions for temporarily accessing benefits, but for</w:t>
      </w:r>
      <w:r w:rsidR="001E5B0B">
        <w:rPr>
          <w:rFonts w:cs="Times New Roman"/>
          <w:color w:val="000000" w:themeColor="text1"/>
          <w:shd w:val="clear" w:color="auto" w:fill="FFFFFF"/>
        </w:rPr>
        <w:t xml:space="preserve"> the ability to </w:t>
      </w:r>
      <w:r w:rsidR="002C578B">
        <w:rPr>
          <w:rFonts w:cs="Times New Roman"/>
          <w:color w:val="000000" w:themeColor="text1"/>
          <w:shd w:val="clear" w:color="auto" w:fill="FFFFFF"/>
        </w:rPr>
        <w:t xml:space="preserve">stay in the </w:t>
      </w:r>
      <w:r w:rsidR="00850139">
        <w:rPr>
          <w:rFonts w:cs="Times New Roman"/>
          <w:color w:val="000000" w:themeColor="text1"/>
          <w:shd w:val="clear" w:color="auto" w:fill="FFFFFF"/>
        </w:rPr>
        <w:t>UK</w:t>
      </w:r>
      <w:r w:rsidR="002C578B">
        <w:rPr>
          <w:rFonts w:cs="Times New Roman"/>
          <w:color w:val="000000" w:themeColor="text1"/>
          <w:shd w:val="clear" w:color="auto" w:fill="FFFFFF"/>
        </w:rPr>
        <w:t xml:space="preserve"> </w:t>
      </w:r>
      <w:r w:rsidR="00850139">
        <w:rPr>
          <w:rFonts w:cs="Times New Roman"/>
          <w:color w:val="000000" w:themeColor="text1"/>
          <w:shd w:val="clear" w:color="auto" w:fill="FFFFFF"/>
        </w:rPr>
        <w:t>at all – with the loss of such rights being potentially permanent and irreversible</w:t>
      </w:r>
      <w:r w:rsidR="002C578B">
        <w:rPr>
          <w:rFonts w:cs="Times New Roman"/>
          <w:color w:val="000000" w:themeColor="text1"/>
          <w:shd w:val="clear" w:color="auto" w:fill="FFFFFF"/>
        </w:rPr>
        <w:t xml:space="preserve">. </w:t>
      </w:r>
    </w:p>
    <w:p w14:paraId="4B12BD76" w14:textId="6E7919C8" w:rsidR="00EB4FF8" w:rsidRDefault="00867F76" w:rsidP="00DE7F71">
      <w:pPr>
        <w:spacing w:after="120"/>
        <w:rPr>
          <w:rFonts w:cs="Times New Roman"/>
          <w:color w:val="000000" w:themeColor="text1"/>
          <w:shd w:val="clear" w:color="auto" w:fill="FFFFFF"/>
        </w:rPr>
      </w:pPr>
      <w:r>
        <w:rPr>
          <w:rFonts w:cs="Times New Roman"/>
          <w:color w:val="000000" w:themeColor="text1"/>
          <w:shd w:val="clear" w:color="auto" w:fill="FFFFFF"/>
        </w:rPr>
        <w:t>As these risks became more apparent, a new plan was drawn up</w:t>
      </w:r>
      <w:r w:rsidR="00A33521">
        <w:rPr>
          <w:rFonts w:cs="Times New Roman"/>
          <w:color w:val="000000" w:themeColor="text1"/>
          <w:shd w:val="clear" w:color="auto" w:fill="FFFFFF"/>
        </w:rPr>
        <w:t xml:space="preserve">. The UK government opted to </w:t>
      </w:r>
      <w:r w:rsidR="003B6751">
        <w:rPr>
          <w:rFonts w:cs="Times New Roman"/>
          <w:color w:val="000000" w:themeColor="text1"/>
          <w:shd w:val="clear" w:color="auto" w:fill="FFFFFF"/>
        </w:rPr>
        <w:t>circumvent</w:t>
      </w:r>
      <w:r w:rsidR="00C03C53">
        <w:rPr>
          <w:rFonts w:cs="Times New Roman"/>
          <w:color w:val="000000" w:themeColor="text1"/>
          <w:shd w:val="clear" w:color="auto" w:fill="FFFFFF"/>
        </w:rPr>
        <w:t xml:space="preserve"> these conditions</w:t>
      </w:r>
      <w:r w:rsidR="00A33521">
        <w:rPr>
          <w:rFonts w:cs="Times New Roman"/>
          <w:color w:val="000000" w:themeColor="text1"/>
          <w:shd w:val="clear" w:color="auto" w:fill="FFFFFF"/>
        </w:rPr>
        <w:t>,</w:t>
      </w:r>
      <w:r w:rsidR="00C03C53">
        <w:rPr>
          <w:rFonts w:cs="Times New Roman"/>
          <w:color w:val="000000" w:themeColor="text1"/>
          <w:shd w:val="clear" w:color="auto" w:fill="FFFFFF"/>
        </w:rPr>
        <w:t xml:space="preserve"> </w:t>
      </w:r>
      <w:r>
        <w:rPr>
          <w:rFonts w:cs="Times New Roman"/>
          <w:color w:val="000000" w:themeColor="text1"/>
          <w:shd w:val="clear" w:color="auto" w:fill="FFFFFF"/>
        </w:rPr>
        <w:t>further simplif</w:t>
      </w:r>
      <w:r w:rsidR="00A33521">
        <w:rPr>
          <w:rFonts w:cs="Times New Roman"/>
          <w:color w:val="000000" w:themeColor="text1"/>
          <w:shd w:val="clear" w:color="auto" w:fill="FFFFFF"/>
        </w:rPr>
        <w:t>ying</w:t>
      </w:r>
      <w:r>
        <w:rPr>
          <w:rFonts w:cs="Times New Roman"/>
          <w:color w:val="000000" w:themeColor="text1"/>
          <w:shd w:val="clear" w:color="auto" w:fill="FFFFFF"/>
        </w:rPr>
        <w:t xml:space="preserve"> the process</w:t>
      </w:r>
      <w:r w:rsidR="00BC570A">
        <w:rPr>
          <w:rStyle w:val="FootnoteReference"/>
          <w:rFonts w:cs="Times New Roman"/>
          <w:color w:val="000000" w:themeColor="text1"/>
          <w:shd w:val="clear" w:color="auto" w:fill="FFFFFF"/>
        </w:rPr>
        <w:footnoteReference w:id="28"/>
      </w:r>
      <w:r w:rsidR="00A33521">
        <w:rPr>
          <w:rFonts w:cs="Times New Roman"/>
          <w:color w:val="000000" w:themeColor="text1"/>
          <w:shd w:val="clear" w:color="auto" w:fill="FFFFFF"/>
        </w:rPr>
        <w:t xml:space="preserve"> and</w:t>
      </w:r>
      <w:r>
        <w:rPr>
          <w:rFonts w:cs="Times New Roman"/>
          <w:color w:val="000000" w:themeColor="text1"/>
          <w:shd w:val="clear" w:color="auto" w:fill="FFFFFF"/>
        </w:rPr>
        <w:t xml:space="preserve"> prioritising administrative ease </w:t>
      </w:r>
      <w:r w:rsidR="00473B1B">
        <w:rPr>
          <w:rFonts w:cs="Times New Roman"/>
          <w:color w:val="000000" w:themeColor="text1"/>
          <w:shd w:val="clear" w:color="auto" w:fill="FFFFFF"/>
        </w:rPr>
        <w:t xml:space="preserve">for the task of </w:t>
      </w:r>
      <w:r w:rsidR="00A67708">
        <w:rPr>
          <w:rFonts w:cs="Times New Roman"/>
          <w:color w:val="000000" w:themeColor="text1"/>
          <w:shd w:val="clear" w:color="auto" w:fill="FFFFFF"/>
        </w:rPr>
        <w:t xml:space="preserve">quickly </w:t>
      </w:r>
      <w:r w:rsidR="00473B1B">
        <w:rPr>
          <w:rFonts w:cs="Times New Roman"/>
          <w:color w:val="000000" w:themeColor="text1"/>
          <w:shd w:val="clear" w:color="auto" w:fill="FFFFFF"/>
        </w:rPr>
        <w:t>registering</w:t>
      </w:r>
      <w:r w:rsidR="00661ACF">
        <w:rPr>
          <w:rFonts w:cs="Times New Roman"/>
          <w:color w:val="000000" w:themeColor="text1"/>
          <w:shd w:val="clear" w:color="auto" w:fill="FFFFFF"/>
        </w:rPr>
        <w:t xml:space="preserve"> millions of people</w:t>
      </w:r>
      <w:r w:rsidR="00A33521">
        <w:rPr>
          <w:rFonts w:cs="Times New Roman"/>
          <w:color w:val="000000" w:themeColor="text1"/>
          <w:shd w:val="clear" w:color="auto" w:fill="FFFFFF"/>
        </w:rPr>
        <w:t>.</w:t>
      </w:r>
      <w:r w:rsidR="00661ACF">
        <w:rPr>
          <w:rFonts w:cs="Times New Roman"/>
          <w:color w:val="000000" w:themeColor="text1"/>
          <w:shd w:val="clear" w:color="auto" w:fill="FFFFFF"/>
        </w:rPr>
        <w:t xml:space="preserve"> </w:t>
      </w:r>
      <w:r w:rsidR="007A1808">
        <w:rPr>
          <w:rFonts w:cs="Times New Roman"/>
          <w:color w:val="000000" w:themeColor="text1"/>
          <w:shd w:val="clear" w:color="auto" w:fill="FFFFFF"/>
        </w:rPr>
        <w:t xml:space="preserve">The change </w:t>
      </w:r>
      <w:r w:rsidR="00B81DA9">
        <w:rPr>
          <w:rFonts w:cs="Times New Roman"/>
          <w:color w:val="000000" w:themeColor="text1"/>
          <w:shd w:val="clear" w:color="auto" w:fill="FFFFFF"/>
        </w:rPr>
        <w:t>may also have been introduced with the aim of avoiding</w:t>
      </w:r>
      <w:r w:rsidR="00745140" w:rsidRPr="00745140">
        <w:rPr>
          <w:rFonts w:cs="Times New Roman"/>
          <w:color w:val="000000" w:themeColor="text1"/>
          <w:shd w:val="clear" w:color="auto" w:fill="FFFFFF"/>
        </w:rPr>
        <w:t xml:space="preserve"> </w:t>
      </w:r>
      <w:r w:rsidR="00A67708">
        <w:rPr>
          <w:rFonts w:cs="Times New Roman"/>
          <w:color w:val="000000" w:themeColor="text1"/>
          <w:shd w:val="clear" w:color="auto" w:fill="FFFFFF"/>
        </w:rPr>
        <w:t xml:space="preserve">the compulsory removal of </w:t>
      </w:r>
      <w:r w:rsidR="00745140" w:rsidRPr="00745140">
        <w:rPr>
          <w:rFonts w:cs="Times New Roman"/>
          <w:color w:val="000000" w:themeColor="text1"/>
          <w:shd w:val="clear" w:color="auto" w:fill="FFFFFF"/>
        </w:rPr>
        <w:t>hundreds of thousands of EU nationals (many of them children).</w:t>
      </w:r>
      <w:r w:rsidR="00A67708">
        <w:rPr>
          <w:rFonts w:cs="Times New Roman"/>
          <w:color w:val="000000" w:themeColor="text1"/>
          <w:shd w:val="clear" w:color="auto" w:fill="FFFFFF"/>
        </w:rPr>
        <w:t xml:space="preserve"> The time and cost savings in terms of decision-making, </w:t>
      </w:r>
      <w:r w:rsidR="00A67708">
        <w:rPr>
          <w:rFonts w:cs="Times New Roman"/>
          <w:color w:val="000000" w:themeColor="text1"/>
          <w:shd w:val="clear" w:color="auto" w:fill="FFFFFF"/>
        </w:rPr>
        <w:lastRenderedPageBreak/>
        <w:t xml:space="preserve">administrative </w:t>
      </w:r>
      <w:r w:rsidR="002B1B45">
        <w:rPr>
          <w:rFonts w:cs="Times New Roman"/>
          <w:color w:val="000000" w:themeColor="text1"/>
          <w:shd w:val="clear" w:color="auto" w:fill="FFFFFF"/>
        </w:rPr>
        <w:t xml:space="preserve">appeals to the Home Office and </w:t>
      </w:r>
      <w:r w:rsidR="00A67708">
        <w:rPr>
          <w:rFonts w:cs="Times New Roman"/>
          <w:color w:val="000000" w:themeColor="text1"/>
          <w:shd w:val="clear" w:color="auto" w:fill="FFFFFF"/>
        </w:rPr>
        <w:t xml:space="preserve">judicial appeals to </w:t>
      </w:r>
      <w:r w:rsidR="002B1B45">
        <w:rPr>
          <w:rFonts w:cs="Times New Roman"/>
          <w:color w:val="000000" w:themeColor="text1"/>
          <w:shd w:val="clear" w:color="auto" w:fill="FFFFFF"/>
        </w:rPr>
        <w:t>the tribunal service</w:t>
      </w:r>
      <w:r w:rsidR="00A67708">
        <w:rPr>
          <w:rFonts w:cs="Times New Roman"/>
          <w:color w:val="000000" w:themeColor="text1"/>
          <w:shd w:val="clear" w:color="auto" w:fill="FFFFFF"/>
        </w:rPr>
        <w:t>,</w:t>
      </w:r>
      <w:r w:rsidR="00B752B5">
        <w:rPr>
          <w:rFonts w:cs="Times New Roman"/>
          <w:color w:val="000000" w:themeColor="text1"/>
          <w:shd w:val="clear" w:color="auto" w:fill="FFFFFF"/>
        </w:rPr>
        <w:t xml:space="preserve"> may have been </w:t>
      </w:r>
      <w:r w:rsidR="00A67708">
        <w:rPr>
          <w:rFonts w:cs="Times New Roman"/>
          <w:color w:val="000000" w:themeColor="text1"/>
          <w:shd w:val="clear" w:color="auto" w:fill="FFFFFF"/>
        </w:rPr>
        <w:t>a further factor,</w:t>
      </w:r>
      <w:r w:rsidR="00B752B5">
        <w:rPr>
          <w:rFonts w:cs="Times New Roman"/>
          <w:color w:val="000000" w:themeColor="text1"/>
          <w:shd w:val="clear" w:color="auto" w:fill="FFFFFF"/>
        </w:rPr>
        <w:t xml:space="preserve"> as the </w:t>
      </w:r>
      <w:r w:rsidR="00534260">
        <w:rPr>
          <w:rFonts w:cs="Times New Roman"/>
          <w:color w:val="000000" w:themeColor="text1"/>
          <w:shd w:val="clear" w:color="auto" w:fill="FFFFFF"/>
        </w:rPr>
        <w:t xml:space="preserve">reality of </w:t>
      </w:r>
      <w:r w:rsidR="00A67708">
        <w:rPr>
          <w:rFonts w:cs="Times New Roman"/>
          <w:color w:val="000000" w:themeColor="text1"/>
          <w:shd w:val="clear" w:color="auto" w:fill="FFFFFF"/>
        </w:rPr>
        <w:t xml:space="preserve">the </w:t>
      </w:r>
      <w:r w:rsidR="00534260">
        <w:rPr>
          <w:rFonts w:cs="Times New Roman"/>
          <w:color w:val="000000" w:themeColor="text1"/>
          <w:shd w:val="clear" w:color="auto" w:fill="FFFFFF"/>
        </w:rPr>
        <w:t>propos</w:t>
      </w:r>
      <w:r w:rsidR="00A67708">
        <w:rPr>
          <w:rFonts w:cs="Times New Roman"/>
          <w:color w:val="000000" w:themeColor="text1"/>
          <w:shd w:val="clear" w:color="auto" w:fill="FFFFFF"/>
        </w:rPr>
        <w:t>al</w:t>
      </w:r>
      <w:r w:rsidR="00534260">
        <w:rPr>
          <w:rFonts w:cs="Times New Roman"/>
          <w:color w:val="000000" w:themeColor="text1"/>
          <w:shd w:val="clear" w:color="auto" w:fill="FFFFFF"/>
        </w:rPr>
        <w:t xml:space="preserve"> began to set in.</w:t>
      </w:r>
    </w:p>
    <w:p w14:paraId="65226F88" w14:textId="22CDC703" w:rsidR="00E33BDA" w:rsidRDefault="00661ACF" w:rsidP="00DE7F71">
      <w:pPr>
        <w:rPr>
          <w:rFonts w:cs="Times New Roman"/>
          <w:color w:val="000000" w:themeColor="text1"/>
          <w:shd w:val="clear" w:color="auto" w:fill="FFFFFF"/>
        </w:rPr>
      </w:pPr>
      <w:r>
        <w:rPr>
          <w:rFonts w:cs="Times New Roman"/>
          <w:color w:val="000000" w:themeColor="text1"/>
          <w:shd w:val="clear" w:color="auto" w:fill="FFFFFF"/>
        </w:rPr>
        <w:t>The EUSS opened to application</w:t>
      </w:r>
      <w:r w:rsidR="008A34FB">
        <w:rPr>
          <w:rFonts w:cs="Times New Roman"/>
          <w:color w:val="000000" w:themeColor="text1"/>
          <w:shd w:val="clear" w:color="auto" w:fill="FFFFFF"/>
        </w:rPr>
        <w:t>s</w:t>
      </w:r>
      <w:r>
        <w:rPr>
          <w:rFonts w:cs="Times New Roman"/>
          <w:color w:val="000000" w:themeColor="text1"/>
          <w:shd w:val="clear" w:color="auto" w:fill="FFFFFF"/>
        </w:rPr>
        <w:t xml:space="preserve"> in </w:t>
      </w:r>
      <w:r w:rsidR="00473B1B">
        <w:rPr>
          <w:rFonts w:cs="Times New Roman"/>
          <w:color w:val="000000" w:themeColor="text1"/>
          <w:shd w:val="clear" w:color="auto" w:fill="FFFFFF"/>
        </w:rPr>
        <w:t xml:space="preserve">March </w:t>
      </w:r>
      <w:r>
        <w:rPr>
          <w:rFonts w:cs="Times New Roman"/>
          <w:color w:val="000000" w:themeColor="text1"/>
          <w:shd w:val="clear" w:color="auto" w:fill="FFFFFF"/>
        </w:rPr>
        <w:t>201</w:t>
      </w:r>
      <w:r w:rsidR="006B5B50">
        <w:rPr>
          <w:rFonts w:cs="Times New Roman"/>
          <w:color w:val="000000" w:themeColor="text1"/>
          <w:shd w:val="clear" w:color="auto" w:fill="FFFFFF"/>
        </w:rPr>
        <w:t>9. I</w:t>
      </w:r>
      <w:r>
        <w:rPr>
          <w:rFonts w:cs="Times New Roman"/>
          <w:color w:val="000000" w:themeColor="text1"/>
          <w:shd w:val="clear" w:color="auto" w:fill="FFFFFF"/>
        </w:rPr>
        <w:t xml:space="preserve">n the most part, </w:t>
      </w:r>
      <w:r w:rsidR="006B5B50">
        <w:rPr>
          <w:rFonts w:cs="Times New Roman"/>
          <w:color w:val="000000" w:themeColor="text1"/>
          <w:shd w:val="clear" w:color="auto" w:fill="FFFFFF"/>
        </w:rPr>
        <w:t xml:space="preserve">the scheme provided </w:t>
      </w:r>
      <w:r>
        <w:rPr>
          <w:rFonts w:cs="Times New Roman"/>
          <w:color w:val="000000" w:themeColor="text1"/>
          <w:shd w:val="clear" w:color="auto" w:fill="FFFFFF"/>
        </w:rPr>
        <w:t>a relatively simpl</w:t>
      </w:r>
      <w:r w:rsidR="00CD23D4">
        <w:rPr>
          <w:rFonts w:cs="Times New Roman"/>
          <w:color w:val="000000" w:themeColor="text1"/>
          <w:shd w:val="clear" w:color="auto" w:fill="FFFFFF"/>
        </w:rPr>
        <w:t>e</w:t>
      </w:r>
      <w:r>
        <w:rPr>
          <w:rFonts w:cs="Times New Roman"/>
          <w:color w:val="000000" w:themeColor="text1"/>
          <w:shd w:val="clear" w:color="auto" w:fill="FFFFFF"/>
        </w:rPr>
        <w:t xml:space="preserve"> process</w:t>
      </w:r>
      <w:r w:rsidR="00040315">
        <w:rPr>
          <w:rFonts w:cs="Times New Roman"/>
          <w:color w:val="000000" w:themeColor="text1"/>
          <w:shd w:val="clear" w:color="auto" w:fill="FFFFFF"/>
        </w:rPr>
        <w:t xml:space="preserve"> </w:t>
      </w:r>
      <w:r w:rsidR="008A34FB" w:rsidRPr="008A34FB">
        <w:rPr>
          <w:rFonts w:cs="Times New Roman"/>
          <w:color w:val="000000" w:themeColor="text1"/>
          <w:shd w:val="clear" w:color="auto" w:fill="FFFFFF"/>
        </w:rPr>
        <w:t>focus</w:t>
      </w:r>
      <w:r w:rsidR="00040315">
        <w:rPr>
          <w:rFonts w:cs="Times New Roman"/>
          <w:color w:val="000000" w:themeColor="text1"/>
          <w:shd w:val="clear" w:color="auto" w:fill="FFFFFF"/>
        </w:rPr>
        <w:t>ing</w:t>
      </w:r>
      <w:r w:rsidR="008A34FB" w:rsidRPr="008A34FB">
        <w:rPr>
          <w:rFonts w:cs="Times New Roman"/>
          <w:color w:val="000000" w:themeColor="text1"/>
          <w:shd w:val="clear" w:color="auto" w:fill="FFFFFF"/>
        </w:rPr>
        <w:t xml:space="preserve"> on </w:t>
      </w:r>
      <w:r w:rsidR="00CD23D4">
        <w:rPr>
          <w:rFonts w:cs="Times New Roman"/>
          <w:color w:val="000000" w:themeColor="text1"/>
          <w:shd w:val="clear" w:color="auto" w:fill="FFFFFF"/>
        </w:rPr>
        <w:t>factual</w:t>
      </w:r>
      <w:r w:rsidR="008A34FB" w:rsidRPr="008A34FB">
        <w:rPr>
          <w:rFonts w:cs="Times New Roman"/>
          <w:color w:val="000000" w:themeColor="text1"/>
          <w:shd w:val="clear" w:color="auto" w:fill="FFFFFF"/>
        </w:rPr>
        <w:t xml:space="preserve"> residence. </w:t>
      </w:r>
      <w:r w:rsidR="00670CF7">
        <w:rPr>
          <w:rFonts w:cs="Times New Roman"/>
          <w:color w:val="000000" w:themeColor="text1"/>
          <w:shd w:val="clear" w:color="auto" w:fill="FFFFFF"/>
        </w:rPr>
        <w:t>After application validity</w:t>
      </w:r>
      <w:r w:rsidR="00670CF7">
        <w:rPr>
          <w:rStyle w:val="FootnoteReference"/>
          <w:rFonts w:cs="Times New Roman"/>
          <w:color w:val="000000" w:themeColor="text1"/>
          <w:shd w:val="clear" w:color="auto" w:fill="FFFFFF"/>
        </w:rPr>
        <w:footnoteReference w:id="29"/>
      </w:r>
      <w:r w:rsidR="00670CF7">
        <w:rPr>
          <w:rFonts w:cs="Times New Roman"/>
          <w:color w:val="000000" w:themeColor="text1"/>
          <w:shd w:val="clear" w:color="auto" w:fill="FFFFFF"/>
        </w:rPr>
        <w:t xml:space="preserve"> and suitability checks,</w:t>
      </w:r>
      <w:r w:rsidR="00670CF7">
        <w:rPr>
          <w:rStyle w:val="FootnoteReference"/>
          <w:rFonts w:cs="Times New Roman"/>
          <w:color w:val="000000" w:themeColor="text1"/>
          <w:shd w:val="clear" w:color="auto" w:fill="FFFFFF"/>
        </w:rPr>
        <w:footnoteReference w:id="30"/>
      </w:r>
      <w:r w:rsidR="00670CF7">
        <w:rPr>
          <w:rFonts w:cs="Times New Roman"/>
          <w:color w:val="000000" w:themeColor="text1"/>
          <w:shd w:val="clear" w:color="auto" w:fill="FFFFFF"/>
        </w:rPr>
        <w:t xml:space="preserve"> t</w:t>
      </w:r>
      <w:r w:rsidR="008A34FB" w:rsidRPr="008A34FB">
        <w:rPr>
          <w:rFonts w:cs="Times New Roman"/>
          <w:color w:val="000000" w:themeColor="text1"/>
          <w:shd w:val="clear" w:color="auto" w:fill="FFFFFF"/>
        </w:rPr>
        <w:t>he rule of thumb is that EU nationals who were resident prior to, and at, the end of the Brexit transition period</w:t>
      </w:r>
      <w:r w:rsidR="006B5B50">
        <w:rPr>
          <w:rFonts w:cs="Times New Roman"/>
          <w:color w:val="000000" w:themeColor="text1"/>
          <w:shd w:val="clear" w:color="auto" w:fill="FFFFFF"/>
        </w:rPr>
        <w:t xml:space="preserve"> would be entitled to </w:t>
      </w:r>
      <w:r w:rsidR="00927772">
        <w:rPr>
          <w:rFonts w:cs="Times New Roman"/>
          <w:color w:val="000000" w:themeColor="text1"/>
          <w:shd w:val="clear" w:color="auto" w:fill="FFFFFF"/>
        </w:rPr>
        <w:t xml:space="preserve">‘settled status’ if they </w:t>
      </w:r>
      <w:r w:rsidR="008A34FB" w:rsidRPr="008A34FB">
        <w:rPr>
          <w:rFonts w:cs="Times New Roman"/>
          <w:color w:val="000000" w:themeColor="text1"/>
          <w:shd w:val="clear" w:color="auto" w:fill="FFFFFF"/>
        </w:rPr>
        <w:t>could demonstrate that they had been resident for five or more years</w:t>
      </w:r>
      <w:r w:rsidR="00927772">
        <w:rPr>
          <w:rFonts w:cs="Times New Roman"/>
          <w:color w:val="000000" w:themeColor="text1"/>
          <w:shd w:val="clear" w:color="auto" w:fill="FFFFFF"/>
        </w:rPr>
        <w:t xml:space="preserve">, and ‘pre-settled status’ if they could not, </w:t>
      </w:r>
      <w:r w:rsidR="008A34FB" w:rsidRPr="008A34FB">
        <w:rPr>
          <w:rFonts w:cs="Times New Roman"/>
          <w:color w:val="000000" w:themeColor="text1"/>
          <w:shd w:val="clear" w:color="auto" w:fill="FFFFFF"/>
        </w:rPr>
        <w:t xml:space="preserve">with the </w:t>
      </w:r>
      <w:r w:rsidR="00927772">
        <w:rPr>
          <w:rFonts w:cs="Times New Roman"/>
          <w:color w:val="000000" w:themeColor="text1"/>
          <w:shd w:val="clear" w:color="auto" w:fill="FFFFFF"/>
        </w:rPr>
        <w:t xml:space="preserve">later </w:t>
      </w:r>
      <w:r w:rsidR="008A34FB" w:rsidRPr="008A34FB">
        <w:rPr>
          <w:rFonts w:cs="Times New Roman"/>
          <w:color w:val="000000" w:themeColor="text1"/>
          <w:shd w:val="clear" w:color="auto" w:fill="FFFFFF"/>
        </w:rPr>
        <w:t>opportunity to upgrade</w:t>
      </w:r>
      <w:r w:rsidR="00927772">
        <w:rPr>
          <w:rFonts w:cs="Times New Roman"/>
          <w:color w:val="000000" w:themeColor="text1"/>
          <w:shd w:val="clear" w:color="auto" w:fill="FFFFFF"/>
        </w:rPr>
        <w:t xml:space="preserve"> once they had</w:t>
      </w:r>
      <w:r w:rsidR="00607E23">
        <w:rPr>
          <w:rFonts w:cs="Times New Roman"/>
          <w:color w:val="000000" w:themeColor="text1"/>
          <w:shd w:val="clear" w:color="auto" w:fill="FFFFFF"/>
        </w:rPr>
        <w:t xml:space="preserve"> sufficient evidence </w:t>
      </w:r>
      <w:r w:rsidR="00D001C0">
        <w:rPr>
          <w:rFonts w:cs="Times New Roman"/>
          <w:color w:val="000000" w:themeColor="text1"/>
          <w:shd w:val="clear" w:color="auto" w:fill="FFFFFF"/>
        </w:rPr>
        <w:t>of residence</w:t>
      </w:r>
      <w:r w:rsidR="00927772">
        <w:rPr>
          <w:rFonts w:cs="Times New Roman"/>
          <w:color w:val="000000" w:themeColor="text1"/>
          <w:shd w:val="clear" w:color="auto" w:fill="FFFFFF"/>
        </w:rPr>
        <w:t xml:space="preserve"> for five years</w:t>
      </w:r>
      <w:r w:rsidR="008A34FB" w:rsidRPr="008A34FB">
        <w:rPr>
          <w:rFonts w:cs="Times New Roman"/>
          <w:color w:val="000000" w:themeColor="text1"/>
          <w:shd w:val="clear" w:color="auto" w:fill="FFFFFF"/>
        </w:rPr>
        <w:t xml:space="preserve">. </w:t>
      </w:r>
      <w:r w:rsidR="009743D2">
        <w:rPr>
          <w:rFonts w:cs="Times New Roman"/>
          <w:color w:val="000000" w:themeColor="text1"/>
          <w:shd w:val="clear" w:color="auto" w:fill="FFFFFF"/>
        </w:rPr>
        <w:t xml:space="preserve">Notwithstanding </w:t>
      </w:r>
      <w:r w:rsidR="00E33BDA">
        <w:rPr>
          <w:rFonts w:cs="Times New Roman"/>
          <w:color w:val="000000" w:themeColor="text1"/>
          <w:shd w:val="clear" w:color="auto" w:fill="FFFFFF"/>
        </w:rPr>
        <w:t>multiple</w:t>
      </w:r>
      <w:r w:rsidR="009743D2">
        <w:rPr>
          <w:rFonts w:cs="Times New Roman"/>
          <w:color w:val="000000" w:themeColor="text1"/>
          <w:shd w:val="clear" w:color="auto" w:fill="FFFFFF"/>
        </w:rPr>
        <w:t xml:space="preserve"> </w:t>
      </w:r>
      <w:r w:rsidR="00E33BDA">
        <w:rPr>
          <w:rFonts w:cs="Times New Roman"/>
          <w:color w:val="000000" w:themeColor="text1"/>
          <w:shd w:val="clear" w:color="auto" w:fill="FFFFFF"/>
        </w:rPr>
        <w:t xml:space="preserve">(continuing) </w:t>
      </w:r>
      <w:r w:rsidR="009743D2">
        <w:rPr>
          <w:rFonts w:cs="Times New Roman"/>
          <w:color w:val="000000" w:themeColor="text1"/>
          <w:shd w:val="clear" w:color="auto" w:fill="FFFFFF"/>
        </w:rPr>
        <w:t>problem</w:t>
      </w:r>
      <w:r w:rsidR="00E33BDA">
        <w:rPr>
          <w:rFonts w:cs="Times New Roman"/>
          <w:color w:val="000000" w:themeColor="text1"/>
          <w:shd w:val="clear" w:color="auto" w:fill="FFFFFF"/>
        </w:rPr>
        <w:t>s</w:t>
      </w:r>
      <w:r w:rsidR="009743D2">
        <w:rPr>
          <w:rFonts w:cs="Times New Roman"/>
          <w:color w:val="000000" w:themeColor="text1"/>
          <w:shd w:val="clear" w:color="auto" w:fill="FFFFFF"/>
        </w:rPr>
        <w:t>, including techn</w:t>
      </w:r>
      <w:r w:rsidR="002D323D">
        <w:rPr>
          <w:rFonts w:cs="Times New Roman"/>
          <w:color w:val="000000" w:themeColor="text1"/>
          <w:shd w:val="clear" w:color="auto" w:fill="FFFFFF"/>
        </w:rPr>
        <w:t>olog</w:t>
      </w:r>
      <w:r w:rsidR="009743D2">
        <w:rPr>
          <w:rFonts w:cs="Times New Roman"/>
          <w:color w:val="000000" w:themeColor="text1"/>
          <w:shd w:val="clear" w:color="auto" w:fill="FFFFFF"/>
        </w:rPr>
        <w:t>ical barriers,</w:t>
      </w:r>
      <w:r w:rsidR="00025071">
        <w:rPr>
          <w:rStyle w:val="FootnoteReference"/>
          <w:rFonts w:cs="Times New Roman"/>
          <w:color w:val="000000" w:themeColor="text1"/>
          <w:shd w:val="clear" w:color="auto" w:fill="FFFFFF"/>
        </w:rPr>
        <w:footnoteReference w:id="31"/>
      </w:r>
      <w:r w:rsidR="009743D2">
        <w:rPr>
          <w:rFonts w:cs="Times New Roman"/>
          <w:color w:val="000000" w:themeColor="text1"/>
          <w:shd w:val="clear" w:color="auto" w:fill="FFFFFF"/>
        </w:rPr>
        <w:t xml:space="preserve"> potentially discriminatory limitations around the validity of evidence,</w:t>
      </w:r>
      <w:r w:rsidR="009743D2">
        <w:rPr>
          <w:rStyle w:val="FootnoteReference"/>
          <w:rFonts w:cs="Times New Roman"/>
          <w:color w:val="000000" w:themeColor="text1"/>
          <w:shd w:val="clear" w:color="auto" w:fill="FFFFFF"/>
        </w:rPr>
        <w:footnoteReference w:id="32"/>
      </w:r>
      <w:r w:rsidR="009743D2">
        <w:rPr>
          <w:rFonts w:cs="Times New Roman"/>
          <w:color w:val="000000" w:themeColor="text1"/>
          <w:shd w:val="clear" w:color="auto" w:fill="FFFFFF"/>
        </w:rPr>
        <w:t xml:space="preserve"> and delays in the system,</w:t>
      </w:r>
      <w:r w:rsidR="009743D2">
        <w:rPr>
          <w:rStyle w:val="FootnoteReference"/>
          <w:rFonts w:cs="Times New Roman"/>
          <w:color w:val="000000" w:themeColor="text1"/>
          <w:shd w:val="clear" w:color="auto" w:fill="FFFFFF"/>
        </w:rPr>
        <w:footnoteReference w:id="33"/>
      </w:r>
      <w:r w:rsidR="009743D2">
        <w:rPr>
          <w:rFonts w:cs="Times New Roman"/>
          <w:color w:val="000000" w:themeColor="text1"/>
          <w:shd w:val="clear" w:color="auto" w:fill="FFFFFF"/>
        </w:rPr>
        <w:t xml:space="preserve"> the scheme was </w:t>
      </w:r>
      <w:r w:rsidR="00927772">
        <w:rPr>
          <w:rFonts w:cs="Times New Roman"/>
          <w:color w:val="000000" w:themeColor="text1"/>
          <w:shd w:val="clear" w:color="auto" w:fill="FFFFFF"/>
        </w:rPr>
        <w:t>designed to be undemanding.</w:t>
      </w:r>
      <w:r w:rsidR="009743D2">
        <w:rPr>
          <w:rStyle w:val="FootnoteReference"/>
          <w:rFonts w:cs="Times New Roman"/>
          <w:color w:val="000000" w:themeColor="text1"/>
          <w:shd w:val="clear" w:color="auto" w:fill="FFFFFF"/>
        </w:rPr>
        <w:footnoteReference w:id="34"/>
      </w:r>
      <w:r w:rsidR="009743D2">
        <w:rPr>
          <w:rFonts w:cs="Times New Roman"/>
          <w:color w:val="000000" w:themeColor="text1"/>
          <w:shd w:val="clear" w:color="auto" w:fill="FFFFFF"/>
        </w:rPr>
        <w:t xml:space="preserve"> </w:t>
      </w:r>
      <w:r w:rsidR="00E33BDA">
        <w:rPr>
          <w:rFonts w:cs="Times New Roman"/>
          <w:color w:val="000000" w:themeColor="text1"/>
          <w:shd w:val="clear" w:color="auto" w:fill="FFFFFF"/>
        </w:rPr>
        <w:t xml:space="preserve">The emphasis on administrative ease (for users and administrators) is important and necessary, but in waiving the Withdrawal Agreement’s permitted conditions, the government side-stepped the tricky question of how the two schemes interrelate.  </w:t>
      </w:r>
    </w:p>
    <w:p w14:paraId="2EF19A86" w14:textId="77777777" w:rsidR="00406F7C" w:rsidRDefault="00406F7C" w:rsidP="00406F7C">
      <w:pPr>
        <w:rPr>
          <w:rFonts w:cs="Times New Roman"/>
          <w:color w:val="000000" w:themeColor="text1"/>
          <w:shd w:val="clear" w:color="auto" w:fill="FFFFFF"/>
        </w:rPr>
      </w:pPr>
    </w:p>
    <w:p w14:paraId="77623BEB" w14:textId="08773D19" w:rsidR="00406F7C" w:rsidRDefault="004F7E38" w:rsidP="00406F7C">
      <w:pPr>
        <w:pStyle w:val="Heading2"/>
        <w:rPr>
          <w:shd w:val="clear" w:color="auto" w:fill="FFFFFF"/>
        </w:rPr>
      </w:pPr>
      <w:r>
        <w:rPr>
          <w:shd w:val="clear" w:color="auto" w:fill="FFFFFF"/>
        </w:rPr>
        <w:lastRenderedPageBreak/>
        <w:t>Messy and problematic: ‘true’ and ‘extra’ cohorts</w:t>
      </w:r>
    </w:p>
    <w:p w14:paraId="1EBB8228" w14:textId="380E1877" w:rsidR="00606D13" w:rsidRDefault="0020384C" w:rsidP="00DE7F71">
      <w:pPr>
        <w:spacing w:after="120"/>
        <w:rPr>
          <w:rFonts w:cs="Times New Roman"/>
          <w:color w:val="000000" w:themeColor="text1"/>
          <w:shd w:val="clear" w:color="auto" w:fill="FFFFFF"/>
        </w:rPr>
      </w:pPr>
      <w:r w:rsidRPr="007067E5">
        <w:rPr>
          <w:rFonts w:cs="Times New Roman"/>
        </w:rPr>
        <w:t>Article 18(</w:t>
      </w:r>
      <w:proofErr w:type="gramStart"/>
      <w:r w:rsidRPr="007067E5">
        <w:rPr>
          <w:rFonts w:cs="Times New Roman"/>
        </w:rPr>
        <w:t>1)</w:t>
      </w:r>
      <w:r w:rsidR="004F7E38">
        <w:rPr>
          <w:rFonts w:cs="Times New Roman"/>
        </w:rPr>
        <w:t>WA</w:t>
      </w:r>
      <w:proofErr w:type="gramEnd"/>
      <w:r w:rsidRPr="007067E5">
        <w:rPr>
          <w:rFonts w:cs="Times New Roman"/>
        </w:rPr>
        <w:t xml:space="preserve"> states that the UK ‘may require Union citizens… to apply for a new residence status which confers the rights under this Title and a document evidencing such status which may be in a digital form’. T</w:t>
      </w:r>
      <w:r w:rsidR="0036482C" w:rsidRPr="007067E5">
        <w:rPr>
          <w:rFonts w:cs="Times New Roman"/>
          <w:color w:val="000000" w:themeColor="text1"/>
          <w:shd w:val="clear" w:color="auto" w:fill="FFFFFF"/>
        </w:rPr>
        <w:t>he EUSS</w:t>
      </w:r>
      <w:r w:rsidR="0036482C" w:rsidRPr="00EA1DBF">
        <w:rPr>
          <w:rFonts w:cs="Times New Roman"/>
          <w:color w:val="000000" w:themeColor="text1"/>
          <w:shd w:val="clear" w:color="auto" w:fill="FFFFFF"/>
        </w:rPr>
        <w:t xml:space="preserve"> was conceived </w:t>
      </w:r>
      <w:r w:rsidR="004F7E38">
        <w:rPr>
          <w:rFonts w:cs="Times New Roman"/>
          <w:color w:val="000000" w:themeColor="text1"/>
          <w:shd w:val="clear" w:color="auto" w:fill="FFFFFF"/>
        </w:rPr>
        <w:t xml:space="preserve">to </w:t>
      </w:r>
      <w:r w:rsidR="0036482C" w:rsidRPr="00EA1DBF">
        <w:rPr>
          <w:rFonts w:cs="Times New Roman"/>
          <w:color w:val="000000" w:themeColor="text1"/>
          <w:shd w:val="clear" w:color="auto" w:fill="FFFFFF"/>
        </w:rPr>
        <w:t xml:space="preserve">give effect to </w:t>
      </w:r>
      <w:r w:rsidR="004F7E38">
        <w:rPr>
          <w:rFonts w:cs="Times New Roman"/>
          <w:color w:val="000000" w:themeColor="text1"/>
          <w:shd w:val="clear" w:color="auto" w:fill="FFFFFF"/>
        </w:rPr>
        <w:t>this article</w:t>
      </w:r>
      <w:r w:rsidR="0036482C">
        <w:rPr>
          <w:rFonts w:cs="Times New Roman"/>
          <w:color w:val="000000" w:themeColor="text1"/>
          <w:shd w:val="clear" w:color="auto" w:fill="FFFFFF"/>
        </w:rPr>
        <w:t xml:space="preserve">. </w:t>
      </w:r>
      <w:r w:rsidR="0036482C" w:rsidRPr="00DF72B7">
        <w:rPr>
          <w:rFonts w:cs="Times New Roman"/>
          <w:color w:val="000000" w:themeColor="text1"/>
          <w:shd w:val="clear" w:color="auto" w:fill="FFFFFF"/>
        </w:rPr>
        <w:t>Under the EUSS, pre-settled status is the equivalent of Article 13</w:t>
      </w:r>
      <w:r w:rsidR="004F7E38">
        <w:rPr>
          <w:rFonts w:cs="Times New Roman"/>
          <w:color w:val="000000" w:themeColor="text1"/>
          <w:shd w:val="clear" w:color="auto" w:fill="FFFFFF"/>
        </w:rPr>
        <w:t xml:space="preserve"> WA</w:t>
      </w:r>
      <w:r w:rsidR="0036482C" w:rsidRPr="00DF72B7">
        <w:rPr>
          <w:rFonts w:cs="Times New Roman"/>
          <w:color w:val="000000" w:themeColor="text1"/>
          <w:shd w:val="clear" w:color="auto" w:fill="FFFFFF"/>
        </w:rPr>
        <w:t xml:space="preserve"> ‘temporary residence’</w:t>
      </w:r>
      <w:r w:rsidR="00337F30">
        <w:rPr>
          <w:rFonts w:cs="Times New Roman"/>
          <w:color w:val="000000" w:themeColor="text1"/>
          <w:shd w:val="clear" w:color="auto" w:fill="FFFFFF"/>
        </w:rPr>
        <w:t xml:space="preserve"> and</w:t>
      </w:r>
      <w:r w:rsidR="0036482C" w:rsidRPr="00DF72B7">
        <w:rPr>
          <w:rFonts w:cs="Times New Roman"/>
          <w:color w:val="000000" w:themeColor="text1"/>
          <w:shd w:val="clear" w:color="auto" w:fill="FFFFFF"/>
        </w:rPr>
        <w:t xml:space="preserve"> settled status is the equivalent of Article 15</w:t>
      </w:r>
      <w:r w:rsidR="004F7E38">
        <w:rPr>
          <w:rFonts w:cs="Times New Roman"/>
          <w:color w:val="000000" w:themeColor="text1"/>
          <w:shd w:val="clear" w:color="auto" w:fill="FFFFFF"/>
        </w:rPr>
        <w:t xml:space="preserve"> WA</w:t>
      </w:r>
      <w:r w:rsidR="0036482C" w:rsidRPr="00DF72B7">
        <w:rPr>
          <w:rFonts w:cs="Times New Roman"/>
          <w:color w:val="000000" w:themeColor="text1"/>
          <w:shd w:val="clear" w:color="auto" w:fill="FFFFFF"/>
        </w:rPr>
        <w:t xml:space="preserve"> ‘permanent residence’</w:t>
      </w:r>
      <w:r w:rsidR="0036482C">
        <w:rPr>
          <w:rFonts w:cs="Times New Roman"/>
          <w:color w:val="000000" w:themeColor="text1"/>
          <w:shd w:val="clear" w:color="auto" w:fill="FFFFFF"/>
        </w:rPr>
        <w:t xml:space="preserve">. As a scheme set up with the purpose </w:t>
      </w:r>
      <w:r w:rsidR="004F7E38">
        <w:rPr>
          <w:rFonts w:cs="Times New Roman"/>
          <w:color w:val="000000" w:themeColor="text1"/>
          <w:shd w:val="clear" w:color="auto" w:fill="FFFFFF"/>
        </w:rPr>
        <w:t>of</w:t>
      </w:r>
      <w:r w:rsidR="0036482C">
        <w:rPr>
          <w:rFonts w:cs="Times New Roman"/>
          <w:color w:val="000000" w:themeColor="text1"/>
          <w:shd w:val="clear" w:color="auto" w:fill="FFFFFF"/>
        </w:rPr>
        <w:t xml:space="preserve"> ‘verify</w:t>
      </w:r>
      <w:r w:rsidR="004F7E38">
        <w:rPr>
          <w:rFonts w:cs="Times New Roman"/>
          <w:color w:val="000000" w:themeColor="text1"/>
          <w:shd w:val="clear" w:color="auto" w:fill="FFFFFF"/>
        </w:rPr>
        <w:t>ing</w:t>
      </w:r>
      <w:r w:rsidR="0036482C">
        <w:rPr>
          <w:rFonts w:cs="Times New Roman"/>
          <w:color w:val="000000" w:themeColor="text1"/>
          <w:shd w:val="clear" w:color="auto" w:fill="FFFFFF"/>
        </w:rPr>
        <w:t xml:space="preserve">’ </w:t>
      </w:r>
      <w:r w:rsidR="004F7E38">
        <w:rPr>
          <w:rFonts w:cs="Times New Roman"/>
          <w:color w:val="000000" w:themeColor="text1"/>
          <w:shd w:val="clear" w:color="auto" w:fill="FFFFFF"/>
        </w:rPr>
        <w:t>whether</w:t>
      </w:r>
      <w:r w:rsidR="0036482C">
        <w:rPr>
          <w:rFonts w:cs="Times New Roman"/>
          <w:color w:val="000000" w:themeColor="text1"/>
          <w:shd w:val="clear" w:color="auto" w:fill="FFFFFF"/>
        </w:rPr>
        <w:t xml:space="preserve"> someone is entitled to ‘residence rights set out in’ the </w:t>
      </w:r>
      <w:r w:rsidR="00337F30">
        <w:rPr>
          <w:rFonts w:cs="Times New Roman"/>
          <w:color w:val="000000" w:themeColor="text1"/>
          <w:shd w:val="clear" w:color="auto" w:fill="FFFFFF"/>
        </w:rPr>
        <w:t>W</w:t>
      </w:r>
      <w:r w:rsidR="0036482C">
        <w:rPr>
          <w:rFonts w:cs="Times New Roman"/>
          <w:color w:val="000000" w:themeColor="text1"/>
          <w:shd w:val="clear" w:color="auto" w:fill="FFFFFF"/>
        </w:rPr>
        <w:t xml:space="preserve">ithdrawal </w:t>
      </w:r>
      <w:r w:rsidR="00337F30">
        <w:rPr>
          <w:rFonts w:cs="Times New Roman"/>
          <w:color w:val="000000" w:themeColor="text1"/>
          <w:shd w:val="clear" w:color="auto" w:fill="FFFFFF"/>
        </w:rPr>
        <w:t>A</w:t>
      </w:r>
      <w:r w:rsidR="0036482C">
        <w:rPr>
          <w:rFonts w:cs="Times New Roman"/>
          <w:color w:val="000000" w:themeColor="text1"/>
          <w:shd w:val="clear" w:color="auto" w:fill="FFFFFF"/>
        </w:rPr>
        <w:t>greement,</w:t>
      </w:r>
      <w:r w:rsidR="0036482C">
        <w:rPr>
          <w:rStyle w:val="FootnoteReference"/>
          <w:rFonts w:cs="Times New Roman"/>
          <w:color w:val="000000" w:themeColor="text1"/>
          <w:shd w:val="clear" w:color="auto" w:fill="FFFFFF"/>
        </w:rPr>
        <w:footnoteReference w:id="35"/>
      </w:r>
      <w:r w:rsidR="0036482C">
        <w:rPr>
          <w:rFonts w:cs="Times New Roman"/>
          <w:color w:val="000000" w:themeColor="text1"/>
          <w:shd w:val="clear" w:color="auto" w:fill="FFFFFF"/>
        </w:rPr>
        <w:t xml:space="preserve"> </w:t>
      </w:r>
      <w:r w:rsidR="0036482C" w:rsidRPr="00EA1DBF">
        <w:rPr>
          <w:rFonts w:cs="Times New Roman"/>
          <w:color w:val="000000" w:themeColor="text1"/>
          <w:shd w:val="clear" w:color="auto" w:fill="FFFFFF"/>
        </w:rPr>
        <w:t>having EUSS status was thought to be evidence that someone was residing</w:t>
      </w:r>
      <w:r w:rsidR="0036482C">
        <w:rPr>
          <w:rFonts w:cs="Times New Roman"/>
          <w:color w:val="000000" w:themeColor="text1"/>
          <w:shd w:val="clear" w:color="auto" w:fill="FFFFFF"/>
        </w:rPr>
        <w:t xml:space="preserve"> in the UK</w:t>
      </w:r>
      <w:r w:rsidR="0036482C" w:rsidRPr="00EA1DBF">
        <w:rPr>
          <w:rFonts w:cs="Times New Roman"/>
          <w:color w:val="000000" w:themeColor="text1"/>
          <w:shd w:val="clear" w:color="auto" w:fill="FFFFFF"/>
        </w:rPr>
        <w:t xml:space="preserve"> </w:t>
      </w:r>
      <w:r w:rsidR="0036482C" w:rsidRPr="00AB189A">
        <w:rPr>
          <w:rFonts w:cs="Times New Roman"/>
          <w:i/>
          <w:iCs/>
          <w:color w:val="000000" w:themeColor="text1"/>
          <w:shd w:val="clear" w:color="auto" w:fill="FFFFFF"/>
        </w:rPr>
        <w:t>on the basis</w:t>
      </w:r>
      <w:r w:rsidR="0036482C" w:rsidRPr="00EA1DBF">
        <w:rPr>
          <w:rFonts w:cs="Times New Roman"/>
          <w:color w:val="000000" w:themeColor="text1"/>
          <w:shd w:val="clear" w:color="auto" w:fill="FFFFFF"/>
        </w:rPr>
        <w:t xml:space="preserve"> of the Withdrawal Agreement, and to be entitled to the rights that entails</w:t>
      </w:r>
      <w:r w:rsidR="002A044E">
        <w:rPr>
          <w:rFonts w:cs="Times New Roman"/>
          <w:color w:val="000000" w:themeColor="text1"/>
          <w:shd w:val="clear" w:color="auto" w:fill="FFFFFF"/>
        </w:rPr>
        <w:t>,</w:t>
      </w:r>
      <w:r w:rsidR="00120551">
        <w:rPr>
          <w:rFonts w:cs="Times New Roman"/>
          <w:color w:val="000000" w:themeColor="text1"/>
          <w:shd w:val="clear" w:color="auto" w:fill="FFFFFF"/>
        </w:rPr>
        <w:t xml:space="preserve"> </w:t>
      </w:r>
      <w:r w:rsidR="00120551" w:rsidRPr="003D7E1D">
        <w:rPr>
          <w:rFonts w:cs="Times New Roman"/>
          <w:color w:val="000000" w:themeColor="text1"/>
          <w:shd w:val="clear" w:color="auto" w:fill="FFFFFF"/>
        </w:rPr>
        <w:t xml:space="preserve">even if the Home Office </w:t>
      </w:r>
      <w:r w:rsidR="00120551" w:rsidRPr="003D7E1D">
        <w:rPr>
          <w:rFonts w:cs="Times New Roman"/>
          <w:i/>
          <w:iCs/>
          <w:color w:val="000000" w:themeColor="text1"/>
          <w:shd w:val="clear" w:color="auto" w:fill="FFFFFF"/>
        </w:rPr>
        <w:t>chose</w:t>
      </w:r>
      <w:r w:rsidR="00120551" w:rsidRPr="003D7E1D">
        <w:rPr>
          <w:rFonts w:cs="Times New Roman"/>
          <w:color w:val="000000" w:themeColor="text1"/>
          <w:shd w:val="clear" w:color="auto" w:fill="FFFFFF"/>
        </w:rPr>
        <w:t xml:space="preserve"> not to verify </w:t>
      </w:r>
      <w:r w:rsidR="002A044E" w:rsidRPr="003D7E1D">
        <w:rPr>
          <w:rFonts w:cs="Times New Roman"/>
          <w:color w:val="000000" w:themeColor="text1"/>
          <w:shd w:val="clear" w:color="auto" w:fill="FFFFFF"/>
        </w:rPr>
        <w:t xml:space="preserve">full </w:t>
      </w:r>
      <w:r w:rsidR="00120551" w:rsidRPr="003D7E1D">
        <w:rPr>
          <w:rFonts w:cs="Times New Roman"/>
          <w:color w:val="000000" w:themeColor="text1"/>
          <w:shd w:val="clear" w:color="auto" w:fill="FFFFFF"/>
        </w:rPr>
        <w:t>compliance with</w:t>
      </w:r>
      <w:r w:rsidR="002A044E" w:rsidRPr="003D7E1D">
        <w:rPr>
          <w:rFonts w:cs="Times New Roman"/>
          <w:color w:val="000000" w:themeColor="text1"/>
          <w:shd w:val="clear" w:color="auto" w:fill="FFFFFF"/>
        </w:rPr>
        <w:t xml:space="preserve"> conditions of Arts. 13 and 15</w:t>
      </w:r>
      <w:r w:rsidR="0036482C" w:rsidRPr="003D7E1D">
        <w:rPr>
          <w:rFonts w:cs="Times New Roman"/>
          <w:color w:val="000000" w:themeColor="text1"/>
          <w:shd w:val="clear" w:color="auto" w:fill="FFFFFF"/>
        </w:rPr>
        <w:t>.</w:t>
      </w:r>
      <w:r w:rsidR="0036482C">
        <w:rPr>
          <w:rFonts w:cs="Times New Roman"/>
          <w:color w:val="000000" w:themeColor="text1"/>
          <w:shd w:val="clear" w:color="auto" w:fill="FFFFFF"/>
        </w:rPr>
        <w:t xml:space="preserve"> The digital immigration status produced by the Home Office states</w:t>
      </w:r>
      <w:r w:rsidR="00BA2DC7">
        <w:rPr>
          <w:rFonts w:cs="Times New Roman"/>
          <w:color w:val="000000" w:themeColor="text1"/>
          <w:shd w:val="clear" w:color="auto" w:fill="FFFFFF"/>
        </w:rPr>
        <w:t xml:space="preserve">, </w:t>
      </w:r>
      <w:r w:rsidR="009B44D9">
        <w:rPr>
          <w:rFonts w:cs="Times New Roman"/>
          <w:color w:val="000000" w:themeColor="text1"/>
          <w:shd w:val="clear" w:color="auto" w:fill="FFFFFF"/>
        </w:rPr>
        <w:t>on its</w:t>
      </w:r>
      <w:r w:rsidR="00BA2DC7">
        <w:rPr>
          <w:rFonts w:cs="Times New Roman"/>
          <w:color w:val="000000" w:themeColor="text1"/>
          <w:shd w:val="clear" w:color="auto" w:fill="FFFFFF"/>
        </w:rPr>
        <w:t xml:space="preserve"> </w:t>
      </w:r>
      <w:r w:rsidR="009B44D9">
        <w:rPr>
          <w:rFonts w:cs="Times New Roman"/>
          <w:color w:val="000000" w:themeColor="text1"/>
          <w:shd w:val="clear" w:color="auto" w:fill="FFFFFF"/>
        </w:rPr>
        <w:t xml:space="preserve">‘view and prove’ online service </w:t>
      </w:r>
      <w:r w:rsidR="0036482C">
        <w:rPr>
          <w:rFonts w:cs="Times New Roman"/>
          <w:color w:val="000000" w:themeColor="text1"/>
          <w:shd w:val="clear" w:color="auto" w:fill="FFFFFF"/>
        </w:rPr>
        <w:t>that ‘This leave is issued in accordance with the EU exit separation agreements’ and then lists the relevant agreements for EU nationals, EEA nationals</w:t>
      </w:r>
      <w:r w:rsidR="0036482C">
        <w:rPr>
          <w:rStyle w:val="FootnoteReference"/>
          <w:rFonts w:cs="Times New Roman"/>
          <w:color w:val="000000" w:themeColor="text1"/>
          <w:shd w:val="clear" w:color="auto" w:fill="FFFFFF"/>
        </w:rPr>
        <w:footnoteReference w:id="36"/>
      </w:r>
      <w:r w:rsidR="0036482C">
        <w:rPr>
          <w:rFonts w:cs="Times New Roman"/>
          <w:color w:val="000000" w:themeColor="text1"/>
          <w:shd w:val="clear" w:color="auto" w:fill="FFFFFF"/>
        </w:rPr>
        <w:t xml:space="preserve"> and Swiss nationals.</w:t>
      </w:r>
      <w:r w:rsidR="0036482C">
        <w:rPr>
          <w:rStyle w:val="FootnoteReference"/>
          <w:rFonts w:cs="Times New Roman"/>
          <w:color w:val="000000" w:themeColor="text1"/>
          <w:shd w:val="clear" w:color="auto" w:fill="FFFFFF"/>
        </w:rPr>
        <w:footnoteReference w:id="37"/>
      </w:r>
      <w:r w:rsidR="0036482C">
        <w:rPr>
          <w:rFonts w:cs="Times New Roman"/>
          <w:color w:val="000000" w:themeColor="text1"/>
          <w:shd w:val="clear" w:color="auto" w:fill="FFFFFF"/>
        </w:rPr>
        <w:t xml:space="preserve"> </w:t>
      </w:r>
    </w:p>
    <w:p w14:paraId="46613EA1" w14:textId="3092A707" w:rsidR="00376966" w:rsidRDefault="004F7E38" w:rsidP="00DE7F71">
      <w:pPr>
        <w:spacing w:after="120"/>
        <w:rPr>
          <w:rFonts w:cs="Times New Roman"/>
        </w:rPr>
      </w:pPr>
      <w:r>
        <w:rPr>
          <w:rFonts w:cs="Times New Roman"/>
          <w:color w:val="000000" w:themeColor="text1"/>
          <w:shd w:val="clear" w:color="auto" w:fill="FFFFFF"/>
        </w:rPr>
        <w:t>It was administratively necessary for the</w:t>
      </w:r>
      <w:r w:rsidR="00AA62F9">
        <w:rPr>
          <w:rFonts w:cs="Times New Roman"/>
          <w:color w:val="000000" w:themeColor="text1"/>
          <w:shd w:val="clear" w:color="auto" w:fill="FFFFFF"/>
        </w:rPr>
        <w:t xml:space="preserve"> </w:t>
      </w:r>
      <w:r>
        <w:rPr>
          <w:rFonts w:cs="Times New Roman"/>
          <w:color w:val="000000" w:themeColor="text1"/>
          <w:shd w:val="clear" w:color="auto" w:fill="FFFFFF"/>
        </w:rPr>
        <w:t>EUSS to dispense with the permitted conditions in the Withdrawal Agreement.</w:t>
      </w:r>
      <w:r w:rsidR="00376966">
        <w:rPr>
          <w:rFonts w:cs="Times New Roman"/>
          <w:color w:val="000000" w:themeColor="text1"/>
          <w:shd w:val="clear" w:color="auto" w:fill="FFFFFF"/>
        </w:rPr>
        <w:t xml:space="preserve"> But doing so has introduced a crack in the system – one which may be wedged wider as rights for those with</w:t>
      </w:r>
      <w:r w:rsidR="00606D13">
        <w:rPr>
          <w:rFonts w:cs="Times New Roman"/>
          <w:color w:val="000000" w:themeColor="text1"/>
          <w:shd w:val="clear" w:color="auto" w:fill="FFFFFF"/>
        </w:rPr>
        <w:t xml:space="preserve"> ‘</w:t>
      </w:r>
      <w:r w:rsidR="00337F30">
        <w:rPr>
          <w:rFonts w:cs="Times New Roman"/>
          <w:color w:val="000000" w:themeColor="text1"/>
          <w:shd w:val="clear" w:color="auto" w:fill="FFFFFF"/>
        </w:rPr>
        <w:t>W</w:t>
      </w:r>
      <w:r w:rsidR="00606D13">
        <w:rPr>
          <w:rFonts w:cs="Times New Roman"/>
          <w:color w:val="000000" w:themeColor="text1"/>
          <w:shd w:val="clear" w:color="auto" w:fill="FFFFFF"/>
        </w:rPr>
        <w:t xml:space="preserve">ithdrawal </w:t>
      </w:r>
      <w:r w:rsidR="00337F30">
        <w:rPr>
          <w:rFonts w:cs="Times New Roman"/>
          <w:color w:val="000000" w:themeColor="text1"/>
          <w:shd w:val="clear" w:color="auto" w:fill="FFFFFF"/>
        </w:rPr>
        <w:t>A</w:t>
      </w:r>
      <w:r w:rsidR="00606D13">
        <w:rPr>
          <w:rFonts w:cs="Times New Roman"/>
          <w:color w:val="000000" w:themeColor="text1"/>
          <w:shd w:val="clear" w:color="auto" w:fill="FFFFFF"/>
        </w:rPr>
        <w:t xml:space="preserve">greement valid’ EUSS status </w:t>
      </w:r>
      <w:r w:rsidR="00376966">
        <w:rPr>
          <w:rFonts w:cs="Times New Roman"/>
          <w:color w:val="000000" w:themeColor="text1"/>
          <w:shd w:val="clear" w:color="auto" w:fill="FFFFFF"/>
        </w:rPr>
        <w:t xml:space="preserve">diverge from those with </w:t>
      </w:r>
      <w:r w:rsidR="00606D13">
        <w:rPr>
          <w:rFonts w:cs="Times New Roman"/>
          <w:color w:val="000000" w:themeColor="text1"/>
          <w:shd w:val="clear" w:color="auto" w:fill="FFFFFF"/>
        </w:rPr>
        <w:t>‘</w:t>
      </w:r>
      <w:r w:rsidR="002D323D">
        <w:rPr>
          <w:rFonts w:cs="Times New Roman"/>
          <w:color w:val="000000" w:themeColor="text1"/>
          <w:shd w:val="clear" w:color="auto" w:fill="FFFFFF"/>
        </w:rPr>
        <w:t>W</w:t>
      </w:r>
      <w:r w:rsidR="00606D13">
        <w:rPr>
          <w:rFonts w:cs="Times New Roman"/>
          <w:color w:val="000000" w:themeColor="text1"/>
          <w:shd w:val="clear" w:color="auto" w:fill="FFFFFF"/>
        </w:rPr>
        <w:t xml:space="preserve">ithdrawal </w:t>
      </w:r>
      <w:r w:rsidR="002D323D">
        <w:rPr>
          <w:rFonts w:cs="Times New Roman"/>
          <w:color w:val="000000" w:themeColor="text1"/>
          <w:shd w:val="clear" w:color="auto" w:fill="FFFFFF"/>
        </w:rPr>
        <w:t>A</w:t>
      </w:r>
      <w:r w:rsidR="00606D13">
        <w:rPr>
          <w:rFonts w:cs="Times New Roman"/>
          <w:color w:val="000000" w:themeColor="text1"/>
          <w:shd w:val="clear" w:color="auto" w:fill="FFFFFF"/>
        </w:rPr>
        <w:t>greement invalid’ EUSS status.</w:t>
      </w:r>
      <w:r w:rsidR="009576FE">
        <w:rPr>
          <w:rFonts w:cs="Times New Roman"/>
          <w:color w:val="000000" w:themeColor="text1"/>
          <w:shd w:val="clear" w:color="auto" w:fill="FFFFFF"/>
        </w:rPr>
        <w:t xml:space="preserve"> </w:t>
      </w:r>
      <w:r w:rsidR="00376966">
        <w:rPr>
          <w:rFonts w:cs="Times New Roman"/>
          <w:color w:val="000000" w:themeColor="text1"/>
          <w:shd w:val="clear" w:color="auto" w:fill="FFFFFF"/>
        </w:rPr>
        <w:t>Although th</w:t>
      </w:r>
      <w:r w:rsidR="000A44F4">
        <w:rPr>
          <w:rFonts w:cs="Times New Roman"/>
        </w:rPr>
        <w:t xml:space="preserve">e UK government has consistently referred to </w:t>
      </w:r>
      <w:r w:rsidR="00E23ED5">
        <w:rPr>
          <w:rFonts w:cs="Times New Roman"/>
        </w:rPr>
        <w:t>the EUSS as ‘generous’</w:t>
      </w:r>
      <w:r w:rsidR="000A44F4">
        <w:rPr>
          <w:rFonts w:cs="Times New Roman"/>
        </w:rPr>
        <w:t>,</w:t>
      </w:r>
      <w:r w:rsidR="000A44F4">
        <w:rPr>
          <w:rStyle w:val="FootnoteReference"/>
          <w:rFonts w:cs="Times New Roman"/>
        </w:rPr>
        <w:footnoteReference w:id="38"/>
      </w:r>
      <w:r w:rsidR="00376966">
        <w:rPr>
          <w:rFonts w:cs="Times New Roman"/>
        </w:rPr>
        <w:t xml:space="preserve"> this generosity comes, it seems, at the price of clarity of international legal rights. </w:t>
      </w:r>
      <w:r w:rsidR="008048BD">
        <w:rPr>
          <w:rFonts w:cs="Times New Roman"/>
        </w:rPr>
        <w:t xml:space="preserve"> </w:t>
      </w:r>
      <w:r w:rsidR="000A44F4">
        <w:rPr>
          <w:rFonts w:cs="Times New Roman"/>
        </w:rPr>
        <w:t xml:space="preserve">EU citizens and their family members cannot </w:t>
      </w:r>
      <w:r w:rsidR="00376966">
        <w:rPr>
          <w:rFonts w:cs="Times New Roman"/>
        </w:rPr>
        <w:t>know</w:t>
      </w:r>
      <w:r w:rsidR="000A44F4">
        <w:rPr>
          <w:rFonts w:cs="Times New Roman"/>
        </w:rPr>
        <w:t xml:space="preserve"> whether their </w:t>
      </w:r>
      <w:r w:rsidR="00376966">
        <w:rPr>
          <w:rFonts w:cs="Times New Roman"/>
        </w:rPr>
        <w:t xml:space="preserve">residence and equal treatment </w:t>
      </w:r>
      <w:r w:rsidR="000A44F4">
        <w:rPr>
          <w:rFonts w:cs="Times New Roman"/>
        </w:rPr>
        <w:t xml:space="preserve">rights are protected solely in domestic law or in </w:t>
      </w:r>
      <w:r w:rsidR="000A44F4">
        <w:rPr>
          <w:rFonts w:cs="Times New Roman"/>
        </w:rPr>
        <w:lastRenderedPageBreak/>
        <w:t xml:space="preserve">the </w:t>
      </w:r>
      <w:r w:rsidR="00337F30">
        <w:rPr>
          <w:rFonts w:cs="Times New Roman"/>
        </w:rPr>
        <w:t>W</w:t>
      </w:r>
      <w:r w:rsidR="000A44F4">
        <w:rPr>
          <w:rFonts w:cs="Times New Roman"/>
        </w:rPr>
        <w:t xml:space="preserve">ithdrawal </w:t>
      </w:r>
      <w:r w:rsidR="00337F30">
        <w:rPr>
          <w:rFonts w:cs="Times New Roman"/>
        </w:rPr>
        <w:t>A</w:t>
      </w:r>
      <w:r w:rsidR="000A44F4">
        <w:rPr>
          <w:rFonts w:cs="Times New Roman"/>
        </w:rPr>
        <w:t>greement</w:t>
      </w:r>
      <w:r w:rsidR="00376966">
        <w:rPr>
          <w:rFonts w:cs="Times New Roman"/>
        </w:rPr>
        <w:t xml:space="preserve"> (while having been actively misled into thinking they are automatically protected under both). </w:t>
      </w:r>
      <w:r w:rsidR="000A44F4" w:rsidRPr="00A72723">
        <w:rPr>
          <w:rFonts w:cs="Times New Roman"/>
        </w:rPr>
        <w:t xml:space="preserve">Both EU and UK authorities have struggled to address what this means. </w:t>
      </w:r>
    </w:p>
    <w:p w14:paraId="3E5BD3CB" w14:textId="4CB9C4E1" w:rsidR="00FE1546" w:rsidRPr="00376966" w:rsidRDefault="000A44F4" w:rsidP="00DE7F71">
      <w:pPr>
        <w:rPr>
          <w:rFonts w:cs="Times New Roman"/>
        </w:rPr>
      </w:pPr>
      <w:r w:rsidRPr="00A72723">
        <w:rPr>
          <w:rFonts w:cs="Times New Roman"/>
        </w:rPr>
        <w:t>The EU Commission has used the language of ‘true’ and ‘extra’ cohort</w:t>
      </w:r>
      <w:r w:rsidR="00376966">
        <w:rPr>
          <w:rFonts w:cs="Times New Roman"/>
        </w:rPr>
        <w:t>s</w:t>
      </w:r>
      <w:r w:rsidRPr="00A72723">
        <w:rPr>
          <w:rFonts w:cs="Times New Roman"/>
        </w:rPr>
        <w:t>, suggesting that some people with EUSS status have WA rights (the ‘true’ cohort</w:t>
      </w:r>
      <w:r w:rsidR="005E181B">
        <w:rPr>
          <w:rFonts w:cs="Times New Roman"/>
        </w:rPr>
        <w:t xml:space="preserve">, </w:t>
      </w:r>
      <w:r w:rsidR="005E181B" w:rsidRPr="003D7E1D">
        <w:rPr>
          <w:rFonts w:cs="Times New Roman"/>
        </w:rPr>
        <w:t xml:space="preserve">who meet all the conditions the WA </w:t>
      </w:r>
      <w:r w:rsidR="003D7E1D" w:rsidRPr="003D7E1D">
        <w:rPr>
          <w:rFonts w:cs="Times New Roman"/>
        </w:rPr>
        <w:t xml:space="preserve">permitted States to impose, </w:t>
      </w:r>
      <w:r w:rsidR="005E181B" w:rsidRPr="003D7E1D">
        <w:rPr>
          <w:rFonts w:cs="Times New Roman"/>
        </w:rPr>
        <w:t>including Art</w:t>
      </w:r>
      <w:r w:rsidR="00902BB6" w:rsidRPr="003D7E1D">
        <w:rPr>
          <w:rFonts w:cs="Times New Roman"/>
        </w:rPr>
        <w:t>icle</w:t>
      </w:r>
      <w:r w:rsidR="005E181B" w:rsidRPr="003D7E1D">
        <w:rPr>
          <w:rFonts w:cs="Times New Roman"/>
        </w:rPr>
        <w:t xml:space="preserve"> 10</w:t>
      </w:r>
      <w:r w:rsidR="00112C31" w:rsidRPr="003D7E1D">
        <w:rPr>
          <w:rFonts w:cs="Times New Roman"/>
        </w:rPr>
        <w:t xml:space="preserve"> and either Art</w:t>
      </w:r>
      <w:r w:rsidR="00902BB6" w:rsidRPr="003D7E1D">
        <w:rPr>
          <w:rFonts w:cs="Times New Roman"/>
        </w:rPr>
        <w:t>icle</w:t>
      </w:r>
      <w:r w:rsidR="00112C31" w:rsidRPr="003D7E1D">
        <w:rPr>
          <w:rFonts w:cs="Times New Roman"/>
        </w:rPr>
        <w:t xml:space="preserve"> 13</w:t>
      </w:r>
      <w:r w:rsidR="00925FFF" w:rsidRPr="003D7E1D">
        <w:rPr>
          <w:rFonts w:cs="Times New Roman"/>
        </w:rPr>
        <w:t>(1)</w:t>
      </w:r>
      <w:r w:rsidR="00112C31" w:rsidRPr="003D7E1D">
        <w:rPr>
          <w:rFonts w:cs="Times New Roman"/>
        </w:rPr>
        <w:t xml:space="preserve"> or 15</w:t>
      </w:r>
      <w:r w:rsidRPr="003D7E1D">
        <w:rPr>
          <w:rFonts w:cs="Times New Roman"/>
        </w:rPr>
        <w:t>)</w:t>
      </w:r>
      <w:r w:rsidRPr="00A72723">
        <w:rPr>
          <w:rFonts w:cs="Times New Roman"/>
        </w:rPr>
        <w:t xml:space="preserve"> and some do not (the ‘extra’ cohort),</w:t>
      </w:r>
      <w:r>
        <w:rPr>
          <w:rStyle w:val="FootnoteReference"/>
          <w:rFonts w:cs="Times New Roman"/>
        </w:rPr>
        <w:footnoteReference w:id="39"/>
      </w:r>
      <w:r w:rsidRPr="00A72723">
        <w:rPr>
          <w:rFonts w:cs="Times New Roman"/>
        </w:rPr>
        <w:t xml:space="preserve">  because they do not also meet the underlying conditions the WA permits the UK to impose – but which the UK chose not to impose. </w:t>
      </w:r>
      <w:r w:rsidR="007124FB">
        <w:rPr>
          <w:rFonts w:cs="Times New Roman"/>
        </w:rPr>
        <w:t>Although the Commission has adopted this problematic</w:t>
      </w:r>
      <w:r w:rsidR="00376966">
        <w:rPr>
          <w:rFonts w:cs="Times New Roman"/>
        </w:rPr>
        <w:t xml:space="preserve"> categorisation, </w:t>
      </w:r>
      <w:r w:rsidR="007124FB">
        <w:rPr>
          <w:rFonts w:cs="Times New Roman"/>
        </w:rPr>
        <w:t>it</w:t>
      </w:r>
      <w:r w:rsidR="00376966">
        <w:rPr>
          <w:rFonts w:cs="Times New Roman"/>
        </w:rPr>
        <w:t xml:space="preserve"> does </w:t>
      </w:r>
      <w:r w:rsidR="007124FB">
        <w:rPr>
          <w:rFonts w:cs="Times New Roman"/>
        </w:rPr>
        <w:t xml:space="preserve">still </w:t>
      </w:r>
      <w:r w:rsidR="00376966">
        <w:rPr>
          <w:rFonts w:cs="Times New Roman"/>
        </w:rPr>
        <w:t xml:space="preserve">note </w:t>
      </w:r>
      <w:r w:rsidR="007124FB">
        <w:rPr>
          <w:rFonts w:cs="Times New Roman"/>
        </w:rPr>
        <w:t>the</w:t>
      </w:r>
      <w:r w:rsidR="00376966">
        <w:rPr>
          <w:rFonts w:cs="Times New Roman"/>
        </w:rPr>
        <w:t xml:space="preserve"> serious </w:t>
      </w:r>
      <w:r w:rsidR="00FE1546">
        <w:rPr>
          <w:rFonts w:cs="Times New Roman"/>
        </w:rPr>
        <w:t>consequence</w:t>
      </w:r>
      <w:r w:rsidRPr="00A72723">
        <w:rPr>
          <w:rFonts w:cs="Times New Roman"/>
        </w:rPr>
        <w:t xml:space="preserve"> that EU citizens </w:t>
      </w:r>
      <w:r w:rsidR="00376966">
        <w:rPr>
          <w:rFonts w:cs="Times New Roman"/>
        </w:rPr>
        <w:t>with</w:t>
      </w:r>
      <w:r w:rsidRPr="00A72723">
        <w:rPr>
          <w:rFonts w:cs="Times New Roman"/>
        </w:rPr>
        <w:t xml:space="preserve"> EUSS </w:t>
      </w:r>
      <w:r w:rsidR="00376966">
        <w:rPr>
          <w:rFonts w:cs="Times New Roman"/>
        </w:rPr>
        <w:t xml:space="preserve">status have no </w:t>
      </w:r>
      <w:r w:rsidRPr="00A72723">
        <w:rPr>
          <w:rFonts w:cs="Times New Roman"/>
        </w:rPr>
        <w:t>legal clarity as to whether their rights are guaranteed by the Withdrawal Agreement or not.</w:t>
      </w:r>
      <w:r>
        <w:rPr>
          <w:rStyle w:val="FootnoteReference"/>
          <w:rFonts w:cs="Times New Roman"/>
        </w:rPr>
        <w:footnoteReference w:id="40"/>
      </w:r>
      <w:r w:rsidR="00B134EA">
        <w:rPr>
          <w:rFonts w:cs="Times New Roman"/>
        </w:rPr>
        <w:t xml:space="preserve"> Neither ‘true’ nor ‘extra’ c</w:t>
      </w:r>
      <w:r w:rsidR="009E1F89">
        <w:rPr>
          <w:rFonts w:cs="Times New Roman"/>
        </w:rPr>
        <w:t>itizens</w:t>
      </w:r>
      <w:r w:rsidR="00B134EA">
        <w:rPr>
          <w:rFonts w:cs="Times New Roman"/>
        </w:rPr>
        <w:t xml:space="preserve"> know wh</w:t>
      </w:r>
      <w:r w:rsidR="009E1F89">
        <w:rPr>
          <w:rFonts w:cs="Times New Roman"/>
        </w:rPr>
        <w:t>ich cohort they fall into, or which cohort the UK government</w:t>
      </w:r>
      <w:r w:rsidR="00F12D31">
        <w:rPr>
          <w:rFonts w:cs="Times New Roman"/>
        </w:rPr>
        <w:t xml:space="preserve"> </w:t>
      </w:r>
      <w:r w:rsidR="00376966">
        <w:rPr>
          <w:rFonts w:cs="Times New Roman"/>
        </w:rPr>
        <w:t>would consider them to fall into, were it to turn its mind to the question.</w:t>
      </w:r>
      <w:r w:rsidR="009E1F89">
        <w:rPr>
          <w:rFonts w:cs="Times New Roman"/>
        </w:rPr>
        <w:t xml:space="preserve"> </w:t>
      </w:r>
      <w:r w:rsidR="003D7E1D">
        <w:rPr>
          <w:rFonts w:cs="Times New Roman"/>
        </w:rPr>
        <w:t>This issue affects</w:t>
      </w:r>
      <w:r w:rsidR="003D7E1D" w:rsidRPr="003D7E1D">
        <w:rPr>
          <w:rFonts w:cs="Times New Roman"/>
          <w:i/>
          <w:iCs/>
        </w:rPr>
        <w:t xml:space="preserve"> all</w:t>
      </w:r>
      <w:r w:rsidR="003D7E1D">
        <w:rPr>
          <w:rFonts w:cs="Times New Roman"/>
        </w:rPr>
        <w:t xml:space="preserve"> EU citizens, and family members thereof, with EUSS status, and stems from a choice not to examine whether claimants were exercising, or had exercised, rights to reside. It should be distinguished from </w:t>
      </w:r>
      <w:r w:rsidR="00F458EE" w:rsidRPr="003D7E1D">
        <w:rPr>
          <w:rFonts w:cs="Times New Roman"/>
        </w:rPr>
        <w:t xml:space="preserve">the </w:t>
      </w:r>
      <w:r w:rsidR="003D7E1D" w:rsidRPr="003D7E1D">
        <w:rPr>
          <w:rFonts w:cs="Times New Roman"/>
        </w:rPr>
        <w:t xml:space="preserve">UK government’s </w:t>
      </w:r>
      <w:r w:rsidR="00F458EE" w:rsidRPr="003D7E1D">
        <w:rPr>
          <w:rFonts w:cs="Times New Roman"/>
        </w:rPr>
        <w:t xml:space="preserve">decision to expand the EUSS to </w:t>
      </w:r>
      <w:r w:rsidR="003D7E1D" w:rsidRPr="003D7E1D">
        <w:rPr>
          <w:rFonts w:cs="Times New Roman"/>
        </w:rPr>
        <w:t xml:space="preserve">cover </w:t>
      </w:r>
      <w:r w:rsidR="00F458EE" w:rsidRPr="003D7E1D">
        <w:rPr>
          <w:rFonts w:cs="Times New Roman"/>
        </w:rPr>
        <w:t xml:space="preserve">some categories of people </w:t>
      </w:r>
      <w:r w:rsidR="003D7E1D" w:rsidRPr="003D7E1D">
        <w:rPr>
          <w:rFonts w:cs="Times New Roman"/>
        </w:rPr>
        <w:t xml:space="preserve">explicitly and deliberately excluded </w:t>
      </w:r>
      <w:r w:rsidR="00F458EE" w:rsidRPr="003D7E1D">
        <w:rPr>
          <w:rFonts w:cs="Times New Roman"/>
        </w:rPr>
        <w:t xml:space="preserve">from the WA altogether, such as </w:t>
      </w:r>
      <w:r w:rsidR="00F458EE" w:rsidRPr="003D7E1D">
        <w:rPr>
          <w:rFonts w:cs="Times New Roman"/>
          <w:i/>
          <w:iCs/>
        </w:rPr>
        <w:t>Zambrano</w:t>
      </w:r>
      <w:r w:rsidR="00F458EE" w:rsidRPr="003D7E1D">
        <w:rPr>
          <w:rFonts w:cs="Times New Roman"/>
        </w:rPr>
        <w:t xml:space="preserve"> carers and </w:t>
      </w:r>
      <w:r w:rsidR="00F458EE" w:rsidRPr="003D7E1D">
        <w:rPr>
          <w:rFonts w:cs="Times New Roman"/>
          <w:i/>
          <w:iCs/>
        </w:rPr>
        <w:t>Surinder Singh</w:t>
      </w:r>
      <w:r w:rsidR="00F458EE" w:rsidRPr="003D7E1D">
        <w:rPr>
          <w:rFonts w:cs="Times New Roman"/>
        </w:rPr>
        <w:t xml:space="preserve"> family members of British Citizens.</w:t>
      </w:r>
      <w:r w:rsidR="00F458EE" w:rsidRPr="003D7E1D">
        <w:rPr>
          <w:rStyle w:val="FootnoteReference"/>
          <w:rFonts w:cs="Times New Roman"/>
        </w:rPr>
        <w:footnoteReference w:id="41"/>
      </w:r>
      <w:r w:rsidR="00F458EE" w:rsidRPr="003D7E1D">
        <w:rPr>
          <w:rFonts w:cs="Times New Roman"/>
        </w:rPr>
        <w:t xml:space="preserve"> These citizens hold EUSS status but are beyond the ‘extra’ cohort </w:t>
      </w:r>
      <w:r w:rsidR="00464921">
        <w:rPr>
          <w:rFonts w:cs="Times New Roman"/>
        </w:rPr>
        <w:t xml:space="preserve">of EU+ citizens </w:t>
      </w:r>
      <w:r w:rsidR="00F458EE" w:rsidRPr="003D7E1D">
        <w:rPr>
          <w:rFonts w:cs="Times New Roman"/>
        </w:rPr>
        <w:t xml:space="preserve">who </w:t>
      </w:r>
      <w:r w:rsidR="00464921">
        <w:rPr>
          <w:rFonts w:cs="Times New Roman"/>
        </w:rPr>
        <w:t>might</w:t>
      </w:r>
      <w:r w:rsidR="00F458EE" w:rsidRPr="003D7E1D">
        <w:rPr>
          <w:rFonts w:cs="Times New Roman"/>
        </w:rPr>
        <w:t xml:space="preserve"> not meet the right to reside conditions in Art</w:t>
      </w:r>
      <w:r w:rsidR="00902BB6" w:rsidRPr="003D7E1D">
        <w:rPr>
          <w:rFonts w:cs="Times New Roman"/>
        </w:rPr>
        <w:t>icle</w:t>
      </w:r>
      <w:r w:rsidR="00F458EE" w:rsidRPr="003D7E1D">
        <w:rPr>
          <w:rFonts w:cs="Times New Roman"/>
        </w:rPr>
        <w:t xml:space="preserve"> 13</w:t>
      </w:r>
      <w:r w:rsidR="00925FFF" w:rsidRPr="003D7E1D">
        <w:rPr>
          <w:rFonts w:cs="Times New Roman"/>
        </w:rPr>
        <w:t>(1)</w:t>
      </w:r>
      <w:r w:rsidR="00F458EE" w:rsidRPr="003D7E1D">
        <w:rPr>
          <w:rFonts w:cs="Times New Roman"/>
        </w:rPr>
        <w:t xml:space="preserve"> or 15</w:t>
      </w:r>
      <w:r w:rsidR="00464921">
        <w:rPr>
          <w:rFonts w:cs="Times New Roman"/>
        </w:rPr>
        <w:t>.</w:t>
      </w:r>
      <w:r w:rsidR="00F458EE" w:rsidRPr="003D7E1D">
        <w:rPr>
          <w:rFonts w:cs="Times New Roman"/>
        </w:rPr>
        <w:t xml:space="preserve"> </w:t>
      </w:r>
      <w:r w:rsidR="00464921">
        <w:rPr>
          <w:rFonts w:cs="Times New Roman"/>
        </w:rPr>
        <w:t>In</w:t>
      </w:r>
      <w:r w:rsidR="00F458EE" w:rsidRPr="003D7E1D">
        <w:rPr>
          <w:rFonts w:cs="Times New Roman"/>
        </w:rPr>
        <w:t>stead they represent a smaller ‘extra-extra’ cohort.</w:t>
      </w:r>
      <w:r w:rsidR="00F458EE">
        <w:rPr>
          <w:rFonts w:cs="Times New Roman"/>
        </w:rPr>
        <w:t xml:space="preserve"> </w:t>
      </w:r>
      <w:r w:rsidR="00D9027E">
        <w:rPr>
          <w:rFonts w:cs="Times New Roman"/>
        </w:rPr>
        <w:t xml:space="preserve">The UK government does not know which of the EUSS </w:t>
      </w:r>
      <w:r w:rsidR="00D9027E">
        <w:rPr>
          <w:rFonts w:cs="Times New Roman"/>
        </w:rPr>
        <w:lastRenderedPageBreak/>
        <w:t xml:space="preserve">statuses they have granted </w:t>
      </w:r>
      <w:r w:rsidR="00FB678F">
        <w:rPr>
          <w:rFonts w:cs="Times New Roman"/>
        </w:rPr>
        <w:t xml:space="preserve">should come with a ‘premium’ </w:t>
      </w:r>
      <w:r w:rsidR="00FE1546">
        <w:rPr>
          <w:rFonts w:cs="Times New Roman"/>
        </w:rPr>
        <w:t>label</w:t>
      </w:r>
      <w:r w:rsidR="00FB678F">
        <w:rPr>
          <w:rFonts w:cs="Times New Roman"/>
        </w:rPr>
        <w:t xml:space="preserve"> for rights in the </w:t>
      </w:r>
      <w:r w:rsidR="00376966">
        <w:rPr>
          <w:rFonts w:cs="Times New Roman"/>
        </w:rPr>
        <w:t>W</w:t>
      </w:r>
      <w:r w:rsidR="00FB678F">
        <w:rPr>
          <w:rFonts w:cs="Times New Roman"/>
        </w:rPr>
        <w:t xml:space="preserve">ithdrawal </w:t>
      </w:r>
      <w:r w:rsidR="00376966">
        <w:rPr>
          <w:rFonts w:cs="Times New Roman"/>
        </w:rPr>
        <w:t>A</w:t>
      </w:r>
      <w:r w:rsidR="00FB678F">
        <w:rPr>
          <w:rFonts w:cs="Times New Roman"/>
        </w:rPr>
        <w:t>greement.</w:t>
      </w:r>
      <w:r w:rsidR="009E1F89">
        <w:rPr>
          <w:rFonts w:cs="Times New Roman"/>
        </w:rPr>
        <w:t xml:space="preserve"> </w:t>
      </w:r>
      <w:r w:rsidR="00FE1546">
        <w:rPr>
          <w:rFonts w:cs="Times New Roman"/>
        </w:rPr>
        <w:t xml:space="preserve">This problem has been </w:t>
      </w:r>
      <w:r w:rsidR="00906E22">
        <w:rPr>
          <w:rFonts w:cs="Times New Roman"/>
        </w:rPr>
        <w:t>festering in the background of the EUSS since its creation,</w:t>
      </w:r>
      <w:r w:rsidR="00445BE5">
        <w:rPr>
          <w:rFonts w:cs="Times New Roman"/>
        </w:rPr>
        <w:t xml:space="preserve"> with </w:t>
      </w:r>
      <w:r w:rsidR="00A1218F">
        <w:rPr>
          <w:rFonts w:cs="Times New Roman"/>
        </w:rPr>
        <w:t>concerns raised from the o</w:t>
      </w:r>
      <w:r w:rsidR="00376966">
        <w:rPr>
          <w:rFonts w:cs="Times New Roman"/>
        </w:rPr>
        <w:t>ut</w:t>
      </w:r>
      <w:r w:rsidR="00A1218F">
        <w:rPr>
          <w:rFonts w:cs="Times New Roman"/>
        </w:rPr>
        <w:t>set about</w:t>
      </w:r>
      <w:r w:rsidR="00487DF6">
        <w:rPr>
          <w:rFonts w:cs="Times New Roman"/>
        </w:rPr>
        <w:t xml:space="preserve"> EU-level </w:t>
      </w:r>
      <w:r w:rsidR="00A1218F">
        <w:rPr>
          <w:rFonts w:cs="Times New Roman"/>
        </w:rPr>
        <w:t>protection</w:t>
      </w:r>
      <w:r w:rsidR="00487DF6">
        <w:rPr>
          <w:rFonts w:cs="Times New Roman"/>
        </w:rPr>
        <w:t>s</w:t>
      </w:r>
      <w:r w:rsidR="00A1218F">
        <w:rPr>
          <w:rFonts w:cs="Times New Roman"/>
        </w:rPr>
        <w:t xml:space="preserve"> </w:t>
      </w:r>
      <w:r w:rsidR="00487DF6">
        <w:rPr>
          <w:rFonts w:cs="Times New Roman"/>
        </w:rPr>
        <w:t>for</w:t>
      </w:r>
      <w:r w:rsidR="00A1218F">
        <w:rPr>
          <w:rFonts w:cs="Times New Roman"/>
        </w:rPr>
        <w:t xml:space="preserve"> EUSS status holders who do not meet WA conditions.</w:t>
      </w:r>
      <w:r w:rsidR="0078015C">
        <w:rPr>
          <w:rStyle w:val="FootnoteReference"/>
          <w:rFonts w:cs="Times New Roman"/>
        </w:rPr>
        <w:footnoteReference w:id="42"/>
      </w:r>
      <w:r w:rsidR="00A1218F">
        <w:rPr>
          <w:rFonts w:cs="Times New Roman"/>
        </w:rPr>
        <w:t xml:space="preserve"> </w:t>
      </w:r>
      <w:r w:rsidR="00906E22">
        <w:rPr>
          <w:rFonts w:cs="Times New Roman"/>
        </w:rPr>
        <w:t xml:space="preserve"> </w:t>
      </w:r>
      <w:r w:rsidR="00487DF6">
        <w:rPr>
          <w:rFonts w:cs="Times New Roman"/>
        </w:rPr>
        <w:t>T</w:t>
      </w:r>
      <w:r w:rsidR="00906E22">
        <w:rPr>
          <w:rFonts w:cs="Times New Roman"/>
        </w:rPr>
        <w:t xml:space="preserve">he </w:t>
      </w:r>
      <w:r w:rsidR="00A927D7">
        <w:rPr>
          <w:rFonts w:cs="Times New Roman"/>
        </w:rPr>
        <w:t xml:space="preserve">legal transition </w:t>
      </w:r>
      <w:r w:rsidR="00C87955">
        <w:rPr>
          <w:rFonts w:cs="Times New Roman"/>
        </w:rPr>
        <w:t>required after</w:t>
      </w:r>
      <w:r w:rsidR="00A927D7">
        <w:rPr>
          <w:rFonts w:cs="Times New Roman"/>
        </w:rPr>
        <w:t xml:space="preserve"> Brexit</w:t>
      </w:r>
      <w:r w:rsidR="00487DF6">
        <w:rPr>
          <w:rFonts w:cs="Times New Roman"/>
        </w:rPr>
        <w:t xml:space="preserve"> </w:t>
      </w:r>
      <w:r w:rsidR="00BB6E08">
        <w:rPr>
          <w:rFonts w:cs="Times New Roman"/>
        </w:rPr>
        <w:t>has</w:t>
      </w:r>
      <w:r w:rsidR="00980688">
        <w:rPr>
          <w:rFonts w:cs="Times New Roman"/>
        </w:rPr>
        <w:t xml:space="preserve"> </w:t>
      </w:r>
      <w:r w:rsidR="00487DF6">
        <w:rPr>
          <w:rFonts w:cs="Times New Roman"/>
        </w:rPr>
        <w:t xml:space="preserve">further </w:t>
      </w:r>
      <w:r w:rsidR="00A927D7">
        <w:rPr>
          <w:rFonts w:cs="Times New Roman"/>
        </w:rPr>
        <w:t>expose</w:t>
      </w:r>
      <w:r w:rsidR="00980688">
        <w:rPr>
          <w:rFonts w:cs="Times New Roman"/>
        </w:rPr>
        <w:t>d</w:t>
      </w:r>
      <w:r w:rsidR="00C65386">
        <w:rPr>
          <w:rFonts w:cs="Times New Roman"/>
        </w:rPr>
        <w:t xml:space="preserve"> the</w:t>
      </w:r>
      <w:r w:rsidR="007067E5">
        <w:rPr>
          <w:rFonts w:cs="Times New Roman"/>
        </w:rPr>
        <w:t xml:space="preserve"> </w:t>
      </w:r>
      <w:r w:rsidR="00487DF6">
        <w:rPr>
          <w:rFonts w:cs="Times New Roman"/>
        </w:rPr>
        <w:t xml:space="preserve">actual, and potential, </w:t>
      </w:r>
      <w:r w:rsidR="007067E5">
        <w:rPr>
          <w:rFonts w:cs="Times New Roman"/>
        </w:rPr>
        <w:t>extent of</w:t>
      </w:r>
      <w:r w:rsidR="00DD4FA3">
        <w:rPr>
          <w:rFonts w:cs="Times New Roman"/>
        </w:rPr>
        <w:t xml:space="preserve"> </w:t>
      </w:r>
      <w:r w:rsidR="007067E5">
        <w:rPr>
          <w:rFonts w:cs="Times New Roman"/>
        </w:rPr>
        <w:t>the EU</w:t>
      </w:r>
      <w:r w:rsidR="00C87955">
        <w:rPr>
          <w:rFonts w:cs="Times New Roman"/>
        </w:rPr>
        <w:t xml:space="preserve"> Settlement Scheme’s </w:t>
      </w:r>
      <w:r w:rsidR="00DD4FA3">
        <w:rPr>
          <w:rFonts w:cs="Times New Roman"/>
        </w:rPr>
        <w:t xml:space="preserve">deviation </w:t>
      </w:r>
      <w:r w:rsidR="00C87955">
        <w:rPr>
          <w:rFonts w:cs="Times New Roman"/>
        </w:rPr>
        <w:t>from the WA</w:t>
      </w:r>
      <w:r w:rsidR="00A927D7">
        <w:rPr>
          <w:rFonts w:cs="Times New Roman"/>
        </w:rPr>
        <w:t>.</w:t>
      </w:r>
    </w:p>
    <w:p w14:paraId="2ED6A248" w14:textId="3D78C599" w:rsidR="00460196" w:rsidRPr="00B84101" w:rsidRDefault="006A2CEB" w:rsidP="00DD1BA8">
      <w:pPr>
        <w:pStyle w:val="Heading1"/>
        <w:jc w:val="both"/>
        <w:rPr>
          <w:shd w:val="clear" w:color="auto" w:fill="FFFFFF"/>
        </w:rPr>
      </w:pPr>
      <w:r>
        <w:rPr>
          <w:shd w:val="clear" w:color="auto" w:fill="FFFFFF"/>
        </w:rPr>
        <w:t xml:space="preserve">LEGAL </w:t>
      </w:r>
      <w:r w:rsidR="00DD1BA8">
        <w:rPr>
          <w:shd w:val="clear" w:color="auto" w:fill="FFFFFF"/>
        </w:rPr>
        <w:t>WHACK-A-MOLE EXACERBAT</w:t>
      </w:r>
      <w:r w:rsidR="008C3362">
        <w:rPr>
          <w:shd w:val="clear" w:color="auto" w:fill="FFFFFF"/>
        </w:rPr>
        <w:t>ING</w:t>
      </w:r>
      <w:r w:rsidR="00DD1BA8">
        <w:rPr>
          <w:shd w:val="clear" w:color="auto" w:fill="FFFFFF"/>
        </w:rPr>
        <w:t xml:space="preserve"> THE DISJUNCTURE </w:t>
      </w:r>
    </w:p>
    <w:p w14:paraId="57263942" w14:textId="5068EEF5" w:rsidR="00FE0C02" w:rsidRDefault="00C65AD6" w:rsidP="00DE7F71">
      <w:pPr>
        <w:spacing w:after="120"/>
        <w:rPr>
          <w:rFonts w:cs="Times New Roman"/>
          <w:color w:val="000000" w:themeColor="text1"/>
          <w:shd w:val="clear" w:color="auto" w:fill="FFFFFF"/>
        </w:rPr>
      </w:pPr>
      <w:r>
        <w:rPr>
          <w:rFonts w:cs="Times New Roman"/>
          <w:color w:val="000000" w:themeColor="text1"/>
          <w:shd w:val="clear" w:color="auto" w:fill="FFFFFF"/>
        </w:rPr>
        <w:t>A</w:t>
      </w:r>
      <w:r w:rsidR="002947B6">
        <w:rPr>
          <w:rFonts w:cs="Times New Roman"/>
          <w:color w:val="000000" w:themeColor="text1"/>
          <w:shd w:val="clear" w:color="auto" w:fill="FFFFFF"/>
        </w:rPr>
        <w:t>s the transition period fast approached</w:t>
      </w:r>
      <w:r w:rsidR="00AC1DA1">
        <w:rPr>
          <w:rFonts w:cs="Times New Roman"/>
          <w:color w:val="000000" w:themeColor="text1"/>
          <w:shd w:val="clear" w:color="auto" w:fill="FFFFFF"/>
        </w:rPr>
        <w:t>,</w:t>
      </w:r>
      <w:r w:rsidR="009A4CA4">
        <w:rPr>
          <w:rFonts w:cs="Times New Roman"/>
          <w:color w:val="000000" w:themeColor="text1"/>
          <w:shd w:val="clear" w:color="auto" w:fill="FFFFFF"/>
        </w:rPr>
        <w:t xml:space="preserve"> </w:t>
      </w:r>
      <w:r w:rsidR="002947B6">
        <w:rPr>
          <w:rFonts w:cs="Times New Roman"/>
          <w:color w:val="000000" w:themeColor="text1"/>
          <w:shd w:val="clear" w:color="auto" w:fill="FFFFFF"/>
        </w:rPr>
        <w:t xml:space="preserve">a slew of secondary legislation </w:t>
      </w:r>
      <w:r w:rsidR="007B16C4">
        <w:rPr>
          <w:rFonts w:cs="Times New Roman"/>
          <w:color w:val="000000" w:themeColor="text1"/>
          <w:shd w:val="clear" w:color="auto" w:fill="FFFFFF"/>
        </w:rPr>
        <w:t xml:space="preserve">and updates to decision maker guidance </w:t>
      </w:r>
      <w:r w:rsidR="009A4CA4">
        <w:rPr>
          <w:rFonts w:cs="Times New Roman"/>
          <w:color w:val="000000" w:themeColor="text1"/>
          <w:shd w:val="clear" w:color="auto" w:fill="FFFFFF"/>
        </w:rPr>
        <w:t xml:space="preserve">were </w:t>
      </w:r>
      <w:r w:rsidR="002947B6">
        <w:rPr>
          <w:rFonts w:cs="Times New Roman"/>
          <w:color w:val="000000" w:themeColor="text1"/>
          <w:shd w:val="clear" w:color="auto" w:fill="FFFFFF"/>
        </w:rPr>
        <w:t xml:space="preserve">introduced </w:t>
      </w:r>
      <w:r w:rsidR="002032C8">
        <w:rPr>
          <w:rFonts w:cs="Times New Roman"/>
          <w:color w:val="000000" w:themeColor="text1"/>
          <w:shd w:val="clear" w:color="auto" w:fill="FFFFFF"/>
        </w:rPr>
        <w:t xml:space="preserve">as quick fixes for perceived blips in the law affecting EU nationals. For example, the UK government appeared to realise </w:t>
      </w:r>
      <w:r w:rsidR="002032C8" w:rsidRPr="00FE0C02">
        <w:rPr>
          <w:rFonts w:cs="Times New Roman"/>
          <w:i/>
          <w:iCs/>
          <w:color w:val="000000" w:themeColor="text1"/>
          <w:shd w:val="clear" w:color="auto" w:fill="FFFFFF"/>
        </w:rPr>
        <w:t>after</w:t>
      </w:r>
      <w:r w:rsidR="002032C8">
        <w:rPr>
          <w:rFonts w:cs="Times New Roman"/>
          <w:color w:val="000000" w:themeColor="text1"/>
          <w:shd w:val="clear" w:color="auto" w:fill="FFFFFF"/>
        </w:rPr>
        <w:t xml:space="preserve"> making</w:t>
      </w:r>
      <w:r w:rsidR="00FE0C02">
        <w:rPr>
          <w:rFonts w:cs="Times New Roman"/>
          <w:color w:val="000000" w:themeColor="text1"/>
          <w:shd w:val="clear" w:color="auto" w:fill="FFFFFF"/>
        </w:rPr>
        <w:t xml:space="preserve"> provision for the introduction of pre-settled status, that it had created a new ‘right to reside’ which might make it easier for some people to claim benefits, so then introduced a raft of new regulations stating that pre-settled status did not count as a relevant right to reside for that purpose.</w:t>
      </w:r>
      <w:r w:rsidR="00FE0C02">
        <w:rPr>
          <w:rStyle w:val="FootnoteReference"/>
          <w:rFonts w:cs="Times New Roman"/>
          <w:color w:val="000000" w:themeColor="text1"/>
          <w:shd w:val="clear" w:color="auto" w:fill="FFFFFF"/>
        </w:rPr>
        <w:footnoteReference w:id="43"/>
      </w:r>
      <w:r w:rsidR="00FE0C02">
        <w:rPr>
          <w:rFonts w:cs="Times New Roman"/>
          <w:color w:val="000000" w:themeColor="text1"/>
          <w:shd w:val="clear" w:color="auto" w:fill="FFFFFF"/>
        </w:rPr>
        <w:t xml:space="preserve"> However, having made it compulsory for people with pre-settled status to demonstrate another right to reside before accessing equal treatment rights, there was a problem that the legislation requiring UK authorities to actually recognise those rights was about to disappear. T</w:t>
      </w:r>
      <w:r w:rsidR="002032C8">
        <w:rPr>
          <w:rFonts w:cs="Times New Roman"/>
          <w:color w:val="000000" w:themeColor="text1"/>
          <w:shd w:val="clear" w:color="auto" w:fill="FFFFFF"/>
        </w:rPr>
        <w:t xml:space="preserve">he revocation of the Immigration (European Economic Area) Regulations 2016 seemed a natural consequence of a Brexit in which free movement laws were not retained, but risked creating the unwanted effect that those EU citizens who had been, and were still, </w:t>
      </w:r>
      <w:r w:rsidR="002032C8" w:rsidRPr="002032C8">
        <w:rPr>
          <w:rFonts w:cs="Times New Roman"/>
          <w:i/>
          <w:iCs/>
          <w:color w:val="000000" w:themeColor="text1"/>
          <w:shd w:val="clear" w:color="auto" w:fill="FFFFFF"/>
        </w:rPr>
        <w:t>working</w:t>
      </w:r>
      <w:r w:rsidR="002032C8">
        <w:rPr>
          <w:rFonts w:cs="Times New Roman"/>
          <w:color w:val="000000" w:themeColor="text1"/>
          <w:shd w:val="clear" w:color="auto" w:fill="FFFFFF"/>
        </w:rPr>
        <w:t xml:space="preserve"> in the UK, would not be able to rely on equal treatment rights, even if they also had pre-settled status. The curious ‘fix’ that was landed on, was to </w:t>
      </w:r>
      <w:r w:rsidR="002032C8" w:rsidRPr="002032C8">
        <w:rPr>
          <w:rFonts w:cs="Times New Roman"/>
          <w:i/>
          <w:iCs/>
          <w:color w:val="000000" w:themeColor="text1"/>
          <w:shd w:val="clear" w:color="auto" w:fill="FFFFFF"/>
        </w:rPr>
        <w:t>retain the effect of certain provisions of actually revoked law</w:t>
      </w:r>
      <w:r w:rsidR="002032C8">
        <w:rPr>
          <w:rFonts w:cs="Times New Roman"/>
          <w:color w:val="000000" w:themeColor="text1"/>
          <w:shd w:val="clear" w:color="auto" w:fill="FFFFFF"/>
        </w:rPr>
        <w:t xml:space="preserve"> – so, e.g. people with pre-settled status should be treated as though the rights afforded to EU workers in </w:t>
      </w:r>
      <w:r w:rsidR="002032C8">
        <w:rPr>
          <w:rFonts w:cs="Times New Roman"/>
          <w:color w:val="000000" w:themeColor="text1"/>
          <w:shd w:val="clear" w:color="auto" w:fill="FFFFFF"/>
        </w:rPr>
        <w:lastRenderedPageBreak/>
        <w:t>the 2016 regs were still in place.</w:t>
      </w:r>
      <w:r w:rsidR="00FE0C02">
        <w:rPr>
          <w:rStyle w:val="FootnoteReference"/>
          <w:rFonts w:cs="Times New Roman"/>
          <w:color w:val="000000" w:themeColor="text1"/>
          <w:shd w:val="clear" w:color="auto" w:fill="FFFFFF"/>
        </w:rPr>
        <w:footnoteReference w:id="44"/>
      </w:r>
      <w:r w:rsidR="002032C8">
        <w:rPr>
          <w:rFonts w:cs="Times New Roman"/>
          <w:color w:val="000000" w:themeColor="text1"/>
          <w:shd w:val="clear" w:color="auto" w:fill="FFFFFF"/>
        </w:rPr>
        <w:t xml:space="preserve"> </w:t>
      </w:r>
      <w:r w:rsidR="00FE0C02">
        <w:rPr>
          <w:rFonts w:cs="Times New Roman"/>
          <w:color w:val="000000" w:themeColor="text1"/>
          <w:shd w:val="clear" w:color="auto" w:fill="FFFFFF"/>
        </w:rPr>
        <w:t xml:space="preserve">Moreover, there was a need to ensure continuing rights to reside for those </w:t>
      </w:r>
      <w:r w:rsidR="00FC6FF0">
        <w:rPr>
          <w:rFonts w:cs="Times New Roman"/>
          <w:color w:val="000000" w:themeColor="text1"/>
          <w:shd w:val="clear" w:color="auto" w:fill="FFFFFF"/>
        </w:rPr>
        <w:t>whose</w:t>
      </w:r>
      <w:r w:rsidR="00795A21">
        <w:rPr>
          <w:rFonts w:cs="Times New Roman"/>
          <w:color w:val="000000" w:themeColor="text1"/>
          <w:shd w:val="clear" w:color="auto" w:fill="FFFFFF"/>
        </w:rPr>
        <w:t xml:space="preserve"> </w:t>
      </w:r>
      <w:r w:rsidR="00FC6FF0">
        <w:rPr>
          <w:rFonts w:cs="Times New Roman"/>
          <w:color w:val="000000" w:themeColor="text1"/>
          <w:shd w:val="clear" w:color="auto" w:fill="FFFFFF"/>
        </w:rPr>
        <w:t xml:space="preserve">EUSS </w:t>
      </w:r>
      <w:r w:rsidR="00A16D8F">
        <w:rPr>
          <w:rFonts w:cs="Times New Roman"/>
          <w:color w:val="000000" w:themeColor="text1"/>
          <w:shd w:val="clear" w:color="auto" w:fill="FFFFFF"/>
        </w:rPr>
        <w:t>applications had not yet been determined by the end of the Grace Period</w:t>
      </w:r>
      <w:r w:rsidR="00005A49">
        <w:rPr>
          <w:rFonts w:cs="Times New Roman"/>
          <w:color w:val="000000" w:themeColor="text1"/>
          <w:shd w:val="clear" w:color="auto" w:fill="FFFFFF"/>
        </w:rPr>
        <w:t>.</w:t>
      </w:r>
      <w:r w:rsidR="00005A49">
        <w:rPr>
          <w:rStyle w:val="FootnoteReference"/>
          <w:rFonts w:cs="Times New Roman"/>
          <w:color w:val="000000" w:themeColor="text1"/>
          <w:shd w:val="clear" w:color="auto" w:fill="FFFFFF"/>
        </w:rPr>
        <w:footnoteReference w:id="45"/>
      </w:r>
      <w:r w:rsidR="00005A49">
        <w:rPr>
          <w:rFonts w:cs="Times New Roman"/>
          <w:color w:val="000000" w:themeColor="text1"/>
          <w:shd w:val="clear" w:color="auto" w:fill="FFFFFF"/>
        </w:rPr>
        <w:t xml:space="preserve"> </w:t>
      </w:r>
    </w:p>
    <w:p w14:paraId="24C0F304" w14:textId="05274AD8" w:rsidR="00CD4AAF" w:rsidRDefault="008A17DD" w:rsidP="00DE7F71">
      <w:pPr>
        <w:rPr>
          <w:rFonts w:cs="Times New Roman"/>
          <w:color w:val="000000" w:themeColor="text1"/>
          <w:shd w:val="clear" w:color="auto" w:fill="FFFFFF"/>
        </w:rPr>
      </w:pPr>
      <w:r>
        <w:rPr>
          <w:rFonts w:cs="Times New Roman"/>
          <w:color w:val="000000" w:themeColor="text1"/>
          <w:shd w:val="clear" w:color="auto" w:fill="FFFFFF"/>
        </w:rPr>
        <w:t xml:space="preserve">This array of whack-a-mole </w:t>
      </w:r>
      <w:r w:rsidR="00974B5F">
        <w:rPr>
          <w:rFonts w:cs="Times New Roman"/>
          <w:color w:val="000000" w:themeColor="text1"/>
          <w:shd w:val="clear" w:color="auto" w:fill="FFFFFF"/>
        </w:rPr>
        <w:t xml:space="preserve">fixes using </w:t>
      </w:r>
      <w:r w:rsidR="00F914A1">
        <w:rPr>
          <w:rFonts w:cs="Times New Roman"/>
          <w:color w:val="000000" w:themeColor="text1"/>
          <w:shd w:val="clear" w:color="auto" w:fill="FFFFFF"/>
        </w:rPr>
        <w:t>legislati</w:t>
      </w:r>
      <w:r w:rsidR="007124FB">
        <w:rPr>
          <w:rFonts w:cs="Times New Roman"/>
          <w:color w:val="000000" w:themeColor="text1"/>
          <w:shd w:val="clear" w:color="auto" w:fill="FFFFFF"/>
        </w:rPr>
        <w:t>on</w:t>
      </w:r>
      <w:r w:rsidR="00302377">
        <w:rPr>
          <w:rFonts w:cs="Times New Roman"/>
          <w:color w:val="000000" w:themeColor="text1"/>
          <w:shd w:val="clear" w:color="auto" w:fill="FFFFFF"/>
        </w:rPr>
        <w:t xml:space="preserve">, </w:t>
      </w:r>
      <w:r w:rsidR="00F914A1">
        <w:rPr>
          <w:rFonts w:cs="Times New Roman"/>
          <w:color w:val="000000" w:themeColor="text1"/>
          <w:shd w:val="clear" w:color="auto" w:fill="FFFFFF"/>
        </w:rPr>
        <w:t>quasi-legislati</w:t>
      </w:r>
      <w:r w:rsidR="007124FB">
        <w:rPr>
          <w:rFonts w:cs="Times New Roman"/>
          <w:color w:val="000000" w:themeColor="text1"/>
          <w:shd w:val="clear" w:color="auto" w:fill="FFFFFF"/>
        </w:rPr>
        <w:t>on</w:t>
      </w:r>
      <w:r w:rsidR="00F914A1">
        <w:rPr>
          <w:rFonts w:cs="Times New Roman"/>
          <w:color w:val="000000" w:themeColor="text1"/>
          <w:shd w:val="clear" w:color="auto" w:fill="FFFFFF"/>
        </w:rPr>
        <w:t xml:space="preserve"> </w:t>
      </w:r>
      <w:r w:rsidR="00302377">
        <w:rPr>
          <w:rFonts w:cs="Times New Roman"/>
          <w:color w:val="000000" w:themeColor="text1"/>
          <w:shd w:val="clear" w:color="auto" w:fill="FFFFFF"/>
        </w:rPr>
        <w:t xml:space="preserve">and </w:t>
      </w:r>
      <w:r w:rsidR="00EF1069">
        <w:rPr>
          <w:rFonts w:cs="Times New Roman"/>
          <w:color w:val="000000" w:themeColor="text1"/>
          <w:shd w:val="clear" w:color="auto" w:fill="FFFFFF"/>
        </w:rPr>
        <w:t>guidance</w:t>
      </w:r>
      <w:r w:rsidR="00B92437">
        <w:rPr>
          <w:rFonts w:cs="Times New Roman"/>
          <w:color w:val="000000" w:themeColor="text1"/>
          <w:shd w:val="clear" w:color="auto" w:fill="FFFFFF"/>
        </w:rPr>
        <w:t xml:space="preserve"> ended up creating vastly different rules for different groups of people in the EUSS. The </w:t>
      </w:r>
      <w:r w:rsidR="00FE0C02">
        <w:rPr>
          <w:rFonts w:cs="Times New Roman"/>
          <w:color w:val="000000" w:themeColor="text1"/>
          <w:shd w:val="clear" w:color="auto" w:fill="FFFFFF"/>
        </w:rPr>
        <w:t>applicable rules,</w:t>
      </w:r>
      <w:r w:rsidR="00B3700B">
        <w:rPr>
          <w:rFonts w:cs="Times New Roman"/>
          <w:color w:val="000000" w:themeColor="text1"/>
          <w:shd w:val="clear" w:color="auto" w:fill="FFFFFF"/>
        </w:rPr>
        <w:t xml:space="preserve"> and the conditions to be met to access rights,</w:t>
      </w:r>
      <w:r w:rsidR="00B92437">
        <w:rPr>
          <w:rFonts w:cs="Times New Roman"/>
          <w:color w:val="000000" w:themeColor="text1"/>
          <w:shd w:val="clear" w:color="auto" w:fill="FFFFFF"/>
        </w:rPr>
        <w:t xml:space="preserve"> varied differently according to </w:t>
      </w:r>
      <w:r w:rsidR="004777B7">
        <w:rPr>
          <w:rFonts w:cs="Times New Roman"/>
          <w:color w:val="000000" w:themeColor="text1"/>
          <w:shd w:val="clear" w:color="auto" w:fill="FFFFFF"/>
        </w:rPr>
        <w:t>status (settled or pre-settled)</w:t>
      </w:r>
      <w:r w:rsidR="00FE0C02">
        <w:rPr>
          <w:rFonts w:cs="Times New Roman"/>
          <w:color w:val="000000" w:themeColor="text1"/>
          <w:shd w:val="clear" w:color="auto" w:fill="FFFFFF"/>
        </w:rPr>
        <w:t>, to whether an application was pending</w:t>
      </w:r>
      <w:r w:rsidR="004777B7">
        <w:rPr>
          <w:rFonts w:cs="Times New Roman"/>
          <w:color w:val="000000" w:themeColor="text1"/>
          <w:shd w:val="clear" w:color="auto" w:fill="FFFFFF"/>
        </w:rPr>
        <w:t xml:space="preserve">, </w:t>
      </w:r>
      <w:r w:rsidR="00FE0C02">
        <w:rPr>
          <w:rFonts w:cs="Times New Roman"/>
          <w:color w:val="000000" w:themeColor="text1"/>
          <w:shd w:val="clear" w:color="auto" w:fill="FFFFFF"/>
        </w:rPr>
        <w:t xml:space="preserve">and to </w:t>
      </w:r>
      <w:r w:rsidR="00B3700B">
        <w:rPr>
          <w:rFonts w:cs="Times New Roman"/>
          <w:color w:val="000000" w:themeColor="text1"/>
          <w:shd w:val="clear" w:color="auto" w:fill="FFFFFF"/>
        </w:rPr>
        <w:t xml:space="preserve">the date </w:t>
      </w:r>
      <w:r w:rsidR="00FE0C02">
        <w:rPr>
          <w:rFonts w:cs="Times New Roman"/>
          <w:color w:val="000000" w:themeColor="text1"/>
          <w:shd w:val="clear" w:color="auto" w:fill="FFFFFF"/>
        </w:rPr>
        <w:t xml:space="preserve">of </w:t>
      </w:r>
      <w:r w:rsidR="00B3700B">
        <w:rPr>
          <w:rFonts w:cs="Times New Roman"/>
          <w:color w:val="000000" w:themeColor="text1"/>
          <w:shd w:val="clear" w:color="auto" w:fill="FFFFFF"/>
        </w:rPr>
        <w:t>application</w:t>
      </w:r>
      <w:r w:rsidR="00AE5B8E">
        <w:rPr>
          <w:rFonts w:cs="Times New Roman"/>
          <w:color w:val="000000" w:themeColor="text1"/>
          <w:shd w:val="clear" w:color="auto" w:fill="FFFFFF"/>
        </w:rPr>
        <w:t xml:space="preserve">. Further </w:t>
      </w:r>
      <w:r w:rsidR="00FE0C02">
        <w:rPr>
          <w:rFonts w:cs="Times New Roman"/>
          <w:color w:val="000000" w:themeColor="text1"/>
          <w:shd w:val="clear" w:color="auto" w:fill="FFFFFF"/>
        </w:rPr>
        <w:t>amendments</w:t>
      </w:r>
      <w:r w:rsidR="00AE5B8E">
        <w:rPr>
          <w:rFonts w:cs="Times New Roman"/>
          <w:color w:val="000000" w:themeColor="text1"/>
          <w:shd w:val="clear" w:color="auto" w:fill="FFFFFF"/>
        </w:rPr>
        <w:t xml:space="preserve"> </w:t>
      </w:r>
      <w:r w:rsidR="00D74D45">
        <w:rPr>
          <w:rFonts w:cs="Times New Roman"/>
          <w:color w:val="000000" w:themeColor="text1"/>
          <w:shd w:val="clear" w:color="auto" w:fill="FFFFFF"/>
        </w:rPr>
        <w:t xml:space="preserve">around the application of the Charter of Fundamental Rights shifted the terrain for EUSS status holders once again. </w:t>
      </w:r>
      <w:r w:rsidR="00DC42F9">
        <w:rPr>
          <w:rFonts w:cs="Times New Roman"/>
          <w:color w:val="000000" w:themeColor="text1"/>
          <w:shd w:val="clear" w:color="auto" w:fill="FFFFFF"/>
        </w:rPr>
        <w:t xml:space="preserve">This section will examine </w:t>
      </w:r>
      <w:r w:rsidR="00590597">
        <w:rPr>
          <w:rFonts w:cs="Times New Roman"/>
          <w:color w:val="000000" w:themeColor="text1"/>
          <w:shd w:val="clear" w:color="auto" w:fill="FFFFFF"/>
        </w:rPr>
        <w:t xml:space="preserve">the convoluted development of the UK’s approach to overall ‘personal scope’ in the Withdrawal Agreement, to highlight </w:t>
      </w:r>
      <w:r w:rsidR="00E82038">
        <w:rPr>
          <w:rFonts w:cs="Times New Roman"/>
          <w:color w:val="000000" w:themeColor="text1"/>
          <w:shd w:val="clear" w:color="auto" w:fill="FFFFFF"/>
        </w:rPr>
        <w:t>friction</w:t>
      </w:r>
      <w:r w:rsidR="00FE0C02">
        <w:rPr>
          <w:rFonts w:cs="Times New Roman"/>
          <w:color w:val="000000" w:themeColor="text1"/>
          <w:shd w:val="clear" w:color="auto" w:fill="FFFFFF"/>
        </w:rPr>
        <w:t>s</w:t>
      </w:r>
      <w:r w:rsidR="00E82038">
        <w:rPr>
          <w:rFonts w:cs="Times New Roman"/>
          <w:color w:val="000000" w:themeColor="text1"/>
          <w:shd w:val="clear" w:color="auto" w:fill="FFFFFF"/>
        </w:rPr>
        <w:t xml:space="preserve"> between the domestic rules in the EUSS and the WA</w:t>
      </w:r>
      <w:r w:rsidR="00590597">
        <w:rPr>
          <w:rFonts w:cs="Times New Roman"/>
          <w:color w:val="000000" w:themeColor="text1"/>
          <w:shd w:val="clear" w:color="auto" w:fill="FFFFFF"/>
        </w:rPr>
        <w:t>, and to underline exactly why it matters that the UK has separated EUSS status from Withdrawal Agreement-based residence rights</w:t>
      </w:r>
      <w:r w:rsidR="00F20A96">
        <w:rPr>
          <w:rFonts w:cs="Times New Roman"/>
          <w:color w:val="000000" w:themeColor="text1"/>
          <w:shd w:val="clear" w:color="auto" w:fill="FFFFFF"/>
        </w:rPr>
        <w:t xml:space="preserve">. </w:t>
      </w:r>
    </w:p>
    <w:p w14:paraId="6B56E548" w14:textId="77777777" w:rsidR="00B84101" w:rsidRDefault="00B84101" w:rsidP="009743D2">
      <w:pPr>
        <w:ind w:firstLine="720"/>
        <w:rPr>
          <w:rFonts w:cs="Times New Roman"/>
          <w:color w:val="000000" w:themeColor="text1"/>
          <w:shd w:val="clear" w:color="auto" w:fill="FFFFFF"/>
        </w:rPr>
      </w:pPr>
    </w:p>
    <w:p w14:paraId="124749DA" w14:textId="0389E8B8" w:rsidR="00997156" w:rsidRDefault="009A64D1" w:rsidP="00997156">
      <w:pPr>
        <w:pStyle w:val="Heading2"/>
        <w:rPr>
          <w:shd w:val="clear" w:color="auto" w:fill="FFFFFF"/>
        </w:rPr>
      </w:pPr>
      <w:r>
        <w:rPr>
          <w:shd w:val="clear" w:color="auto" w:fill="FFFFFF"/>
        </w:rPr>
        <w:t>Reading more conditions into the broad personal scope question</w:t>
      </w:r>
    </w:p>
    <w:p w14:paraId="34A63B13" w14:textId="53E5156B" w:rsidR="009A64D1" w:rsidRDefault="00C710FA" w:rsidP="00DE7F71">
      <w:pPr>
        <w:rPr>
          <w:rFonts w:cs="Times New Roman"/>
          <w:color w:val="000000" w:themeColor="text1"/>
          <w:shd w:val="clear" w:color="auto" w:fill="FFFFFF"/>
        </w:rPr>
      </w:pPr>
      <w:r>
        <w:rPr>
          <w:rFonts w:cs="Times New Roman"/>
          <w:color w:val="000000" w:themeColor="text1"/>
          <w:shd w:val="clear" w:color="auto" w:fill="FFFFFF"/>
        </w:rPr>
        <w:t xml:space="preserve">As </w:t>
      </w:r>
      <w:r w:rsidR="00EE49CD">
        <w:rPr>
          <w:rFonts w:cs="Times New Roman"/>
          <w:color w:val="000000" w:themeColor="text1"/>
          <w:shd w:val="clear" w:color="auto" w:fill="FFFFFF"/>
        </w:rPr>
        <w:t>the end of the transition period approached</w:t>
      </w:r>
      <w:r w:rsidR="00DD1BA8">
        <w:rPr>
          <w:rFonts w:cs="Times New Roman"/>
          <w:color w:val="000000" w:themeColor="text1"/>
          <w:shd w:val="clear" w:color="auto" w:fill="FFFFFF"/>
        </w:rPr>
        <w:t xml:space="preserve">, </w:t>
      </w:r>
      <w:r w:rsidR="00154D2A">
        <w:rPr>
          <w:rFonts w:cs="Times New Roman"/>
          <w:color w:val="000000" w:themeColor="text1"/>
          <w:shd w:val="clear" w:color="auto" w:fill="FFFFFF"/>
        </w:rPr>
        <w:t>the</w:t>
      </w:r>
      <w:r w:rsidR="00325648">
        <w:rPr>
          <w:rFonts w:cs="Times New Roman"/>
          <w:color w:val="000000" w:themeColor="text1"/>
          <w:shd w:val="clear" w:color="auto" w:fill="FFFFFF"/>
        </w:rPr>
        <w:t xml:space="preserve"> act</w:t>
      </w:r>
      <w:r w:rsidR="00DD1BA8">
        <w:rPr>
          <w:rFonts w:cs="Times New Roman"/>
          <w:color w:val="000000" w:themeColor="text1"/>
          <w:shd w:val="clear" w:color="auto" w:fill="FFFFFF"/>
        </w:rPr>
        <w:t xml:space="preserve"> ending</w:t>
      </w:r>
      <w:r w:rsidR="00154D2A">
        <w:rPr>
          <w:rFonts w:cs="Times New Roman"/>
          <w:color w:val="000000" w:themeColor="text1"/>
          <w:shd w:val="clear" w:color="auto" w:fill="FFFFFF"/>
        </w:rPr>
        <w:t xml:space="preserve"> </w:t>
      </w:r>
      <w:r w:rsidR="00DD1BA8">
        <w:rPr>
          <w:rFonts w:cs="Times New Roman"/>
          <w:color w:val="000000" w:themeColor="text1"/>
          <w:shd w:val="clear" w:color="auto" w:fill="FFFFFF"/>
        </w:rPr>
        <w:t xml:space="preserve">the application of EU </w:t>
      </w:r>
      <w:r w:rsidR="00154D2A">
        <w:rPr>
          <w:rFonts w:cs="Times New Roman"/>
          <w:color w:val="000000" w:themeColor="text1"/>
          <w:shd w:val="clear" w:color="auto" w:fill="FFFFFF"/>
        </w:rPr>
        <w:t>free movement</w:t>
      </w:r>
      <w:r w:rsidR="00DD1BA8">
        <w:rPr>
          <w:rFonts w:cs="Times New Roman"/>
          <w:color w:val="000000" w:themeColor="text1"/>
          <w:shd w:val="clear" w:color="auto" w:fill="FFFFFF"/>
        </w:rPr>
        <w:t xml:space="preserve"> law</w:t>
      </w:r>
      <w:r w:rsidR="00154D2A">
        <w:rPr>
          <w:rFonts w:cs="Times New Roman"/>
          <w:color w:val="000000" w:themeColor="text1"/>
          <w:shd w:val="clear" w:color="auto" w:fill="FFFFFF"/>
        </w:rPr>
        <w:t xml:space="preserve"> in the UK </w:t>
      </w:r>
      <w:r w:rsidR="00325648">
        <w:rPr>
          <w:rFonts w:cs="Times New Roman"/>
          <w:color w:val="000000" w:themeColor="text1"/>
          <w:shd w:val="clear" w:color="auto" w:fill="FFFFFF"/>
        </w:rPr>
        <w:t>hurtled to commencement</w:t>
      </w:r>
      <w:r w:rsidR="00DD1BA8">
        <w:rPr>
          <w:rFonts w:cs="Times New Roman"/>
          <w:color w:val="000000" w:themeColor="text1"/>
          <w:shd w:val="clear" w:color="auto" w:fill="FFFFFF"/>
        </w:rPr>
        <w:t>.</w:t>
      </w:r>
      <w:r w:rsidR="009E3F4A">
        <w:rPr>
          <w:rStyle w:val="FootnoteReference"/>
          <w:rFonts w:cs="Times New Roman"/>
          <w:color w:val="000000" w:themeColor="text1"/>
          <w:shd w:val="clear" w:color="auto" w:fill="FFFFFF"/>
        </w:rPr>
        <w:footnoteReference w:id="46"/>
      </w:r>
      <w:r w:rsidR="00325648">
        <w:rPr>
          <w:rFonts w:cs="Times New Roman"/>
          <w:color w:val="000000" w:themeColor="text1"/>
          <w:shd w:val="clear" w:color="auto" w:fill="FFFFFF"/>
        </w:rPr>
        <w:t xml:space="preserve"> </w:t>
      </w:r>
      <w:r w:rsidR="00E82996">
        <w:rPr>
          <w:rFonts w:cs="Times New Roman"/>
          <w:color w:val="000000" w:themeColor="text1"/>
          <w:shd w:val="clear" w:color="auto" w:fill="FFFFFF"/>
        </w:rPr>
        <w:t xml:space="preserve">Various regulations introduced by the UK </w:t>
      </w:r>
      <w:r w:rsidR="00325648">
        <w:rPr>
          <w:rFonts w:cs="Times New Roman"/>
          <w:color w:val="000000" w:themeColor="text1"/>
          <w:shd w:val="clear" w:color="auto" w:fill="FFFFFF"/>
        </w:rPr>
        <w:t>government</w:t>
      </w:r>
      <w:r w:rsidR="00E82996">
        <w:rPr>
          <w:rFonts w:cs="Times New Roman"/>
          <w:color w:val="000000" w:themeColor="text1"/>
          <w:shd w:val="clear" w:color="auto" w:fill="FFFFFF"/>
        </w:rPr>
        <w:t xml:space="preserve">, </w:t>
      </w:r>
      <w:proofErr w:type="gramStart"/>
      <w:r w:rsidR="00E82996">
        <w:rPr>
          <w:rFonts w:cs="Times New Roman"/>
          <w:color w:val="000000" w:themeColor="text1"/>
          <w:shd w:val="clear" w:color="auto" w:fill="FFFFFF"/>
        </w:rPr>
        <w:t>in particular to</w:t>
      </w:r>
      <w:proofErr w:type="gramEnd"/>
      <w:r w:rsidR="00E82996">
        <w:rPr>
          <w:rFonts w:cs="Times New Roman"/>
          <w:color w:val="000000" w:themeColor="text1"/>
          <w:shd w:val="clear" w:color="auto" w:fill="FFFFFF"/>
        </w:rPr>
        <w:t xml:space="preserve"> cover people who did not yet have EUSS status, included </w:t>
      </w:r>
      <w:r w:rsidR="00C01C2D">
        <w:rPr>
          <w:rFonts w:cs="Times New Roman"/>
          <w:color w:val="000000" w:themeColor="text1"/>
          <w:shd w:val="clear" w:color="auto" w:fill="FFFFFF"/>
        </w:rPr>
        <w:t>conditions that</w:t>
      </w:r>
      <w:r w:rsidR="00E82996">
        <w:rPr>
          <w:rFonts w:cs="Times New Roman"/>
          <w:color w:val="000000" w:themeColor="text1"/>
          <w:shd w:val="clear" w:color="auto" w:fill="FFFFFF"/>
        </w:rPr>
        <w:t xml:space="preserve"> purported </w:t>
      </w:r>
      <w:r w:rsidR="00C01C2D">
        <w:rPr>
          <w:rFonts w:cs="Times New Roman"/>
          <w:color w:val="000000" w:themeColor="text1"/>
          <w:shd w:val="clear" w:color="auto" w:fill="FFFFFF"/>
        </w:rPr>
        <w:t xml:space="preserve">to replicate the </w:t>
      </w:r>
      <w:r w:rsidR="00E82996">
        <w:rPr>
          <w:rFonts w:cs="Times New Roman"/>
          <w:color w:val="000000" w:themeColor="text1"/>
          <w:shd w:val="clear" w:color="auto" w:fill="FFFFFF"/>
        </w:rPr>
        <w:t xml:space="preserve">personal scope </w:t>
      </w:r>
      <w:r w:rsidR="00C01C2D">
        <w:rPr>
          <w:rFonts w:cs="Times New Roman"/>
          <w:color w:val="000000" w:themeColor="text1"/>
          <w:shd w:val="clear" w:color="auto" w:fill="FFFFFF"/>
        </w:rPr>
        <w:t>conditions of Article 10 of the WA.</w:t>
      </w:r>
      <w:r w:rsidR="00E82996">
        <w:rPr>
          <w:rStyle w:val="FootnoteReference"/>
          <w:rFonts w:cs="Times New Roman"/>
          <w:color w:val="000000" w:themeColor="text1"/>
          <w:shd w:val="clear" w:color="auto" w:fill="FFFFFF"/>
        </w:rPr>
        <w:footnoteReference w:id="47"/>
      </w:r>
      <w:r w:rsidR="00E82996">
        <w:rPr>
          <w:rFonts w:cs="Times New Roman"/>
          <w:color w:val="000000" w:themeColor="text1"/>
          <w:shd w:val="clear" w:color="auto" w:fill="FFFFFF"/>
        </w:rPr>
        <w:t xml:space="preserve"> </w:t>
      </w:r>
      <w:r w:rsidR="00F45C22">
        <w:rPr>
          <w:rFonts w:cs="Times New Roman"/>
          <w:color w:val="000000" w:themeColor="text1"/>
          <w:shd w:val="clear" w:color="auto" w:fill="FFFFFF"/>
        </w:rPr>
        <w:t xml:space="preserve"> </w:t>
      </w:r>
    </w:p>
    <w:p w14:paraId="04AF46D3" w14:textId="71E198F6" w:rsidR="009A64D1" w:rsidRDefault="009A64D1" w:rsidP="00DE7F71">
      <w:pPr>
        <w:spacing w:after="120"/>
        <w:rPr>
          <w:rFonts w:cs="Times New Roman"/>
          <w:color w:val="000000" w:themeColor="text1"/>
          <w:shd w:val="clear" w:color="auto" w:fill="FFFFFF"/>
        </w:rPr>
      </w:pPr>
      <w:r>
        <w:rPr>
          <w:rFonts w:cs="Times New Roman"/>
          <w:color w:val="000000" w:themeColor="text1"/>
          <w:shd w:val="clear" w:color="auto" w:fill="FFFFFF"/>
        </w:rPr>
        <w:lastRenderedPageBreak/>
        <w:t>Article 10 includes within the Agreement’s scope, among others, ‘</w:t>
      </w:r>
      <w:r w:rsidRPr="009A64D1">
        <w:rPr>
          <w:rFonts w:cs="Times New Roman"/>
          <w:color w:val="000000" w:themeColor="text1"/>
          <w:shd w:val="clear" w:color="auto" w:fill="FFFFFF"/>
        </w:rPr>
        <w:t>Union citizens who exercised their right to reside in the United Kingdom in accordance with Union law before the end of the transition period and continue to reside there thereafter</w:t>
      </w:r>
      <w:r>
        <w:rPr>
          <w:rFonts w:cs="Times New Roman"/>
          <w:color w:val="000000" w:themeColor="text1"/>
          <w:shd w:val="clear" w:color="auto" w:fill="FFFFFF"/>
        </w:rPr>
        <w:t xml:space="preserve">’. It has, in essence, two </w:t>
      </w:r>
      <w:proofErr w:type="gramStart"/>
      <w:r>
        <w:rPr>
          <w:rFonts w:cs="Times New Roman"/>
          <w:color w:val="000000" w:themeColor="text1"/>
          <w:shd w:val="clear" w:color="auto" w:fill="FFFFFF"/>
        </w:rPr>
        <w:t>fairly bare</w:t>
      </w:r>
      <w:proofErr w:type="gramEnd"/>
      <w:r>
        <w:rPr>
          <w:rFonts w:cs="Times New Roman"/>
          <w:color w:val="000000" w:themeColor="text1"/>
          <w:shd w:val="clear" w:color="auto" w:fill="FFFFFF"/>
        </w:rPr>
        <w:t xml:space="preserve"> requirements – that someone must have resided in the UK in accordance with Union law, at some point before the end of the transition period. It does not make any stipulation about when, or what kind of right to reside was exercised; we argue that this should include the exercise of Article 6 rights in Directive 2004/38 – i.e. the fairly unconditional right to reside for </w:t>
      </w:r>
      <w:r w:rsidR="007124FB">
        <w:rPr>
          <w:rFonts w:cs="Times New Roman"/>
          <w:color w:val="000000" w:themeColor="text1"/>
          <w:shd w:val="clear" w:color="auto" w:fill="FFFFFF"/>
        </w:rPr>
        <w:t xml:space="preserve">the first </w:t>
      </w:r>
      <w:r>
        <w:rPr>
          <w:rFonts w:cs="Times New Roman"/>
          <w:color w:val="000000" w:themeColor="text1"/>
          <w:shd w:val="clear" w:color="auto" w:fill="FFFFFF"/>
        </w:rPr>
        <w:t xml:space="preserve">3 months </w:t>
      </w:r>
      <w:r w:rsidR="007124FB">
        <w:rPr>
          <w:rFonts w:cs="Times New Roman"/>
          <w:color w:val="000000" w:themeColor="text1"/>
          <w:shd w:val="clear" w:color="auto" w:fill="FFFFFF"/>
        </w:rPr>
        <w:t xml:space="preserve">of residence </w:t>
      </w:r>
      <w:r>
        <w:rPr>
          <w:rFonts w:cs="Times New Roman"/>
          <w:color w:val="000000" w:themeColor="text1"/>
          <w:shd w:val="clear" w:color="auto" w:fill="FFFFFF"/>
        </w:rPr>
        <w:t xml:space="preserve">– and </w:t>
      </w:r>
      <w:r w:rsidR="007124FB">
        <w:rPr>
          <w:rFonts w:cs="Times New Roman"/>
          <w:color w:val="000000" w:themeColor="text1"/>
          <w:shd w:val="clear" w:color="auto" w:fill="FFFFFF"/>
        </w:rPr>
        <w:t xml:space="preserve">that </w:t>
      </w:r>
      <w:r>
        <w:rPr>
          <w:rFonts w:cs="Times New Roman"/>
          <w:color w:val="000000" w:themeColor="text1"/>
          <w:shd w:val="clear" w:color="auto" w:fill="FFFFFF"/>
        </w:rPr>
        <w:t xml:space="preserve">this </w:t>
      </w:r>
      <w:r w:rsidR="007124FB">
        <w:rPr>
          <w:rFonts w:cs="Times New Roman"/>
          <w:color w:val="000000" w:themeColor="text1"/>
          <w:shd w:val="clear" w:color="auto" w:fill="FFFFFF"/>
        </w:rPr>
        <w:t xml:space="preserve">just has to have happened </w:t>
      </w:r>
      <w:r>
        <w:rPr>
          <w:rFonts w:cs="Times New Roman"/>
          <w:color w:val="000000" w:themeColor="text1"/>
          <w:shd w:val="clear" w:color="auto" w:fill="FFFFFF"/>
        </w:rPr>
        <w:t>at some point before the transition period ended.</w:t>
      </w:r>
      <w:r w:rsidR="007267AB">
        <w:rPr>
          <w:rFonts w:cs="Times New Roman"/>
          <w:color w:val="000000" w:themeColor="text1"/>
          <w:shd w:val="clear" w:color="auto" w:fill="FFFFFF"/>
        </w:rPr>
        <w:t xml:space="preserve"> </w:t>
      </w:r>
      <w:r w:rsidR="007267AB" w:rsidRPr="0075542A">
        <w:rPr>
          <w:rFonts w:cs="Times New Roman"/>
          <w:color w:val="000000" w:themeColor="text1"/>
          <w:shd w:val="clear" w:color="auto" w:fill="FFFFFF"/>
        </w:rPr>
        <w:t>Then, provided the EU citizen has not left the UK beyond the permitted absence rules since holding a right of residence, t</w:t>
      </w:r>
      <w:r w:rsidRPr="0075542A">
        <w:rPr>
          <w:rFonts w:cs="Times New Roman"/>
          <w:color w:val="000000" w:themeColor="text1"/>
          <w:shd w:val="clear" w:color="auto" w:fill="FFFFFF"/>
        </w:rPr>
        <w:t xml:space="preserve">he second requirement is that the person continued residing </w:t>
      </w:r>
      <w:r w:rsidR="00EA5D18" w:rsidRPr="0075542A">
        <w:rPr>
          <w:rFonts w:cs="Times New Roman"/>
          <w:i/>
          <w:iCs/>
          <w:color w:val="000000" w:themeColor="text1"/>
          <w:shd w:val="clear" w:color="auto" w:fill="FFFFFF"/>
        </w:rPr>
        <w:t xml:space="preserve">in fact </w:t>
      </w:r>
      <w:r w:rsidRPr="0075542A">
        <w:rPr>
          <w:rFonts w:cs="Times New Roman"/>
          <w:color w:val="000000" w:themeColor="text1"/>
          <w:shd w:val="clear" w:color="auto" w:fill="FFFFFF"/>
        </w:rPr>
        <w:t>in the UK after the end of the transition period.</w:t>
      </w:r>
      <w:r w:rsidR="0023763E" w:rsidRPr="0075542A">
        <w:rPr>
          <w:rStyle w:val="FootnoteReference"/>
          <w:rFonts w:cs="Times New Roman"/>
          <w:color w:val="000000" w:themeColor="text1"/>
          <w:shd w:val="clear" w:color="auto" w:fill="FFFFFF"/>
        </w:rPr>
        <w:footnoteReference w:id="48"/>
      </w:r>
      <w:r w:rsidRPr="0075542A">
        <w:rPr>
          <w:rFonts w:cs="Times New Roman"/>
          <w:color w:val="000000" w:themeColor="text1"/>
          <w:shd w:val="clear" w:color="auto" w:fill="FFFFFF"/>
        </w:rPr>
        <w:t xml:space="preserve"> However, the UK government read more detailed requirements into each condition – that someone should have been exercising their EU law right to reside ‘immediately’ before the end of the transition period,</w:t>
      </w:r>
      <w:r w:rsidRPr="0075542A">
        <w:rPr>
          <w:rStyle w:val="FootnoteReference"/>
          <w:rFonts w:cs="Times New Roman"/>
          <w:color w:val="000000" w:themeColor="text1"/>
          <w:shd w:val="clear" w:color="auto" w:fill="FFFFFF"/>
        </w:rPr>
        <w:footnoteReference w:id="49"/>
      </w:r>
      <w:r w:rsidRPr="0075542A">
        <w:rPr>
          <w:rFonts w:cs="Times New Roman"/>
          <w:color w:val="000000" w:themeColor="text1"/>
          <w:shd w:val="clear" w:color="auto" w:fill="FFFFFF"/>
        </w:rPr>
        <w:t xml:space="preserve">  and that they should have continued exercising that right (not merely ‘continuing to reside’) after that, up until the point of claim. </w:t>
      </w:r>
      <w:r w:rsidR="00E24EFD" w:rsidRPr="0075542A">
        <w:rPr>
          <w:rFonts w:cs="Times New Roman"/>
          <w:color w:val="000000" w:themeColor="text1"/>
          <w:shd w:val="clear" w:color="auto" w:fill="FFFFFF"/>
        </w:rPr>
        <w:t>Guidance from</w:t>
      </w:r>
      <w:r w:rsidR="00DC3F98" w:rsidRPr="0075542A">
        <w:rPr>
          <w:rFonts w:cs="Times New Roman"/>
          <w:color w:val="000000" w:themeColor="text1"/>
          <w:shd w:val="clear" w:color="auto" w:fill="FFFFFF"/>
        </w:rPr>
        <w:t xml:space="preserve"> the EU Commissio</w:t>
      </w:r>
      <w:r w:rsidR="00E24EFD" w:rsidRPr="0075542A">
        <w:rPr>
          <w:rFonts w:cs="Times New Roman"/>
          <w:color w:val="000000" w:themeColor="text1"/>
          <w:shd w:val="clear" w:color="auto" w:fill="FFFFFF"/>
        </w:rPr>
        <w:t xml:space="preserve">n </w:t>
      </w:r>
      <w:r w:rsidR="001C1C97" w:rsidRPr="0075542A">
        <w:rPr>
          <w:rFonts w:cs="Times New Roman"/>
          <w:color w:val="000000" w:themeColor="text1"/>
          <w:shd w:val="clear" w:color="auto" w:fill="FFFFFF"/>
        </w:rPr>
        <w:t xml:space="preserve">also </w:t>
      </w:r>
      <w:r w:rsidR="00E24EFD" w:rsidRPr="0075542A">
        <w:rPr>
          <w:rFonts w:cs="Times New Roman"/>
          <w:color w:val="000000" w:themeColor="text1"/>
          <w:shd w:val="clear" w:color="auto" w:fill="FFFFFF"/>
        </w:rPr>
        <w:t>states</w:t>
      </w:r>
      <w:r w:rsidR="00E02593" w:rsidRPr="0075542A">
        <w:rPr>
          <w:rFonts w:cs="Times New Roman"/>
          <w:color w:val="000000" w:themeColor="text1"/>
          <w:shd w:val="clear" w:color="auto" w:fill="FFFFFF"/>
        </w:rPr>
        <w:t xml:space="preserve"> that </w:t>
      </w:r>
      <w:r w:rsidR="00180F6D" w:rsidRPr="0075542A">
        <w:rPr>
          <w:rFonts w:cs="Times New Roman"/>
          <w:color w:val="000000" w:themeColor="text1"/>
          <w:shd w:val="clear" w:color="auto" w:fill="FFFFFF"/>
        </w:rPr>
        <w:t xml:space="preserve">those covered by the WA in the UK </w:t>
      </w:r>
      <w:r w:rsidR="00107D14" w:rsidRPr="0075542A">
        <w:rPr>
          <w:rFonts w:cs="Times New Roman"/>
          <w:color w:val="000000" w:themeColor="text1"/>
          <w:shd w:val="clear" w:color="auto" w:fill="FFFFFF"/>
        </w:rPr>
        <w:t>must have</w:t>
      </w:r>
      <w:r w:rsidR="006923F8" w:rsidRPr="0075542A">
        <w:rPr>
          <w:rFonts w:cs="Times New Roman"/>
          <w:color w:val="000000" w:themeColor="text1"/>
          <w:shd w:val="clear" w:color="auto" w:fill="FFFFFF"/>
        </w:rPr>
        <w:t xml:space="preserve"> had</w:t>
      </w:r>
      <w:r w:rsidR="00E02593" w:rsidRPr="0075542A">
        <w:rPr>
          <w:rFonts w:cs="Times New Roman"/>
          <w:color w:val="000000" w:themeColor="text1"/>
          <w:shd w:val="clear" w:color="auto" w:fill="FFFFFF"/>
        </w:rPr>
        <w:t xml:space="preserve"> an a</w:t>
      </w:r>
      <w:r w:rsidR="00E9444D" w:rsidRPr="0075542A">
        <w:rPr>
          <w:rFonts w:cs="Times New Roman"/>
          <w:color w:val="000000" w:themeColor="text1"/>
          <w:shd w:val="clear" w:color="auto" w:fill="FFFFFF"/>
        </w:rPr>
        <w:t>ctive EU law right to reside</w:t>
      </w:r>
      <w:r w:rsidR="007E3860" w:rsidRPr="0075542A">
        <w:rPr>
          <w:rFonts w:cs="Times New Roman"/>
          <w:color w:val="000000" w:themeColor="text1"/>
          <w:shd w:val="clear" w:color="auto" w:fill="FFFFFF"/>
        </w:rPr>
        <w:t xml:space="preserve"> ‘on’ 31 December 2020</w:t>
      </w:r>
      <w:r w:rsidR="00206695" w:rsidRPr="0075542A">
        <w:rPr>
          <w:rFonts w:cs="Times New Roman"/>
          <w:color w:val="000000" w:themeColor="text1"/>
          <w:shd w:val="clear" w:color="auto" w:fill="FFFFFF"/>
        </w:rPr>
        <w:t>.</w:t>
      </w:r>
      <w:r w:rsidR="00763791" w:rsidRPr="0075542A">
        <w:rPr>
          <w:rStyle w:val="FootnoteReference"/>
          <w:rFonts w:cs="Times New Roman"/>
          <w:color w:val="000000" w:themeColor="text1"/>
          <w:shd w:val="clear" w:color="auto" w:fill="FFFFFF"/>
        </w:rPr>
        <w:footnoteReference w:id="50"/>
      </w:r>
      <w:r w:rsidR="00206695" w:rsidRPr="0075542A">
        <w:rPr>
          <w:rFonts w:cs="Times New Roman"/>
          <w:color w:val="000000" w:themeColor="text1"/>
          <w:shd w:val="clear" w:color="auto" w:fill="FFFFFF"/>
        </w:rPr>
        <w:t xml:space="preserve"> </w:t>
      </w:r>
      <w:r w:rsidR="00E91288" w:rsidRPr="0075542A">
        <w:rPr>
          <w:rFonts w:cs="Times New Roman"/>
          <w:color w:val="000000" w:themeColor="text1"/>
          <w:shd w:val="clear" w:color="auto" w:fill="FFFFFF"/>
        </w:rPr>
        <w:t>But Art</w:t>
      </w:r>
      <w:r w:rsidR="00902BB6" w:rsidRPr="0075542A">
        <w:rPr>
          <w:rFonts w:cs="Times New Roman"/>
          <w:color w:val="000000" w:themeColor="text1"/>
          <w:shd w:val="clear" w:color="auto" w:fill="FFFFFF"/>
        </w:rPr>
        <w:t>icle</w:t>
      </w:r>
      <w:r w:rsidR="00E91288" w:rsidRPr="0075542A">
        <w:rPr>
          <w:rFonts w:cs="Times New Roman"/>
          <w:color w:val="000000" w:themeColor="text1"/>
          <w:shd w:val="clear" w:color="auto" w:fill="FFFFFF"/>
        </w:rPr>
        <w:t xml:space="preserve"> 10 itself does not use the word </w:t>
      </w:r>
      <w:r w:rsidR="007E3860" w:rsidRPr="0075542A">
        <w:rPr>
          <w:rFonts w:cs="Times New Roman"/>
          <w:color w:val="000000" w:themeColor="text1"/>
          <w:shd w:val="clear" w:color="auto" w:fill="FFFFFF"/>
        </w:rPr>
        <w:t xml:space="preserve">‘on’ or </w:t>
      </w:r>
      <w:r w:rsidR="00E91288" w:rsidRPr="0075542A">
        <w:rPr>
          <w:rFonts w:cs="Times New Roman"/>
          <w:color w:val="000000" w:themeColor="text1"/>
          <w:shd w:val="clear" w:color="auto" w:fill="FFFFFF"/>
        </w:rPr>
        <w:t>‘at’</w:t>
      </w:r>
      <w:r w:rsidR="006923F8" w:rsidRPr="0075542A">
        <w:rPr>
          <w:rFonts w:cs="Times New Roman"/>
          <w:color w:val="000000" w:themeColor="text1"/>
          <w:shd w:val="clear" w:color="auto" w:fill="FFFFFF"/>
        </w:rPr>
        <w:t xml:space="preserve"> the end of the transition period</w:t>
      </w:r>
      <w:r w:rsidR="00E91288" w:rsidRPr="0075542A">
        <w:rPr>
          <w:rFonts w:cs="Times New Roman"/>
          <w:color w:val="000000" w:themeColor="text1"/>
          <w:shd w:val="clear" w:color="auto" w:fill="FFFFFF"/>
        </w:rPr>
        <w:t>, it uses the word ‘before’.</w:t>
      </w:r>
      <w:r w:rsidR="00E91288">
        <w:rPr>
          <w:rFonts w:cs="Times New Roman"/>
          <w:color w:val="000000" w:themeColor="text1"/>
          <w:shd w:val="clear" w:color="auto" w:fill="FFFFFF"/>
        </w:rPr>
        <w:t xml:space="preserve"> </w:t>
      </w:r>
      <w:r w:rsidR="00DC3F98">
        <w:rPr>
          <w:rFonts w:cs="Times New Roman"/>
          <w:color w:val="000000" w:themeColor="text1"/>
          <w:shd w:val="clear" w:color="auto" w:fill="FFFFFF"/>
        </w:rPr>
        <w:t xml:space="preserve"> </w:t>
      </w:r>
    </w:p>
    <w:p w14:paraId="38084616" w14:textId="2513D468" w:rsidR="00604A70" w:rsidRDefault="009A64D1" w:rsidP="00DE7F71">
      <w:pPr>
        <w:spacing w:after="120"/>
        <w:rPr>
          <w:rFonts w:cs="Times New Roman"/>
          <w:color w:val="000000" w:themeColor="text1"/>
          <w:shd w:val="clear" w:color="auto" w:fill="FFFFFF"/>
        </w:rPr>
      </w:pPr>
      <w:r>
        <w:rPr>
          <w:rFonts w:cs="Times New Roman"/>
          <w:color w:val="000000" w:themeColor="text1"/>
          <w:shd w:val="clear" w:color="auto" w:fill="FFFFFF"/>
        </w:rPr>
        <w:lastRenderedPageBreak/>
        <w:t xml:space="preserve">This </w:t>
      </w:r>
      <w:r w:rsidR="007124FB">
        <w:rPr>
          <w:rFonts w:cs="Times New Roman"/>
          <w:color w:val="000000" w:themeColor="text1"/>
          <w:shd w:val="clear" w:color="auto" w:fill="FFFFFF"/>
        </w:rPr>
        <w:t>approach conflicts with prior UK case law</w:t>
      </w:r>
      <w:r w:rsidR="007124FB">
        <w:t>,</w:t>
      </w:r>
      <w:r w:rsidR="007124FB">
        <w:rPr>
          <w:rStyle w:val="FootnoteReference"/>
        </w:rPr>
        <w:footnoteReference w:id="51"/>
      </w:r>
      <w:r w:rsidR="007124FB">
        <w:rPr>
          <w:rFonts w:cs="Times New Roman"/>
          <w:color w:val="000000" w:themeColor="text1"/>
          <w:shd w:val="clear" w:color="auto" w:fill="FFFFFF"/>
        </w:rPr>
        <w:t xml:space="preserve"> and </w:t>
      </w:r>
      <w:r>
        <w:rPr>
          <w:rFonts w:cs="Times New Roman"/>
          <w:color w:val="000000" w:themeColor="text1"/>
          <w:shd w:val="clear" w:color="auto" w:fill="FFFFFF"/>
        </w:rPr>
        <w:t>led to huge confusion over how people with pending</w:t>
      </w:r>
      <w:r w:rsidR="007124FB">
        <w:rPr>
          <w:rFonts w:cs="Times New Roman"/>
          <w:color w:val="000000" w:themeColor="text1"/>
          <w:shd w:val="clear" w:color="auto" w:fill="FFFFFF"/>
        </w:rPr>
        <w:t xml:space="preserve"> EUSS</w:t>
      </w:r>
      <w:r>
        <w:rPr>
          <w:rFonts w:cs="Times New Roman"/>
          <w:color w:val="000000" w:themeColor="text1"/>
          <w:shd w:val="clear" w:color="auto" w:fill="FFFFFF"/>
        </w:rPr>
        <w:t xml:space="preserve"> applications should be treated</w:t>
      </w:r>
      <w:r w:rsidR="007124FB">
        <w:rPr>
          <w:rFonts w:cs="Times New Roman"/>
          <w:color w:val="000000" w:themeColor="text1"/>
          <w:shd w:val="clear" w:color="auto" w:fill="FFFFFF"/>
        </w:rPr>
        <w:t xml:space="preserve"> – were they in the broad scope of the WA?</w:t>
      </w:r>
      <w:r>
        <w:rPr>
          <w:rFonts w:cs="Times New Roman"/>
          <w:color w:val="000000" w:themeColor="text1"/>
          <w:shd w:val="clear" w:color="auto" w:fill="FFFFFF"/>
        </w:rPr>
        <w:t xml:space="preserve"> </w:t>
      </w:r>
      <w:r w:rsidR="00346732">
        <w:rPr>
          <w:rFonts w:cs="Times New Roman"/>
          <w:color w:val="000000" w:themeColor="text1"/>
          <w:shd w:val="clear" w:color="auto" w:fill="FFFFFF"/>
        </w:rPr>
        <w:t>A</w:t>
      </w:r>
      <w:r w:rsidR="00D34CB0">
        <w:rPr>
          <w:rFonts w:cs="Times New Roman"/>
          <w:color w:val="000000" w:themeColor="text1"/>
          <w:shd w:val="clear" w:color="auto" w:fill="FFFFFF"/>
        </w:rPr>
        <w:t xml:space="preserve"> hotch-potch of non-legislative sources have supposedly resolved the question - a</w:t>
      </w:r>
      <w:r w:rsidR="00346732">
        <w:rPr>
          <w:rFonts w:cs="Times New Roman"/>
          <w:color w:val="000000" w:themeColor="text1"/>
          <w:shd w:val="clear" w:color="auto" w:fill="FFFFFF"/>
        </w:rPr>
        <w:t>n August 2021 Press release</w:t>
      </w:r>
      <w:r w:rsidR="00B9003F">
        <w:rPr>
          <w:rFonts w:cs="Times New Roman"/>
          <w:color w:val="000000" w:themeColor="text1"/>
          <w:shd w:val="clear" w:color="auto" w:fill="FFFFFF"/>
        </w:rPr>
        <w:t>,</w:t>
      </w:r>
      <w:r>
        <w:rPr>
          <w:rStyle w:val="FootnoteReference"/>
          <w:rFonts w:cs="Times New Roman"/>
          <w:color w:val="000000" w:themeColor="text1"/>
          <w:shd w:val="clear" w:color="auto" w:fill="FFFFFF"/>
        </w:rPr>
        <w:footnoteReference w:id="52"/>
      </w:r>
      <w:r w:rsidR="00B9003F">
        <w:rPr>
          <w:rFonts w:cs="Times New Roman"/>
          <w:color w:val="000000" w:themeColor="text1"/>
          <w:shd w:val="clear" w:color="auto" w:fill="FFFFFF"/>
        </w:rPr>
        <w:t xml:space="preserve"> a response to a parliamentary question in </w:t>
      </w:r>
      <w:r w:rsidR="00691A31">
        <w:rPr>
          <w:rFonts w:cs="Times New Roman"/>
          <w:color w:val="000000" w:themeColor="text1"/>
          <w:shd w:val="clear" w:color="auto" w:fill="FFFFFF"/>
        </w:rPr>
        <w:t>October</w:t>
      </w:r>
      <w:r w:rsidR="00B9003F">
        <w:rPr>
          <w:rFonts w:cs="Times New Roman"/>
          <w:color w:val="000000" w:themeColor="text1"/>
          <w:shd w:val="clear" w:color="auto" w:fill="FFFFFF"/>
        </w:rPr>
        <w:t xml:space="preserve"> 2021</w:t>
      </w:r>
      <w:r>
        <w:rPr>
          <w:rFonts w:cs="Times New Roman"/>
          <w:color w:val="000000" w:themeColor="text1"/>
          <w:shd w:val="clear" w:color="auto" w:fill="FFFFFF"/>
        </w:rPr>
        <w:t>,</w:t>
      </w:r>
      <w:r>
        <w:rPr>
          <w:rStyle w:val="FootnoteReference"/>
          <w:rFonts w:cs="Times New Roman"/>
          <w:color w:val="000000" w:themeColor="text1"/>
          <w:shd w:val="clear" w:color="auto" w:fill="FFFFFF"/>
        </w:rPr>
        <w:footnoteReference w:id="53"/>
      </w:r>
      <w:r w:rsidR="00346732">
        <w:rPr>
          <w:rFonts w:cs="Times New Roman"/>
          <w:color w:val="000000" w:themeColor="text1"/>
          <w:shd w:val="clear" w:color="auto" w:fill="FFFFFF"/>
        </w:rPr>
        <w:t xml:space="preserve"> and decision-maker g</w:t>
      </w:r>
      <w:r w:rsidR="00AD65B7">
        <w:rPr>
          <w:rFonts w:cs="Times New Roman"/>
          <w:color w:val="000000" w:themeColor="text1"/>
          <w:shd w:val="clear" w:color="auto" w:fill="FFFFFF"/>
        </w:rPr>
        <w:t>uidance</w:t>
      </w:r>
      <w:r w:rsidR="00E9269B">
        <w:rPr>
          <w:rFonts w:cs="Times New Roman"/>
          <w:color w:val="000000" w:themeColor="text1"/>
          <w:shd w:val="clear" w:color="auto" w:fill="FFFFFF"/>
        </w:rPr>
        <w:t xml:space="preserve"> issued in November 2021 on the rights of EU citizens to access benefits after the grace period eventually</w:t>
      </w:r>
      <w:r w:rsidR="00346732">
        <w:rPr>
          <w:rFonts w:cs="Times New Roman"/>
          <w:color w:val="000000" w:themeColor="text1"/>
          <w:shd w:val="clear" w:color="auto" w:fill="FFFFFF"/>
        </w:rPr>
        <w:t xml:space="preserve"> </w:t>
      </w:r>
      <w:r w:rsidR="007124FB">
        <w:rPr>
          <w:rFonts w:cs="Times New Roman"/>
          <w:color w:val="000000" w:themeColor="text1"/>
          <w:shd w:val="clear" w:color="auto" w:fill="FFFFFF"/>
        </w:rPr>
        <w:t>jettisoned</w:t>
      </w:r>
      <w:r w:rsidR="0019190C">
        <w:rPr>
          <w:rFonts w:cs="Times New Roman"/>
          <w:color w:val="000000" w:themeColor="text1"/>
          <w:shd w:val="clear" w:color="auto" w:fill="FFFFFF"/>
        </w:rPr>
        <w:t xml:space="preserve"> th</w:t>
      </w:r>
      <w:r w:rsidR="00274927">
        <w:rPr>
          <w:rFonts w:cs="Times New Roman"/>
          <w:color w:val="000000" w:themeColor="text1"/>
          <w:shd w:val="clear" w:color="auto" w:fill="FFFFFF"/>
        </w:rPr>
        <w:t xml:space="preserve">ese </w:t>
      </w:r>
      <w:r w:rsidR="007124FB">
        <w:rPr>
          <w:rFonts w:cs="Times New Roman"/>
          <w:color w:val="000000" w:themeColor="text1"/>
          <w:shd w:val="clear" w:color="auto" w:fill="FFFFFF"/>
        </w:rPr>
        <w:t xml:space="preserve">extra </w:t>
      </w:r>
      <w:r w:rsidR="0019190C">
        <w:rPr>
          <w:rFonts w:cs="Times New Roman"/>
          <w:color w:val="000000" w:themeColor="text1"/>
          <w:shd w:val="clear" w:color="auto" w:fill="FFFFFF"/>
        </w:rPr>
        <w:t>require</w:t>
      </w:r>
      <w:r w:rsidR="00E9269B">
        <w:rPr>
          <w:rFonts w:cs="Times New Roman"/>
          <w:color w:val="000000" w:themeColor="text1"/>
          <w:shd w:val="clear" w:color="auto" w:fill="FFFFFF"/>
        </w:rPr>
        <w:t>ment</w:t>
      </w:r>
      <w:r w:rsidR="007124FB">
        <w:rPr>
          <w:rFonts w:cs="Times New Roman"/>
          <w:color w:val="000000" w:themeColor="text1"/>
          <w:shd w:val="clear" w:color="auto" w:fill="FFFFFF"/>
        </w:rPr>
        <w:t>s</w:t>
      </w:r>
      <w:r w:rsidR="00346732">
        <w:rPr>
          <w:rFonts w:cs="Times New Roman"/>
          <w:color w:val="000000" w:themeColor="text1"/>
          <w:shd w:val="clear" w:color="auto" w:fill="FFFFFF"/>
        </w:rPr>
        <w:t>.</w:t>
      </w:r>
      <w:r w:rsidR="00346732">
        <w:rPr>
          <w:rStyle w:val="FootnoteReference"/>
          <w:rFonts w:cs="Times New Roman"/>
          <w:color w:val="000000" w:themeColor="text1"/>
          <w:shd w:val="clear" w:color="auto" w:fill="FFFFFF"/>
        </w:rPr>
        <w:footnoteReference w:id="54"/>
      </w:r>
      <w:r w:rsidR="00346732">
        <w:rPr>
          <w:rFonts w:cs="Times New Roman"/>
          <w:color w:val="000000" w:themeColor="text1"/>
          <w:shd w:val="clear" w:color="auto" w:fill="FFFFFF"/>
        </w:rPr>
        <w:t xml:space="preserve"> </w:t>
      </w:r>
      <w:r w:rsidR="00D34CB0">
        <w:rPr>
          <w:rFonts w:cs="Times New Roman"/>
          <w:color w:val="000000" w:themeColor="text1"/>
          <w:shd w:val="clear" w:color="auto" w:fill="FFFFFF"/>
        </w:rPr>
        <w:t xml:space="preserve">While the Grace Period </w:t>
      </w:r>
      <w:r w:rsidR="007124FB">
        <w:rPr>
          <w:rFonts w:cs="Times New Roman"/>
          <w:color w:val="000000" w:themeColor="text1"/>
          <w:shd w:val="clear" w:color="auto" w:fill="FFFFFF"/>
        </w:rPr>
        <w:t>R</w:t>
      </w:r>
      <w:r w:rsidR="00D34CB0">
        <w:rPr>
          <w:rFonts w:cs="Times New Roman"/>
          <w:color w:val="000000" w:themeColor="text1"/>
          <w:shd w:val="clear" w:color="auto" w:fill="FFFFFF"/>
        </w:rPr>
        <w:t>egulations were not amended, d</w:t>
      </w:r>
      <w:r w:rsidR="00346732">
        <w:rPr>
          <w:rFonts w:cs="Times New Roman"/>
          <w:color w:val="000000" w:themeColor="text1"/>
          <w:shd w:val="clear" w:color="auto" w:fill="FFFFFF"/>
        </w:rPr>
        <w:t>ecision makers were</w:t>
      </w:r>
      <w:r w:rsidR="0019190C">
        <w:rPr>
          <w:rFonts w:cs="Times New Roman"/>
          <w:color w:val="000000" w:themeColor="text1"/>
          <w:shd w:val="clear" w:color="auto" w:fill="FFFFFF"/>
        </w:rPr>
        <w:t xml:space="preserve"> instruct</w:t>
      </w:r>
      <w:r w:rsidR="00346732">
        <w:rPr>
          <w:rFonts w:cs="Times New Roman"/>
          <w:color w:val="000000" w:themeColor="text1"/>
          <w:shd w:val="clear" w:color="auto" w:fill="FFFFFF"/>
        </w:rPr>
        <w:t>ed to treat</w:t>
      </w:r>
      <w:r w:rsidR="0019190C">
        <w:rPr>
          <w:rFonts w:cs="Times New Roman"/>
          <w:color w:val="000000" w:themeColor="text1"/>
          <w:shd w:val="clear" w:color="auto" w:fill="FFFFFF"/>
        </w:rPr>
        <w:t xml:space="preserve"> </w:t>
      </w:r>
      <w:r w:rsidR="00E9269B">
        <w:rPr>
          <w:rFonts w:cs="Times New Roman"/>
          <w:color w:val="000000" w:themeColor="text1"/>
          <w:shd w:val="clear" w:color="auto" w:fill="FFFFFF"/>
        </w:rPr>
        <w:t>all claimants with a pending EUSS application</w:t>
      </w:r>
      <w:r w:rsidR="00346732">
        <w:rPr>
          <w:rFonts w:cs="Times New Roman"/>
          <w:color w:val="000000" w:themeColor="text1"/>
          <w:shd w:val="clear" w:color="auto" w:fill="FFFFFF"/>
        </w:rPr>
        <w:t xml:space="preserve"> as if they</w:t>
      </w:r>
      <w:r w:rsidR="00E9269B">
        <w:rPr>
          <w:rFonts w:cs="Times New Roman"/>
          <w:color w:val="000000" w:themeColor="text1"/>
          <w:shd w:val="clear" w:color="auto" w:fill="FFFFFF"/>
        </w:rPr>
        <w:t xml:space="preserve"> </w:t>
      </w:r>
      <w:r w:rsidR="00DD1BA8">
        <w:rPr>
          <w:rFonts w:cs="Times New Roman"/>
          <w:color w:val="000000" w:themeColor="text1"/>
          <w:shd w:val="clear" w:color="auto" w:fill="FFFFFF"/>
        </w:rPr>
        <w:t>we</w:t>
      </w:r>
      <w:r w:rsidR="00E9269B">
        <w:rPr>
          <w:rFonts w:cs="Times New Roman"/>
          <w:color w:val="000000" w:themeColor="text1"/>
          <w:shd w:val="clear" w:color="auto" w:fill="FFFFFF"/>
        </w:rPr>
        <w:t xml:space="preserve">re protected by the </w:t>
      </w:r>
      <w:r w:rsidR="00DD1BA8">
        <w:rPr>
          <w:rFonts w:cs="Times New Roman"/>
          <w:color w:val="000000" w:themeColor="text1"/>
          <w:shd w:val="clear" w:color="auto" w:fill="FFFFFF"/>
        </w:rPr>
        <w:t>W</w:t>
      </w:r>
      <w:r w:rsidR="00E9269B">
        <w:rPr>
          <w:rFonts w:cs="Times New Roman"/>
          <w:color w:val="000000" w:themeColor="text1"/>
          <w:shd w:val="clear" w:color="auto" w:fill="FFFFFF"/>
        </w:rPr>
        <w:t xml:space="preserve">ithdrawal </w:t>
      </w:r>
      <w:r w:rsidR="00DD1BA8">
        <w:rPr>
          <w:rFonts w:cs="Times New Roman"/>
          <w:color w:val="000000" w:themeColor="text1"/>
          <w:shd w:val="clear" w:color="auto" w:fill="FFFFFF"/>
        </w:rPr>
        <w:t>A</w:t>
      </w:r>
      <w:r w:rsidR="00E9269B">
        <w:rPr>
          <w:rFonts w:cs="Times New Roman"/>
          <w:color w:val="000000" w:themeColor="text1"/>
          <w:shd w:val="clear" w:color="auto" w:fill="FFFFFF"/>
        </w:rPr>
        <w:t>greement.</w:t>
      </w:r>
      <w:r w:rsidR="00E9269B">
        <w:rPr>
          <w:rStyle w:val="FootnoteReference"/>
          <w:rFonts w:cs="Times New Roman"/>
          <w:color w:val="000000" w:themeColor="text1"/>
          <w:shd w:val="clear" w:color="auto" w:fill="FFFFFF"/>
        </w:rPr>
        <w:footnoteReference w:id="55"/>
      </w:r>
      <w:r w:rsidR="00E9269B">
        <w:rPr>
          <w:rFonts w:cs="Times New Roman"/>
          <w:color w:val="000000" w:themeColor="text1"/>
          <w:shd w:val="clear" w:color="auto" w:fill="FFFFFF"/>
        </w:rPr>
        <w:t xml:space="preserve"> </w:t>
      </w:r>
    </w:p>
    <w:p w14:paraId="3073A1F0" w14:textId="7D64D142" w:rsidR="00EB011B" w:rsidRDefault="00D34CB0" w:rsidP="00DE7F71">
      <w:pPr>
        <w:spacing w:after="120"/>
        <w:rPr>
          <w:rFonts w:cs="Times New Roman"/>
          <w:color w:val="000000" w:themeColor="text1"/>
          <w:shd w:val="clear" w:color="auto" w:fill="FFFFFF"/>
        </w:rPr>
      </w:pPr>
      <w:r>
        <w:rPr>
          <w:rFonts w:cs="Times New Roman"/>
          <w:color w:val="000000" w:themeColor="text1"/>
          <w:shd w:val="clear" w:color="auto" w:fill="FFFFFF"/>
        </w:rPr>
        <w:t>However, this messy governance-by-press-release notwithstanding,</w:t>
      </w:r>
      <w:r w:rsidR="006566B5">
        <w:rPr>
          <w:rStyle w:val="FootnoteReference"/>
          <w:rFonts w:cs="Times New Roman"/>
          <w:color w:val="000000" w:themeColor="text1"/>
          <w:shd w:val="clear" w:color="auto" w:fill="FFFFFF"/>
        </w:rPr>
        <w:footnoteReference w:id="56"/>
      </w:r>
      <w:r>
        <w:rPr>
          <w:rFonts w:cs="Times New Roman"/>
          <w:color w:val="000000" w:themeColor="text1"/>
          <w:shd w:val="clear" w:color="auto" w:fill="FFFFFF"/>
        </w:rPr>
        <w:t xml:space="preserve"> the restrictive approach to Article 10 continued to exert an influence on decision-makers. </w:t>
      </w:r>
      <w:r w:rsidR="009E0C6C">
        <w:rPr>
          <w:rFonts w:cs="Times New Roman"/>
          <w:color w:val="000000" w:themeColor="text1"/>
          <w:shd w:val="clear" w:color="auto" w:fill="FFFFFF"/>
        </w:rPr>
        <w:t xml:space="preserve">Relying on decision makers </w:t>
      </w:r>
      <w:r>
        <w:rPr>
          <w:rFonts w:cs="Times New Roman"/>
          <w:color w:val="000000" w:themeColor="text1"/>
          <w:shd w:val="clear" w:color="auto" w:fill="FFFFFF"/>
        </w:rPr>
        <w:t xml:space="preserve">to ignore the legislation and to prioritise </w:t>
      </w:r>
      <w:r w:rsidR="00657C35">
        <w:rPr>
          <w:rFonts w:cs="Times New Roman"/>
          <w:color w:val="000000" w:themeColor="text1"/>
          <w:shd w:val="clear" w:color="auto" w:fill="FFFFFF"/>
        </w:rPr>
        <w:t xml:space="preserve">instructions in </w:t>
      </w:r>
      <w:r w:rsidR="004465B4">
        <w:rPr>
          <w:rFonts w:cs="Times New Roman"/>
          <w:color w:val="000000" w:themeColor="text1"/>
          <w:shd w:val="clear" w:color="auto" w:fill="FFFFFF"/>
        </w:rPr>
        <w:t xml:space="preserve">guidance is </w:t>
      </w:r>
      <w:r>
        <w:rPr>
          <w:rFonts w:cs="Times New Roman"/>
          <w:color w:val="000000" w:themeColor="text1"/>
          <w:shd w:val="clear" w:color="auto" w:fill="FFFFFF"/>
        </w:rPr>
        <w:t>a recipe for confusion – and creates serious tensions with key rule of law principles such as clarity.</w:t>
      </w:r>
      <w:r w:rsidRPr="00D34CB0">
        <w:rPr>
          <w:rStyle w:val="FootnoteReference"/>
          <w:rFonts w:cs="Times New Roman"/>
          <w:color w:val="000000" w:themeColor="text1"/>
          <w:shd w:val="clear" w:color="auto" w:fill="FFFFFF"/>
        </w:rPr>
        <w:t xml:space="preserve"> </w:t>
      </w:r>
      <w:r>
        <w:rPr>
          <w:rStyle w:val="FootnoteReference"/>
          <w:rFonts w:cs="Times New Roman"/>
          <w:color w:val="000000" w:themeColor="text1"/>
          <w:shd w:val="clear" w:color="auto" w:fill="FFFFFF"/>
        </w:rPr>
        <w:footnoteReference w:id="57"/>
      </w:r>
      <w:r>
        <w:rPr>
          <w:rFonts w:cs="Times New Roman"/>
          <w:color w:val="000000" w:themeColor="text1"/>
          <w:shd w:val="clear" w:color="auto" w:fill="FFFFFF"/>
        </w:rPr>
        <w:t xml:space="preserve"> </w:t>
      </w:r>
      <w:r w:rsidR="00622F6C">
        <w:rPr>
          <w:rFonts w:cs="Times New Roman"/>
          <w:color w:val="000000" w:themeColor="text1"/>
          <w:shd w:val="clear" w:color="auto" w:fill="FFFFFF"/>
        </w:rPr>
        <w:t xml:space="preserve">Data from the </w:t>
      </w:r>
      <w:r w:rsidR="00435B4E">
        <w:rPr>
          <w:rFonts w:cs="Times New Roman"/>
          <w:color w:val="000000" w:themeColor="text1"/>
          <w:shd w:val="clear" w:color="auto" w:fill="FFFFFF"/>
        </w:rPr>
        <w:t xml:space="preserve">EU Rights and Brexit Hub </w:t>
      </w:r>
      <w:r w:rsidR="00622F6C">
        <w:rPr>
          <w:rFonts w:cs="Times New Roman"/>
          <w:color w:val="000000" w:themeColor="text1"/>
          <w:shd w:val="clear" w:color="auto" w:fill="FFFFFF"/>
        </w:rPr>
        <w:t xml:space="preserve">second-tier advice </w:t>
      </w:r>
      <w:r w:rsidR="00B95689">
        <w:rPr>
          <w:rFonts w:cs="Times New Roman"/>
          <w:color w:val="000000" w:themeColor="text1"/>
          <w:shd w:val="clear" w:color="auto" w:fill="FFFFFF"/>
        </w:rPr>
        <w:t xml:space="preserve">clinic saw decision makers across DWP and local authorities reaching for the stricter conditions </w:t>
      </w:r>
      <w:r w:rsidR="005C5891">
        <w:rPr>
          <w:rFonts w:cs="Times New Roman"/>
          <w:color w:val="000000" w:themeColor="text1"/>
          <w:shd w:val="clear" w:color="auto" w:fill="FFFFFF"/>
        </w:rPr>
        <w:t xml:space="preserve">and requesting evidence of what kind of right to </w:t>
      </w:r>
      <w:r w:rsidR="005C5891">
        <w:rPr>
          <w:rFonts w:cs="Times New Roman"/>
          <w:color w:val="000000" w:themeColor="text1"/>
          <w:shd w:val="clear" w:color="auto" w:fill="FFFFFF"/>
        </w:rPr>
        <w:lastRenderedPageBreak/>
        <w:t>reside claimants could demonstrate on 31 December 2020</w:t>
      </w:r>
      <w:r>
        <w:rPr>
          <w:rFonts w:cs="Times New Roman"/>
          <w:color w:val="000000" w:themeColor="text1"/>
          <w:shd w:val="clear" w:color="auto" w:fill="FFFFFF"/>
        </w:rPr>
        <w:t xml:space="preserve"> precisely</w:t>
      </w:r>
      <w:r w:rsidR="005C5891">
        <w:rPr>
          <w:rFonts w:cs="Times New Roman"/>
          <w:color w:val="000000" w:themeColor="text1"/>
          <w:shd w:val="clear" w:color="auto" w:fill="FFFFFF"/>
        </w:rPr>
        <w:t>.</w:t>
      </w:r>
      <w:r w:rsidR="00AF3EF2">
        <w:rPr>
          <w:rStyle w:val="FootnoteReference"/>
          <w:rFonts w:cs="Times New Roman"/>
          <w:color w:val="000000" w:themeColor="text1"/>
          <w:shd w:val="clear" w:color="auto" w:fill="FFFFFF"/>
        </w:rPr>
        <w:footnoteReference w:id="58"/>
      </w:r>
      <w:r w:rsidR="005C5891">
        <w:rPr>
          <w:rFonts w:cs="Times New Roman"/>
          <w:color w:val="000000" w:themeColor="text1"/>
          <w:shd w:val="clear" w:color="auto" w:fill="FFFFFF"/>
        </w:rPr>
        <w:t xml:space="preserve"> </w:t>
      </w:r>
      <w:r w:rsidR="008A29B9">
        <w:rPr>
          <w:rFonts w:cs="Times New Roman"/>
          <w:color w:val="000000" w:themeColor="text1"/>
          <w:shd w:val="clear" w:color="auto" w:fill="FFFFFF"/>
        </w:rPr>
        <w:t>Additionally,</w:t>
      </w:r>
      <w:r w:rsidR="00EB011B">
        <w:rPr>
          <w:rFonts w:cs="Times New Roman"/>
          <w:color w:val="000000" w:themeColor="text1"/>
          <w:shd w:val="clear" w:color="auto" w:fill="FFFFFF"/>
        </w:rPr>
        <w:t xml:space="preserve"> where an EU citizen </w:t>
      </w:r>
      <w:r w:rsidR="00771FF4">
        <w:rPr>
          <w:rFonts w:cs="Times New Roman"/>
          <w:color w:val="000000" w:themeColor="text1"/>
          <w:shd w:val="clear" w:color="auto" w:fill="FFFFFF"/>
        </w:rPr>
        <w:t>appealed</w:t>
      </w:r>
      <w:r w:rsidR="008A29B9">
        <w:rPr>
          <w:rFonts w:cs="Times New Roman"/>
          <w:color w:val="000000" w:themeColor="text1"/>
          <w:shd w:val="clear" w:color="auto" w:fill="FFFFFF"/>
        </w:rPr>
        <w:t xml:space="preserve"> these decisions in a tribunal, the judge would be inclined to apply regulations</w:t>
      </w:r>
      <w:r w:rsidR="00771FF4">
        <w:rPr>
          <w:rFonts w:cs="Times New Roman"/>
          <w:color w:val="000000" w:themeColor="text1"/>
          <w:shd w:val="clear" w:color="auto" w:fill="FFFFFF"/>
        </w:rPr>
        <w:t xml:space="preserve"> </w:t>
      </w:r>
      <w:r>
        <w:rPr>
          <w:rFonts w:cs="Times New Roman"/>
          <w:color w:val="000000" w:themeColor="text1"/>
          <w:shd w:val="clear" w:color="auto" w:fill="FFFFFF"/>
        </w:rPr>
        <w:t>rather than guidance</w:t>
      </w:r>
      <w:r w:rsidR="008A29B9">
        <w:rPr>
          <w:rFonts w:cs="Times New Roman"/>
          <w:color w:val="000000" w:themeColor="text1"/>
          <w:shd w:val="clear" w:color="auto" w:fill="FFFFFF"/>
        </w:rPr>
        <w:t xml:space="preserve">. </w:t>
      </w:r>
      <w:r w:rsidR="00282577">
        <w:rPr>
          <w:rFonts w:cs="Times New Roman"/>
          <w:color w:val="000000" w:themeColor="text1"/>
          <w:shd w:val="clear" w:color="auto" w:fill="FFFFFF"/>
        </w:rPr>
        <w:t xml:space="preserve">This early warning indicated a disjuncture between </w:t>
      </w:r>
      <w:r w:rsidR="008E7026">
        <w:rPr>
          <w:rFonts w:cs="Times New Roman"/>
          <w:color w:val="000000" w:themeColor="text1"/>
          <w:shd w:val="clear" w:color="auto" w:fill="FFFFFF"/>
        </w:rPr>
        <w:t>domestic and WA rules</w:t>
      </w:r>
      <w:r w:rsidR="00C270C0">
        <w:rPr>
          <w:rFonts w:cs="Times New Roman"/>
          <w:color w:val="000000" w:themeColor="text1"/>
          <w:shd w:val="clear" w:color="auto" w:fill="FFFFFF"/>
        </w:rPr>
        <w:t xml:space="preserve"> when applied to citizens’ </w:t>
      </w:r>
      <w:proofErr w:type="gramStart"/>
      <w:r w:rsidR="00C270C0">
        <w:rPr>
          <w:rFonts w:cs="Times New Roman"/>
          <w:color w:val="000000" w:themeColor="text1"/>
          <w:shd w:val="clear" w:color="auto" w:fill="FFFFFF"/>
        </w:rPr>
        <w:t>rights</w:t>
      </w:r>
      <w:r>
        <w:rPr>
          <w:rFonts w:cs="Times New Roman"/>
          <w:color w:val="000000" w:themeColor="text1"/>
          <w:shd w:val="clear" w:color="auto" w:fill="FFFFFF"/>
        </w:rPr>
        <w:t>, and</w:t>
      </w:r>
      <w:proofErr w:type="gramEnd"/>
      <w:r>
        <w:rPr>
          <w:rFonts w:cs="Times New Roman"/>
          <w:color w:val="000000" w:themeColor="text1"/>
          <w:shd w:val="clear" w:color="auto" w:fill="FFFFFF"/>
        </w:rPr>
        <w:t xml:space="preserve"> </w:t>
      </w:r>
      <w:r w:rsidR="007124FB">
        <w:rPr>
          <w:rFonts w:cs="Times New Roman"/>
          <w:color w:val="000000" w:themeColor="text1"/>
          <w:shd w:val="clear" w:color="auto" w:fill="FFFFFF"/>
        </w:rPr>
        <w:t xml:space="preserve">highlighted </w:t>
      </w:r>
      <w:r>
        <w:rPr>
          <w:rFonts w:cs="Times New Roman"/>
          <w:color w:val="000000" w:themeColor="text1"/>
          <w:shd w:val="clear" w:color="auto" w:fill="FFFFFF"/>
        </w:rPr>
        <w:t xml:space="preserve">the </w:t>
      </w:r>
      <w:r w:rsidR="007124FB">
        <w:rPr>
          <w:rFonts w:cs="Times New Roman"/>
          <w:color w:val="000000" w:themeColor="text1"/>
          <w:shd w:val="clear" w:color="auto" w:fill="FFFFFF"/>
        </w:rPr>
        <w:t xml:space="preserve">seemingly irresistible </w:t>
      </w:r>
      <w:r>
        <w:rPr>
          <w:rFonts w:cs="Times New Roman"/>
          <w:color w:val="000000" w:themeColor="text1"/>
          <w:shd w:val="clear" w:color="auto" w:fill="FFFFFF"/>
        </w:rPr>
        <w:t xml:space="preserve">force inclining the UK government towards rights-restriction – a tendency that makes the severing of the EUSS and WA residence and equal treatment rights particularly risky.  </w:t>
      </w:r>
    </w:p>
    <w:p w14:paraId="2A0A8954" w14:textId="6A40C4BB" w:rsidR="00590597" w:rsidRDefault="00590597" w:rsidP="00DE7F71">
      <w:pPr>
        <w:spacing w:after="120"/>
      </w:pPr>
      <w:r>
        <w:rPr>
          <w:rFonts w:cs="Times New Roman"/>
          <w:color w:val="000000" w:themeColor="text1"/>
          <w:shd w:val="clear" w:color="auto" w:fill="FFFFFF"/>
        </w:rPr>
        <w:t xml:space="preserve">Following the </w:t>
      </w:r>
      <w:r>
        <w:rPr>
          <w:rFonts w:cs="Times New Roman"/>
          <w:i/>
          <w:iCs/>
          <w:color w:val="000000" w:themeColor="text1"/>
          <w:shd w:val="clear" w:color="auto" w:fill="FFFFFF"/>
        </w:rPr>
        <w:t xml:space="preserve">AT </w:t>
      </w:r>
      <w:r>
        <w:rPr>
          <w:rFonts w:cs="Times New Roman"/>
          <w:color w:val="000000" w:themeColor="text1"/>
          <w:shd w:val="clear" w:color="auto" w:fill="FFFFFF"/>
        </w:rPr>
        <w:t xml:space="preserve">litigation, in which the Court of Appeal of England and Wales confirmed that </w:t>
      </w:r>
      <w:r>
        <w:t>the Charter must continue to apply in the UK ‘insofar as it can attach to rights brought into domestic law via the implementation of the Withdrawal Agreement’,</w:t>
      </w:r>
      <w:r>
        <w:rPr>
          <w:rStyle w:val="FootnoteReference"/>
        </w:rPr>
        <w:footnoteReference w:id="59"/>
      </w:r>
      <w:r>
        <w:t xml:space="preserve"> the UK government introduced decision maker guidance that resurrected the (UK version of the) Article 10 WA scope test to ascertain who could benefit from Charter protections.</w:t>
      </w:r>
      <w:r>
        <w:rPr>
          <w:rStyle w:val="FootnoteReference"/>
        </w:rPr>
        <w:footnoteReference w:id="60"/>
      </w:r>
      <w:r>
        <w:t xml:space="preserve"> Questions about an EU citizens’ activities on 31</w:t>
      </w:r>
      <w:r w:rsidRPr="00454A90">
        <w:rPr>
          <w:vertAlign w:val="superscript"/>
        </w:rPr>
        <w:t>st</w:t>
      </w:r>
      <w:r>
        <w:t xml:space="preserve"> December 2020 were back on the table. On this approach, only those with evidence of economic activity</w:t>
      </w:r>
      <w:r w:rsidR="00772C8C">
        <w:t xml:space="preserve"> </w:t>
      </w:r>
      <w:r>
        <w:t xml:space="preserve">on that </w:t>
      </w:r>
      <w:r w:rsidRPr="0075542A">
        <w:t>specific date</w:t>
      </w:r>
      <w:r w:rsidR="00772C8C" w:rsidRPr="0075542A">
        <w:t>, or who happened to time their arrival to the UK within 3 months before 31</w:t>
      </w:r>
      <w:r w:rsidR="005274E0" w:rsidRPr="0075542A">
        <w:rPr>
          <w:vertAlign w:val="superscript"/>
        </w:rPr>
        <w:t>st</w:t>
      </w:r>
      <w:r w:rsidR="005274E0" w:rsidRPr="0075542A">
        <w:t xml:space="preserve"> </w:t>
      </w:r>
      <w:r w:rsidR="00772C8C" w:rsidRPr="0075542A">
        <w:t>December 2020,</w:t>
      </w:r>
      <w:r w:rsidRPr="0075542A">
        <w:t xml:space="preserve"> were entitled to live in dignified circumstances.</w:t>
      </w:r>
      <w:r w:rsidR="007124FB">
        <w:t xml:space="preserve"> </w:t>
      </w:r>
    </w:p>
    <w:p w14:paraId="229629FC" w14:textId="05395771" w:rsidR="00590597" w:rsidRPr="00590597" w:rsidRDefault="00590597" w:rsidP="00DE7F71">
      <w:pPr>
        <w:spacing w:after="120"/>
      </w:pPr>
      <w:r>
        <w:t xml:space="preserve">It was only in March 2025, that the new UK government was prompted to </w:t>
      </w:r>
      <w:r w:rsidR="009F4719">
        <w:t>address</w:t>
      </w:r>
      <w:r>
        <w:t xml:space="preserve"> this issue by tabling an </w:t>
      </w:r>
      <w:r>
        <w:rPr>
          <w:rFonts w:cs="Times New Roman"/>
        </w:rPr>
        <w:t>amendment to the Border Security Asylum and Immigration Bill seeking to remedy the personal scope disjuncture between the EUSS and the WA,</w:t>
      </w:r>
      <w:r>
        <w:rPr>
          <w:rStyle w:val="FootnoteReference"/>
          <w:rFonts w:cs="Times New Roman"/>
        </w:rPr>
        <w:footnoteReference w:id="61"/>
      </w:r>
      <w:r>
        <w:rPr>
          <w:rFonts w:cs="Times New Roman"/>
        </w:rPr>
        <w:t xml:space="preserve"> essentially by </w:t>
      </w:r>
      <w:r>
        <w:rPr>
          <w:rFonts w:cs="Times New Roman"/>
        </w:rPr>
        <w:lastRenderedPageBreak/>
        <w:t xml:space="preserve">requiring that all those with EUSS status </w:t>
      </w:r>
      <w:r w:rsidR="007124FB">
        <w:rPr>
          <w:rFonts w:cs="Times New Roman"/>
        </w:rPr>
        <w:t xml:space="preserve">be </w:t>
      </w:r>
      <w:r>
        <w:rPr>
          <w:rFonts w:cs="Times New Roman"/>
        </w:rPr>
        <w:t>treated as falling within Article 10, and the broad personal scope of the WA, so making them entitled to Charter protection</w:t>
      </w:r>
      <w:r w:rsidR="008A4961">
        <w:rPr>
          <w:rFonts w:cs="Times New Roman"/>
        </w:rPr>
        <w:t xml:space="preserve">; </w:t>
      </w:r>
      <w:r w:rsidR="008A4961" w:rsidRPr="0075542A">
        <w:rPr>
          <w:rFonts w:cs="Times New Roman"/>
        </w:rPr>
        <w:t xml:space="preserve">notwithstanding the </w:t>
      </w:r>
      <w:r w:rsidR="000E13D4" w:rsidRPr="0075542A">
        <w:rPr>
          <w:rFonts w:cs="Times New Roman"/>
          <w:color w:val="000000" w:themeColor="text1"/>
          <w:shd w:val="clear" w:color="auto" w:fill="FFFFFF"/>
        </w:rPr>
        <w:t>plethora of practical and legal limitations of relying on the Charter.</w:t>
      </w:r>
      <w:r w:rsidR="000E13D4" w:rsidRPr="0075542A">
        <w:rPr>
          <w:rStyle w:val="FootnoteReference"/>
          <w:rFonts w:cs="Times New Roman"/>
          <w:color w:val="000000" w:themeColor="text1"/>
          <w:shd w:val="clear" w:color="auto" w:fill="FFFFFF"/>
        </w:rPr>
        <w:footnoteReference w:id="62"/>
      </w:r>
      <w:r w:rsidR="000E13D4">
        <w:rPr>
          <w:rFonts w:cs="Times New Roman"/>
          <w:color w:val="000000" w:themeColor="text1"/>
          <w:shd w:val="clear" w:color="auto" w:fill="FFFFFF"/>
        </w:rPr>
        <w:t xml:space="preserve"> </w:t>
      </w:r>
      <w:r>
        <w:rPr>
          <w:rFonts w:cs="Times New Roman"/>
        </w:rPr>
        <w:t xml:space="preserve">The amendment is not without its issues </w:t>
      </w:r>
      <w:r w:rsidRPr="00720C62">
        <w:t>—</w:t>
      </w:r>
      <w:r>
        <w:t xml:space="preserve"> notably its authorisation of retrospective checks to ensure that the EU citizen ‘in fact met’ the conditions of the EUSS</w:t>
      </w:r>
      <w:r>
        <w:rPr>
          <w:rStyle w:val="FootnoteReference"/>
        </w:rPr>
        <w:footnoteReference w:id="63"/>
      </w:r>
      <w:r>
        <w:t xml:space="preserve"> and were resident in fact </w:t>
      </w:r>
      <w:r w:rsidRPr="00D52B6B">
        <w:t>‘immediately before the end of the implementation period’</w:t>
      </w:r>
      <w:r>
        <w:rPr>
          <w:rStyle w:val="FootnoteReference"/>
        </w:rPr>
        <w:footnoteReference w:id="64"/>
      </w:r>
      <w:r>
        <w:t xml:space="preserve"> </w:t>
      </w:r>
      <w:r w:rsidRPr="00720C62">
        <w:t>—</w:t>
      </w:r>
      <w:r>
        <w:t xml:space="preserve"> but it does attempt to restore </w:t>
      </w:r>
      <w:r w:rsidR="007124FB">
        <w:t>some</w:t>
      </w:r>
      <w:r>
        <w:t xml:space="preserve"> connection between the WA and the domestic implementation. </w:t>
      </w:r>
      <w:r w:rsidR="00260DCB">
        <w:t xml:space="preserve">In </w:t>
      </w:r>
      <w:r w:rsidR="007124FB">
        <w:t xml:space="preserve">so </w:t>
      </w:r>
      <w:r w:rsidR="00260DCB">
        <w:t>doing, it implicit</w:t>
      </w:r>
      <w:r w:rsidR="007124FB">
        <w:t>ly recognises</w:t>
      </w:r>
      <w:r w:rsidR="00260DCB">
        <w:t xml:space="preserve"> that clarity of international legal rights is important, and that reliance upon the Withdrawal Agreement as well as domestic law is, or could be, consequential. </w:t>
      </w:r>
    </w:p>
    <w:p w14:paraId="35EC7AA9" w14:textId="745DA399" w:rsidR="00590597" w:rsidRDefault="00260DCB" w:rsidP="00DE7F71">
      <w:pPr>
        <w:rPr>
          <w:rFonts w:cs="Times New Roman"/>
          <w:color w:val="000000" w:themeColor="text1"/>
          <w:shd w:val="clear" w:color="auto" w:fill="FFFFFF"/>
        </w:rPr>
      </w:pPr>
      <w:r>
        <w:rPr>
          <w:rFonts w:cs="Times New Roman"/>
          <w:color w:val="000000" w:themeColor="text1"/>
          <w:shd w:val="clear" w:color="auto" w:fill="FFFFFF"/>
        </w:rPr>
        <w:t xml:space="preserve">The amendment’s </w:t>
      </w:r>
      <w:r w:rsidR="00590597">
        <w:rPr>
          <w:rFonts w:cs="Times New Roman"/>
          <w:color w:val="000000" w:themeColor="text1"/>
          <w:shd w:val="clear" w:color="auto" w:fill="FFFFFF"/>
        </w:rPr>
        <w:t>elaborate domestic workaround</w:t>
      </w:r>
      <w:r>
        <w:rPr>
          <w:rFonts w:cs="Times New Roman"/>
          <w:color w:val="000000" w:themeColor="text1"/>
          <w:shd w:val="clear" w:color="auto" w:fill="FFFFFF"/>
        </w:rPr>
        <w:t xml:space="preserve"> still skirts the key issue – the one that could yet lead to another Windrush – that of the </w:t>
      </w:r>
      <w:r w:rsidRPr="00260DCB">
        <w:rPr>
          <w:rFonts w:cs="Times New Roman"/>
          <w:i/>
          <w:iCs/>
          <w:color w:val="000000" w:themeColor="text1"/>
          <w:shd w:val="clear" w:color="auto" w:fill="FFFFFF"/>
        </w:rPr>
        <w:t xml:space="preserve">international legal right to reside </w:t>
      </w:r>
      <w:r>
        <w:rPr>
          <w:rFonts w:cs="Times New Roman"/>
          <w:color w:val="000000" w:themeColor="text1"/>
          <w:shd w:val="clear" w:color="auto" w:fill="FFFFFF"/>
        </w:rPr>
        <w:t xml:space="preserve">in the UK. It does not link </w:t>
      </w:r>
      <w:r w:rsidR="00590597">
        <w:rPr>
          <w:rFonts w:cs="Times New Roman"/>
          <w:color w:val="000000" w:themeColor="text1"/>
          <w:shd w:val="clear" w:color="auto" w:fill="FFFFFF"/>
        </w:rPr>
        <w:t xml:space="preserve">the award of EUSS status to </w:t>
      </w:r>
      <w:r>
        <w:rPr>
          <w:rFonts w:cs="Times New Roman"/>
          <w:color w:val="000000" w:themeColor="text1"/>
          <w:shd w:val="clear" w:color="auto" w:fill="FFFFFF"/>
        </w:rPr>
        <w:t>Withdrawal Agreement residence status, meaning that questions</w:t>
      </w:r>
      <w:r w:rsidR="00590597">
        <w:rPr>
          <w:rFonts w:cs="Times New Roman"/>
          <w:color w:val="000000" w:themeColor="text1"/>
          <w:shd w:val="clear" w:color="auto" w:fill="FFFFFF"/>
        </w:rPr>
        <w:t xml:space="preserve"> of equal treatment and non-discrimination</w:t>
      </w:r>
      <w:r>
        <w:rPr>
          <w:rFonts w:cs="Times New Roman"/>
          <w:color w:val="000000" w:themeColor="text1"/>
          <w:shd w:val="clear" w:color="auto" w:fill="FFFFFF"/>
        </w:rPr>
        <w:t xml:space="preserve"> are still </w:t>
      </w:r>
      <w:r w:rsidR="00590597">
        <w:rPr>
          <w:rFonts w:cs="Times New Roman"/>
          <w:color w:val="000000" w:themeColor="text1"/>
          <w:shd w:val="clear" w:color="auto" w:fill="FFFFFF"/>
        </w:rPr>
        <w:t xml:space="preserve">left to domestic rules. </w:t>
      </w:r>
    </w:p>
    <w:p w14:paraId="373E72C5" w14:textId="77777777" w:rsidR="00260DCB" w:rsidRPr="00260DCB" w:rsidRDefault="00260DCB" w:rsidP="00260DCB">
      <w:pPr>
        <w:ind w:firstLine="720"/>
        <w:rPr>
          <w:rFonts w:cs="Times New Roman"/>
          <w:color w:val="000000" w:themeColor="text1"/>
          <w:shd w:val="clear" w:color="auto" w:fill="FFFFFF"/>
        </w:rPr>
      </w:pPr>
    </w:p>
    <w:p w14:paraId="6FDF21EC" w14:textId="74BB48D8" w:rsidR="00590597" w:rsidRPr="00260DCB" w:rsidRDefault="00590597" w:rsidP="00590597">
      <w:pPr>
        <w:rPr>
          <w:rFonts w:cs="Times New Roman"/>
          <w:b/>
          <w:bCs/>
        </w:rPr>
      </w:pPr>
      <w:r w:rsidRPr="00260DCB">
        <w:rPr>
          <w:rFonts w:cs="Times New Roman"/>
          <w:b/>
          <w:bCs/>
        </w:rPr>
        <w:t>A hammer to crack a tiny, and rapidly diminishing, nut</w:t>
      </w:r>
    </w:p>
    <w:p w14:paraId="4208DE5D" w14:textId="2FD6BA9B" w:rsidR="00F850C0" w:rsidRDefault="00260DCB" w:rsidP="00DE7F71">
      <w:pPr>
        <w:spacing w:after="120"/>
        <w:rPr>
          <w:rFonts w:cs="Times New Roman"/>
          <w:color w:val="000000" w:themeColor="text1"/>
          <w:shd w:val="clear" w:color="auto" w:fill="FFFFFF"/>
        </w:rPr>
      </w:pPr>
      <w:r>
        <w:rPr>
          <w:rFonts w:cs="Times New Roman"/>
        </w:rPr>
        <w:t>Why? Why has the UK government insisted on not treating either EUSS settled or pre-settled status as a Withdrawal Agreement residence right?</w:t>
      </w:r>
      <w:r w:rsidR="00C476C3">
        <w:rPr>
          <w:rFonts w:cs="Times New Roman"/>
        </w:rPr>
        <w:t xml:space="preserve"> The answer lies partly in the litigation</w:t>
      </w:r>
      <w:r w:rsidR="000622F2">
        <w:rPr>
          <w:rStyle w:val="FootnoteReference"/>
          <w:rFonts w:cs="Times New Roman"/>
          <w:color w:val="000000" w:themeColor="text1"/>
          <w:shd w:val="clear" w:color="auto" w:fill="FFFFFF"/>
        </w:rPr>
        <w:footnoteReference w:id="65"/>
      </w:r>
      <w:r w:rsidR="00C476C3">
        <w:rPr>
          <w:rFonts w:cs="Times New Roman"/>
        </w:rPr>
        <w:t xml:space="preserve"> </w:t>
      </w:r>
      <w:r w:rsidR="00C476C3">
        <w:rPr>
          <w:rFonts w:cs="Times New Roman"/>
        </w:rPr>
        <w:lastRenderedPageBreak/>
        <w:t xml:space="preserve">surrounding the regulations excluding pre-settled status as a relevant right to reside for claiming benefits. </w:t>
      </w:r>
      <w:r w:rsidR="000622F2">
        <w:rPr>
          <w:rFonts w:cs="Times New Roman"/>
        </w:rPr>
        <w:t xml:space="preserve">In short, the </w:t>
      </w:r>
      <w:r w:rsidR="00FE21C4">
        <w:rPr>
          <w:rFonts w:cs="Times New Roman"/>
          <w:color w:val="000000" w:themeColor="text1"/>
          <w:shd w:val="clear" w:color="auto" w:fill="FFFFFF"/>
        </w:rPr>
        <w:t>UK</w:t>
      </w:r>
      <w:r w:rsidR="000622F2">
        <w:rPr>
          <w:rFonts w:cs="Times New Roman"/>
          <w:color w:val="000000" w:themeColor="text1"/>
          <w:shd w:val="clear" w:color="auto" w:fill="FFFFFF"/>
        </w:rPr>
        <w:t xml:space="preserve"> has taken a firm line that</w:t>
      </w:r>
      <w:r w:rsidR="00FE21C4">
        <w:rPr>
          <w:rFonts w:cs="Times New Roman"/>
          <w:color w:val="000000" w:themeColor="text1"/>
          <w:shd w:val="clear" w:color="auto" w:fill="FFFFFF"/>
        </w:rPr>
        <w:t xml:space="preserve"> that those with pre-settled status were not necessarily entitled to equal treatment under EU rules.</w:t>
      </w:r>
      <w:r w:rsidR="000622F2">
        <w:rPr>
          <w:rFonts w:cs="Times New Roman"/>
          <w:color w:val="000000" w:themeColor="text1"/>
          <w:shd w:val="clear" w:color="auto" w:fill="FFFFFF"/>
        </w:rPr>
        <w:t xml:space="preserve"> To benefit from Article 24, Directive 2004/38, we have repeatedly been told, one must be residing </w:t>
      </w:r>
      <w:proofErr w:type="gramStart"/>
      <w:r w:rsidR="000622F2">
        <w:rPr>
          <w:rFonts w:cs="Times New Roman"/>
          <w:color w:val="000000" w:themeColor="text1"/>
          <w:shd w:val="clear" w:color="auto" w:fill="FFFFFF"/>
        </w:rPr>
        <w:t>on the basis of</w:t>
      </w:r>
      <w:proofErr w:type="gramEnd"/>
      <w:r w:rsidR="000622F2">
        <w:rPr>
          <w:rFonts w:cs="Times New Roman"/>
          <w:color w:val="000000" w:themeColor="text1"/>
          <w:shd w:val="clear" w:color="auto" w:fill="FFFFFF"/>
        </w:rPr>
        <w:t xml:space="preserve"> Directive 2004/38. That Directive forms part of a scheme of declaratory law – you must meet the actual conditions within it. However, to rely upon the Withdrawal Agreement based right to equal treatment in the context of benefits Article 23 WA, one must instead reside ‘on the basis of this Agreement’. </w:t>
      </w:r>
      <w:r w:rsidR="00C0457D">
        <w:rPr>
          <w:rFonts w:cs="Times New Roman"/>
          <w:color w:val="000000" w:themeColor="text1"/>
          <w:shd w:val="clear" w:color="auto" w:fill="FFFFFF"/>
        </w:rPr>
        <w:t xml:space="preserve"> </w:t>
      </w:r>
      <w:r w:rsidR="000622F2">
        <w:rPr>
          <w:rFonts w:cs="Times New Roman"/>
          <w:color w:val="000000" w:themeColor="text1"/>
          <w:shd w:val="clear" w:color="auto" w:fill="FFFFFF"/>
        </w:rPr>
        <w:t xml:space="preserve">The fear is, it seems, that if the UK concedes that EUSS pre-settled status </w:t>
      </w:r>
      <w:r w:rsidR="000622F2">
        <w:rPr>
          <w:rFonts w:cs="Times New Roman"/>
          <w:i/>
          <w:iCs/>
          <w:color w:val="000000" w:themeColor="text1"/>
          <w:shd w:val="clear" w:color="auto" w:fill="FFFFFF"/>
        </w:rPr>
        <w:t>is</w:t>
      </w:r>
      <w:r w:rsidR="000622F2">
        <w:rPr>
          <w:rFonts w:cs="Times New Roman"/>
          <w:color w:val="000000" w:themeColor="text1"/>
          <w:shd w:val="clear" w:color="auto" w:fill="FFFFFF"/>
        </w:rPr>
        <w:t xml:space="preserve"> </w:t>
      </w:r>
      <w:r w:rsidR="007124FB">
        <w:rPr>
          <w:rFonts w:cs="Times New Roman"/>
          <w:color w:val="000000" w:themeColor="text1"/>
          <w:shd w:val="clear" w:color="auto" w:fill="FFFFFF"/>
        </w:rPr>
        <w:t xml:space="preserve">equivalent to </w:t>
      </w:r>
      <w:r w:rsidR="000622F2">
        <w:rPr>
          <w:rFonts w:cs="Times New Roman"/>
          <w:color w:val="000000" w:themeColor="text1"/>
          <w:shd w:val="clear" w:color="auto" w:fill="FFFFFF"/>
        </w:rPr>
        <w:t>Article 13 temporary residence</w:t>
      </w:r>
      <w:r w:rsidR="00F850C0">
        <w:rPr>
          <w:rFonts w:cs="Times New Roman"/>
          <w:color w:val="000000" w:themeColor="text1"/>
          <w:shd w:val="clear" w:color="auto" w:fill="FFFFFF"/>
        </w:rPr>
        <w:t>,</w:t>
      </w:r>
      <w:r w:rsidR="00F30E0A">
        <w:rPr>
          <w:rFonts w:cs="Times New Roman"/>
          <w:color w:val="000000" w:themeColor="text1"/>
          <w:shd w:val="clear" w:color="auto" w:fill="FFFFFF"/>
        </w:rPr>
        <w:t xml:space="preserve"> then pre-settled status holders would be entitled to equal treatment with UK nationals, by virtue of that status alone, and could not also be required to e.g. be in work. </w:t>
      </w:r>
    </w:p>
    <w:p w14:paraId="31995CB5" w14:textId="7BDCAB6A" w:rsidR="002A74D6" w:rsidRPr="00F850C0" w:rsidRDefault="00E307F2" w:rsidP="00DE7F71">
      <w:pPr>
        <w:spacing w:after="120"/>
        <w:rPr>
          <w:rFonts w:cs="Times New Roman"/>
          <w:color w:val="000000" w:themeColor="text1"/>
          <w:shd w:val="clear" w:color="auto" w:fill="FFFFFF"/>
        </w:rPr>
      </w:pPr>
      <w:r>
        <w:rPr>
          <w:rFonts w:cs="Times New Roman"/>
        </w:rPr>
        <w:t xml:space="preserve">The </w:t>
      </w:r>
      <w:r w:rsidR="007B5AF6">
        <w:rPr>
          <w:rFonts w:cs="Times New Roman"/>
        </w:rPr>
        <w:t>question of whether pre-settled status and settled status,</w:t>
      </w:r>
      <w:r w:rsidR="007766F8">
        <w:rPr>
          <w:rFonts w:cs="Times New Roman"/>
        </w:rPr>
        <w:t xml:space="preserve"> are</w:t>
      </w:r>
      <w:r w:rsidR="007B5AF6">
        <w:rPr>
          <w:rFonts w:cs="Times New Roman"/>
        </w:rPr>
        <w:t xml:space="preserve"> equivalent to residing on the basis of Article 13 and 15 WA </w:t>
      </w:r>
      <w:r w:rsidR="00F850C0">
        <w:rPr>
          <w:rFonts w:cs="Times New Roman"/>
        </w:rPr>
        <w:t xml:space="preserve">respectively, </w:t>
      </w:r>
      <w:r w:rsidR="00D558EC">
        <w:rPr>
          <w:rFonts w:cs="Times New Roman"/>
        </w:rPr>
        <w:t>has recently come before</w:t>
      </w:r>
      <w:r w:rsidR="00A65B42">
        <w:rPr>
          <w:rFonts w:cs="Times New Roman"/>
        </w:rPr>
        <w:t xml:space="preserve"> UK courts</w:t>
      </w:r>
      <w:r w:rsidR="008E1E20">
        <w:rPr>
          <w:rFonts w:cs="Times New Roman"/>
        </w:rPr>
        <w:t xml:space="preserve"> in </w:t>
      </w:r>
      <w:r w:rsidR="008E1E20" w:rsidRPr="00383BDB">
        <w:rPr>
          <w:rFonts w:cs="Times New Roman"/>
          <w:i/>
          <w:iCs/>
        </w:rPr>
        <w:t>C v Oldham</w:t>
      </w:r>
      <w:r w:rsidR="005E2D62">
        <w:rPr>
          <w:rFonts w:cs="Times New Roman"/>
        </w:rPr>
        <w:t>,</w:t>
      </w:r>
      <w:r w:rsidR="008E1E20">
        <w:rPr>
          <w:rStyle w:val="FootnoteReference"/>
          <w:rFonts w:cs="Times New Roman"/>
        </w:rPr>
        <w:footnoteReference w:id="66"/>
      </w:r>
      <w:r w:rsidR="008E1E20" w:rsidRPr="00EE6B23">
        <w:rPr>
          <w:rFonts w:cs="Times New Roman"/>
        </w:rPr>
        <w:t xml:space="preserve">  </w:t>
      </w:r>
      <w:r w:rsidR="008E1E20" w:rsidRPr="00F850C0">
        <w:rPr>
          <w:rFonts w:cs="Times New Roman"/>
          <w:i/>
          <w:iCs/>
        </w:rPr>
        <w:t>Hynek v Islington</w:t>
      </w:r>
      <w:r w:rsidR="005E2D62">
        <w:rPr>
          <w:rFonts w:cs="Times New Roman"/>
        </w:rPr>
        <w:t>,</w:t>
      </w:r>
      <w:r w:rsidR="008E1E20">
        <w:rPr>
          <w:rStyle w:val="FootnoteReference"/>
          <w:rFonts w:cs="Times New Roman"/>
        </w:rPr>
        <w:footnoteReference w:id="67"/>
      </w:r>
      <w:r w:rsidR="008E1E20" w:rsidRPr="00EE6B23">
        <w:rPr>
          <w:rFonts w:cs="Times New Roman"/>
        </w:rPr>
        <w:t xml:space="preserve"> </w:t>
      </w:r>
      <w:r w:rsidR="00F850C0">
        <w:rPr>
          <w:rFonts w:cs="Times New Roman"/>
        </w:rPr>
        <w:t xml:space="preserve"> and</w:t>
      </w:r>
      <w:r w:rsidR="008E1E20" w:rsidRPr="00EE6B23">
        <w:rPr>
          <w:rFonts w:cs="Times New Roman"/>
        </w:rPr>
        <w:t xml:space="preserve"> </w:t>
      </w:r>
      <w:proofErr w:type="spellStart"/>
      <w:r w:rsidR="008E1E20" w:rsidRPr="00F850C0">
        <w:rPr>
          <w:rFonts w:cs="Times New Roman"/>
          <w:i/>
          <w:iCs/>
        </w:rPr>
        <w:t>Fertré</w:t>
      </w:r>
      <w:proofErr w:type="spellEnd"/>
      <w:r w:rsidR="008E1E20" w:rsidRPr="00F850C0">
        <w:rPr>
          <w:rFonts w:cs="Times New Roman"/>
          <w:i/>
          <w:iCs/>
        </w:rPr>
        <w:t xml:space="preserve"> v Vale of White Horse District Council</w:t>
      </w:r>
      <w:r w:rsidR="008E1E20">
        <w:rPr>
          <w:rFonts w:cs="Times New Roman"/>
        </w:rPr>
        <w:t>.</w:t>
      </w:r>
      <w:r w:rsidR="008E1E20">
        <w:rPr>
          <w:rStyle w:val="FootnoteReference"/>
          <w:rFonts w:cs="Times New Roman"/>
        </w:rPr>
        <w:footnoteReference w:id="68"/>
      </w:r>
      <w:r w:rsidR="00AA10AD">
        <w:rPr>
          <w:rFonts w:cs="Times New Roman"/>
        </w:rPr>
        <w:t xml:space="preserve"> </w:t>
      </w:r>
      <w:r w:rsidR="002A74D6">
        <w:rPr>
          <w:rFonts w:cs="Times New Roman"/>
        </w:rPr>
        <w:t>Each of these involve</w:t>
      </w:r>
      <w:r w:rsidR="00F850C0">
        <w:rPr>
          <w:rFonts w:cs="Times New Roman"/>
        </w:rPr>
        <w:t>d</w:t>
      </w:r>
      <w:r w:rsidR="002A74D6" w:rsidRPr="00EE6B23">
        <w:rPr>
          <w:rFonts w:cs="Times New Roman"/>
        </w:rPr>
        <w:t xml:space="preserve"> someone with pre-settled status, but who d</w:t>
      </w:r>
      <w:r w:rsidR="00F850C0">
        <w:rPr>
          <w:rFonts w:cs="Times New Roman"/>
        </w:rPr>
        <w:t>id</w:t>
      </w:r>
      <w:r w:rsidR="002A74D6" w:rsidRPr="00EE6B23">
        <w:rPr>
          <w:rFonts w:cs="Times New Roman"/>
        </w:rPr>
        <w:t xml:space="preserve"> not meet the conditions set out in Article 13</w:t>
      </w:r>
      <w:r w:rsidR="002A74D6">
        <w:rPr>
          <w:rFonts w:cs="Times New Roman"/>
        </w:rPr>
        <w:t>(1)</w:t>
      </w:r>
      <w:r w:rsidR="002A74D6" w:rsidRPr="00EE6B23">
        <w:rPr>
          <w:rFonts w:cs="Times New Roman"/>
        </w:rPr>
        <w:t xml:space="preserve"> of the WA, </w:t>
      </w:r>
      <w:r w:rsidR="009C00E0">
        <w:rPr>
          <w:rFonts w:cs="Times New Roman"/>
        </w:rPr>
        <w:t xml:space="preserve">who </w:t>
      </w:r>
      <w:r w:rsidR="00F850C0">
        <w:rPr>
          <w:rFonts w:cs="Times New Roman"/>
        </w:rPr>
        <w:t>then</w:t>
      </w:r>
      <w:r w:rsidR="002A74D6" w:rsidRPr="00EE6B23">
        <w:rPr>
          <w:rFonts w:cs="Times New Roman"/>
        </w:rPr>
        <w:t xml:space="preserve"> sought access to social assistance or housing assistance. At this point, the UK authorities (local authorities in each of the cases, but also the (then) Department for Levelling Up, Housing and Communities in </w:t>
      </w:r>
      <w:proofErr w:type="spellStart"/>
      <w:r w:rsidR="002A74D6" w:rsidRPr="00F850C0">
        <w:rPr>
          <w:rFonts w:cs="Times New Roman"/>
          <w:i/>
          <w:iCs/>
        </w:rPr>
        <w:t>Fertré</w:t>
      </w:r>
      <w:proofErr w:type="spellEnd"/>
      <w:r w:rsidR="002A74D6" w:rsidRPr="00EE6B23">
        <w:rPr>
          <w:rFonts w:cs="Times New Roman"/>
        </w:rPr>
        <w:t xml:space="preserve">) have argued that having PSS alone is not evidence of residing </w:t>
      </w:r>
      <w:proofErr w:type="gramStart"/>
      <w:r w:rsidR="002A74D6" w:rsidRPr="00EE6B23">
        <w:rPr>
          <w:rFonts w:cs="Times New Roman"/>
        </w:rPr>
        <w:t>on the basis of</w:t>
      </w:r>
      <w:proofErr w:type="gramEnd"/>
      <w:r w:rsidR="002A74D6" w:rsidRPr="00EE6B23">
        <w:rPr>
          <w:rFonts w:cs="Times New Roman"/>
        </w:rPr>
        <w:t xml:space="preserve"> the WA – so is not evidence of having WA rights, including equal treatment. The EUSS, so this argument goes, is a purely domestic right, because it was awarded without reference to the conditions which the WA permitted the UK to </w:t>
      </w:r>
      <w:r w:rsidR="002A74D6" w:rsidRPr="00EE6B23">
        <w:rPr>
          <w:rFonts w:cs="Times New Roman"/>
        </w:rPr>
        <w:lastRenderedPageBreak/>
        <w:t xml:space="preserve">impose. </w:t>
      </w:r>
      <w:r w:rsidR="002A74D6">
        <w:rPr>
          <w:rFonts w:cs="Times New Roman"/>
        </w:rPr>
        <w:t xml:space="preserve">And the UK retains the right to implement those stricter conditions when they choose </w:t>
      </w:r>
      <w:r w:rsidR="002A74D6" w:rsidRPr="0070518F">
        <w:rPr>
          <w:rFonts w:cs="Times New Roman"/>
        </w:rPr>
        <w:t>—</w:t>
      </w:r>
      <w:r w:rsidR="002A74D6">
        <w:rPr>
          <w:rFonts w:cs="Times New Roman"/>
        </w:rPr>
        <w:t xml:space="preserve"> in this case when deciding whether to award access to social assistance and housing. </w:t>
      </w:r>
    </w:p>
    <w:p w14:paraId="55C7276C" w14:textId="7994B8AA" w:rsidR="00F850C0" w:rsidRDefault="00F04827" w:rsidP="00DE7F71">
      <w:pPr>
        <w:tabs>
          <w:tab w:val="left" w:pos="5234"/>
        </w:tabs>
        <w:rPr>
          <w:rFonts w:cs="Times New Roman"/>
        </w:rPr>
      </w:pPr>
      <w:r w:rsidRPr="00EE6B23">
        <w:rPr>
          <w:rFonts w:cs="Times New Roman"/>
        </w:rPr>
        <w:t xml:space="preserve">This argument uses a gigantic hammer to break a miniscule </w:t>
      </w:r>
      <w:r w:rsidR="00F850C0">
        <w:rPr>
          <w:rFonts w:cs="Times New Roman"/>
        </w:rPr>
        <w:t xml:space="preserve">(and vanishing) </w:t>
      </w:r>
      <w:r w:rsidRPr="00EE6B23">
        <w:rPr>
          <w:rFonts w:cs="Times New Roman"/>
        </w:rPr>
        <w:t xml:space="preserve">nut. It severs the link between the EUSS and the </w:t>
      </w:r>
      <w:proofErr w:type="gramStart"/>
      <w:r w:rsidRPr="00EE6B23">
        <w:rPr>
          <w:rFonts w:cs="Times New Roman"/>
        </w:rPr>
        <w:t>WA, and</w:t>
      </w:r>
      <w:proofErr w:type="gramEnd"/>
      <w:r w:rsidRPr="00EE6B23">
        <w:rPr>
          <w:rFonts w:cs="Times New Roman"/>
        </w:rPr>
        <w:t xml:space="preserve"> means that having EUSS status is not enough for anyone to show they are entitled to WA rights. This appears to be the result of a desire to prevent a small</w:t>
      </w:r>
      <w:r w:rsidR="0099731B">
        <w:rPr>
          <w:rFonts w:cs="Times New Roman"/>
        </w:rPr>
        <w:t xml:space="preserve"> </w:t>
      </w:r>
      <w:r w:rsidRPr="00EE6B23">
        <w:rPr>
          <w:rFonts w:cs="Times New Roman"/>
        </w:rPr>
        <w:t>number of people with pre-settled status – those who apply for benefits or hous</w:t>
      </w:r>
      <w:r>
        <w:rPr>
          <w:rFonts w:cs="Times New Roman"/>
        </w:rPr>
        <w:t>ing</w:t>
      </w:r>
      <w:r w:rsidRPr="00EE6B23">
        <w:rPr>
          <w:rFonts w:cs="Times New Roman"/>
        </w:rPr>
        <w:t xml:space="preserve"> and do not have another right to reside (under the legacy pre-Brexit EEA regulations),</w:t>
      </w:r>
      <w:r w:rsidR="00585E15">
        <w:rPr>
          <w:rStyle w:val="FootnoteReference"/>
          <w:rFonts w:cs="Times New Roman"/>
        </w:rPr>
        <w:footnoteReference w:id="69"/>
      </w:r>
      <w:r w:rsidRPr="00EE6B23">
        <w:rPr>
          <w:rFonts w:cs="Times New Roman"/>
        </w:rPr>
        <w:t xml:space="preserve"> who are a minority of a shrinking minority</w:t>
      </w:r>
      <w:r w:rsidR="00F30A47">
        <w:rPr>
          <w:rStyle w:val="FootnoteReference"/>
          <w:rFonts w:cs="Times New Roman"/>
        </w:rPr>
        <w:footnoteReference w:id="70"/>
      </w:r>
      <w:r w:rsidRPr="00EE6B23">
        <w:rPr>
          <w:rFonts w:cs="Times New Roman"/>
        </w:rPr>
        <w:t xml:space="preserve"> and disproportionately more likely to be vulnerable – temporarily accessing some benefits</w:t>
      </w:r>
      <w:r w:rsidRPr="00E25BF4">
        <w:rPr>
          <w:rFonts w:cs="Times New Roman"/>
        </w:rPr>
        <w:t xml:space="preserve">.  </w:t>
      </w:r>
      <w:proofErr w:type="gramStart"/>
      <w:r w:rsidR="005E2D62">
        <w:rPr>
          <w:rFonts w:cs="Times New Roman"/>
        </w:rPr>
        <w:t>In order to</w:t>
      </w:r>
      <w:proofErr w:type="gramEnd"/>
      <w:r w:rsidR="005E2D62">
        <w:rPr>
          <w:rFonts w:cs="Times New Roman"/>
        </w:rPr>
        <w:t xml:space="preserve"> do so, t</w:t>
      </w:r>
      <w:r w:rsidR="00CF04D8">
        <w:rPr>
          <w:rFonts w:cs="Times New Roman"/>
        </w:rPr>
        <w:t xml:space="preserve">his approach </w:t>
      </w:r>
      <w:r w:rsidR="00C87B43">
        <w:rPr>
          <w:rFonts w:cs="Times New Roman"/>
        </w:rPr>
        <w:t xml:space="preserve">completely cuts the EUSS loose from the </w:t>
      </w:r>
      <w:r w:rsidR="00EC0ECB">
        <w:rPr>
          <w:rFonts w:cs="Times New Roman"/>
        </w:rPr>
        <w:t xml:space="preserve">WA. By arguing that those with pre-settled status </w:t>
      </w:r>
      <w:r w:rsidR="00D90F67">
        <w:rPr>
          <w:rFonts w:cs="Times New Roman"/>
        </w:rPr>
        <w:t xml:space="preserve">are not automatically residing </w:t>
      </w:r>
      <w:proofErr w:type="gramStart"/>
      <w:r w:rsidR="00D90F67">
        <w:rPr>
          <w:rFonts w:cs="Times New Roman"/>
        </w:rPr>
        <w:t>on the basis of</w:t>
      </w:r>
      <w:proofErr w:type="gramEnd"/>
      <w:r w:rsidR="00D90F67">
        <w:rPr>
          <w:rFonts w:cs="Times New Roman"/>
        </w:rPr>
        <w:t xml:space="preserve"> the WA and therefore </w:t>
      </w:r>
      <w:r w:rsidR="00EC0ECB">
        <w:rPr>
          <w:rFonts w:cs="Times New Roman"/>
        </w:rPr>
        <w:t>cannot access substantive rights</w:t>
      </w:r>
      <w:r w:rsidR="00D90F67">
        <w:rPr>
          <w:rFonts w:cs="Times New Roman"/>
        </w:rPr>
        <w:t xml:space="preserve">, it puts into doubt </w:t>
      </w:r>
      <w:r w:rsidR="0039385F">
        <w:rPr>
          <w:rFonts w:cs="Times New Roman"/>
        </w:rPr>
        <w:t>the security of all 6 million</w:t>
      </w:r>
      <w:r w:rsidR="00F850C0">
        <w:rPr>
          <w:rFonts w:cs="Times New Roman"/>
        </w:rPr>
        <w:t>+</w:t>
      </w:r>
      <w:r w:rsidR="0039385F">
        <w:rPr>
          <w:rFonts w:cs="Times New Roman"/>
        </w:rPr>
        <w:t xml:space="preserve"> EUSS status holders. </w:t>
      </w:r>
      <w:r w:rsidR="00F850C0">
        <w:rPr>
          <w:rFonts w:cs="Times New Roman"/>
        </w:rPr>
        <w:t xml:space="preserve">It disconnects not only pre-settled status from Article 13 </w:t>
      </w:r>
      <w:proofErr w:type="gramStart"/>
      <w:r w:rsidR="00F850C0">
        <w:rPr>
          <w:rFonts w:cs="Times New Roman"/>
        </w:rPr>
        <w:t>WA, but</w:t>
      </w:r>
      <w:proofErr w:type="gramEnd"/>
      <w:r w:rsidR="00F850C0">
        <w:rPr>
          <w:rFonts w:cs="Times New Roman"/>
        </w:rPr>
        <w:t xml:space="preserve"> also settled status from Article 15 WA; EUSS settled status holders have not been assessed </w:t>
      </w:r>
      <w:r w:rsidR="005E2D62">
        <w:rPr>
          <w:rFonts w:cs="Times New Roman"/>
        </w:rPr>
        <w:t>as to whether they meet</w:t>
      </w:r>
      <w:r w:rsidR="00F850C0">
        <w:rPr>
          <w:rFonts w:cs="Times New Roman"/>
        </w:rPr>
        <w:t xml:space="preserve"> the conditions permitted by Article 15 (but not imposed by the UK). And those who had pre-settled status, then upgraded to settled status, may now be found to meet </w:t>
      </w:r>
      <w:r w:rsidR="005E2D62">
        <w:rPr>
          <w:rFonts w:cs="Times New Roman"/>
        </w:rPr>
        <w:t>Article 15 WA</w:t>
      </w:r>
      <w:r w:rsidR="00F850C0">
        <w:rPr>
          <w:rFonts w:cs="Times New Roman"/>
        </w:rPr>
        <w:t xml:space="preserve"> conditions, </w:t>
      </w:r>
      <w:r w:rsidR="005E2D62">
        <w:rPr>
          <w:rFonts w:cs="Times New Roman"/>
        </w:rPr>
        <w:t xml:space="preserve">but </w:t>
      </w:r>
      <w:r w:rsidR="00F850C0">
        <w:rPr>
          <w:rFonts w:cs="Times New Roman"/>
        </w:rPr>
        <w:t xml:space="preserve">would still have to show they met the conditions of Article 13 WA at the point of holding pre-settled status. Because if they did not, they fell out of scope of the WA residence provisions, and regardless of since exercising a ‘right to reside’ there is currently no provision for ‘falling back in’ scope. </w:t>
      </w:r>
    </w:p>
    <w:p w14:paraId="6E479A42" w14:textId="67FD83F2" w:rsidR="00961188" w:rsidRPr="00961188" w:rsidRDefault="00F04827" w:rsidP="00F850C0">
      <w:pPr>
        <w:tabs>
          <w:tab w:val="left" w:pos="5234"/>
        </w:tabs>
        <w:rPr>
          <w:rFonts w:cs="Times New Roman"/>
        </w:rPr>
      </w:pPr>
      <w:r>
        <w:rPr>
          <w:rFonts w:cs="Times New Roman"/>
        </w:rPr>
        <w:t xml:space="preserve"> </w:t>
      </w:r>
    </w:p>
    <w:p w14:paraId="28C170C0" w14:textId="789B3FA1" w:rsidR="00DF37F1" w:rsidRDefault="002519DD" w:rsidP="006E29A3">
      <w:pPr>
        <w:pStyle w:val="Heading2"/>
      </w:pPr>
      <w:r>
        <w:lastRenderedPageBreak/>
        <w:t>I</w:t>
      </w:r>
      <w:r w:rsidR="00961188">
        <w:t>s</w:t>
      </w:r>
      <w:r>
        <w:t xml:space="preserve"> </w:t>
      </w:r>
      <w:r w:rsidR="005E2D62">
        <w:t>p</w:t>
      </w:r>
      <w:r>
        <w:t xml:space="preserve">re-settled status equivalent to residing </w:t>
      </w:r>
      <w:proofErr w:type="gramStart"/>
      <w:r>
        <w:t>on the basis of</w:t>
      </w:r>
      <w:proofErr w:type="gramEnd"/>
      <w:r>
        <w:t xml:space="preserve"> Article 13 WA?</w:t>
      </w:r>
    </w:p>
    <w:p w14:paraId="3183D645" w14:textId="5C31A3DB" w:rsidR="001E1349" w:rsidRDefault="005E2D62" w:rsidP="00DE7F71">
      <w:pPr>
        <w:tabs>
          <w:tab w:val="left" w:pos="5234"/>
        </w:tabs>
        <w:rPr>
          <w:rFonts w:cs="Times New Roman"/>
        </w:rPr>
      </w:pPr>
      <w:r>
        <w:rPr>
          <w:rFonts w:cs="Times New Roman"/>
        </w:rPr>
        <w:t>By</w:t>
      </w:r>
      <w:r w:rsidR="0020619B">
        <w:rPr>
          <w:rFonts w:cs="Times New Roman"/>
        </w:rPr>
        <w:t xml:space="preserve"> introducing the EUSS</w:t>
      </w:r>
      <w:r w:rsidR="001E4782">
        <w:rPr>
          <w:rFonts w:cs="Times New Roman"/>
        </w:rPr>
        <w:t xml:space="preserve">, </w:t>
      </w:r>
      <w:r>
        <w:rPr>
          <w:rFonts w:cs="Times New Roman"/>
        </w:rPr>
        <w:t xml:space="preserve">the UK </w:t>
      </w:r>
      <w:r w:rsidR="00F82F56">
        <w:rPr>
          <w:rFonts w:cs="Times New Roman"/>
        </w:rPr>
        <w:t>exercise</w:t>
      </w:r>
      <w:r>
        <w:rPr>
          <w:rFonts w:cs="Times New Roman"/>
        </w:rPr>
        <w:t>d</w:t>
      </w:r>
      <w:r w:rsidR="00F82F56">
        <w:rPr>
          <w:rFonts w:cs="Times New Roman"/>
        </w:rPr>
        <w:t xml:space="preserve"> the power in Article 18(1) of the WA</w:t>
      </w:r>
      <w:r>
        <w:rPr>
          <w:rFonts w:cs="Times New Roman"/>
        </w:rPr>
        <w:t xml:space="preserve"> to create a constitutive scheme</w:t>
      </w:r>
      <w:r w:rsidR="004E092F">
        <w:rPr>
          <w:rFonts w:cs="Times New Roman"/>
        </w:rPr>
        <w:t>.</w:t>
      </w:r>
      <w:r w:rsidR="004E092F">
        <w:rPr>
          <w:rStyle w:val="FootnoteReference"/>
          <w:rFonts w:cs="Times New Roman"/>
        </w:rPr>
        <w:footnoteReference w:id="71"/>
      </w:r>
      <w:r w:rsidR="004E092F">
        <w:rPr>
          <w:rFonts w:cs="Times New Roman"/>
        </w:rPr>
        <w:t xml:space="preserve"> In doing so it has </w:t>
      </w:r>
      <w:r w:rsidR="001E4782">
        <w:rPr>
          <w:rFonts w:cs="Times New Roman"/>
        </w:rPr>
        <w:t>awarded</w:t>
      </w:r>
      <w:r w:rsidR="00B37704">
        <w:rPr>
          <w:rFonts w:cs="Times New Roman"/>
        </w:rPr>
        <w:t xml:space="preserve"> those </w:t>
      </w:r>
      <w:r w:rsidR="00360519">
        <w:rPr>
          <w:rFonts w:cs="Times New Roman"/>
        </w:rPr>
        <w:t xml:space="preserve">‘who reside in its territory in accordance with the conditions set out’ in the WA </w:t>
      </w:r>
      <w:r w:rsidR="00900EED">
        <w:rPr>
          <w:rFonts w:cs="Times New Roman"/>
        </w:rPr>
        <w:t>‘</w:t>
      </w:r>
      <w:r w:rsidR="001E4782">
        <w:rPr>
          <w:rFonts w:cs="Times New Roman"/>
        </w:rPr>
        <w:t xml:space="preserve">a </w:t>
      </w:r>
      <w:r w:rsidR="00900EED">
        <w:rPr>
          <w:rFonts w:cs="Times New Roman"/>
        </w:rPr>
        <w:t xml:space="preserve">new residence </w:t>
      </w:r>
      <w:r w:rsidR="001E4782">
        <w:rPr>
          <w:rFonts w:cs="Times New Roman"/>
        </w:rPr>
        <w:t>status</w:t>
      </w:r>
      <w:r w:rsidR="00242C01">
        <w:rPr>
          <w:rFonts w:cs="Times New Roman"/>
        </w:rPr>
        <w:t xml:space="preserve"> </w:t>
      </w:r>
      <w:r w:rsidR="00242C01" w:rsidRPr="00900EED">
        <w:rPr>
          <w:rFonts w:cs="Times New Roman"/>
          <w:i/>
          <w:iCs/>
        </w:rPr>
        <w:t>which</w:t>
      </w:r>
      <w:r w:rsidR="00900EED" w:rsidRPr="00900EED">
        <w:rPr>
          <w:rFonts w:cs="Times New Roman"/>
          <w:i/>
          <w:iCs/>
        </w:rPr>
        <w:t xml:space="preserve"> confers the rights</w:t>
      </w:r>
      <w:r w:rsidR="00900EED">
        <w:rPr>
          <w:rFonts w:cs="Times New Roman"/>
        </w:rPr>
        <w:t xml:space="preserve"> under this Title’.</w:t>
      </w:r>
      <w:r w:rsidR="00274A26">
        <w:rPr>
          <w:rStyle w:val="FootnoteReference"/>
          <w:rFonts w:cs="Times New Roman"/>
        </w:rPr>
        <w:footnoteReference w:id="72"/>
      </w:r>
      <w:r w:rsidR="00900EED">
        <w:rPr>
          <w:rFonts w:cs="Times New Roman"/>
        </w:rPr>
        <w:t xml:space="preserve"> </w:t>
      </w:r>
      <w:r w:rsidR="00F07A7C">
        <w:rPr>
          <w:rFonts w:cs="Times New Roman"/>
        </w:rPr>
        <w:t>The purpose of an application is to ‘</w:t>
      </w:r>
      <w:r w:rsidR="00F07A7C" w:rsidRPr="00086F84">
        <w:rPr>
          <w:rFonts w:cs="Times New Roman"/>
          <w:i/>
          <w:iCs/>
        </w:rPr>
        <w:t>verify</w:t>
      </w:r>
      <w:r w:rsidR="00F07A7C">
        <w:rPr>
          <w:rFonts w:cs="Times New Roman"/>
        </w:rPr>
        <w:t xml:space="preserve"> whether the applicant is entitled to the residence rights set out’ (emphasis added) in the agreement and it is only ‘where that is the case’ that they will be granted a residence status.</w:t>
      </w:r>
      <w:r w:rsidR="00773AAD">
        <w:rPr>
          <w:rStyle w:val="FootnoteReference"/>
          <w:rFonts w:cs="Times New Roman"/>
        </w:rPr>
        <w:footnoteReference w:id="73"/>
      </w:r>
      <w:r w:rsidR="00F07A7C">
        <w:rPr>
          <w:rFonts w:cs="Times New Roman"/>
        </w:rPr>
        <w:t xml:space="preserve"> </w:t>
      </w:r>
      <w:r w:rsidR="00637D5E">
        <w:rPr>
          <w:rFonts w:cs="Times New Roman"/>
        </w:rPr>
        <w:t xml:space="preserve">Both </w:t>
      </w:r>
      <w:r w:rsidR="005B6BA7">
        <w:rPr>
          <w:rFonts w:cs="Times New Roman"/>
        </w:rPr>
        <w:t xml:space="preserve">EUSS </w:t>
      </w:r>
      <w:r w:rsidR="007366A0">
        <w:rPr>
          <w:rFonts w:cs="Times New Roman"/>
        </w:rPr>
        <w:t xml:space="preserve">statuses, </w:t>
      </w:r>
      <w:r w:rsidR="00637D5E">
        <w:rPr>
          <w:rFonts w:cs="Times New Roman"/>
        </w:rPr>
        <w:t>pre-settled and settled</w:t>
      </w:r>
      <w:r w:rsidR="007366A0">
        <w:rPr>
          <w:rFonts w:cs="Times New Roman"/>
        </w:rPr>
        <w:t xml:space="preserve">, were </w:t>
      </w:r>
      <w:r w:rsidR="005B6BA7">
        <w:rPr>
          <w:rFonts w:cs="Times New Roman"/>
        </w:rPr>
        <w:t>granted</w:t>
      </w:r>
      <w:r w:rsidR="007366A0">
        <w:rPr>
          <w:rFonts w:cs="Times New Roman"/>
        </w:rPr>
        <w:t xml:space="preserve"> </w:t>
      </w:r>
      <w:r w:rsidR="00637D5E">
        <w:rPr>
          <w:rFonts w:cs="Times New Roman"/>
        </w:rPr>
        <w:t xml:space="preserve">without any investigation into whether the </w:t>
      </w:r>
      <w:r w:rsidR="007C2CEB">
        <w:rPr>
          <w:rFonts w:cs="Times New Roman"/>
        </w:rPr>
        <w:t xml:space="preserve">limitations and </w:t>
      </w:r>
      <w:r w:rsidR="00637D5E">
        <w:rPr>
          <w:rFonts w:cs="Times New Roman"/>
        </w:rPr>
        <w:t xml:space="preserve">conditions </w:t>
      </w:r>
      <w:r w:rsidR="007C2CEB">
        <w:rPr>
          <w:rFonts w:cs="Times New Roman"/>
        </w:rPr>
        <w:t>in</w:t>
      </w:r>
      <w:r w:rsidR="00637D5E">
        <w:rPr>
          <w:rFonts w:cs="Times New Roman"/>
        </w:rPr>
        <w:t xml:space="preserve"> Article 13(1)</w:t>
      </w:r>
      <w:r w:rsidR="007C2CEB">
        <w:rPr>
          <w:rFonts w:cs="Times New Roman"/>
        </w:rPr>
        <w:t xml:space="preserve"> or 15 WA</w:t>
      </w:r>
      <w:r w:rsidR="00637D5E">
        <w:rPr>
          <w:rFonts w:cs="Times New Roman"/>
        </w:rPr>
        <w:t xml:space="preserve"> </w:t>
      </w:r>
      <w:r w:rsidR="004F6A7E">
        <w:rPr>
          <w:rFonts w:cs="Times New Roman"/>
        </w:rPr>
        <w:t>we</w:t>
      </w:r>
      <w:r w:rsidR="00637D5E">
        <w:rPr>
          <w:rFonts w:cs="Times New Roman"/>
        </w:rPr>
        <w:t xml:space="preserve">re met. </w:t>
      </w:r>
      <w:r w:rsidR="00415FA6">
        <w:rPr>
          <w:rFonts w:cs="Times New Roman"/>
        </w:rPr>
        <w:t>Article 13(4)</w:t>
      </w:r>
      <w:r w:rsidR="00FD4A4F">
        <w:rPr>
          <w:rFonts w:cs="Times New Roman"/>
        </w:rPr>
        <w:t xml:space="preserve"> </w:t>
      </w:r>
      <w:r>
        <w:rPr>
          <w:rFonts w:cs="Times New Roman"/>
        </w:rPr>
        <w:t xml:space="preserve">binds </w:t>
      </w:r>
      <w:r w:rsidR="00322A4E">
        <w:rPr>
          <w:rFonts w:cs="Times New Roman"/>
        </w:rPr>
        <w:t xml:space="preserve">pre-settled status to the </w:t>
      </w:r>
      <w:r w:rsidR="004F6A7E">
        <w:rPr>
          <w:rFonts w:cs="Times New Roman"/>
        </w:rPr>
        <w:t>W</w:t>
      </w:r>
      <w:r w:rsidR="00322A4E">
        <w:rPr>
          <w:rFonts w:cs="Times New Roman"/>
        </w:rPr>
        <w:t xml:space="preserve">ithdrawal </w:t>
      </w:r>
      <w:r w:rsidR="004F6A7E">
        <w:rPr>
          <w:rFonts w:cs="Times New Roman"/>
        </w:rPr>
        <w:t>A</w:t>
      </w:r>
      <w:r w:rsidR="00322A4E">
        <w:rPr>
          <w:rFonts w:cs="Times New Roman"/>
        </w:rPr>
        <w:t xml:space="preserve">greement. </w:t>
      </w:r>
      <w:r w:rsidR="001C447E">
        <w:rPr>
          <w:rFonts w:cs="Times New Roman"/>
        </w:rPr>
        <w:t>This Article</w:t>
      </w:r>
      <w:r w:rsidR="00322A4E">
        <w:rPr>
          <w:rFonts w:cs="Times New Roman"/>
        </w:rPr>
        <w:t xml:space="preserve"> states that</w:t>
      </w:r>
      <w:r w:rsidR="001E1349">
        <w:rPr>
          <w:rFonts w:cs="Times New Roman"/>
        </w:rPr>
        <w:t>:</w:t>
      </w:r>
    </w:p>
    <w:p w14:paraId="433A2C15" w14:textId="38A4EEB0" w:rsidR="001E1349" w:rsidRPr="001E1349" w:rsidRDefault="001E1349" w:rsidP="00DE7F71">
      <w:pPr>
        <w:tabs>
          <w:tab w:val="left" w:pos="5234"/>
        </w:tabs>
        <w:spacing w:after="120"/>
        <w:ind w:left="720"/>
        <w:rPr>
          <w:rFonts w:cs="Times New Roman"/>
          <w:i/>
          <w:iCs/>
        </w:rPr>
      </w:pPr>
      <w:r w:rsidRPr="001E1349">
        <w:rPr>
          <w:rFonts w:cs="Times New Roman"/>
          <w:i/>
          <w:iCs/>
        </w:rPr>
        <w:t>‘The host State may not impose any limitations or conditions for obtaining, retaining or losing residence rights on the persons referred to in paragraphs 1, 2 and 3, other than those provided for in this Title. There shall be no discretion in applying the limitations and conditions provided for in this Title, other than in favour of the person concerned.’</w:t>
      </w:r>
    </w:p>
    <w:p w14:paraId="0A18DD1D" w14:textId="011CC904" w:rsidR="004E11DD" w:rsidRDefault="001C447E" w:rsidP="00DE7F71">
      <w:pPr>
        <w:tabs>
          <w:tab w:val="left" w:pos="5234"/>
        </w:tabs>
        <w:spacing w:after="120"/>
        <w:rPr>
          <w:rFonts w:cs="Times New Roman"/>
        </w:rPr>
      </w:pPr>
      <w:r>
        <w:rPr>
          <w:rFonts w:cs="Times New Roman"/>
        </w:rPr>
        <w:t xml:space="preserve">This precludes States from introducing </w:t>
      </w:r>
      <w:r w:rsidR="00625D21">
        <w:rPr>
          <w:rFonts w:cs="Times New Roman"/>
        </w:rPr>
        <w:t>new</w:t>
      </w:r>
      <w:r>
        <w:rPr>
          <w:rFonts w:cs="Times New Roman"/>
        </w:rPr>
        <w:t xml:space="preserve"> and</w:t>
      </w:r>
      <w:r w:rsidR="00625D21">
        <w:rPr>
          <w:rFonts w:cs="Times New Roman"/>
        </w:rPr>
        <w:t xml:space="preserve"> additional limitations and conditions to residence rights. However, the second </w:t>
      </w:r>
      <w:r w:rsidR="005E2D62">
        <w:rPr>
          <w:rFonts w:cs="Times New Roman"/>
        </w:rPr>
        <w:t>sentence</w:t>
      </w:r>
      <w:r w:rsidR="00625D21">
        <w:rPr>
          <w:rFonts w:cs="Times New Roman"/>
        </w:rPr>
        <w:t xml:space="preserve"> indicates </w:t>
      </w:r>
      <w:r w:rsidR="004F6A7E">
        <w:rPr>
          <w:rFonts w:cs="Times New Roman"/>
        </w:rPr>
        <w:t xml:space="preserve">that the UK has </w:t>
      </w:r>
      <w:r w:rsidR="001631D1">
        <w:rPr>
          <w:rFonts w:cs="Times New Roman"/>
        </w:rPr>
        <w:t xml:space="preserve">discretion </w:t>
      </w:r>
      <w:r w:rsidR="004F6A7E">
        <w:rPr>
          <w:rFonts w:cs="Times New Roman"/>
        </w:rPr>
        <w:t xml:space="preserve">to apply more </w:t>
      </w:r>
      <w:r w:rsidR="001631D1">
        <w:rPr>
          <w:rFonts w:cs="Times New Roman"/>
        </w:rPr>
        <w:t xml:space="preserve">advantageous </w:t>
      </w:r>
      <w:r w:rsidR="004F6A7E">
        <w:rPr>
          <w:rFonts w:cs="Times New Roman"/>
        </w:rPr>
        <w:t xml:space="preserve">conditions </w:t>
      </w:r>
      <w:r w:rsidR="001631D1">
        <w:rPr>
          <w:rFonts w:cs="Times New Roman"/>
        </w:rPr>
        <w:t xml:space="preserve">for the </w:t>
      </w:r>
      <w:r w:rsidR="002F4019">
        <w:rPr>
          <w:rFonts w:cs="Times New Roman"/>
        </w:rPr>
        <w:t>EU citizen</w:t>
      </w:r>
      <w:r w:rsidR="004F6A7E">
        <w:rPr>
          <w:rFonts w:cs="Times New Roman"/>
        </w:rPr>
        <w:t>s</w:t>
      </w:r>
      <w:r w:rsidR="002F4019">
        <w:rPr>
          <w:rFonts w:cs="Times New Roman"/>
        </w:rPr>
        <w:t xml:space="preserve"> concerned. </w:t>
      </w:r>
      <w:r>
        <w:rPr>
          <w:rFonts w:cs="Times New Roman"/>
        </w:rPr>
        <w:t xml:space="preserve"> </w:t>
      </w:r>
      <w:r w:rsidR="004F6A7E">
        <w:rPr>
          <w:rFonts w:cs="Times New Roman"/>
        </w:rPr>
        <w:t>This would include a</w:t>
      </w:r>
      <w:r w:rsidR="00635EA0">
        <w:rPr>
          <w:rFonts w:cs="Times New Roman"/>
        </w:rPr>
        <w:t xml:space="preserve"> discretion to ignore the limitations and conditions </w:t>
      </w:r>
      <w:r w:rsidR="004F6A7E">
        <w:rPr>
          <w:rFonts w:cs="Times New Roman"/>
        </w:rPr>
        <w:t xml:space="preserve">permitted </w:t>
      </w:r>
      <w:r w:rsidR="00635EA0">
        <w:rPr>
          <w:rFonts w:cs="Times New Roman"/>
        </w:rPr>
        <w:t>in Article 13(1)</w:t>
      </w:r>
      <w:r w:rsidR="001E1349">
        <w:rPr>
          <w:rFonts w:cs="Times New Roman"/>
        </w:rPr>
        <w:t xml:space="preserve">. </w:t>
      </w:r>
      <w:r w:rsidR="00883855">
        <w:rPr>
          <w:rFonts w:cs="Times New Roman"/>
        </w:rPr>
        <w:t>I</w:t>
      </w:r>
      <w:r w:rsidR="004F6A7E">
        <w:rPr>
          <w:rFonts w:cs="Times New Roman"/>
        </w:rPr>
        <w:t xml:space="preserve">n the High Court judgment of </w:t>
      </w:r>
      <w:proofErr w:type="spellStart"/>
      <w:r w:rsidR="004F6A7E" w:rsidRPr="009960AE">
        <w:rPr>
          <w:rFonts w:cs="Times New Roman"/>
          <w:i/>
          <w:iCs/>
        </w:rPr>
        <w:t>Fertré</w:t>
      </w:r>
      <w:proofErr w:type="spellEnd"/>
      <w:r w:rsidR="004F6A7E">
        <w:rPr>
          <w:rFonts w:cs="Times New Roman"/>
        </w:rPr>
        <w:t>,</w:t>
      </w:r>
      <w:r w:rsidR="00883855">
        <w:rPr>
          <w:rFonts w:cs="Times New Roman"/>
        </w:rPr>
        <w:t xml:space="preserve"> Jay J </w:t>
      </w:r>
      <w:r w:rsidR="004F6A7E">
        <w:rPr>
          <w:rFonts w:cs="Times New Roman"/>
        </w:rPr>
        <w:t>found that</w:t>
      </w:r>
      <w:r w:rsidR="0006029D">
        <w:rPr>
          <w:rFonts w:cs="Times New Roman"/>
        </w:rPr>
        <w:t xml:space="preserve"> </w:t>
      </w:r>
      <w:r w:rsidR="00052D5F">
        <w:rPr>
          <w:rFonts w:cs="Times New Roman"/>
        </w:rPr>
        <w:t>the UK had exercised</w:t>
      </w:r>
      <w:r w:rsidR="0006029D">
        <w:rPr>
          <w:rFonts w:cs="Times New Roman"/>
        </w:rPr>
        <w:t xml:space="preserve"> </w:t>
      </w:r>
      <w:r w:rsidR="004F6A7E">
        <w:rPr>
          <w:rFonts w:cs="Times New Roman"/>
        </w:rPr>
        <w:t xml:space="preserve">this discretion </w:t>
      </w:r>
      <w:r w:rsidR="0006029D" w:rsidRPr="003C1365">
        <w:rPr>
          <w:rFonts w:cs="Times New Roman"/>
        </w:rPr>
        <w:t>when</w:t>
      </w:r>
      <w:r w:rsidR="0006029D">
        <w:rPr>
          <w:rFonts w:cs="Times New Roman"/>
        </w:rPr>
        <w:t xml:space="preserve"> grant</w:t>
      </w:r>
      <w:r w:rsidR="004F6A7E">
        <w:rPr>
          <w:rFonts w:cs="Times New Roman"/>
        </w:rPr>
        <w:t>ing</w:t>
      </w:r>
      <w:r w:rsidR="0006029D">
        <w:rPr>
          <w:rFonts w:cs="Times New Roman"/>
        </w:rPr>
        <w:t xml:space="preserve"> </w:t>
      </w:r>
      <w:r w:rsidR="00E61A92">
        <w:rPr>
          <w:rFonts w:cs="Times New Roman"/>
        </w:rPr>
        <w:t>pre-settled status</w:t>
      </w:r>
      <w:r w:rsidR="0006029D" w:rsidRPr="003C1365">
        <w:rPr>
          <w:rFonts w:cs="Times New Roman"/>
        </w:rPr>
        <w:t xml:space="preserve"> to a person who did not meet the conditions of Article</w:t>
      </w:r>
      <w:r w:rsidR="007A0122">
        <w:rPr>
          <w:rFonts w:cs="Times New Roman"/>
        </w:rPr>
        <w:t>s</w:t>
      </w:r>
      <w:r w:rsidR="0006029D" w:rsidRPr="003C1365">
        <w:rPr>
          <w:rFonts w:cs="Times New Roman"/>
        </w:rPr>
        <w:t xml:space="preserve"> 13 or 15 WA</w:t>
      </w:r>
      <w:r w:rsidR="0006029D">
        <w:rPr>
          <w:rFonts w:cs="Times New Roman"/>
        </w:rPr>
        <w:t>.</w:t>
      </w:r>
      <w:r w:rsidR="0006029D">
        <w:rPr>
          <w:rStyle w:val="FootnoteReference"/>
          <w:rFonts w:cs="Times New Roman"/>
        </w:rPr>
        <w:footnoteReference w:id="74"/>
      </w:r>
      <w:r w:rsidR="00893886">
        <w:rPr>
          <w:rFonts w:cs="Times New Roman"/>
        </w:rPr>
        <w:t xml:space="preserve"> </w:t>
      </w:r>
    </w:p>
    <w:p w14:paraId="2E0C06E6" w14:textId="55C1D3B5" w:rsidR="00E73E73" w:rsidRDefault="00BA03AE" w:rsidP="00DE7F71">
      <w:pPr>
        <w:tabs>
          <w:tab w:val="left" w:pos="5234"/>
        </w:tabs>
        <w:rPr>
          <w:rFonts w:cs="Times New Roman"/>
        </w:rPr>
      </w:pPr>
      <w:r w:rsidRPr="00EE6B23">
        <w:rPr>
          <w:rFonts w:cs="Times New Roman"/>
        </w:rPr>
        <w:lastRenderedPageBreak/>
        <w:t xml:space="preserve">The UK government meanwhile has argued in favour of ‘stasis’ – that </w:t>
      </w:r>
      <w:r w:rsidR="004F6A7E">
        <w:rPr>
          <w:rFonts w:cs="Times New Roman"/>
        </w:rPr>
        <w:t xml:space="preserve">it intended for </w:t>
      </w:r>
      <w:r w:rsidRPr="00EE6B23">
        <w:rPr>
          <w:rFonts w:cs="Times New Roman"/>
        </w:rPr>
        <w:t>the same rules that applied before Brexit to apply afterwards</w:t>
      </w:r>
      <w:r w:rsidR="004F6A7E">
        <w:rPr>
          <w:rFonts w:cs="Times New Roman"/>
        </w:rPr>
        <w:t xml:space="preserve"> – regardless, it seems, of the actual legal effects of the choices it has made</w:t>
      </w:r>
      <w:r w:rsidRPr="00EE6B23">
        <w:rPr>
          <w:rFonts w:cs="Times New Roman"/>
        </w:rPr>
        <w:t xml:space="preserve">. </w:t>
      </w:r>
      <w:r>
        <w:rPr>
          <w:rFonts w:cs="Times New Roman"/>
        </w:rPr>
        <w:t>In th</w:t>
      </w:r>
      <w:r w:rsidR="004F6A7E">
        <w:rPr>
          <w:rFonts w:cs="Times New Roman"/>
        </w:rPr>
        <w:t>is</w:t>
      </w:r>
      <w:r>
        <w:rPr>
          <w:rFonts w:cs="Times New Roman"/>
        </w:rPr>
        <w:t xml:space="preserve"> view, </w:t>
      </w:r>
      <w:r w:rsidR="005E2D62">
        <w:rPr>
          <w:rFonts w:cs="Times New Roman"/>
        </w:rPr>
        <w:t xml:space="preserve">having </w:t>
      </w:r>
      <w:r>
        <w:rPr>
          <w:rFonts w:cs="Times New Roman"/>
        </w:rPr>
        <w:t xml:space="preserve">EUSS status </w:t>
      </w:r>
      <w:r w:rsidR="004F6A7E">
        <w:rPr>
          <w:rFonts w:cs="Times New Roman"/>
        </w:rPr>
        <w:t xml:space="preserve">only means it is </w:t>
      </w:r>
      <w:r w:rsidR="004F6A7E" w:rsidRPr="005E2D62">
        <w:rPr>
          <w:rFonts w:cs="Times New Roman"/>
          <w:i/>
          <w:iCs/>
        </w:rPr>
        <w:t>possible</w:t>
      </w:r>
      <w:r w:rsidR="004F6A7E">
        <w:rPr>
          <w:rFonts w:cs="Times New Roman"/>
        </w:rPr>
        <w:t xml:space="preserve"> that</w:t>
      </w:r>
      <w:r w:rsidR="007A46A2">
        <w:rPr>
          <w:rFonts w:cs="Times New Roman"/>
        </w:rPr>
        <w:t xml:space="preserve"> </w:t>
      </w:r>
      <w:r w:rsidR="005E2D62">
        <w:rPr>
          <w:rFonts w:cs="Times New Roman"/>
        </w:rPr>
        <w:t xml:space="preserve">an </w:t>
      </w:r>
      <w:r w:rsidR="007A46A2">
        <w:rPr>
          <w:rFonts w:cs="Times New Roman"/>
        </w:rPr>
        <w:t xml:space="preserve">EU citizen </w:t>
      </w:r>
      <w:r w:rsidR="004F6A7E">
        <w:rPr>
          <w:rFonts w:cs="Times New Roman"/>
        </w:rPr>
        <w:t>ha</w:t>
      </w:r>
      <w:r w:rsidR="005E2D62">
        <w:rPr>
          <w:rFonts w:cs="Times New Roman"/>
        </w:rPr>
        <w:t>s</w:t>
      </w:r>
      <w:r w:rsidR="004F6A7E">
        <w:rPr>
          <w:rFonts w:cs="Times New Roman"/>
        </w:rPr>
        <w:t xml:space="preserve"> a</w:t>
      </w:r>
      <w:r w:rsidR="007A46A2">
        <w:rPr>
          <w:rFonts w:cs="Times New Roman"/>
        </w:rPr>
        <w:t xml:space="preserve"> right to reside </w:t>
      </w:r>
      <w:proofErr w:type="gramStart"/>
      <w:r w:rsidR="007A46A2">
        <w:rPr>
          <w:rFonts w:cs="Times New Roman"/>
        </w:rPr>
        <w:t>on the basis of</w:t>
      </w:r>
      <w:proofErr w:type="gramEnd"/>
      <w:r w:rsidR="007A46A2">
        <w:rPr>
          <w:rFonts w:cs="Times New Roman"/>
        </w:rPr>
        <w:t xml:space="preserve"> the WA. </w:t>
      </w:r>
      <w:r w:rsidR="00064863">
        <w:rPr>
          <w:rFonts w:cs="Times New Roman"/>
        </w:rPr>
        <w:t xml:space="preserve">Jay J </w:t>
      </w:r>
      <w:r w:rsidR="009960AE">
        <w:rPr>
          <w:rFonts w:cs="Times New Roman"/>
        </w:rPr>
        <w:t xml:space="preserve">appeared to agree with this approach in </w:t>
      </w:r>
      <w:proofErr w:type="spellStart"/>
      <w:r w:rsidR="009960AE" w:rsidRPr="009960AE">
        <w:rPr>
          <w:rFonts w:cs="Times New Roman"/>
          <w:i/>
          <w:iCs/>
        </w:rPr>
        <w:t>Fertré</w:t>
      </w:r>
      <w:proofErr w:type="spellEnd"/>
      <w:r w:rsidR="009960AE">
        <w:rPr>
          <w:rFonts w:cs="Times New Roman"/>
          <w:i/>
          <w:iCs/>
        </w:rPr>
        <w:t xml:space="preserve">, </w:t>
      </w:r>
      <w:r w:rsidR="009960AE">
        <w:rPr>
          <w:rFonts w:cs="Times New Roman"/>
        </w:rPr>
        <w:t xml:space="preserve">finding that </w:t>
      </w:r>
      <w:r w:rsidR="00064863">
        <w:rPr>
          <w:rFonts w:cs="Times New Roman"/>
        </w:rPr>
        <w:t xml:space="preserve">Article 13(4) only grants the power for the UK to waive conditions </w:t>
      </w:r>
      <w:r w:rsidR="00713EF1">
        <w:rPr>
          <w:rFonts w:cs="Times New Roman"/>
        </w:rPr>
        <w:t>for the acquisition of a new WA residence status,</w:t>
      </w:r>
      <w:r w:rsidR="00064863">
        <w:rPr>
          <w:rFonts w:cs="Times New Roman"/>
        </w:rPr>
        <w:t xml:space="preserve"> not during a future period of residence.</w:t>
      </w:r>
      <w:r w:rsidR="00064863">
        <w:rPr>
          <w:rStyle w:val="FootnoteReference"/>
          <w:rFonts w:cs="Times New Roman"/>
        </w:rPr>
        <w:footnoteReference w:id="75"/>
      </w:r>
      <w:r w:rsidR="00064863">
        <w:rPr>
          <w:rFonts w:cs="Times New Roman"/>
        </w:rPr>
        <w:t xml:space="preserve"> This argument </w:t>
      </w:r>
      <w:r w:rsidR="005B28B5">
        <w:rPr>
          <w:rFonts w:cs="Times New Roman"/>
        </w:rPr>
        <w:t xml:space="preserve">misunderstands the nature of a constitutive scheme. </w:t>
      </w:r>
      <w:r w:rsidR="001245E7">
        <w:rPr>
          <w:rFonts w:cs="Times New Roman"/>
        </w:rPr>
        <w:t xml:space="preserve">For example, Jay J </w:t>
      </w:r>
      <w:r w:rsidR="004F6A7E">
        <w:rPr>
          <w:rFonts w:cs="Times New Roman"/>
        </w:rPr>
        <w:t>state</w:t>
      </w:r>
      <w:r w:rsidR="00B2572E">
        <w:rPr>
          <w:rFonts w:cs="Times New Roman"/>
        </w:rPr>
        <w:t>d</w:t>
      </w:r>
      <w:r w:rsidR="004F6A7E">
        <w:rPr>
          <w:rFonts w:cs="Times New Roman"/>
        </w:rPr>
        <w:t xml:space="preserve"> </w:t>
      </w:r>
      <w:r w:rsidR="001245E7">
        <w:rPr>
          <w:rFonts w:cs="Times New Roman"/>
        </w:rPr>
        <w:t>that</w:t>
      </w:r>
      <w:r w:rsidR="00E73E73">
        <w:rPr>
          <w:rFonts w:cs="Times New Roman"/>
        </w:rPr>
        <w:t>:</w:t>
      </w:r>
    </w:p>
    <w:p w14:paraId="4C1A950D" w14:textId="4D4DE974" w:rsidR="00064863" w:rsidRPr="00300D51" w:rsidRDefault="00E73E73" w:rsidP="00DE7F71">
      <w:pPr>
        <w:tabs>
          <w:tab w:val="left" w:pos="5234"/>
        </w:tabs>
        <w:spacing w:after="120"/>
        <w:ind w:left="720"/>
        <w:rPr>
          <w:rFonts w:cs="Times New Roman"/>
          <w:i/>
          <w:iCs/>
        </w:rPr>
      </w:pPr>
      <w:r>
        <w:rPr>
          <w:rFonts w:cs="Times New Roman"/>
        </w:rPr>
        <w:t>‘</w:t>
      </w:r>
      <w:r w:rsidR="00456715" w:rsidRPr="00300D51">
        <w:rPr>
          <w:rFonts w:cs="Times New Roman"/>
          <w:i/>
          <w:iCs/>
        </w:rPr>
        <w:t xml:space="preserve">What the UK could not have done was to </w:t>
      </w:r>
      <w:r w:rsidRPr="00300D51">
        <w:rPr>
          <w:rFonts w:cs="Times New Roman"/>
          <w:i/>
          <w:iCs/>
        </w:rPr>
        <w:t>confer a “new residence status” which lasted for only so long as the Article 13(1) conditions were met. If that had been the position, EU nationals would have to make serial applications for PSS as their personal</w:t>
      </w:r>
      <w:r w:rsidR="00456715" w:rsidRPr="00300D51">
        <w:rPr>
          <w:rFonts w:cs="Times New Roman"/>
          <w:i/>
          <w:iCs/>
        </w:rPr>
        <w:t xml:space="preserve"> </w:t>
      </w:r>
      <w:r w:rsidRPr="00300D51">
        <w:rPr>
          <w:rFonts w:cs="Times New Roman"/>
          <w:i/>
          <w:iCs/>
        </w:rPr>
        <w:t>circumstances fluctuated</w:t>
      </w:r>
      <w:r w:rsidR="00456715" w:rsidRPr="00300D51">
        <w:rPr>
          <w:rFonts w:cs="Times New Roman"/>
          <w:i/>
          <w:iCs/>
        </w:rPr>
        <w:t>’</w:t>
      </w:r>
      <w:r w:rsidR="004F6A7E">
        <w:rPr>
          <w:rFonts w:cs="Times New Roman"/>
          <w:i/>
          <w:iCs/>
        </w:rPr>
        <w:t>.</w:t>
      </w:r>
      <w:r w:rsidR="00AD271E">
        <w:rPr>
          <w:rStyle w:val="FootnoteReference"/>
          <w:rFonts w:cs="Times New Roman"/>
          <w:i/>
          <w:iCs/>
        </w:rPr>
        <w:footnoteReference w:id="76"/>
      </w:r>
    </w:p>
    <w:p w14:paraId="178F8349" w14:textId="461B5048" w:rsidR="00B2572E" w:rsidRDefault="00300D51" w:rsidP="00DE7F71">
      <w:pPr>
        <w:tabs>
          <w:tab w:val="left" w:pos="5234"/>
        </w:tabs>
        <w:spacing w:after="120"/>
        <w:rPr>
          <w:rFonts w:cs="Times New Roman"/>
        </w:rPr>
      </w:pPr>
      <w:r>
        <w:rPr>
          <w:rFonts w:cs="Times New Roman"/>
        </w:rPr>
        <w:t xml:space="preserve">Yet </w:t>
      </w:r>
      <w:r w:rsidR="00966B7D">
        <w:rPr>
          <w:rFonts w:cs="Times New Roman"/>
        </w:rPr>
        <w:t>it</w:t>
      </w:r>
      <w:r w:rsidR="004F6A7E">
        <w:rPr>
          <w:rFonts w:cs="Times New Roman"/>
        </w:rPr>
        <w:t xml:space="preserve"> i</w:t>
      </w:r>
      <w:r w:rsidR="00966B7D">
        <w:rPr>
          <w:rFonts w:cs="Times New Roman"/>
        </w:rPr>
        <w:t xml:space="preserve">s worth </w:t>
      </w:r>
      <w:r w:rsidR="004F6A7E">
        <w:rPr>
          <w:rFonts w:cs="Times New Roman"/>
        </w:rPr>
        <w:t>pointing out</w:t>
      </w:r>
      <w:r w:rsidR="00966B7D">
        <w:rPr>
          <w:rFonts w:cs="Times New Roman"/>
        </w:rPr>
        <w:t xml:space="preserve"> that </w:t>
      </w:r>
      <w:r>
        <w:rPr>
          <w:rFonts w:cs="Times New Roman"/>
        </w:rPr>
        <w:t>this is exactly what the UK could have done, had</w:t>
      </w:r>
      <w:r w:rsidR="004F6A7E">
        <w:rPr>
          <w:rFonts w:cs="Times New Roman"/>
        </w:rPr>
        <w:t xml:space="preserve"> it</w:t>
      </w:r>
      <w:r>
        <w:rPr>
          <w:rFonts w:cs="Times New Roman"/>
        </w:rPr>
        <w:t xml:space="preserve"> implemented a declaratory scheme, whereby EU citizens would have to prove that they meet the conditions to rely on the WA rights at the point of, for example, an application for benefits. </w:t>
      </w:r>
      <w:r w:rsidR="004C3AE9">
        <w:rPr>
          <w:rFonts w:cs="Times New Roman"/>
        </w:rPr>
        <w:t>This is how the rules worked in the UK before it left the EU, and the WA permitted a continuation of this approach</w:t>
      </w:r>
      <w:r w:rsidR="004F6A7E">
        <w:rPr>
          <w:rFonts w:cs="Times New Roman"/>
        </w:rPr>
        <w:t>.</w:t>
      </w:r>
      <w:r w:rsidR="000535A4">
        <w:rPr>
          <w:rFonts w:cs="Times New Roman"/>
        </w:rPr>
        <w:t xml:space="preserve"> </w:t>
      </w:r>
      <w:r w:rsidR="004F6A7E">
        <w:rPr>
          <w:rFonts w:cs="Times New Roman"/>
        </w:rPr>
        <w:t>A</w:t>
      </w:r>
      <w:r w:rsidR="000535A4">
        <w:rPr>
          <w:rFonts w:cs="Times New Roman"/>
        </w:rPr>
        <w:t xml:space="preserve"> declaratory </w:t>
      </w:r>
      <w:r w:rsidR="004F6A7E">
        <w:rPr>
          <w:rFonts w:cs="Times New Roman"/>
        </w:rPr>
        <w:t xml:space="preserve">route </w:t>
      </w:r>
      <w:r w:rsidR="000535A4">
        <w:rPr>
          <w:rFonts w:cs="Times New Roman"/>
        </w:rPr>
        <w:t xml:space="preserve">was available </w:t>
      </w:r>
      <w:r w:rsidR="004F6A7E">
        <w:rPr>
          <w:rFonts w:cs="Times New Roman"/>
        </w:rPr>
        <w:t>had the</w:t>
      </w:r>
      <w:r w:rsidR="000535A4">
        <w:rPr>
          <w:rFonts w:cs="Times New Roman"/>
        </w:rPr>
        <w:t xml:space="preserve"> UK wanted to continue requiring proof of EU citizens exercising Article 13(1) rights. </w:t>
      </w:r>
      <w:r w:rsidR="00B2572E">
        <w:rPr>
          <w:rFonts w:cs="Times New Roman"/>
        </w:rPr>
        <w:t>The Court of Appeal also gave great weight to a</w:t>
      </w:r>
      <w:r w:rsidR="00400BD3">
        <w:rPr>
          <w:rFonts w:cs="Times New Roman"/>
        </w:rPr>
        <w:t xml:space="preserve"> supposed common</w:t>
      </w:r>
      <w:r w:rsidR="00B2572E">
        <w:rPr>
          <w:rFonts w:cs="Times New Roman"/>
        </w:rPr>
        <w:t xml:space="preserve"> </w:t>
      </w:r>
      <w:r w:rsidR="00B2572E" w:rsidRPr="00400BD3">
        <w:rPr>
          <w:rFonts w:cs="Times New Roman"/>
        </w:rPr>
        <w:t>intention</w:t>
      </w:r>
      <w:r w:rsidR="00400BD3" w:rsidRPr="00400BD3">
        <w:rPr>
          <w:rFonts w:cs="Times New Roman"/>
        </w:rPr>
        <w:t xml:space="preserve"> </w:t>
      </w:r>
      <w:r w:rsidR="00400BD3">
        <w:rPr>
          <w:rFonts w:cs="Times New Roman"/>
          <w:i/>
          <w:iCs/>
        </w:rPr>
        <w:t xml:space="preserve">– </w:t>
      </w:r>
      <w:r w:rsidR="00400BD3" w:rsidRPr="00400BD3">
        <w:rPr>
          <w:rFonts w:cs="Times New Roman"/>
        </w:rPr>
        <w:t>though in practice</w:t>
      </w:r>
      <w:r w:rsidR="00400BD3">
        <w:rPr>
          <w:rFonts w:cs="Times New Roman"/>
        </w:rPr>
        <w:t xml:space="preserve"> this was largely evidenced by the UK government’s intention</w:t>
      </w:r>
      <w:r w:rsidR="00B2572E">
        <w:rPr>
          <w:rFonts w:cs="Times New Roman"/>
          <w:i/>
          <w:iCs/>
        </w:rPr>
        <w:t xml:space="preserve"> </w:t>
      </w:r>
      <w:r w:rsidR="00400BD3">
        <w:rPr>
          <w:rFonts w:cs="Times New Roman"/>
          <w:i/>
          <w:iCs/>
        </w:rPr>
        <w:t xml:space="preserve">– </w:t>
      </w:r>
      <w:r w:rsidR="00B2572E">
        <w:rPr>
          <w:rFonts w:cs="Times New Roman"/>
        </w:rPr>
        <w:t>to not create any new rights</w:t>
      </w:r>
      <w:r w:rsidR="00400BD3">
        <w:rPr>
          <w:rFonts w:cs="Times New Roman"/>
        </w:rPr>
        <w:t xml:space="preserve"> through the Withdrawal Agreement.</w:t>
      </w:r>
      <w:r w:rsidR="00B2572E">
        <w:rPr>
          <w:rStyle w:val="FootnoteReference"/>
          <w:rFonts w:cs="Times New Roman"/>
        </w:rPr>
        <w:footnoteReference w:id="77"/>
      </w:r>
    </w:p>
    <w:p w14:paraId="25D3547D" w14:textId="61858DFC" w:rsidR="004F6A7E" w:rsidRDefault="005060CC" w:rsidP="00DE7F71">
      <w:pPr>
        <w:tabs>
          <w:tab w:val="left" w:pos="5234"/>
        </w:tabs>
        <w:spacing w:after="120"/>
        <w:rPr>
          <w:rFonts w:cs="Times New Roman"/>
          <w:color w:val="000000" w:themeColor="text1"/>
          <w:shd w:val="clear" w:color="auto" w:fill="FFFFFF"/>
        </w:rPr>
      </w:pPr>
      <w:r>
        <w:rPr>
          <w:rFonts w:cs="Times New Roman"/>
        </w:rPr>
        <w:lastRenderedPageBreak/>
        <w:t xml:space="preserve">However, by creating a compulsory registration scheme, the UK </w:t>
      </w:r>
      <w:r w:rsidR="00046923">
        <w:rPr>
          <w:rFonts w:cs="Times New Roman"/>
        </w:rPr>
        <w:t xml:space="preserve">created </w:t>
      </w:r>
      <w:r w:rsidR="004F6A7E">
        <w:rPr>
          <w:rFonts w:cs="Times New Roman"/>
        </w:rPr>
        <w:t>a</w:t>
      </w:r>
      <w:r w:rsidR="00046923">
        <w:rPr>
          <w:rFonts w:cs="Times New Roman"/>
        </w:rPr>
        <w:t xml:space="preserve"> new legal residence status under the WA</w:t>
      </w:r>
      <w:r w:rsidR="004F6A7E">
        <w:rPr>
          <w:rFonts w:cs="Times New Roman"/>
        </w:rPr>
        <w:t>,</w:t>
      </w:r>
      <w:r w:rsidR="00046923">
        <w:rPr>
          <w:rFonts w:cs="Times New Roman"/>
        </w:rPr>
        <w:t xml:space="preserve"> with new legal consequences. </w:t>
      </w:r>
      <w:r w:rsidR="004F6A7E">
        <w:rPr>
          <w:rFonts w:cs="Times New Roman"/>
        </w:rPr>
        <w:t xml:space="preserve">In this scheme, </w:t>
      </w:r>
      <w:r w:rsidR="00A0570E" w:rsidRPr="006C73C5">
        <w:rPr>
          <w:rFonts w:cs="Times New Roman"/>
          <w:color w:val="000000" w:themeColor="text1"/>
          <w:shd w:val="clear" w:color="auto" w:fill="FFFFFF"/>
        </w:rPr>
        <w:t>meeting underlying conditions is not enough</w:t>
      </w:r>
      <w:r w:rsidR="004F6A7E">
        <w:rPr>
          <w:rFonts w:cs="Times New Roman"/>
          <w:color w:val="000000" w:themeColor="text1"/>
          <w:shd w:val="clear" w:color="auto" w:fill="FFFFFF"/>
        </w:rPr>
        <w:t>, and, for the first time</w:t>
      </w:r>
      <w:r w:rsidR="005E2D62">
        <w:rPr>
          <w:rFonts w:cs="Times New Roman"/>
          <w:color w:val="000000" w:themeColor="text1"/>
          <w:shd w:val="clear" w:color="auto" w:fill="FFFFFF"/>
        </w:rPr>
        <w:t xml:space="preserve"> since the UK’s accession to the EU</w:t>
      </w:r>
      <w:r w:rsidR="004F6A7E">
        <w:rPr>
          <w:rFonts w:cs="Times New Roman"/>
          <w:color w:val="000000" w:themeColor="text1"/>
          <w:shd w:val="clear" w:color="auto" w:fill="FFFFFF"/>
        </w:rPr>
        <w:t>, administrative non-compliance could cause</w:t>
      </w:r>
      <w:r w:rsidR="00A0570E" w:rsidRPr="006C73C5">
        <w:rPr>
          <w:rFonts w:cs="Times New Roman"/>
          <w:color w:val="000000" w:themeColor="text1"/>
          <w:shd w:val="clear" w:color="auto" w:fill="FFFFFF"/>
        </w:rPr>
        <w:t xml:space="preserve"> EU nationals </w:t>
      </w:r>
      <w:r w:rsidR="004F6A7E">
        <w:rPr>
          <w:rFonts w:cs="Times New Roman"/>
          <w:color w:val="000000" w:themeColor="text1"/>
          <w:shd w:val="clear" w:color="auto" w:fill="FFFFFF"/>
        </w:rPr>
        <w:t xml:space="preserve">who had been </w:t>
      </w:r>
      <w:r w:rsidR="00A0570E" w:rsidRPr="006C73C5">
        <w:rPr>
          <w:rFonts w:cs="Times New Roman"/>
          <w:color w:val="000000" w:themeColor="text1"/>
          <w:shd w:val="clear" w:color="auto" w:fill="FFFFFF"/>
        </w:rPr>
        <w:t xml:space="preserve">residing and working in the UK for decades to completely lose all hypothetically accrued rights. </w:t>
      </w:r>
    </w:p>
    <w:p w14:paraId="2C971FD2" w14:textId="5EC20D95" w:rsidR="00A0570E" w:rsidRPr="004F6A7E" w:rsidRDefault="00A0570E" w:rsidP="00DE7F71">
      <w:pPr>
        <w:tabs>
          <w:tab w:val="left" w:pos="5234"/>
        </w:tabs>
        <w:spacing w:after="120"/>
        <w:rPr>
          <w:rFonts w:cs="Times New Roman"/>
        </w:rPr>
      </w:pPr>
      <w:r w:rsidRPr="006C73C5">
        <w:rPr>
          <w:rFonts w:cs="Times New Roman"/>
          <w:color w:val="000000" w:themeColor="text1"/>
          <w:shd w:val="clear" w:color="auto" w:fill="FFFFFF"/>
        </w:rPr>
        <w:t>This loss of rights has started to bite</w:t>
      </w:r>
      <w:r w:rsidR="003C2E62" w:rsidRPr="006C73C5">
        <w:rPr>
          <w:rFonts w:cs="Times New Roman"/>
          <w:color w:val="000000" w:themeColor="text1"/>
          <w:shd w:val="clear" w:color="auto" w:fill="FFFFFF"/>
        </w:rPr>
        <w:t xml:space="preserve">. </w:t>
      </w:r>
      <w:r w:rsidR="00931747" w:rsidRPr="006C73C5">
        <w:rPr>
          <w:rFonts w:cs="Times New Roman"/>
          <w:color w:val="000000" w:themeColor="text1"/>
          <w:shd w:val="clear" w:color="auto" w:fill="FFFFFF"/>
        </w:rPr>
        <w:t>People have lost their right to work</w:t>
      </w:r>
      <w:r w:rsidR="004F6A7E">
        <w:rPr>
          <w:rFonts w:cs="Times New Roman"/>
          <w:color w:val="000000" w:themeColor="text1"/>
          <w:shd w:val="clear" w:color="auto" w:fill="FFFFFF"/>
        </w:rPr>
        <w:t>,</w:t>
      </w:r>
      <w:r w:rsidR="00931747" w:rsidRPr="006C73C5">
        <w:rPr>
          <w:rFonts w:cs="Times New Roman"/>
          <w:color w:val="000000" w:themeColor="text1"/>
          <w:shd w:val="clear" w:color="auto" w:fill="FFFFFF"/>
        </w:rPr>
        <w:t xml:space="preserve"> and rent</w:t>
      </w:r>
      <w:r w:rsidR="004F6A7E">
        <w:rPr>
          <w:rFonts w:cs="Times New Roman"/>
          <w:color w:val="000000" w:themeColor="text1"/>
          <w:shd w:val="clear" w:color="auto" w:fill="FFFFFF"/>
        </w:rPr>
        <w:t>,</w:t>
      </w:r>
      <w:r w:rsidR="00931747" w:rsidRPr="006C73C5">
        <w:rPr>
          <w:rFonts w:cs="Times New Roman"/>
          <w:color w:val="000000" w:themeColor="text1"/>
          <w:shd w:val="clear" w:color="auto" w:fill="FFFFFF"/>
        </w:rPr>
        <w:t xml:space="preserve"> </w:t>
      </w:r>
      <w:r w:rsidR="007A0DE2" w:rsidRPr="006C73C5">
        <w:rPr>
          <w:rFonts w:cs="Times New Roman"/>
          <w:color w:val="000000" w:themeColor="text1"/>
          <w:shd w:val="clear" w:color="auto" w:fill="FFFFFF"/>
        </w:rPr>
        <w:t xml:space="preserve">and </w:t>
      </w:r>
      <w:r w:rsidR="00931747" w:rsidRPr="006C73C5">
        <w:rPr>
          <w:rFonts w:cs="Times New Roman"/>
          <w:color w:val="000000" w:themeColor="text1"/>
          <w:shd w:val="clear" w:color="auto" w:fill="FFFFFF"/>
        </w:rPr>
        <w:t>have had their benefits stopped</w:t>
      </w:r>
      <w:r w:rsidR="007A0DE2" w:rsidRPr="006C73C5">
        <w:rPr>
          <w:rFonts w:cs="Times New Roman"/>
          <w:color w:val="000000" w:themeColor="text1"/>
          <w:shd w:val="clear" w:color="auto" w:fill="FFFFFF"/>
        </w:rPr>
        <w:t>.</w:t>
      </w:r>
      <w:r w:rsidR="009D33B9">
        <w:rPr>
          <w:rStyle w:val="FootnoteReference"/>
          <w:rFonts w:cs="Times New Roman"/>
          <w:color w:val="000000" w:themeColor="text1"/>
          <w:shd w:val="clear" w:color="auto" w:fill="FFFFFF"/>
        </w:rPr>
        <w:footnoteReference w:id="78"/>
      </w:r>
      <w:r w:rsidR="007A0DE2" w:rsidRPr="006C73C5">
        <w:rPr>
          <w:rFonts w:cs="Times New Roman"/>
          <w:color w:val="000000" w:themeColor="text1"/>
          <w:shd w:val="clear" w:color="auto" w:fill="FFFFFF"/>
        </w:rPr>
        <w:t xml:space="preserve"> I</w:t>
      </w:r>
      <w:r w:rsidR="00B5541B" w:rsidRPr="006C73C5">
        <w:rPr>
          <w:rFonts w:cs="Times New Roman"/>
          <w:color w:val="000000" w:themeColor="text1"/>
          <w:shd w:val="clear" w:color="auto" w:fill="FFFFFF"/>
        </w:rPr>
        <w:t>n</w:t>
      </w:r>
      <w:r w:rsidRPr="006C73C5">
        <w:rPr>
          <w:rFonts w:cs="Times New Roman"/>
          <w:color w:val="000000" w:themeColor="text1"/>
          <w:shd w:val="clear" w:color="auto" w:fill="FFFFFF"/>
        </w:rPr>
        <w:t xml:space="preserve"> relation to charges for healthcare</w:t>
      </w:r>
      <w:r w:rsidR="004F6A7E">
        <w:rPr>
          <w:rFonts w:cs="Times New Roman"/>
          <w:color w:val="000000" w:themeColor="text1"/>
          <w:shd w:val="clear" w:color="auto" w:fill="FFFFFF"/>
        </w:rPr>
        <w:t>,</w:t>
      </w:r>
      <w:r w:rsidRPr="006C73C5">
        <w:rPr>
          <w:rFonts w:cs="Times New Roman"/>
          <w:color w:val="000000" w:themeColor="text1"/>
          <w:shd w:val="clear" w:color="auto" w:fill="FFFFFF"/>
        </w:rPr>
        <w:t xml:space="preserve"> children who had not </w:t>
      </w:r>
      <w:r w:rsidR="007C7853">
        <w:rPr>
          <w:rFonts w:cs="Times New Roman"/>
          <w:color w:val="000000" w:themeColor="text1"/>
          <w:shd w:val="clear" w:color="auto" w:fill="FFFFFF"/>
        </w:rPr>
        <w:t>had</w:t>
      </w:r>
      <w:r w:rsidRPr="006C73C5">
        <w:rPr>
          <w:rFonts w:cs="Times New Roman"/>
          <w:color w:val="000000" w:themeColor="text1"/>
          <w:shd w:val="clear" w:color="auto" w:fill="FFFFFF"/>
        </w:rPr>
        <w:t xml:space="preserve"> an application made for them before the deadline</w:t>
      </w:r>
      <w:r w:rsidR="00B5541B" w:rsidRPr="006C73C5">
        <w:rPr>
          <w:rFonts w:cs="Times New Roman"/>
          <w:color w:val="000000" w:themeColor="text1"/>
          <w:shd w:val="clear" w:color="auto" w:fill="FFFFFF"/>
        </w:rPr>
        <w:t xml:space="preserve">, or who </w:t>
      </w:r>
      <w:r w:rsidR="004F6A7E">
        <w:rPr>
          <w:rFonts w:cs="Times New Roman"/>
          <w:color w:val="000000" w:themeColor="text1"/>
          <w:shd w:val="clear" w:color="auto" w:fill="FFFFFF"/>
        </w:rPr>
        <w:t>were</w:t>
      </w:r>
      <w:r w:rsidR="00B5541B" w:rsidRPr="006C73C5">
        <w:rPr>
          <w:rFonts w:cs="Times New Roman"/>
          <w:color w:val="000000" w:themeColor="text1"/>
          <w:shd w:val="clear" w:color="auto" w:fill="FFFFFF"/>
        </w:rPr>
        <w:t xml:space="preserve"> </w:t>
      </w:r>
      <w:r w:rsidR="00B5541B" w:rsidRPr="004F6A7E">
        <w:rPr>
          <w:rFonts w:cs="Times New Roman"/>
          <w:i/>
          <w:iCs/>
          <w:color w:val="000000" w:themeColor="text1"/>
          <w:shd w:val="clear" w:color="auto" w:fill="FFFFFF"/>
        </w:rPr>
        <w:t xml:space="preserve">born </w:t>
      </w:r>
      <w:r w:rsidR="004F6A7E" w:rsidRPr="004F6A7E">
        <w:rPr>
          <w:rFonts w:cs="Times New Roman"/>
          <w:i/>
          <w:iCs/>
          <w:color w:val="000000" w:themeColor="text1"/>
          <w:shd w:val="clear" w:color="auto" w:fill="FFFFFF"/>
        </w:rPr>
        <w:t>after</w:t>
      </w:r>
      <w:r w:rsidR="00B5541B" w:rsidRPr="004F6A7E">
        <w:rPr>
          <w:rFonts w:cs="Times New Roman"/>
          <w:i/>
          <w:iCs/>
          <w:color w:val="000000" w:themeColor="text1"/>
          <w:shd w:val="clear" w:color="auto" w:fill="FFFFFF"/>
        </w:rPr>
        <w:t xml:space="preserve"> the deadline</w:t>
      </w:r>
      <w:r w:rsidR="00B5541B" w:rsidRPr="006C73C5">
        <w:rPr>
          <w:rFonts w:cs="Times New Roman"/>
          <w:color w:val="000000" w:themeColor="text1"/>
          <w:shd w:val="clear" w:color="auto" w:fill="FFFFFF"/>
        </w:rPr>
        <w:t xml:space="preserve"> and </w:t>
      </w:r>
      <w:r w:rsidR="004F6A7E">
        <w:rPr>
          <w:rFonts w:cs="Times New Roman"/>
          <w:color w:val="000000" w:themeColor="text1"/>
          <w:shd w:val="clear" w:color="auto" w:fill="FFFFFF"/>
        </w:rPr>
        <w:t xml:space="preserve">for whom </w:t>
      </w:r>
      <w:r w:rsidR="00B5541B" w:rsidRPr="006C73C5">
        <w:rPr>
          <w:rFonts w:cs="Times New Roman"/>
          <w:color w:val="000000" w:themeColor="text1"/>
          <w:shd w:val="clear" w:color="auto" w:fill="FFFFFF"/>
        </w:rPr>
        <w:t xml:space="preserve">an application </w:t>
      </w:r>
      <w:r w:rsidR="004F6A7E">
        <w:rPr>
          <w:rFonts w:cs="Times New Roman"/>
          <w:color w:val="000000" w:themeColor="text1"/>
          <w:shd w:val="clear" w:color="auto" w:fill="FFFFFF"/>
        </w:rPr>
        <w:t>has not been made with</w:t>
      </w:r>
      <w:r w:rsidR="00B5541B" w:rsidRPr="006C73C5">
        <w:rPr>
          <w:rFonts w:cs="Times New Roman"/>
          <w:color w:val="000000" w:themeColor="text1"/>
          <w:shd w:val="clear" w:color="auto" w:fill="FFFFFF"/>
        </w:rPr>
        <w:t>in the 90 day limit,</w:t>
      </w:r>
      <w:r w:rsidRPr="006C73C5">
        <w:rPr>
          <w:rFonts w:cs="Times New Roman"/>
          <w:color w:val="000000" w:themeColor="text1"/>
          <w:shd w:val="clear" w:color="auto" w:fill="FFFFFF"/>
        </w:rPr>
        <w:t xml:space="preserve"> have been charged </w:t>
      </w:r>
      <w:r w:rsidR="004F6A7E">
        <w:rPr>
          <w:rFonts w:cs="Times New Roman"/>
          <w:color w:val="000000" w:themeColor="text1"/>
          <w:shd w:val="clear" w:color="auto" w:fill="FFFFFF"/>
        </w:rPr>
        <w:t xml:space="preserve">to </w:t>
      </w:r>
      <w:r w:rsidRPr="006C73C5">
        <w:rPr>
          <w:rFonts w:cs="Times New Roman"/>
          <w:color w:val="000000" w:themeColor="text1"/>
          <w:shd w:val="clear" w:color="auto" w:fill="FFFFFF"/>
        </w:rPr>
        <w:t>access NHS services, even when they subsequently acquire EUSS status at a later date.</w:t>
      </w:r>
      <w:r w:rsidRPr="006C73C5">
        <w:rPr>
          <w:rStyle w:val="FootnoteReference"/>
          <w:rFonts w:cs="Times New Roman"/>
          <w:color w:val="000000" w:themeColor="text1"/>
          <w:shd w:val="clear" w:color="auto" w:fill="FFFFFF"/>
        </w:rPr>
        <w:footnoteReference w:id="79"/>
      </w:r>
      <w:r w:rsidRPr="006C73C5">
        <w:rPr>
          <w:rFonts w:cs="Times New Roman"/>
          <w:color w:val="000000" w:themeColor="text1"/>
          <w:shd w:val="clear" w:color="auto" w:fill="FFFFFF"/>
        </w:rPr>
        <w:t xml:space="preserve"> </w:t>
      </w:r>
      <w:r w:rsidR="00BD3353" w:rsidRPr="006C73C5">
        <w:rPr>
          <w:rFonts w:cs="Times New Roman"/>
          <w:color w:val="000000" w:themeColor="text1"/>
          <w:shd w:val="clear" w:color="auto" w:fill="FFFFFF"/>
        </w:rPr>
        <w:t xml:space="preserve">The dangers </w:t>
      </w:r>
      <w:r w:rsidR="006C73C5" w:rsidRPr="006C73C5">
        <w:rPr>
          <w:rFonts w:cs="Times New Roman"/>
          <w:color w:val="000000" w:themeColor="text1"/>
          <w:shd w:val="clear" w:color="auto" w:fill="FFFFFF"/>
        </w:rPr>
        <w:t xml:space="preserve">of </w:t>
      </w:r>
      <w:r w:rsidR="00BD3353" w:rsidRPr="006C73C5">
        <w:rPr>
          <w:rFonts w:cs="Times New Roman"/>
          <w:color w:val="000000" w:themeColor="text1"/>
          <w:shd w:val="clear" w:color="auto" w:fill="FFFFFF"/>
        </w:rPr>
        <w:t>not applying are evident</w:t>
      </w:r>
      <w:r w:rsidR="004F6A7E">
        <w:rPr>
          <w:rFonts w:cs="Times New Roman"/>
          <w:color w:val="000000" w:themeColor="text1"/>
          <w:shd w:val="clear" w:color="auto" w:fill="FFFFFF"/>
        </w:rPr>
        <w:t>.</w:t>
      </w:r>
      <w:r w:rsidR="006C73C5" w:rsidRPr="006C73C5">
        <w:rPr>
          <w:rFonts w:cs="Times New Roman"/>
          <w:color w:val="000000" w:themeColor="text1"/>
          <w:shd w:val="clear" w:color="auto" w:fill="FFFFFF"/>
        </w:rPr>
        <w:t xml:space="preserve"> </w:t>
      </w:r>
      <w:r w:rsidR="004F6A7E">
        <w:rPr>
          <w:rFonts w:cs="Times New Roman"/>
          <w:color w:val="000000" w:themeColor="text1"/>
          <w:shd w:val="clear" w:color="auto" w:fill="FFFFFF"/>
        </w:rPr>
        <w:t>But t</w:t>
      </w:r>
      <w:r w:rsidRPr="006C73C5">
        <w:rPr>
          <w:rFonts w:cs="Times New Roman"/>
          <w:color w:val="000000" w:themeColor="text1"/>
          <w:shd w:val="clear" w:color="auto" w:fill="FFFFFF"/>
        </w:rPr>
        <w:t xml:space="preserve">he flipside of a scheme </w:t>
      </w:r>
      <w:r w:rsidR="005E2D62">
        <w:rPr>
          <w:rFonts w:cs="Times New Roman"/>
          <w:color w:val="000000" w:themeColor="text1"/>
          <w:shd w:val="clear" w:color="auto" w:fill="FFFFFF"/>
        </w:rPr>
        <w:t xml:space="preserve">in which </w:t>
      </w:r>
      <w:r w:rsidRPr="006C73C5">
        <w:rPr>
          <w:rFonts w:cs="Times New Roman"/>
          <w:color w:val="000000" w:themeColor="text1"/>
          <w:shd w:val="clear" w:color="auto" w:fill="FFFFFF"/>
        </w:rPr>
        <w:t xml:space="preserve">you </w:t>
      </w:r>
      <w:r w:rsidR="005E2D62">
        <w:rPr>
          <w:rFonts w:cs="Times New Roman"/>
          <w:color w:val="000000" w:themeColor="text1"/>
          <w:shd w:val="clear" w:color="auto" w:fill="FFFFFF"/>
        </w:rPr>
        <w:t>must</w:t>
      </w:r>
      <w:r w:rsidRPr="006C73C5">
        <w:rPr>
          <w:rFonts w:cs="Times New Roman"/>
          <w:color w:val="000000" w:themeColor="text1"/>
          <w:shd w:val="clear" w:color="auto" w:fill="FFFFFF"/>
        </w:rPr>
        <w:t xml:space="preserve"> have the status to have the rights, is that </w:t>
      </w:r>
      <w:r w:rsidRPr="006C73C5">
        <w:rPr>
          <w:rFonts w:cs="Times New Roman"/>
          <w:i/>
          <w:iCs/>
          <w:color w:val="000000" w:themeColor="text1"/>
          <w:shd w:val="clear" w:color="auto" w:fill="FFFFFF"/>
        </w:rPr>
        <w:t>when you have the status, you have the rights.</w:t>
      </w:r>
      <w:r w:rsidRPr="006C73C5">
        <w:rPr>
          <w:rFonts w:cs="Times New Roman"/>
          <w:color w:val="000000" w:themeColor="text1"/>
          <w:shd w:val="clear" w:color="auto" w:fill="FFFFFF"/>
        </w:rPr>
        <w:t xml:space="preserve"> </w:t>
      </w:r>
    </w:p>
    <w:p w14:paraId="2640F7BA" w14:textId="5B7C625A" w:rsidR="00300D51" w:rsidRDefault="00342151" w:rsidP="00DE7F71">
      <w:pPr>
        <w:tabs>
          <w:tab w:val="left" w:pos="5234"/>
        </w:tabs>
        <w:rPr>
          <w:rFonts w:cs="Times New Roman"/>
        </w:rPr>
      </w:pPr>
      <w:r>
        <w:rPr>
          <w:rFonts w:cs="Times New Roman"/>
        </w:rPr>
        <w:t>Once granted, there is no power in Appendix EU, or any other domestic legislation, which permits the UK to curtail or withdraw EUSS status where the holder no longer meets the conditions of Article 13(1). This is not to say that any status awarded in this way is unconditional. The EUSS has several conditions which govern eligibility for the status (residing in the UK before the end of the transition period and passing the ‘suitability’ checks concerning public policy, public security and public health)</w:t>
      </w:r>
      <w:r>
        <w:rPr>
          <w:rStyle w:val="FootnoteReference"/>
          <w:rFonts w:cs="Times New Roman"/>
        </w:rPr>
        <w:footnoteReference w:id="80"/>
      </w:r>
      <w:r>
        <w:rPr>
          <w:rFonts w:cs="Times New Roman"/>
        </w:rPr>
        <w:t xml:space="preserve"> and to retain that status. For </w:t>
      </w:r>
      <w:r>
        <w:rPr>
          <w:rFonts w:cs="Times New Roman"/>
        </w:rPr>
        <w:lastRenderedPageBreak/>
        <w:t>example, EUSS status is conditional in that it can be curtailed where EU citizens cease to meet the requirements of Appendix EU or status may lapse where they fall foul of the permitted absence rules.</w:t>
      </w:r>
      <w:r>
        <w:rPr>
          <w:rStyle w:val="FootnoteReference"/>
          <w:rFonts w:cs="Times New Roman"/>
        </w:rPr>
        <w:footnoteReference w:id="81"/>
      </w:r>
      <w:r>
        <w:rPr>
          <w:rFonts w:cs="Times New Roman"/>
        </w:rPr>
        <w:t xml:space="preserve"> </w:t>
      </w:r>
      <w:r w:rsidR="00672DB7">
        <w:rPr>
          <w:rFonts w:cs="Times New Roman"/>
        </w:rPr>
        <w:t>T</w:t>
      </w:r>
      <w:r w:rsidR="005B6B25">
        <w:rPr>
          <w:rFonts w:cs="Times New Roman"/>
        </w:rPr>
        <w:t xml:space="preserve">he UK </w:t>
      </w:r>
      <w:r w:rsidR="004F6A7E">
        <w:rPr>
          <w:rFonts w:cs="Times New Roman"/>
        </w:rPr>
        <w:t xml:space="preserve">government </w:t>
      </w:r>
      <w:r w:rsidR="005B6B25" w:rsidRPr="004916EF">
        <w:rPr>
          <w:rFonts w:cs="Times New Roman"/>
          <w:i/>
          <w:iCs/>
        </w:rPr>
        <w:t>chose</w:t>
      </w:r>
      <w:r w:rsidR="00CD0E4A">
        <w:rPr>
          <w:rFonts w:cs="Times New Roman"/>
        </w:rPr>
        <w:t xml:space="preserve"> which conditions </w:t>
      </w:r>
      <w:r w:rsidR="006D18AE">
        <w:rPr>
          <w:rFonts w:cs="Times New Roman"/>
        </w:rPr>
        <w:t xml:space="preserve">are integral to </w:t>
      </w:r>
      <w:r w:rsidR="00CD0E4A">
        <w:rPr>
          <w:rFonts w:cs="Times New Roman"/>
        </w:rPr>
        <w:t>this status</w:t>
      </w:r>
      <w:r w:rsidR="00F32385">
        <w:rPr>
          <w:rFonts w:cs="Times New Roman"/>
        </w:rPr>
        <w:t xml:space="preserve">. </w:t>
      </w:r>
      <w:r w:rsidR="00646FEF" w:rsidRPr="00EE6B23">
        <w:rPr>
          <w:rFonts w:cs="Times New Roman"/>
        </w:rPr>
        <w:t xml:space="preserve">The government responsible for the creation of the EUSS may not have </w:t>
      </w:r>
      <w:r w:rsidR="00646FEF" w:rsidRPr="00F8383F">
        <w:rPr>
          <w:rFonts w:cs="Times New Roman"/>
        </w:rPr>
        <w:t xml:space="preserve">intended to create a new status with </w:t>
      </w:r>
      <w:r w:rsidR="006D18AE">
        <w:rPr>
          <w:rFonts w:cs="Times New Roman"/>
        </w:rPr>
        <w:t xml:space="preserve">new </w:t>
      </w:r>
      <w:r w:rsidR="00646FEF" w:rsidRPr="00F8383F">
        <w:rPr>
          <w:rFonts w:cs="Times New Roman"/>
        </w:rPr>
        <w:t xml:space="preserve">legal </w:t>
      </w:r>
      <w:r w:rsidR="006D18AE">
        <w:rPr>
          <w:rFonts w:cs="Times New Roman"/>
        </w:rPr>
        <w:t>effects</w:t>
      </w:r>
      <w:r w:rsidR="00646FEF" w:rsidRPr="00F8383F">
        <w:rPr>
          <w:rFonts w:cs="Times New Roman"/>
        </w:rPr>
        <w:t>,</w:t>
      </w:r>
      <w:r w:rsidR="00646FEF" w:rsidRPr="00EE6B23">
        <w:rPr>
          <w:rFonts w:cs="Times New Roman"/>
        </w:rPr>
        <w:t xml:space="preserve"> but inconvenient as that may be for them, that is what they have done. </w:t>
      </w:r>
      <w:r w:rsidR="00646FEF">
        <w:rPr>
          <w:rFonts w:cs="Times New Roman"/>
        </w:rPr>
        <w:t>Instead,</w:t>
      </w:r>
      <w:r w:rsidR="00646FEF" w:rsidRPr="00EE6B23">
        <w:rPr>
          <w:rFonts w:cs="Times New Roman"/>
        </w:rPr>
        <w:t xml:space="preserve"> the UK authorities</w:t>
      </w:r>
      <w:r w:rsidR="006D18AE">
        <w:rPr>
          <w:rFonts w:cs="Times New Roman"/>
        </w:rPr>
        <w:t>’</w:t>
      </w:r>
      <w:r w:rsidR="00646FEF" w:rsidRPr="00EE6B23">
        <w:rPr>
          <w:rFonts w:cs="Times New Roman"/>
        </w:rPr>
        <w:t xml:space="preserve"> </w:t>
      </w:r>
      <w:r w:rsidR="00F8383F">
        <w:rPr>
          <w:rFonts w:cs="Times New Roman"/>
        </w:rPr>
        <w:t xml:space="preserve">argument relies on </w:t>
      </w:r>
      <w:r w:rsidR="00646FEF" w:rsidRPr="00FE6E4A">
        <w:rPr>
          <w:rFonts w:cs="Times New Roman"/>
          <w:i/>
          <w:iCs/>
        </w:rPr>
        <w:t>cakeism</w:t>
      </w:r>
      <w:r w:rsidR="00646FEF" w:rsidRPr="00EE6B23">
        <w:rPr>
          <w:rFonts w:cs="Times New Roman"/>
        </w:rPr>
        <w:t xml:space="preserve"> – a scheme that is constitutive for the purposes of excluding non-registrants, but declaratory for the purposes of enjoying the rights attached to the status. </w:t>
      </w:r>
    </w:p>
    <w:p w14:paraId="38BD8B9A" w14:textId="77777777" w:rsidR="00F8455C" w:rsidRDefault="00F8455C" w:rsidP="00F8455C">
      <w:pPr>
        <w:tabs>
          <w:tab w:val="left" w:pos="5234"/>
        </w:tabs>
        <w:rPr>
          <w:rFonts w:cs="Times New Roman"/>
        </w:rPr>
      </w:pPr>
    </w:p>
    <w:p w14:paraId="3327F714" w14:textId="797ECE0D" w:rsidR="00F66B8E" w:rsidRDefault="00B15E15" w:rsidP="00F66B8E">
      <w:pPr>
        <w:pStyle w:val="Heading2"/>
      </w:pPr>
      <w:r>
        <w:t>The</w:t>
      </w:r>
      <w:r w:rsidR="00E34090">
        <w:t xml:space="preserve"> questionable legal basis for cakeism: </w:t>
      </w:r>
      <w:r w:rsidR="00F66B8E">
        <w:t>Article 18</w:t>
      </w:r>
      <w:r w:rsidR="00E34090">
        <w:t xml:space="preserve"> WA</w:t>
      </w:r>
      <w:r w:rsidR="00F66B8E">
        <w:t xml:space="preserve"> and the EUSS</w:t>
      </w:r>
    </w:p>
    <w:p w14:paraId="5A98D6DA" w14:textId="460C0B1B" w:rsidR="00815265" w:rsidRPr="00815265" w:rsidRDefault="007A361B" w:rsidP="00DE7F71">
      <w:pPr>
        <w:tabs>
          <w:tab w:val="left" w:pos="5234"/>
        </w:tabs>
        <w:spacing w:after="120"/>
        <w:rPr>
          <w:rFonts w:cs="Times New Roman"/>
        </w:rPr>
      </w:pPr>
      <w:r>
        <w:rPr>
          <w:rFonts w:cs="Times New Roman"/>
        </w:rPr>
        <w:t xml:space="preserve">The </w:t>
      </w:r>
      <w:r w:rsidR="006D18AE">
        <w:rPr>
          <w:rFonts w:cs="Times New Roman"/>
        </w:rPr>
        <w:t xml:space="preserve">UK </w:t>
      </w:r>
      <w:r>
        <w:rPr>
          <w:rFonts w:cs="Times New Roman"/>
        </w:rPr>
        <w:t xml:space="preserve">government’s desire to </w:t>
      </w:r>
      <w:r w:rsidR="00692CCC">
        <w:rPr>
          <w:rFonts w:cs="Times New Roman"/>
        </w:rPr>
        <w:t xml:space="preserve">have the best </w:t>
      </w:r>
      <w:r w:rsidR="006D18AE">
        <w:rPr>
          <w:rFonts w:cs="Times New Roman"/>
        </w:rPr>
        <w:t xml:space="preserve">(as in, most exclusionary and rights-restricting) </w:t>
      </w:r>
      <w:r w:rsidR="0077281B">
        <w:rPr>
          <w:rFonts w:cs="Times New Roman"/>
        </w:rPr>
        <w:t>of both worlds</w:t>
      </w:r>
      <w:r w:rsidR="00FE2350">
        <w:rPr>
          <w:rFonts w:cs="Times New Roman"/>
        </w:rPr>
        <w:t xml:space="preserve"> </w:t>
      </w:r>
      <w:r w:rsidR="00F80736">
        <w:rPr>
          <w:rFonts w:cs="Times New Roman"/>
        </w:rPr>
        <w:t>is not only dangerous</w:t>
      </w:r>
      <w:r w:rsidR="00F850C0">
        <w:rPr>
          <w:rFonts w:cs="Times New Roman"/>
        </w:rPr>
        <w:t>;</w:t>
      </w:r>
      <w:r w:rsidR="00F80736">
        <w:rPr>
          <w:rFonts w:cs="Times New Roman"/>
        </w:rPr>
        <w:t xml:space="preserve"> it also brings into question the compatibility of the EUSS with the WA. </w:t>
      </w:r>
      <w:r w:rsidR="00815265" w:rsidRPr="00815265">
        <w:rPr>
          <w:rFonts w:cs="Times New Roman"/>
        </w:rPr>
        <w:t>There are t</w:t>
      </w:r>
      <w:r w:rsidR="00C24B18">
        <w:rPr>
          <w:rFonts w:cs="Times New Roman"/>
        </w:rPr>
        <w:t>wo</w:t>
      </w:r>
      <w:r w:rsidR="00815265" w:rsidRPr="00815265">
        <w:rPr>
          <w:rFonts w:cs="Times New Roman"/>
        </w:rPr>
        <w:t xml:space="preserve"> key legal reasons why </w:t>
      </w:r>
      <w:r w:rsidR="006D7BB7">
        <w:rPr>
          <w:rFonts w:cs="Times New Roman"/>
        </w:rPr>
        <w:t xml:space="preserve">pre-settled status </w:t>
      </w:r>
      <w:r w:rsidR="00815265" w:rsidRPr="00815265">
        <w:rPr>
          <w:rFonts w:cs="Times New Roman"/>
        </w:rPr>
        <w:t xml:space="preserve">should be treated as equivalent to Article 13 WA status, and by extension, people with EUSS should be treated as residing </w:t>
      </w:r>
      <w:proofErr w:type="gramStart"/>
      <w:r w:rsidR="00815265" w:rsidRPr="00815265">
        <w:rPr>
          <w:rFonts w:cs="Times New Roman"/>
        </w:rPr>
        <w:t>on the basis of</w:t>
      </w:r>
      <w:proofErr w:type="gramEnd"/>
      <w:r w:rsidR="00815265" w:rsidRPr="00815265">
        <w:rPr>
          <w:rFonts w:cs="Times New Roman"/>
        </w:rPr>
        <w:t xml:space="preserve"> the WA</w:t>
      </w:r>
      <w:r w:rsidR="003A4FAF">
        <w:rPr>
          <w:rFonts w:cs="Times New Roman"/>
        </w:rPr>
        <w:t>.</w:t>
      </w:r>
      <w:r w:rsidR="00815265" w:rsidRPr="00815265">
        <w:rPr>
          <w:rFonts w:cs="Times New Roman"/>
        </w:rPr>
        <w:t xml:space="preserve"> </w:t>
      </w:r>
    </w:p>
    <w:p w14:paraId="34774EA6" w14:textId="3FB53B75" w:rsidR="00815265" w:rsidRPr="00815265" w:rsidRDefault="006D7BB7" w:rsidP="00DE7F71">
      <w:pPr>
        <w:tabs>
          <w:tab w:val="left" w:pos="5234"/>
        </w:tabs>
        <w:spacing w:after="120"/>
        <w:rPr>
          <w:rFonts w:cs="Times New Roman"/>
        </w:rPr>
      </w:pPr>
      <w:r>
        <w:rPr>
          <w:rFonts w:cs="Times New Roman"/>
        </w:rPr>
        <w:t>First, i</w:t>
      </w:r>
      <w:r w:rsidR="00815265" w:rsidRPr="00815265">
        <w:rPr>
          <w:rFonts w:cs="Times New Roman"/>
        </w:rPr>
        <w:t>f the EUSS status is not</w:t>
      </w:r>
      <w:r w:rsidR="00F539D0">
        <w:rPr>
          <w:rFonts w:cs="Times New Roman"/>
        </w:rPr>
        <w:t xml:space="preserve"> a</w:t>
      </w:r>
      <w:r w:rsidR="00815265" w:rsidRPr="00815265">
        <w:rPr>
          <w:rFonts w:cs="Times New Roman"/>
        </w:rPr>
        <w:t xml:space="preserve"> WA residence status, then </w:t>
      </w:r>
      <w:r w:rsidR="00815265" w:rsidRPr="00F850C0">
        <w:rPr>
          <w:rFonts w:cs="Times New Roman"/>
          <w:i/>
          <w:iCs/>
        </w:rPr>
        <w:t>what is</w:t>
      </w:r>
      <w:r w:rsidR="00815265" w:rsidRPr="00815265">
        <w:rPr>
          <w:rFonts w:cs="Times New Roman"/>
        </w:rPr>
        <w:t xml:space="preserve">? </w:t>
      </w:r>
      <w:r w:rsidR="006D18AE">
        <w:rPr>
          <w:rFonts w:cs="Times New Roman"/>
        </w:rPr>
        <w:t xml:space="preserve">Essentially, if the UK government’s position prevails, then </w:t>
      </w:r>
      <w:r w:rsidR="00815265" w:rsidRPr="00815265">
        <w:rPr>
          <w:rFonts w:cs="Times New Roman"/>
        </w:rPr>
        <w:t xml:space="preserve">the UK has failed to discharge its obligations to provide </w:t>
      </w:r>
      <w:r w:rsidR="006D18AE">
        <w:rPr>
          <w:rFonts w:cs="Times New Roman"/>
        </w:rPr>
        <w:t>a WA residence</w:t>
      </w:r>
      <w:r w:rsidR="00815265" w:rsidRPr="00815265">
        <w:rPr>
          <w:rFonts w:cs="Times New Roman"/>
        </w:rPr>
        <w:t xml:space="preserve"> status</w:t>
      </w:r>
      <w:r w:rsidR="006D18AE">
        <w:rPr>
          <w:rFonts w:cs="Times New Roman"/>
        </w:rPr>
        <w:t>,</w:t>
      </w:r>
      <w:r w:rsidR="00815265" w:rsidRPr="00815265">
        <w:rPr>
          <w:rFonts w:cs="Times New Roman"/>
        </w:rPr>
        <w:t xml:space="preserve"> and documentary evidence of that status, as required by Article 18 WA</w:t>
      </w:r>
      <w:r w:rsidR="006D18AE">
        <w:rPr>
          <w:rFonts w:cs="Times New Roman"/>
        </w:rPr>
        <w:t>.</w:t>
      </w:r>
      <w:r w:rsidR="00A82431">
        <w:rPr>
          <w:rStyle w:val="FootnoteReference"/>
          <w:rFonts w:cs="Times New Roman"/>
        </w:rPr>
        <w:footnoteReference w:id="82"/>
      </w:r>
      <w:r w:rsidR="002A5063">
        <w:rPr>
          <w:rFonts w:cs="Times New Roman"/>
        </w:rPr>
        <w:t xml:space="preserve"> </w:t>
      </w:r>
      <w:r w:rsidR="00815265" w:rsidRPr="00815265">
        <w:rPr>
          <w:rFonts w:cs="Times New Roman"/>
        </w:rPr>
        <w:t xml:space="preserve">If EUSS status does not confirm WA status, then the UK has not only </w:t>
      </w:r>
      <w:r w:rsidR="00815265" w:rsidRPr="006D18AE">
        <w:rPr>
          <w:rFonts w:cs="Times New Roman"/>
          <w:i/>
          <w:iCs/>
        </w:rPr>
        <w:t>not</w:t>
      </w:r>
      <w:r w:rsidR="00815265" w:rsidRPr="00815265">
        <w:rPr>
          <w:rFonts w:cs="Times New Roman"/>
        </w:rPr>
        <w:t xml:space="preserve"> done so, but it has</w:t>
      </w:r>
      <w:r w:rsidR="006B7B1D">
        <w:rPr>
          <w:rFonts w:cs="Times New Roman"/>
        </w:rPr>
        <w:t xml:space="preserve"> </w:t>
      </w:r>
      <w:r w:rsidR="006B7B1D" w:rsidRPr="00B86CAC">
        <w:rPr>
          <w:rFonts w:cs="Times New Roman"/>
        </w:rPr>
        <w:t>potentially</w:t>
      </w:r>
      <w:r w:rsidR="00815265" w:rsidRPr="00815265">
        <w:rPr>
          <w:rFonts w:cs="Times New Roman"/>
        </w:rPr>
        <w:t xml:space="preserve"> misled millions </w:t>
      </w:r>
      <w:r w:rsidR="006D18AE">
        <w:rPr>
          <w:rFonts w:cs="Times New Roman"/>
        </w:rPr>
        <w:t xml:space="preserve">of </w:t>
      </w:r>
      <w:r w:rsidR="00815265" w:rsidRPr="00815265">
        <w:rPr>
          <w:rFonts w:cs="Times New Roman"/>
        </w:rPr>
        <w:t xml:space="preserve">people into thinking they have WA status by virtue of the EUSS. </w:t>
      </w:r>
      <w:r w:rsidR="000F2352">
        <w:rPr>
          <w:rFonts w:cs="Times New Roman"/>
        </w:rPr>
        <w:t xml:space="preserve">It also </w:t>
      </w:r>
      <w:r w:rsidR="006D18AE">
        <w:rPr>
          <w:rFonts w:cs="Times New Roman"/>
        </w:rPr>
        <w:t>means that neither</w:t>
      </w:r>
      <w:r w:rsidR="000F2352">
        <w:rPr>
          <w:rFonts w:cs="Times New Roman"/>
        </w:rPr>
        <w:t xml:space="preserve"> the UK </w:t>
      </w:r>
      <w:r w:rsidR="006410F1">
        <w:rPr>
          <w:rFonts w:cs="Times New Roman"/>
        </w:rPr>
        <w:t>nor</w:t>
      </w:r>
      <w:r w:rsidR="000F2352">
        <w:rPr>
          <w:rFonts w:cs="Times New Roman"/>
        </w:rPr>
        <w:t xml:space="preserve"> EU administration</w:t>
      </w:r>
      <w:r w:rsidR="006D18AE">
        <w:rPr>
          <w:rFonts w:cs="Times New Roman"/>
        </w:rPr>
        <w:t>s can</w:t>
      </w:r>
      <w:r w:rsidR="000F2352">
        <w:rPr>
          <w:rFonts w:cs="Times New Roman"/>
        </w:rPr>
        <w:t xml:space="preserve"> determine who has WA protections</w:t>
      </w:r>
      <w:r w:rsidR="00E45C3E">
        <w:rPr>
          <w:rFonts w:cs="Times New Roman"/>
        </w:rPr>
        <w:t xml:space="preserve">. Moreover, </w:t>
      </w:r>
      <w:r w:rsidR="00E45C3E" w:rsidRPr="00E45C3E">
        <w:rPr>
          <w:rFonts w:cs="Times New Roman"/>
        </w:rPr>
        <w:t>a failure to provide evidence of W</w:t>
      </w:r>
      <w:r w:rsidR="006410F1">
        <w:rPr>
          <w:rFonts w:cs="Times New Roman"/>
        </w:rPr>
        <w:t>A</w:t>
      </w:r>
      <w:r w:rsidR="00E45C3E">
        <w:rPr>
          <w:rFonts w:cs="Times New Roman"/>
        </w:rPr>
        <w:t xml:space="preserve"> residence status</w:t>
      </w:r>
      <w:r w:rsidR="00E45C3E" w:rsidRPr="00E45C3E">
        <w:rPr>
          <w:rFonts w:cs="Times New Roman"/>
        </w:rPr>
        <w:t xml:space="preserve"> breaches Article 5 </w:t>
      </w:r>
      <w:r w:rsidR="00E45C3E" w:rsidRPr="00E45C3E">
        <w:rPr>
          <w:rFonts w:cs="Times New Roman"/>
        </w:rPr>
        <w:lastRenderedPageBreak/>
        <w:t>of the Withdrawal Agreement on ‘good faith’. That provision requires the UK (and the EU) to ‘take all appropriate measures, whether general or particular, to ensure fulfilment of the obligations arising from this Agreement’ and to ‘refrain from any measures which could jeopardise the attainment of the objectives of this Agreement.’  </w:t>
      </w:r>
    </w:p>
    <w:p w14:paraId="623EF88A" w14:textId="3B11F849" w:rsidR="00F37AAB" w:rsidRDefault="006D7BB7" w:rsidP="00253560">
      <w:pPr>
        <w:tabs>
          <w:tab w:val="left" w:pos="5234"/>
        </w:tabs>
        <w:spacing w:after="120"/>
        <w:rPr>
          <w:rFonts w:cs="Times New Roman"/>
        </w:rPr>
      </w:pPr>
      <w:r>
        <w:rPr>
          <w:rFonts w:cs="Times New Roman"/>
        </w:rPr>
        <w:t>Second, i</w:t>
      </w:r>
      <w:r w:rsidR="00815265" w:rsidRPr="00815265">
        <w:rPr>
          <w:rFonts w:cs="Times New Roman"/>
        </w:rPr>
        <w:t xml:space="preserve">f the EUSS status is not WA residence status, then </w:t>
      </w:r>
      <w:r w:rsidR="00815265" w:rsidRPr="00F850C0">
        <w:rPr>
          <w:rFonts w:cs="Times New Roman"/>
          <w:i/>
          <w:iCs/>
        </w:rPr>
        <w:t>what is</w:t>
      </w:r>
      <w:r w:rsidR="00815265" w:rsidRPr="00815265">
        <w:rPr>
          <w:rFonts w:cs="Times New Roman"/>
        </w:rPr>
        <w:t xml:space="preserve"> </w:t>
      </w:r>
      <w:r w:rsidR="00815265" w:rsidRPr="004C75AB">
        <w:rPr>
          <w:rFonts w:cs="Times New Roman"/>
          <w:i/>
          <w:iCs/>
        </w:rPr>
        <w:t>it</w:t>
      </w:r>
      <w:r w:rsidR="00815265" w:rsidRPr="00815265">
        <w:rPr>
          <w:rFonts w:cs="Times New Roman"/>
        </w:rPr>
        <w:t>? Article 18</w:t>
      </w:r>
      <w:r w:rsidR="003D5A8A">
        <w:rPr>
          <w:rFonts w:cs="Times New Roman"/>
        </w:rPr>
        <w:t>(1)</w:t>
      </w:r>
      <w:r w:rsidR="00815265" w:rsidRPr="00815265">
        <w:rPr>
          <w:rFonts w:cs="Times New Roman"/>
        </w:rPr>
        <w:t xml:space="preserve"> WA </w:t>
      </w:r>
      <w:r w:rsidR="006D18AE">
        <w:rPr>
          <w:rFonts w:cs="Times New Roman"/>
        </w:rPr>
        <w:t>permits</w:t>
      </w:r>
      <w:r w:rsidR="00815265" w:rsidRPr="00815265">
        <w:rPr>
          <w:rFonts w:cs="Times New Roman"/>
        </w:rPr>
        <w:t xml:space="preserve"> a departure from the Article 12 WA principle of non-discrimination, </w:t>
      </w:r>
      <w:proofErr w:type="gramStart"/>
      <w:r w:rsidR="00815265" w:rsidRPr="00815265">
        <w:rPr>
          <w:rFonts w:cs="Times New Roman"/>
        </w:rPr>
        <w:t>in order to</w:t>
      </w:r>
      <w:proofErr w:type="gramEnd"/>
      <w:r w:rsidR="00815265" w:rsidRPr="00815265">
        <w:rPr>
          <w:rFonts w:cs="Times New Roman"/>
        </w:rPr>
        <w:t xml:space="preserve"> institute a new compulsory application scheme for a status that confers Title II rights. If EUSS status does not confer Title II rights, then it is not an exercise of the exception provided in Article 18</w:t>
      </w:r>
      <w:r w:rsidR="006D18AE">
        <w:rPr>
          <w:rFonts w:cs="Times New Roman"/>
        </w:rPr>
        <w:t>,</w:t>
      </w:r>
      <w:r w:rsidR="00815265" w:rsidRPr="00815265">
        <w:rPr>
          <w:rFonts w:cs="Times New Roman"/>
        </w:rPr>
        <w:t xml:space="preserve"> </w:t>
      </w:r>
      <w:r w:rsidR="006D18AE">
        <w:rPr>
          <w:rFonts w:cs="Times New Roman"/>
        </w:rPr>
        <w:t>so</w:t>
      </w:r>
      <w:r w:rsidR="00815265" w:rsidRPr="00815265">
        <w:rPr>
          <w:rFonts w:cs="Times New Roman"/>
        </w:rPr>
        <w:t xml:space="preserve"> is a discriminatory scheme, imposing administrative burdens upon EU nationals contrary to Article 12 WA. </w:t>
      </w:r>
      <w:r w:rsidR="005B519B">
        <w:rPr>
          <w:rFonts w:cs="Times New Roman"/>
        </w:rPr>
        <w:t>In other words</w:t>
      </w:r>
      <w:r w:rsidR="005B519B" w:rsidRPr="005B519B">
        <w:rPr>
          <w:rFonts w:cs="Times New Roman"/>
        </w:rPr>
        <w:t xml:space="preserve">, the EUSS is </w:t>
      </w:r>
      <w:r w:rsidR="005B519B">
        <w:rPr>
          <w:rFonts w:cs="Times New Roman"/>
        </w:rPr>
        <w:t xml:space="preserve">treated in the UK </w:t>
      </w:r>
      <w:r w:rsidR="005B519B" w:rsidRPr="005B519B">
        <w:rPr>
          <w:rFonts w:cs="Times New Roman"/>
        </w:rPr>
        <w:t xml:space="preserve">as necessary but not sufficient to demonstrate </w:t>
      </w:r>
      <w:r w:rsidR="006D18AE">
        <w:rPr>
          <w:rFonts w:cs="Times New Roman"/>
        </w:rPr>
        <w:t>W</w:t>
      </w:r>
      <w:r w:rsidR="005B519B" w:rsidRPr="005B519B">
        <w:rPr>
          <w:rFonts w:cs="Times New Roman"/>
        </w:rPr>
        <w:t xml:space="preserve">ithdrawal </w:t>
      </w:r>
      <w:r w:rsidR="006D18AE">
        <w:rPr>
          <w:rFonts w:cs="Times New Roman"/>
        </w:rPr>
        <w:t>A</w:t>
      </w:r>
      <w:r w:rsidR="005B519B" w:rsidRPr="005B519B">
        <w:rPr>
          <w:rFonts w:cs="Times New Roman"/>
        </w:rPr>
        <w:t xml:space="preserve">greement rights. But the Withdrawal Agreement only allows such a scheme to be necessary </w:t>
      </w:r>
      <w:r w:rsidR="005B519B" w:rsidRPr="006D18AE">
        <w:rPr>
          <w:rFonts w:cs="Times New Roman"/>
          <w:i/>
          <w:iCs/>
        </w:rPr>
        <w:t xml:space="preserve">if it is sufficient </w:t>
      </w:r>
      <w:r w:rsidR="005B519B" w:rsidRPr="005B519B">
        <w:rPr>
          <w:rFonts w:cs="Times New Roman"/>
        </w:rPr>
        <w:t xml:space="preserve">– if it confers rights. </w:t>
      </w:r>
      <w:r w:rsidR="00815265" w:rsidRPr="00815265">
        <w:rPr>
          <w:rFonts w:cs="Times New Roman"/>
        </w:rPr>
        <w:t xml:space="preserve">In which case, the UK has acted </w:t>
      </w:r>
      <w:r w:rsidR="00815265" w:rsidRPr="00205882">
        <w:rPr>
          <w:rFonts w:cs="Times New Roman"/>
          <w:i/>
          <w:iCs/>
        </w:rPr>
        <w:t>ultra vires</w:t>
      </w:r>
      <w:r w:rsidR="00815265" w:rsidRPr="00815265">
        <w:rPr>
          <w:rFonts w:cs="Times New Roman"/>
        </w:rPr>
        <w:t xml:space="preserve"> in obliging all EU nationals within the scope of the WA to apply for the EUSS</w:t>
      </w:r>
      <w:r w:rsidR="003C37EB">
        <w:rPr>
          <w:rFonts w:cs="Times New Roman"/>
        </w:rPr>
        <w:t xml:space="preserve">. By making an insufficient scheme compulsory, the </w:t>
      </w:r>
      <w:r w:rsidR="006D18AE">
        <w:rPr>
          <w:rFonts w:cs="Times New Roman"/>
        </w:rPr>
        <w:t>UK government has discriminated against all EU citizens</w:t>
      </w:r>
      <w:r w:rsidR="003C37EB">
        <w:rPr>
          <w:rFonts w:cs="Times New Roman"/>
        </w:rPr>
        <w:t xml:space="preserve">, including those </w:t>
      </w:r>
      <w:r w:rsidR="00AD4045">
        <w:rPr>
          <w:rFonts w:cs="Times New Roman"/>
        </w:rPr>
        <w:t>who</w:t>
      </w:r>
      <w:r w:rsidR="003C37EB">
        <w:rPr>
          <w:rFonts w:cs="Times New Roman"/>
        </w:rPr>
        <w:t xml:space="preserve"> </w:t>
      </w:r>
      <w:r w:rsidR="00AD4045">
        <w:rPr>
          <w:rFonts w:cs="Times New Roman"/>
        </w:rPr>
        <w:t>categorically meet the conditions of the WA.</w:t>
      </w:r>
      <w:r w:rsidR="00AE786B">
        <w:rPr>
          <w:rStyle w:val="FootnoteReference"/>
          <w:rFonts w:cs="Times New Roman"/>
        </w:rPr>
        <w:footnoteReference w:id="83"/>
      </w:r>
      <w:r w:rsidR="00AD4045">
        <w:rPr>
          <w:rFonts w:cs="Times New Roman"/>
        </w:rPr>
        <w:t xml:space="preserve"> </w:t>
      </w:r>
    </w:p>
    <w:p w14:paraId="57077A69" w14:textId="1A3A808B" w:rsidR="000344C2" w:rsidRDefault="006D18AE" w:rsidP="00253560">
      <w:pPr>
        <w:tabs>
          <w:tab w:val="left" w:pos="5234"/>
        </w:tabs>
        <w:spacing w:after="120"/>
        <w:rPr>
          <w:rFonts w:cs="Times New Roman"/>
        </w:rPr>
      </w:pPr>
      <w:r>
        <w:rPr>
          <w:rFonts w:cs="Times New Roman"/>
        </w:rPr>
        <w:t xml:space="preserve">If the EUSS is not </w:t>
      </w:r>
      <w:r w:rsidR="00E95018">
        <w:rPr>
          <w:rFonts w:cs="Times New Roman"/>
        </w:rPr>
        <w:t xml:space="preserve">an Article 18 ‘necessary and sufficient’ process, then that means it cannot be constitutive of WA rights. If we extrapolate, this would mean that </w:t>
      </w:r>
      <w:r w:rsidR="000344C2">
        <w:rPr>
          <w:rFonts w:cs="Times New Roman"/>
        </w:rPr>
        <w:t xml:space="preserve">should an EU national </w:t>
      </w:r>
      <w:r w:rsidR="004157D1">
        <w:rPr>
          <w:rFonts w:cs="Times New Roman"/>
        </w:rPr>
        <w:t>not have an EUSS status yet (</w:t>
      </w:r>
      <w:r>
        <w:rPr>
          <w:rFonts w:cs="Times New Roman"/>
        </w:rPr>
        <w:t>e.g. due to</w:t>
      </w:r>
      <w:r w:rsidR="004157D1">
        <w:rPr>
          <w:rFonts w:cs="Times New Roman"/>
        </w:rPr>
        <w:t xml:space="preserve"> not realising they had to apply)</w:t>
      </w:r>
      <w:r w:rsidR="000344C2">
        <w:rPr>
          <w:rFonts w:cs="Times New Roman"/>
        </w:rPr>
        <w:t xml:space="preserve">, </w:t>
      </w:r>
      <w:r w:rsidR="004157D1">
        <w:rPr>
          <w:rFonts w:cs="Times New Roman"/>
        </w:rPr>
        <w:t xml:space="preserve">they </w:t>
      </w:r>
      <w:r w:rsidR="000344C2">
        <w:rPr>
          <w:rFonts w:cs="Times New Roman"/>
        </w:rPr>
        <w:t xml:space="preserve">should be able to rely </w:t>
      </w:r>
      <w:r w:rsidR="005B2CE6">
        <w:rPr>
          <w:rFonts w:cs="Times New Roman"/>
        </w:rPr>
        <w:t xml:space="preserve">on the direct effect of </w:t>
      </w:r>
      <w:r w:rsidR="000344C2">
        <w:rPr>
          <w:rFonts w:cs="Times New Roman"/>
        </w:rPr>
        <w:t xml:space="preserve">the </w:t>
      </w:r>
      <w:r w:rsidR="005B2CE6">
        <w:rPr>
          <w:rFonts w:cs="Times New Roman"/>
        </w:rPr>
        <w:t>WA</w:t>
      </w:r>
      <w:r>
        <w:rPr>
          <w:rFonts w:cs="Times New Roman"/>
        </w:rPr>
        <w:t>,</w:t>
      </w:r>
      <w:r w:rsidR="000344C2">
        <w:rPr>
          <w:rFonts w:cs="Times New Roman"/>
        </w:rPr>
        <w:t xml:space="preserve"> </w:t>
      </w:r>
      <w:r w:rsidR="005B2CE6">
        <w:rPr>
          <w:rFonts w:cs="Times New Roman"/>
        </w:rPr>
        <w:t>and demonstrat</w:t>
      </w:r>
      <w:r w:rsidR="00381427">
        <w:rPr>
          <w:rFonts w:cs="Times New Roman"/>
        </w:rPr>
        <w:t>e</w:t>
      </w:r>
      <w:r w:rsidR="005B2CE6">
        <w:rPr>
          <w:rFonts w:cs="Times New Roman"/>
        </w:rPr>
        <w:t xml:space="preserve"> that they meet the underlying conditions to assert their </w:t>
      </w:r>
      <w:r w:rsidR="000344C2">
        <w:rPr>
          <w:rFonts w:cs="Times New Roman"/>
        </w:rPr>
        <w:t>right to remain in the UK and access services.</w:t>
      </w:r>
      <w:r w:rsidR="00381427">
        <w:rPr>
          <w:rStyle w:val="FootnoteReference"/>
          <w:rFonts w:cs="Times New Roman"/>
        </w:rPr>
        <w:footnoteReference w:id="84"/>
      </w:r>
      <w:r w:rsidR="000344C2">
        <w:rPr>
          <w:rFonts w:cs="Times New Roman"/>
        </w:rPr>
        <w:t xml:space="preserve"> For example, where the parents of children have been charged for accessing NHS care before they have submitted their </w:t>
      </w:r>
      <w:r w:rsidR="00776168">
        <w:rPr>
          <w:rFonts w:cs="Times New Roman"/>
        </w:rPr>
        <w:t xml:space="preserve">child’s EUSS </w:t>
      </w:r>
      <w:r w:rsidR="000344C2">
        <w:rPr>
          <w:rFonts w:cs="Times New Roman"/>
        </w:rPr>
        <w:t>application</w:t>
      </w:r>
      <w:r w:rsidR="00E95018">
        <w:rPr>
          <w:rFonts w:cs="Times New Roman"/>
        </w:rPr>
        <w:t>, the child should have a declaratory right to reside and to equal treatment</w:t>
      </w:r>
      <w:r w:rsidR="000344C2">
        <w:rPr>
          <w:rFonts w:cs="Times New Roman"/>
        </w:rPr>
        <w:t xml:space="preserve">. If </w:t>
      </w:r>
      <w:r w:rsidR="000344C2">
        <w:rPr>
          <w:rFonts w:cs="Times New Roman"/>
        </w:rPr>
        <w:lastRenderedPageBreak/>
        <w:t xml:space="preserve">the EUSS is not confirmation of WA rights, it must be possible for those </w:t>
      </w:r>
      <w:r w:rsidR="00776168">
        <w:rPr>
          <w:rFonts w:cs="Times New Roman"/>
        </w:rPr>
        <w:t xml:space="preserve">parents </w:t>
      </w:r>
      <w:r w:rsidR="000344C2">
        <w:rPr>
          <w:rFonts w:cs="Times New Roman"/>
        </w:rPr>
        <w:t>to demonstrate that the</w:t>
      </w:r>
      <w:r w:rsidR="00776168">
        <w:rPr>
          <w:rFonts w:cs="Times New Roman"/>
        </w:rPr>
        <w:t>ir children</w:t>
      </w:r>
      <w:r w:rsidR="000344C2">
        <w:rPr>
          <w:rFonts w:cs="Times New Roman"/>
        </w:rPr>
        <w:t xml:space="preserve"> meet the underlying conditions of the </w:t>
      </w:r>
      <w:r w:rsidR="00E95018">
        <w:rPr>
          <w:rFonts w:cs="Times New Roman"/>
        </w:rPr>
        <w:t>A</w:t>
      </w:r>
      <w:r w:rsidR="000344C2">
        <w:rPr>
          <w:rFonts w:cs="Times New Roman"/>
        </w:rPr>
        <w:t xml:space="preserve">greement to rely on equal treatment rights.  </w:t>
      </w:r>
    </w:p>
    <w:p w14:paraId="53B1117E" w14:textId="31396DBF" w:rsidR="003B7D35" w:rsidRPr="003B7D35" w:rsidRDefault="0047576C" w:rsidP="003B7D35">
      <w:pPr>
        <w:rPr>
          <w:rFonts w:cs="Times New Roman"/>
        </w:rPr>
      </w:pPr>
      <w:r w:rsidRPr="00774045">
        <w:rPr>
          <w:rFonts w:cs="Times New Roman"/>
          <w:color w:val="000000" w:themeColor="text1"/>
          <w:shd w:val="clear" w:color="auto" w:fill="FFFFFF"/>
        </w:rPr>
        <w:t xml:space="preserve">Over the (relatively small) question of whether a </w:t>
      </w:r>
      <w:r w:rsidR="007766F8">
        <w:rPr>
          <w:rFonts w:cs="Times New Roman"/>
          <w:color w:val="000000" w:themeColor="text1"/>
          <w:shd w:val="clear" w:color="auto" w:fill="FFFFFF"/>
        </w:rPr>
        <w:t>pre-settled status</w:t>
      </w:r>
      <w:r w:rsidRPr="00774045">
        <w:rPr>
          <w:rFonts w:cs="Times New Roman"/>
          <w:color w:val="000000" w:themeColor="text1"/>
          <w:shd w:val="clear" w:color="auto" w:fill="FFFFFF"/>
        </w:rPr>
        <w:t xml:space="preserve"> can confer temporary equal treatment rights, the UK government has argued for something of a nuclear option – permanently </w:t>
      </w:r>
      <w:r w:rsidR="007766F8">
        <w:rPr>
          <w:rFonts w:cs="Times New Roman"/>
          <w:color w:val="000000" w:themeColor="text1"/>
          <w:shd w:val="clear" w:color="auto" w:fill="FFFFFF"/>
        </w:rPr>
        <w:t xml:space="preserve">(and quietly) </w:t>
      </w:r>
      <w:r w:rsidRPr="00774045">
        <w:rPr>
          <w:rFonts w:cs="Times New Roman"/>
          <w:color w:val="000000" w:themeColor="text1"/>
          <w:shd w:val="clear" w:color="auto" w:fill="FFFFFF"/>
        </w:rPr>
        <w:t xml:space="preserve">ejecting hundreds of thousands of people from the complete </w:t>
      </w:r>
      <w:r>
        <w:rPr>
          <w:rFonts w:cs="Times New Roman"/>
          <w:color w:val="000000" w:themeColor="text1"/>
          <w:shd w:val="clear" w:color="auto" w:fill="FFFFFF"/>
        </w:rPr>
        <w:t>residence rights in</w:t>
      </w:r>
      <w:r w:rsidRPr="00774045">
        <w:rPr>
          <w:rFonts w:cs="Times New Roman"/>
          <w:color w:val="000000" w:themeColor="text1"/>
          <w:shd w:val="clear" w:color="auto" w:fill="FFFFFF"/>
        </w:rPr>
        <w:t xml:space="preserve"> the WA, </w:t>
      </w:r>
      <w:r w:rsidR="00524949">
        <w:rPr>
          <w:rFonts w:cs="Times New Roman"/>
          <w:color w:val="000000" w:themeColor="text1"/>
          <w:shd w:val="clear" w:color="auto" w:fill="FFFFFF"/>
        </w:rPr>
        <w:t>while denying any certainty to millions</w:t>
      </w:r>
      <w:r w:rsidRPr="00774045">
        <w:rPr>
          <w:rFonts w:cs="Times New Roman"/>
          <w:color w:val="000000" w:themeColor="text1"/>
          <w:shd w:val="clear" w:color="auto" w:fill="FFFFFF"/>
        </w:rPr>
        <w:t>.</w:t>
      </w:r>
      <w:r w:rsidR="00551830">
        <w:rPr>
          <w:rFonts w:cs="Times New Roman"/>
          <w:color w:val="000000" w:themeColor="text1"/>
          <w:shd w:val="clear" w:color="auto" w:fill="FFFFFF"/>
        </w:rPr>
        <w:t xml:space="preserve"> </w:t>
      </w:r>
      <w:r w:rsidR="00524949">
        <w:rPr>
          <w:rFonts w:cs="Times New Roman"/>
        </w:rPr>
        <w:t>I</w:t>
      </w:r>
      <w:r w:rsidR="0060300F">
        <w:rPr>
          <w:rFonts w:cs="Times New Roman"/>
        </w:rPr>
        <w:t xml:space="preserve">f the government position </w:t>
      </w:r>
      <w:r w:rsidR="007B11EA">
        <w:rPr>
          <w:rFonts w:cs="Times New Roman"/>
        </w:rPr>
        <w:t xml:space="preserve">on Article 13 WA is accepted, the </w:t>
      </w:r>
      <w:r w:rsidR="00904DDF">
        <w:rPr>
          <w:rFonts w:cs="Times New Roman"/>
        </w:rPr>
        <w:t xml:space="preserve">connection between the EUSS and WA is broken. </w:t>
      </w:r>
      <w:r w:rsidR="00F36084">
        <w:rPr>
          <w:rFonts w:cs="Times New Roman"/>
        </w:rPr>
        <w:t xml:space="preserve">By contorting the relationship of the EUSS and the WA into one of gateways, tiered residence statuses and conditions-when-convenient for the government, it </w:t>
      </w:r>
      <w:r w:rsidR="005E2D62">
        <w:rPr>
          <w:rFonts w:cs="Times New Roman"/>
        </w:rPr>
        <w:t xml:space="preserve">has </w:t>
      </w:r>
      <w:r w:rsidR="00F36084">
        <w:rPr>
          <w:rFonts w:cs="Times New Roman"/>
        </w:rPr>
        <w:t>s</w:t>
      </w:r>
      <w:r w:rsidR="001C5D45">
        <w:rPr>
          <w:rFonts w:cs="Times New Roman"/>
        </w:rPr>
        <w:t>trip</w:t>
      </w:r>
      <w:r w:rsidR="005E2D62">
        <w:rPr>
          <w:rFonts w:cs="Times New Roman"/>
        </w:rPr>
        <w:t>ped</w:t>
      </w:r>
      <w:r w:rsidR="00F36084">
        <w:rPr>
          <w:rFonts w:cs="Times New Roman"/>
        </w:rPr>
        <w:t xml:space="preserve"> legal certainty</w:t>
      </w:r>
      <w:r w:rsidR="005E2D62">
        <w:rPr>
          <w:rFonts w:cs="Times New Roman"/>
        </w:rPr>
        <w:t xml:space="preserve"> out of the Withdrawal Agreement-based citizens’ rights in the UK</w:t>
      </w:r>
      <w:r w:rsidR="00F36084">
        <w:rPr>
          <w:rFonts w:cs="Times New Roman"/>
        </w:rPr>
        <w:t>.</w:t>
      </w:r>
      <w:r w:rsidR="003B7D35">
        <w:rPr>
          <w:rFonts w:cs="Times New Roman"/>
        </w:rPr>
        <w:t xml:space="preserve"> In this, EU institutions have indicated that the UK government has not discharged its WA obligations. </w:t>
      </w:r>
      <w:r w:rsidR="003B7D35" w:rsidRPr="003B7D35">
        <w:rPr>
          <w:rFonts w:cs="Times New Roman"/>
        </w:rPr>
        <w:t>The European Parliament has warned about the ‘obvious risk… of legal uncertainty as to the nature of the status held by an EU citizen’, because it is unclear ‘whether their rights under the EUSS derive from the Withdrawal Agreement, with its guarantee of lifelong protectio</w:t>
      </w:r>
      <w:r w:rsidR="003B7D35">
        <w:rPr>
          <w:rFonts w:cs="Times New Roman"/>
        </w:rPr>
        <w:t>n…</w:t>
      </w:r>
      <w:r w:rsidR="003B7D35" w:rsidRPr="003B7D35">
        <w:rPr>
          <w:rFonts w:cs="Times New Roman"/>
        </w:rPr>
        <w:t xml:space="preserve"> or under UK immigration law, </w:t>
      </w:r>
      <w:r w:rsidR="003B7D35" w:rsidRPr="003B7D35">
        <w:rPr>
          <w:rFonts w:cs="Times New Roman"/>
          <w:i/>
          <w:iCs/>
        </w:rPr>
        <w:t>which the UK as a sovereign state is free to amend</w:t>
      </w:r>
      <w:r w:rsidR="003B7D35" w:rsidRPr="003B7D35">
        <w:rPr>
          <w:rFonts w:cs="Times New Roman"/>
        </w:rPr>
        <w:t xml:space="preserve">’. The European Parliament listed this as one of </w:t>
      </w:r>
      <w:proofErr w:type="gramStart"/>
      <w:r w:rsidR="003B7D35" w:rsidRPr="003B7D35">
        <w:rPr>
          <w:rFonts w:cs="Times New Roman"/>
        </w:rPr>
        <w:t>a number of</w:t>
      </w:r>
      <w:proofErr w:type="gramEnd"/>
      <w:r w:rsidR="003B7D35" w:rsidRPr="003B7D35">
        <w:rPr>
          <w:rFonts w:cs="Times New Roman"/>
        </w:rPr>
        <w:t xml:space="preserve"> ‘serious deviations from the Withdrawal Agreement’,</w:t>
      </w:r>
      <w:bookmarkStart w:id="0" w:name="_Ref205554167"/>
      <w:r w:rsidR="003B7D35" w:rsidRPr="003B7D35">
        <w:rPr>
          <w:rFonts w:cs="Times New Roman"/>
          <w:vertAlign w:val="superscript"/>
        </w:rPr>
        <w:footnoteReference w:id="85"/>
      </w:r>
      <w:bookmarkEnd w:id="0"/>
      <w:r w:rsidR="003B7D35" w:rsidRPr="003B7D35">
        <w:rPr>
          <w:rFonts w:cs="Times New Roman"/>
        </w:rPr>
        <w:t xml:space="preserve"> further noting that ‘The EU has repeatedly raised its concerns over this issue with the UK’. Indeed, in a joint statement, the Specialised Committee on Citizens Rights </w:t>
      </w:r>
      <w:proofErr w:type="gramStart"/>
      <w:r w:rsidR="003B7D35" w:rsidRPr="003B7D35">
        <w:rPr>
          <w:rFonts w:cs="Times New Roman"/>
        </w:rPr>
        <w:t>stated</w:t>
      </w:r>
      <w:proofErr w:type="gramEnd"/>
      <w:r w:rsidR="003B7D35" w:rsidRPr="003B7D35">
        <w:rPr>
          <w:rFonts w:cs="Times New Roman"/>
        </w:rPr>
        <w:t xml:space="preserve"> ‘The EU reiterated their concerns as regards the compatibility with the Withdrawal Agreement of… lack of legal clarity </w:t>
      </w:r>
      <w:r w:rsidR="003B7D35" w:rsidRPr="003B7D35">
        <w:rPr>
          <w:rFonts w:cs="Times New Roman"/>
        </w:rPr>
        <w:lastRenderedPageBreak/>
        <w:t>to EU citizens, who hold a new UK residence status, as to whether their rights are guaranteed by the Withdrawal Agreement or by the UK immigration law’.</w:t>
      </w:r>
      <w:r w:rsidR="003B7D35" w:rsidRPr="003B7D35">
        <w:rPr>
          <w:rFonts w:cs="Times New Roman"/>
          <w:vertAlign w:val="superscript"/>
        </w:rPr>
        <w:footnoteReference w:id="86"/>
      </w:r>
      <w:r w:rsidR="003B7D35" w:rsidRPr="003B7D35">
        <w:rPr>
          <w:rFonts w:cs="Times New Roman"/>
        </w:rPr>
        <w:t> </w:t>
      </w:r>
    </w:p>
    <w:p w14:paraId="172E6E69" w14:textId="4AF8E76A" w:rsidR="00F36084" w:rsidRDefault="00F36084" w:rsidP="00551830">
      <w:pPr>
        <w:ind w:firstLine="720"/>
        <w:rPr>
          <w:rFonts w:cs="Times New Roman"/>
        </w:rPr>
      </w:pPr>
    </w:p>
    <w:p w14:paraId="5198946F" w14:textId="33BE6DC8" w:rsidR="00C476C3" w:rsidRDefault="00C73CD7" w:rsidP="00253560">
      <w:pPr>
        <w:pStyle w:val="Heading1"/>
      </w:pPr>
      <w:r>
        <w:t>THE SECRET SEVERING OF RIGHTS</w:t>
      </w:r>
    </w:p>
    <w:p w14:paraId="384BDE1F" w14:textId="03081C96" w:rsidR="006F1026" w:rsidRPr="00774045" w:rsidRDefault="00AC432A" w:rsidP="00253560">
      <w:pPr>
        <w:spacing w:after="120"/>
        <w:rPr>
          <w:rFonts w:cs="Times New Roman"/>
          <w:color w:val="000000" w:themeColor="text1"/>
          <w:shd w:val="clear" w:color="auto" w:fill="FFFFFF"/>
        </w:rPr>
      </w:pPr>
      <w:r>
        <w:rPr>
          <w:rFonts w:cs="Times New Roman"/>
        </w:rPr>
        <w:t>I</w:t>
      </w:r>
      <w:r w:rsidR="000D5754" w:rsidRPr="00815265">
        <w:rPr>
          <w:rFonts w:cs="Times New Roman"/>
        </w:rPr>
        <w:t xml:space="preserve">f EUSS status is not WA residence status, the UK government </w:t>
      </w:r>
      <w:r w:rsidR="00204F5C">
        <w:rPr>
          <w:rFonts w:cs="Times New Roman"/>
        </w:rPr>
        <w:t xml:space="preserve">has </w:t>
      </w:r>
      <w:r w:rsidR="000D5754" w:rsidRPr="00815265">
        <w:rPr>
          <w:rFonts w:cs="Times New Roman"/>
        </w:rPr>
        <w:t xml:space="preserve">created a severe, invisible disjuncture, permanently but secretly stripping all EU nationals of any means of evidencing Title II rights. </w:t>
      </w:r>
      <w:r w:rsidR="00D945BE" w:rsidRPr="00774045">
        <w:rPr>
          <w:rFonts w:cs="Times New Roman"/>
          <w:color w:val="000000" w:themeColor="text1"/>
          <w:shd w:val="clear" w:color="auto" w:fill="FFFFFF"/>
        </w:rPr>
        <w:t>This separation is permanent and goes beyond PSS</w:t>
      </w:r>
      <w:r w:rsidR="0063387A">
        <w:rPr>
          <w:rFonts w:cs="Times New Roman"/>
          <w:color w:val="000000" w:themeColor="text1"/>
          <w:shd w:val="clear" w:color="auto" w:fill="FFFFFF"/>
        </w:rPr>
        <w:t>.</w:t>
      </w:r>
      <w:r w:rsidR="00D945BE" w:rsidRPr="00774045">
        <w:rPr>
          <w:rFonts w:cs="Times New Roman"/>
          <w:color w:val="000000" w:themeColor="text1"/>
          <w:shd w:val="clear" w:color="auto" w:fill="FFFFFF"/>
        </w:rPr>
        <w:t xml:space="preserve"> </w:t>
      </w:r>
      <w:r w:rsidR="00A51994">
        <w:rPr>
          <w:rFonts w:cs="Times New Roman"/>
          <w:color w:val="000000" w:themeColor="text1"/>
          <w:shd w:val="clear" w:color="auto" w:fill="FFFFFF"/>
        </w:rPr>
        <w:t>It exposes all EUSS holders to a legal vacuum where no one can know if their status guarantees them protection under the withdrawal agreement</w:t>
      </w:r>
      <w:r w:rsidR="00A51994" w:rsidRPr="003741D5">
        <w:rPr>
          <w:rFonts w:cs="Times New Roman"/>
          <w:color w:val="000000" w:themeColor="text1"/>
          <w:shd w:val="clear" w:color="auto" w:fill="FFFFFF"/>
        </w:rPr>
        <w:t xml:space="preserve">. </w:t>
      </w:r>
      <w:r w:rsidR="0063387A">
        <w:rPr>
          <w:rFonts w:cs="Times New Roman"/>
          <w:color w:val="000000" w:themeColor="text1"/>
          <w:shd w:val="clear" w:color="auto" w:fill="FFFFFF"/>
        </w:rPr>
        <w:t>O</w:t>
      </w:r>
      <w:r w:rsidR="0063387A" w:rsidRPr="00774045">
        <w:rPr>
          <w:rFonts w:cs="Times New Roman"/>
          <w:color w:val="000000" w:themeColor="text1"/>
          <w:shd w:val="clear" w:color="auto" w:fill="FFFFFF"/>
        </w:rPr>
        <w:t>n this logic, someone with domestic-only rights would attain settled status purely through domestic law and therefore be at risk of any changes to that domestic law</w:t>
      </w:r>
      <w:r w:rsidR="0063387A">
        <w:rPr>
          <w:rFonts w:cs="Times New Roman"/>
          <w:color w:val="000000" w:themeColor="text1"/>
          <w:shd w:val="clear" w:color="auto" w:fill="FFFFFF"/>
        </w:rPr>
        <w:t>.</w:t>
      </w:r>
      <w:r w:rsidR="0063387A" w:rsidRPr="00774045">
        <w:rPr>
          <w:rFonts w:cs="Times New Roman"/>
          <w:color w:val="000000" w:themeColor="text1"/>
          <w:shd w:val="clear" w:color="auto" w:fill="FFFFFF"/>
        </w:rPr>
        <w:t xml:space="preserve"> </w:t>
      </w:r>
      <w:r w:rsidR="000D5754" w:rsidRPr="00815265">
        <w:rPr>
          <w:rFonts w:cs="Times New Roman"/>
        </w:rPr>
        <w:t>This would mean that in the future, even those with EUSS settled status cannot rely on that to invoke WA rights</w:t>
      </w:r>
      <w:r w:rsidR="000D5754">
        <w:rPr>
          <w:rFonts w:cs="Times New Roman"/>
        </w:rPr>
        <w:t>.</w:t>
      </w:r>
      <w:r>
        <w:rPr>
          <w:rFonts w:cs="Times New Roman"/>
        </w:rPr>
        <w:t xml:space="preserve"> </w:t>
      </w:r>
      <w:r w:rsidR="00BA09D9" w:rsidRPr="00815265">
        <w:rPr>
          <w:rFonts w:cs="Times New Roman"/>
        </w:rPr>
        <w:t xml:space="preserve">Instead, there must be an extensive retrospective examination of </w:t>
      </w:r>
      <w:proofErr w:type="gramStart"/>
      <w:r w:rsidR="00BA09D9" w:rsidRPr="00815265">
        <w:rPr>
          <w:rFonts w:cs="Times New Roman"/>
        </w:rPr>
        <w:t>each and every</w:t>
      </w:r>
      <w:proofErr w:type="gramEnd"/>
      <w:r w:rsidR="00BA09D9" w:rsidRPr="00815265">
        <w:rPr>
          <w:rFonts w:cs="Times New Roman"/>
        </w:rPr>
        <w:t xml:space="preserve"> EUSS status holder’s circumstances to ascertain </w:t>
      </w:r>
      <w:proofErr w:type="gramStart"/>
      <w:r w:rsidR="00BA09D9" w:rsidRPr="00815265">
        <w:rPr>
          <w:rFonts w:cs="Times New Roman"/>
        </w:rPr>
        <w:t>whether or not</w:t>
      </w:r>
      <w:proofErr w:type="gramEnd"/>
      <w:r w:rsidR="00BA09D9" w:rsidRPr="00815265">
        <w:rPr>
          <w:rFonts w:cs="Times New Roman"/>
        </w:rPr>
        <w:t xml:space="preserve"> </w:t>
      </w:r>
      <w:r w:rsidR="003C0EA2">
        <w:rPr>
          <w:rFonts w:cs="Times New Roman"/>
        </w:rPr>
        <w:t>they m</w:t>
      </w:r>
      <w:r w:rsidR="00AA72A0">
        <w:rPr>
          <w:rFonts w:cs="Times New Roman"/>
        </w:rPr>
        <w:t>e</w:t>
      </w:r>
      <w:r w:rsidR="003C0EA2">
        <w:rPr>
          <w:rFonts w:cs="Times New Roman"/>
        </w:rPr>
        <w:t xml:space="preserve">et the </w:t>
      </w:r>
      <w:r w:rsidR="003C0EA2">
        <w:rPr>
          <w:rFonts w:cs="Times New Roman"/>
          <w:i/>
          <w:iCs/>
        </w:rPr>
        <w:t xml:space="preserve">lawful </w:t>
      </w:r>
      <w:r w:rsidR="003C0EA2">
        <w:rPr>
          <w:rFonts w:cs="Times New Roman"/>
        </w:rPr>
        <w:t>residence conditions</w:t>
      </w:r>
      <w:r w:rsidR="00AA72A0">
        <w:rPr>
          <w:rFonts w:cs="Times New Roman"/>
        </w:rPr>
        <w:t xml:space="preserve"> of</w:t>
      </w:r>
      <w:r w:rsidR="00BA09D9" w:rsidRPr="00815265">
        <w:rPr>
          <w:rFonts w:cs="Times New Roman"/>
        </w:rPr>
        <w:t xml:space="preserve"> the WA. </w:t>
      </w:r>
    </w:p>
    <w:p w14:paraId="7B0A7A4E" w14:textId="3432961F" w:rsidR="00204F5C" w:rsidRDefault="00063862" w:rsidP="00204F5C">
      <w:pPr>
        <w:tabs>
          <w:tab w:val="left" w:pos="5234"/>
        </w:tabs>
        <w:spacing w:after="120"/>
        <w:rPr>
          <w:rFonts w:cs="Times New Roman"/>
        </w:rPr>
      </w:pPr>
      <w:r>
        <w:rPr>
          <w:rFonts w:cs="Times New Roman"/>
          <w:color w:val="000000" w:themeColor="text1"/>
          <w:shd w:val="clear" w:color="auto" w:fill="FFFFFF"/>
        </w:rPr>
        <w:t xml:space="preserve">More insidious though, is the secretive nature of this severance. </w:t>
      </w:r>
      <w:r w:rsidR="002E7677" w:rsidRPr="00774045">
        <w:rPr>
          <w:rFonts w:cs="Times New Roman"/>
          <w:color w:val="000000" w:themeColor="text1"/>
          <w:shd w:val="clear" w:color="auto" w:fill="FFFFFF"/>
        </w:rPr>
        <w:t>The UK government’s argument separates those with EUSS status and WA rights from those who have EUSS status but no WA rights – but it does not tell anyone which camp they fall into</w:t>
      </w:r>
      <w:r w:rsidR="002E7677">
        <w:rPr>
          <w:rFonts w:cs="Times New Roman"/>
          <w:color w:val="000000" w:themeColor="text1"/>
          <w:shd w:val="clear" w:color="auto" w:fill="FFFFFF"/>
        </w:rPr>
        <w:t xml:space="preserve">. </w:t>
      </w:r>
      <w:r w:rsidR="00BA09D9" w:rsidRPr="00815265">
        <w:rPr>
          <w:rFonts w:cs="Times New Roman"/>
        </w:rPr>
        <w:t>It is the worst of both worlds; it renders the whole scheme declaratory, while misleading recipients into thinking they have a constitutive status, creating uncertainty squared.</w:t>
      </w:r>
      <w:r w:rsidR="00BA09D9">
        <w:rPr>
          <w:rFonts w:cs="Times New Roman"/>
        </w:rPr>
        <w:t xml:space="preserve"> </w:t>
      </w:r>
      <w:r w:rsidR="00C453A9">
        <w:rPr>
          <w:rFonts w:cs="Times New Roman"/>
          <w:color w:val="000000" w:themeColor="text1"/>
          <w:shd w:val="clear" w:color="auto" w:fill="FFFFFF"/>
        </w:rPr>
        <w:t xml:space="preserve">It is not possible for an EU citizen to work out whether their grant of status under the EUSS means that they have protection under the </w:t>
      </w:r>
      <w:r w:rsidR="007A27AA">
        <w:rPr>
          <w:rFonts w:cs="Times New Roman"/>
          <w:color w:val="000000" w:themeColor="text1"/>
          <w:shd w:val="clear" w:color="auto" w:fill="FFFFFF"/>
        </w:rPr>
        <w:t>WA</w:t>
      </w:r>
      <w:r w:rsidR="00C453A9">
        <w:rPr>
          <w:rFonts w:cs="Times New Roman"/>
          <w:color w:val="000000" w:themeColor="text1"/>
          <w:shd w:val="clear" w:color="auto" w:fill="FFFFFF"/>
        </w:rPr>
        <w:t xml:space="preserve">. </w:t>
      </w:r>
      <w:r w:rsidR="007A27AA">
        <w:rPr>
          <w:rFonts w:cs="Times New Roman"/>
        </w:rPr>
        <w:t>Part of the biggest problem with this is the covert</w:t>
      </w:r>
      <w:r w:rsidR="00676369">
        <w:rPr>
          <w:rFonts w:cs="Times New Roman"/>
        </w:rPr>
        <w:t xml:space="preserve"> </w:t>
      </w:r>
      <w:r w:rsidR="007A27AA">
        <w:rPr>
          <w:rFonts w:cs="Times New Roman"/>
        </w:rPr>
        <w:t>severing of rights</w:t>
      </w:r>
      <w:r w:rsidR="00676369">
        <w:rPr>
          <w:rFonts w:cs="Times New Roman"/>
        </w:rPr>
        <w:t>, is that n</w:t>
      </w:r>
      <w:r w:rsidR="007A27AA">
        <w:rPr>
          <w:rFonts w:cs="Times New Roman"/>
        </w:rPr>
        <w:t xml:space="preserve">o one </w:t>
      </w:r>
      <w:r w:rsidR="003D4C1C">
        <w:rPr>
          <w:rFonts w:cs="Times New Roman"/>
        </w:rPr>
        <w:t>has been</w:t>
      </w:r>
      <w:r w:rsidR="007A27AA">
        <w:rPr>
          <w:rFonts w:cs="Times New Roman"/>
        </w:rPr>
        <w:t xml:space="preserve"> </w:t>
      </w:r>
      <w:r w:rsidR="00676369">
        <w:rPr>
          <w:rFonts w:cs="Times New Roman"/>
        </w:rPr>
        <w:t xml:space="preserve">warned </w:t>
      </w:r>
      <w:r w:rsidR="007A27AA">
        <w:rPr>
          <w:rFonts w:cs="Times New Roman"/>
        </w:rPr>
        <w:t xml:space="preserve">to get their affairs in </w:t>
      </w:r>
      <w:proofErr w:type="gramStart"/>
      <w:r w:rsidR="007A27AA">
        <w:rPr>
          <w:rFonts w:cs="Times New Roman"/>
        </w:rPr>
        <w:t>order</w:t>
      </w:r>
      <w:r w:rsidR="00676369">
        <w:rPr>
          <w:rFonts w:cs="Times New Roman"/>
        </w:rPr>
        <w:t>, and</w:t>
      </w:r>
      <w:proofErr w:type="gramEnd"/>
      <w:r w:rsidR="00676369">
        <w:rPr>
          <w:rFonts w:cs="Times New Roman"/>
        </w:rPr>
        <w:t xml:space="preserve"> collate documentary evidence of meeting the </w:t>
      </w:r>
      <w:r w:rsidR="00676369">
        <w:rPr>
          <w:rFonts w:cs="Times New Roman"/>
        </w:rPr>
        <w:lastRenderedPageBreak/>
        <w:t>conditions</w:t>
      </w:r>
      <w:r w:rsidR="007A27AA">
        <w:rPr>
          <w:rFonts w:cs="Times New Roman"/>
        </w:rPr>
        <w:t xml:space="preserve"> within the WA</w:t>
      </w:r>
      <w:r w:rsidR="00676369">
        <w:rPr>
          <w:rFonts w:cs="Times New Roman"/>
        </w:rPr>
        <w:t>. T</w:t>
      </w:r>
      <w:r w:rsidR="007A27AA">
        <w:rPr>
          <w:rFonts w:cs="Times New Roman"/>
        </w:rPr>
        <w:t xml:space="preserve">he importance </w:t>
      </w:r>
      <w:r w:rsidR="003D4C1C">
        <w:rPr>
          <w:rFonts w:cs="Times New Roman"/>
        </w:rPr>
        <w:t xml:space="preserve">of </w:t>
      </w:r>
      <w:r w:rsidR="002B36B8">
        <w:rPr>
          <w:rFonts w:cs="Times New Roman"/>
        </w:rPr>
        <w:t>work, self-employment, or self-sufficiency h</w:t>
      </w:r>
      <w:r w:rsidR="007A27AA">
        <w:rPr>
          <w:rFonts w:cs="Times New Roman"/>
        </w:rPr>
        <w:t>a</w:t>
      </w:r>
      <w:r w:rsidR="002B36B8">
        <w:rPr>
          <w:rFonts w:cs="Times New Roman"/>
        </w:rPr>
        <w:t>s not</w:t>
      </w:r>
      <w:r w:rsidR="007A27AA">
        <w:rPr>
          <w:rFonts w:cs="Times New Roman"/>
        </w:rPr>
        <w:t xml:space="preserve"> been communicated. </w:t>
      </w:r>
      <w:r w:rsidR="005172BB">
        <w:rPr>
          <w:rFonts w:cs="Times New Roman"/>
        </w:rPr>
        <w:t xml:space="preserve">EUSS status holders have had no indication that they may have to find and store evidence of their residence rights. </w:t>
      </w:r>
      <w:r w:rsidR="00BA09D9">
        <w:rPr>
          <w:rFonts w:cs="Times New Roman"/>
        </w:rPr>
        <w:t>Should this be required to access public services, or other rights in the future, there will likely be a large cohort of people with no evidence of this.</w:t>
      </w:r>
    </w:p>
    <w:p w14:paraId="2A6BB16F" w14:textId="7BFE636D" w:rsidR="00944844" w:rsidRPr="00204F5C" w:rsidRDefault="007A2EA1" w:rsidP="00204F5C">
      <w:pPr>
        <w:tabs>
          <w:tab w:val="left" w:pos="5234"/>
        </w:tabs>
        <w:spacing w:after="120"/>
        <w:rPr>
          <w:rFonts w:cs="Times New Roman"/>
        </w:rPr>
      </w:pPr>
      <w:r>
        <w:rPr>
          <w:rFonts w:cs="Times New Roman"/>
        </w:rPr>
        <w:t xml:space="preserve">It may be possible to acquire further confirmation of residence rights under the </w:t>
      </w:r>
      <w:r w:rsidR="00676369">
        <w:rPr>
          <w:rFonts w:cs="Times New Roman"/>
        </w:rPr>
        <w:t>W</w:t>
      </w:r>
      <w:r w:rsidR="00CB110C">
        <w:rPr>
          <w:rFonts w:cs="Times New Roman"/>
        </w:rPr>
        <w:t xml:space="preserve">ithdrawal </w:t>
      </w:r>
      <w:r w:rsidR="00676369">
        <w:rPr>
          <w:rFonts w:cs="Times New Roman"/>
        </w:rPr>
        <w:t>A</w:t>
      </w:r>
      <w:r w:rsidR="00CB110C">
        <w:rPr>
          <w:rFonts w:cs="Times New Roman"/>
        </w:rPr>
        <w:t>greement</w:t>
      </w:r>
      <w:r>
        <w:rPr>
          <w:rFonts w:cs="Times New Roman"/>
        </w:rPr>
        <w:t xml:space="preserve"> (or at least confirmation that the government at one point accepted </w:t>
      </w:r>
      <w:r w:rsidR="00866030">
        <w:rPr>
          <w:rFonts w:cs="Times New Roman"/>
        </w:rPr>
        <w:t>these rights)</w:t>
      </w:r>
      <w:r w:rsidR="007B74B4">
        <w:rPr>
          <w:rStyle w:val="FootnoteReference"/>
          <w:rFonts w:cs="Times New Roman"/>
        </w:rPr>
        <w:footnoteReference w:id="87"/>
      </w:r>
      <w:r w:rsidR="00866030" w:rsidRPr="00866030">
        <w:rPr>
          <w:rFonts w:cs="Times New Roman"/>
          <w:color w:val="000000" w:themeColor="text1"/>
          <w:shd w:val="clear" w:color="auto" w:fill="FFFFFF"/>
        </w:rPr>
        <w:t xml:space="preserve"> </w:t>
      </w:r>
      <w:r w:rsidR="00866030">
        <w:rPr>
          <w:rFonts w:cs="Times New Roman"/>
          <w:color w:val="000000" w:themeColor="text1"/>
          <w:shd w:val="clear" w:color="auto" w:fill="FFFFFF"/>
        </w:rPr>
        <w:t xml:space="preserve">where holders of pre-settled status apply for and are awarded welfare benefits that have a right to reside test. </w:t>
      </w:r>
      <w:r w:rsidR="00676369">
        <w:rPr>
          <w:rFonts w:cs="Times New Roman"/>
          <w:color w:val="000000" w:themeColor="text1"/>
          <w:shd w:val="clear" w:color="auto" w:fill="FFFFFF"/>
        </w:rPr>
        <w:t xml:space="preserve">But at best this only provides a snapshot of perceived status at a given moment. </w:t>
      </w:r>
      <w:r w:rsidR="005E3182">
        <w:rPr>
          <w:rFonts w:cs="Times New Roman"/>
          <w:color w:val="000000" w:themeColor="text1"/>
          <w:shd w:val="clear" w:color="auto" w:fill="FFFFFF"/>
        </w:rPr>
        <w:t>Alternatively,</w:t>
      </w:r>
      <w:r w:rsidR="00D96BA3">
        <w:rPr>
          <w:rFonts w:cs="Times New Roman"/>
          <w:color w:val="000000" w:themeColor="text1"/>
          <w:shd w:val="clear" w:color="auto" w:fill="FFFFFF"/>
        </w:rPr>
        <w:t xml:space="preserve"> those </w:t>
      </w:r>
      <w:r w:rsidR="005E3182">
        <w:rPr>
          <w:rFonts w:cs="Times New Roman"/>
          <w:color w:val="000000" w:themeColor="text1"/>
          <w:shd w:val="clear" w:color="auto" w:fill="FFFFFF"/>
        </w:rPr>
        <w:t xml:space="preserve">with settled status </w:t>
      </w:r>
      <w:r w:rsidR="00D96BA3">
        <w:rPr>
          <w:rFonts w:cs="Times New Roman"/>
          <w:color w:val="000000" w:themeColor="text1"/>
          <w:shd w:val="clear" w:color="auto" w:fill="FFFFFF"/>
        </w:rPr>
        <w:t>who previously applied and were awarded with a document confirming their permanent residence</w:t>
      </w:r>
      <w:r w:rsidR="005E3182">
        <w:rPr>
          <w:rFonts w:cs="Times New Roman"/>
          <w:color w:val="000000" w:themeColor="text1"/>
          <w:shd w:val="clear" w:color="auto" w:fill="FFFFFF"/>
        </w:rPr>
        <w:t xml:space="preserve"> and have still held on to this document</w:t>
      </w:r>
      <w:r w:rsidR="00064BF3">
        <w:rPr>
          <w:rFonts w:cs="Times New Roman"/>
          <w:color w:val="000000" w:themeColor="text1"/>
          <w:shd w:val="clear" w:color="auto" w:fill="FFFFFF"/>
        </w:rPr>
        <w:t>,</w:t>
      </w:r>
      <w:r w:rsidR="005E3182">
        <w:rPr>
          <w:rFonts w:cs="Times New Roman"/>
          <w:color w:val="000000" w:themeColor="text1"/>
          <w:shd w:val="clear" w:color="auto" w:fill="FFFFFF"/>
        </w:rPr>
        <w:t xml:space="preserve"> despite being informed that it is no longer valid,</w:t>
      </w:r>
      <w:r w:rsidR="00064BF3">
        <w:rPr>
          <w:rStyle w:val="FootnoteReference"/>
          <w:rFonts w:cs="Times New Roman"/>
          <w:color w:val="000000" w:themeColor="text1"/>
          <w:shd w:val="clear" w:color="auto" w:fill="FFFFFF"/>
        </w:rPr>
        <w:footnoteReference w:id="88"/>
      </w:r>
      <w:r w:rsidR="005E3182">
        <w:rPr>
          <w:rFonts w:cs="Times New Roman"/>
          <w:color w:val="000000" w:themeColor="text1"/>
          <w:shd w:val="clear" w:color="auto" w:fill="FFFFFF"/>
        </w:rPr>
        <w:t xml:space="preserve"> may also be able to make an argument that th</w:t>
      </w:r>
      <w:r w:rsidR="002C4DFC">
        <w:rPr>
          <w:rFonts w:cs="Times New Roman"/>
          <w:color w:val="000000" w:themeColor="text1"/>
          <w:shd w:val="clear" w:color="auto" w:fill="FFFFFF"/>
        </w:rPr>
        <w:t>e government</w:t>
      </w:r>
      <w:r w:rsidR="005E3182">
        <w:rPr>
          <w:rFonts w:cs="Times New Roman"/>
          <w:color w:val="000000" w:themeColor="text1"/>
          <w:shd w:val="clear" w:color="auto" w:fill="FFFFFF"/>
        </w:rPr>
        <w:t xml:space="preserve"> </w:t>
      </w:r>
      <w:r w:rsidR="00676369">
        <w:rPr>
          <w:rFonts w:cs="Times New Roman"/>
          <w:color w:val="000000" w:themeColor="text1"/>
          <w:shd w:val="clear" w:color="auto" w:fill="FFFFFF"/>
        </w:rPr>
        <w:t xml:space="preserve">has in effect </w:t>
      </w:r>
      <w:r w:rsidR="005E3182">
        <w:rPr>
          <w:rFonts w:cs="Times New Roman"/>
          <w:color w:val="000000" w:themeColor="text1"/>
          <w:shd w:val="clear" w:color="auto" w:fill="FFFFFF"/>
        </w:rPr>
        <w:t>confirm</w:t>
      </w:r>
      <w:r w:rsidR="00676369">
        <w:rPr>
          <w:rFonts w:cs="Times New Roman"/>
          <w:color w:val="000000" w:themeColor="text1"/>
          <w:shd w:val="clear" w:color="auto" w:fill="FFFFFF"/>
        </w:rPr>
        <w:t>ed</w:t>
      </w:r>
      <w:r w:rsidR="005E3182">
        <w:rPr>
          <w:rFonts w:cs="Times New Roman"/>
          <w:color w:val="000000" w:themeColor="text1"/>
          <w:shd w:val="clear" w:color="auto" w:fill="FFFFFF"/>
        </w:rPr>
        <w:t xml:space="preserve"> th</w:t>
      </w:r>
      <w:r w:rsidR="00676369">
        <w:rPr>
          <w:rFonts w:cs="Times New Roman"/>
          <w:color w:val="000000" w:themeColor="text1"/>
          <w:shd w:val="clear" w:color="auto" w:fill="FFFFFF"/>
        </w:rPr>
        <w:t>at they have met the requirements (five continuous years of exercising a right to reside)</w:t>
      </w:r>
      <w:r w:rsidR="005E3182">
        <w:rPr>
          <w:rFonts w:cs="Times New Roman"/>
          <w:color w:val="000000" w:themeColor="text1"/>
          <w:shd w:val="clear" w:color="auto" w:fill="FFFFFF"/>
        </w:rPr>
        <w:t xml:space="preserve"> </w:t>
      </w:r>
      <w:r w:rsidR="00676369">
        <w:rPr>
          <w:rFonts w:cs="Times New Roman"/>
          <w:color w:val="000000" w:themeColor="text1"/>
          <w:shd w:val="clear" w:color="auto" w:fill="FFFFFF"/>
        </w:rPr>
        <w:t>of</w:t>
      </w:r>
      <w:r w:rsidR="005E3182">
        <w:rPr>
          <w:rFonts w:cs="Times New Roman"/>
          <w:color w:val="000000" w:themeColor="text1"/>
          <w:shd w:val="clear" w:color="auto" w:fill="FFFFFF"/>
        </w:rPr>
        <w:t xml:space="preserve"> Article 15 WA.</w:t>
      </w:r>
      <w:r w:rsidR="00FE0748">
        <w:rPr>
          <w:rFonts w:cs="Times New Roman"/>
          <w:color w:val="000000" w:themeColor="text1"/>
          <w:shd w:val="clear" w:color="auto" w:fill="FFFFFF"/>
        </w:rPr>
        <w:t xml:space="preserve"> It is worth noting that this </w:t>
      </w:r>
      <w:r w:rsidR="00C17485">
        <w:rPr>
          <w:rFonts w:cs="Times New Roman"/>
          <w:color w:val="000000" w:themeColor="text1"/>
          <w:shd w:val="clear" w:color="auto" w:fill="FFFFFF"/>
        </w:rPr>
        <w:t xml:space="preserve">documentary </w:t>
      </w:r>
      <w:r w:rsidR="00FE0748">
        <w:rPr>
          <w:rFonts w:cs="Times New Roman"/>
          <w:color w:val="000000" w:themeColor="text1"/>
          <w:shd w:val="clear" w:color="auto" w:fill="FFFFFF"/>
        </w:rPr>
        <w:t xml:space="preserve">confirmation of permanent residence was not compulsory before the UK left the EU and many EU </w:t>
      </w:r>
      <w:r w:rsidR="00C17485">
        <w:rPr>
          <w:rFonts w:cs="Times New Roman"/>
          <w:color w:val="000000" w:themeColor="text1"/>
          <w:shd w:val="clear" w:color="auto" w:fill="FFFFFF"/>
        </w:rPr>
        <w:t>citizens who met the conditions of permanent residence would not have applied for it.</w:t>
      </w:r>
      <w:r w:rsidR="00C17485">
        <w:rPr>
          <w:rStyle w:val="FootnoteReference"/>
          <w:rFonts w:cs="Times New Roman"/>
          <w:color w:val="000000" w:themeColor="text1"/>
          <w:shd w:val="clear" w:color="auto" w:fill="FFFFFF"/>
        </w:rPr>
        <w:footnoteReference w:id="89"/>
      </w:r>
      <w:r w:rsidR="00C17485">
        <w:rPr>
          <w:rFonts w:cs="Times New Roman"/>
          <w:color w:val="000000" w:themeColor="text1"/>
          <w:shd w:val="clear" w:color="auto" w:fill="FFFFFF"/>
        </w:rPr>
        <w:t xml:space="preserve"> These two circumstances aside, </w:t>
      </w:r>
      <w:r w:rsidR="00676369">
        <w:rPr>
          <w:rFonts w:cs="Times New Roman"/>
          <w:color w:val="000000" w:themeColor="text1"/>
          <w:shd w:val="clear" w:color="auto" w:fill="FFFFFF"/>
        </w:rPr>
        <w:t>no-</w:t>
      </w:r>
      <w:r w:rsidR="00180909">
        <w:rPr>
          <w:rFonts w:cs="Times New Roman"/>
          <w:color w:val="000000" w:themeColor="text1"/>
          <w:shd w:val="clear" w:color="auto" w:fill="FFFFFF"/>
        </w:rPr>
        <w:t>one</w:t>
      </w:r>
      <w:r w:rsidR="00774045" w:rsidRPr="00774045">
        <w:rPr>
          <w:rFonts w:cs="Times New Roman"/>
          <w:color w:val="000000" w:themeColor="text1"/>
          <w:shd w:val="clear" w:color="auto" w:fill="FFFFFF"/>
        </w:rPr>
        <w:t xml:space="preserve"> with EUSS status who ha</w:t>
      </w:r>
      <w:r w:rsidR="00AA0B07">
        <w:rPr>
          <w:rFonts w:cs="Times New Roman"/>
          <w:color w:val="000000" w:themeColor="text1"/>
          <w:shd w:val="clear" w:color="auto" w:fill="FFFFFF"/>
        </w:rPr>
        <w:t>s</w:t>
      </w:r>
      <w:r w:rsidR="00774045" w:rsidRPr="00774045">
        <w:rPr>
          <w:rFonts w:cs="Times New Roman"/>
          <w:color w:val="000000" w:themeColor="text1"/>
          <w:shd w:val="clear" w:color="auto" w:fill="FFFFFF"/>
        </w:rPr>
        <w:t xml:space="preserve"> not claimed benefits while pre-settled </w:t>
      </w:r>
      <w:r w:rsidR="009E2B96">
        <w:rPr>
          <w:rFonts w:cs="Times New Roman"/>
          <w:color w:val="000000" w:themeColor="text1"/>
          <w:shd w:val="clear" w:color="auto" w:fill="FFFFFF"/>
        </w:rPr>
        <w:t xml:space="preserve">or </w:t>
      </w:r>
      <w:r w:rsidR="001277AA">
        <w:rPr>
          <w:rFonts w:cs="Times New Roman"/>
          <w:color w:val="000000" w:themeColor="text1"/>
          <w:shd w:val="clear" w:color="auto" w:fill="FFFFFF"/>
        </w:rPr>
        <w:t>does not hold an</w:t>
      </w:r>
      <w:r w:rsidR="009E2B96">
        <w:rPr>
          <w:rFonts w:cs="Times New Roman"/>
          <w:color w:val="000000" w:themeColor="text1"/>
          <w:shd w:val="clear" w:color="auto" w:fill="FFFFFF"/>
        </w:rPr>
        <w:t xml:space="preserve"> old now defunct permanent residence card, </w:t>
      </w:r>
      <w:r w:rsidR="00774045" w:rsidRPr="00774045">
        <w:rPr>
          <w:rFonts w:cs="Times New Roman"/>
          <w:color w:val="000000" w:themeColor="text1"/>
          <w:shd w:val="clear" w:color="auto" w:fill="FFFFFF"/>
        </w:rPr>
        <w:t xml:space="preserve">can know whether the UK deems them to have Withdrawal Agreement </w:t>
      </w:r>
      <w:r w:rsidR="00676369">
        <w:rPr>
          <w:rFonts w:cs="Times New Roman"/>
          <w:color w:val="000000" w:themeColor="text1"/>
          <w:shd w:val="clear" w:color="auto" w:fill="FFFFFF"/>
        </w:rPr>
        <w:t xml:space="preserve">residence </w:t>
      </w:r>
      <w:r w:rsidR="00774045" w:rsidRPr="00774045">
        <w:rPr>
          <w:rFonts w:cs="Times New Roman"/>
          <w:color w:val="000000" w:themeColor="text1"/>
          <w:shd w:val="clear" w:color="auto" w:fill="FFFFFF"/>
        </w:rPr>
        <w:t xml:space="preserve">rights. Most will be under the </w:t>
      </w:r>
      <w:r w:rsidR="00774045" w:rsidRPr="00774045">
        <w:rPr>
          <w:rFonts w:cs="Times New Roman"/>
          <w:color w:val="000000" w:themeColor="text1"/>
          <w:shd w:val="clear" w:color="auto" w:fill="FFFFFF"/>
        </w:rPr>
        <w:lastRenderedPageBreak/>
        <w:t>impression that they</w:t>
      </w:r>
      <w:r w:rsidR="00676369">
        <w:rPr>
          <w:rFonts w:cs="Times New Roman"/>
          <w:color w:val="000000" w:themeColor="text1"/>
          <w:shd w:val="clear" w:color="auto" w:fill="FFFFFF"/>
        </w:rPr>
        <w:t xml:space="preserve"> do</w:t>
      </w:r>
      <w:r w:rsidR="00774045" w:rsidRPr="00774045">
        <w:rPr>
          <w:rFonts w:cs="Times New Roman"/>
          <w:color w:val="000000" w:themeColor="text1"/>
          <w:shd w:val="clear" w:color="auto" w:fill="FFFFFF"/>
        </w:rPr>
        <w:t>, and be unaware that, in the eyes of the government they either never had those rights, or have lost those rights, or have yet to prove they have not lost them.</w:t>
      </w:r>
    </w:p>
    <w:p w14:paraId="6C93D26A" w14:textId="77777777" w:rsidR="006C716B" w:rsidRDefault="006C716B" w:rsidP="007A154D">
      <w:pPr>
        <w:ind w:firstLine="720"/>
        <w:rPr>
          <w:rFonts w:cs="Times New Roman"/>
          <w:color w:val="000000" w:themeColor="text1"/>
          <w:shd w:val="clear" w:color="auto" w:fill="FFFFFF"/>
        </w:rPr>
      </w:pPr>
    </w:p>
    <w:p w14:paraId="6873E96A" w14:textId="2BBE60B5" w:rsidR="006C716B" w:rsidRDefault="006C716B" w:rsidP="006C716B">
      <w:pPr>
        <w:pStyle w:val="Heading2"/>
        <w:rPr>
          <w:shd w:val="clear" w:color="auto" w:fill="FFFFFF"/>
        </w:rPr>
      </w:pPr>
      <w:r>
        <w:rPr>
          <w:shd w:val="clear" w:color="auto" w:fill="FFFFFF"/>
        </w:rPr>
        <w:t>Future-proofing rights and avoiding Windrush II</w:t>
      </w:r>
    </w:p>
    <w:p w14:paraId="604161FB" w14:textId="11BB88C0" w:rsidR="00535087" w:rsidRDefault="0087664F" w:rsidP="00253560">
      <w:pPr>
        <w:spacing w:before="120" w:after="120"/>
        <w:rPr>
          <w:rFonts w:cs="Times New Roman"/>
          <w:color w:val="000000" w:themeColor="text1"/>
          <w:shd w:val="clear" w:color="auto" w:fill="FFFFFF"/>
        </w:rPr>
      </w:pPr>
      <w:r w:rsidRPr="0087664F">
        <w:rPr>
          <w:rFonts w:cs="Times New Roman"/>
          <w:color w:val="000000" w:themeColor="text1"/>
          <w:shd w:val="clear" w:color="auto" w:fill="FFFFFF"/>
        </w:rPr>
        <w:t xml:space="preserve">This sudden deprivation of WA status and rights matters. Showing that you have WA rights will become increasingly important over the coming years and decades, with future UK governments free to increase regulatory divergence between the UK and the EU. </w:t>
      </w:r>
      <w:r w:rsidR="00E01ACD">
        <w:rPr>
          <w:rFonts w:cs="Times New Roman"/>
          <w:color w:val="000000" w:themeColor="text1"/>
          <w:shd w:val="clear" w:color="auto" w:fill="FFFFFF"/>
        </w:rPr>
        <w:t xml:space="preserve">The </w:t>
      </w:r>
      <w:r w:rsidR="00EA7170">
        <w:rPr>
          <w:rFonts w:cs="Times New Roman"/>
          <w:color w:val="000000" w:themeColor="text1"/>
          <w:shd w:val="clear" w:color="auto" w:fill="FFFFFF"/>
        </w:rPr>
        <w:t>clearest</w:t>
      </w:r>
      <w:r w:rsidR="00E01ACD">
        <w:rPr>
          <w:rFonts w:cs="Times New Roman"/>
          <w:color w:val="000000" w:themeColor="text1"/>
          <w:shd w:val="clear" w:color="auto" w:fill="FFFFFF"/>
        </w:rPr>
        <w:t xml:space="preserve"> example</w:t>
      </w:r>
      <w:r w:rsidRPr="0087664F">
        <w:rPr>
          <w:rFonts w:cs="Times New Roman"/>
          <w:color w:val="000000" w:themeColor="text1"/>
          <w:shd w:val="clear" w:color="auto" w:fill="FFFFFF"/>
        </w:rPr>
        <w:t xml:space="preserve"> is social rights</w:t>
      </w:r>
      <w:r w:rsidR="008B4470">
        <w:rPr>
          <w:rFonts w:cs="Times New Roman"/>
          <w:color w:val="000000" w:themeColor="text1"/>
          <w:shd w:val="clear" w:color="auto" w:fill="FFFFFF"/>
        </w:rPr>
        <w:t xml:space="preserve"> as the most likely area to see changes to domestic rules. </w:t>
      </w:r>
      <w:r w:rsidR="00EA7170">
        <w:rPr>
          <w:rFonts w:cs="Times New Roman"/>
          <w:color w:val="000000" w:themeColor="text1"/>
          <w:shd w:val="clear" w:color="auto" w:fill="FFFFFF"/>
        </w:rPr>
        <w:t xml:space="preserve">This is </w:t>
      </w:r>
      <w:r w:rsidRPr="0087664F">
        <w:rPr>
          <w:rFonts w:cs="Times New Roman"/>
          <w:color w:val="000000" w:themeColor="text1"/>
          <w:shd w:val="clear" w:color="auto" w:fill="FFFFFF"/>
        </w:rPr>
        <w:t xml:space="preserve">exemplified </w:t>
      </w:r>
      <w:r w:rsidR="00EA7170">
        <w:rPr>
          <w:rFonts w:cs="Times New Roman"/>
          <w:color w:val="000000" w:themeColor="text1"/>
          <w:shd w:val="clear" w:color="auto" w:fill="FFFFFF"/>
        </w:rPr>
        <w:t xml:space="preserve">in proposals introduced </w:t>
      </w:r>
      <w:r w:rsidRPr="0087664F">
        <w:rPr>
          <w:rFonts w:cs="Times New Roman"/>
          <w:color w:val="000000" w:themeColor="text1"/>
          <w:shd w:val="clear" w:color="auto" w:fill="FFFFFF"/>
        </w:rPr>
        <w:t xml:space="preserve">by the previous </w:t>
      </w:r>
      <w:r w:rsidR="009C2F4D">
        <w:rPr>
          <w:rFonts w:cs="Times New Roman"/>
          <w:color w:val="000000" w:themeColor="text1"/>
          <w:shd w:val="clear" w:color="auto" w:fill="FFFFFF"/>
        </w:rPr>
        <w:t xml:space="preserve">UK </w:t>
      </w:r>
      <w:r w:rsidRPr="0087664F">
        <w:rPr>
          <w:rFonts w:cs="Times New Roman"/>
          <w:color w:val="000000" w:themeColor="text1"/>
          <w:shd w:val="clear" w:color="auto" w:fill="FFFFFF"/>
        </w:rPr>
        <w:t xml:space="preserve">government which announced that people with settled status might not be eligible for social housing until they have resided in the UK for ten years </w:t>
      </w:r>
      <w:r w:rsidR="004E23D0" w:rsidRPr="004E23D0">
        <w:rPr>
          <w:rFonts w:cs="Times New Roman"/>
          <w:color w:val="000000" w:themeColor="text1"/>
          <w:shd w:val="clear" w:color="auto" w:fill="FFFFFF"/>
        </w:rPr>
        <w:t>—</w:t>
      </w:r>
      <w:r w:rsidRPr="0087664F">
        <w:rPr>
          <w:rFonts w:cs="Times New Roman"/>
          <w:color w:val="000000" w:themeColor="text1"/>
          <w:shd w:val="clear" w:color="auto" w:fill="FFFFFF"/>
        </w:rPr>
        <w:t xml:space="preserve"> unless they have </w:t>
      </w:r>
      <w:r w:rsidR="00204F5C">
        <w:rPr>
          <w:rFonts w:cs="Times New Roman"/>
          <w:color w:val="000000" w:themeColor="text1"/>
          <w:shd w:val="clear" w:color="auto" w:fill="FFFFFF"/>
        </w:rPr>
        <w:t>‘</w:t>
      </w:r>
      <w:r w:rsidRPr="0087664F">
        <w:rPr>
          <w:rFonts w:cs="Times New Roman"/>
          <w:color w:val="000000" w:themeColor="text1"/>
          <w:shd w:val="clear" w:color="auto" w:fill="FFFFFF"/>
        </w:rPr>
        <w:t>equal treatment rights</w:t>
      </w:r>
      <w:r w:rsidR="00204F5C">
        <w:rPr>
          <w:rFonts w:cs="Times New Roman"/>
          <w:color w:val="000000" w:themeColor="text1"/>
          <w:shd w:val="clear" w:color="auto" w:fill="FFFFFF"/>
        </w:rPr>
        <w:t>’</w:t>
      </w:r>
      <w:r w:rsidRPr="0087664F">
        <w:rPr>
          <w:rFonts w:cs="Times New Roman"/>
          <w:color w:val="000000" w:themeColor="text1"/>
          <w:shd w:val="clear" w:color="auto" w:fill="FFFFFF"/>
        </w:rPr>
        <w:t xml:space="preserve"> under the Withdrawal Agreement</w:t>
      </w:r>
      <w:r w:rsidR="00535087">
        <w:rPr>
          <w:rFonts w:cs="Times New Roman"/>
          <w:color w:val="000000" w:themeColor="text1"/>
          <w:shd w:val="clear" w:color="auto" w:fill="FFFFFF"/>
        </w:rPr>
        <w:t>.</w:t>
      </w:r>
      <w:r w:rsidR="00535087">
        <w:rPr>
          <w:rStyle w:val="FootnoteReference"/>
          <w:rFonts w:cs="Times New Roman"/>
          <w:color w:val="000000" w:themeColor="text1"/>
          <w:shd w:val="clear" w:color="auto" w:fill="FFFFFF"/>
        </w:rPr>
        <w:footnoteReference w:id="90"/>
      </w:r>
      <w:r w:rsidR="00535087">
        <w:rPr>
          <w:rFonts w:cs="Times New Roman"/>
          <w:color w:val="000000" w:themeColor="text1"/>
          <w:shd w:val="clear" w:color="auto" w:fill="FFFFFF"/>
        </w:rPr>
        <w:t xml:space="preserve"> </w:t>
      </w:r>
      <w:r w:rsidR="00D04D42">
        <w:rPr>
          <w:rFonts w:cs="Times New Roman"/>
          <w:color w:val="000000" w:themeColor="text1"/>
          <w:shd w:val="clear" w:color="auto" w:fill="FFFFFF"/>
        </w:rPr>
        <w:t xml:space="preserve">This proposal would have </w:t>
      </w:r>
      <w:r w:rsidR="00D04D42" w:rsidRPr="0087664F">
        <w:rPr>
          <w:rFonts w:cs="Times New Roman"/>
          <w:color w:val="000000" w:themeColor="text1"/>
          <w:shd w:val="clear" w:color="auto" w:fill="FFFFFF"/>
        </w:rPr>
        <w:t xml:space="preserve">set up a significant difference in rights between ‘WA valid’ settled status and ‘WA invalid’ settled status. </w:t>
      </w:r>
      <w:r w:rsidR="009C2F4D">
        <w:rPr>
          <w:rFonts w:cs="Times New Roman"/>
          <w:color w:val="000000" w:themeColor="text1"/>
          <w:shd w:val="clear" w:color="auto" w:fill="FFFFFF"/>
        </w:rPr>
        <w:t>This is an early indication of the possible ways in which future</w:t>
      </w:r>
      <w:r w:rsidR="00E066AC">
        <w:rPr>
          <w:rFonts w:cs="Times New Roman"/>
          <w:color w:val="000000" w:themeColor="text1"/>
          <w:shd w:val="clear" w:color="auto" w:fill="FFFFFF"/>
        </w:rPr>
        <w:t xml:space="preserve"> UK</w:t>
      </w:r>
      <w:r w:rsidR="009C2F4D">
        <w:rPr>
          <w:rFonts w:cs="Times New Roman"/>
          <w:color w:val="000000" w:themeColor="text1"/>
          <w:shd w:val="clear" w:color="auto" w:fill="FFFFFF"/>
        </w:rPr>
        <w:t xml:space="preserve"> governments may </w:t>
      </w:r>
      <w:r w:rsidR="00D457E5">
        <w:rPr>
          <w:rFonts w:cs="Times New Roman"/>
          <w:color w:val="000000" w:themeColor="text1"/>
          <w:shd w:val="clear" w:color="auto" w:fill="FFFFFF"/>
        </w:rPr>
        <w:t xml:space="preserve">seek to restrict </w:t>
      </w:r>
      <w:proofErr w:type="gramStart"/>
      <w:r w:rsidR="00D457E5">
        <w:rPr>
          <w:rFonts w:cs="Times New Roman"/>
          <w:color w:val="000000" w:themeColor="text1"/>
          <w:shd w:val="clear" w:color="auto" w:fill="FFFFFF"/>
        </w:rPr>
        <w:t>rights, and</w:t>
      </w:r>
      <w:proofErr w:type="gramEnd"/>
      <w:r w:rsidR="00D457E5">
        <w:rPr>
          <w:rFonts w:cs="Times New Roman"/>
          <w:color w:val="000000" w:themeColor="text1"/>
          <w:shd w:val="clear" w:color="auto" w:fill="FFFFFF"/>
        </w:rPr>
        <w:t xml:space="preserve"> peel them apart from the EUSS.</w:t>
      </w:r>
      <w:r w:rsidR="00E066AC">
        <w:rPr>
          <w:rFonts w:cs="Times New Roman"/>
          <w:color w:val="000000" w:themeColor="text1"/>
          <w:shd w:val="clear" w:color="auto" w:fill="FFFFFF"/>
        </w:rPr>
        <w:t xml:space="preserve"> </w:t>
      </w:r>
      <w:r w:rsidR="00E066AC" w:rsidRPr="00C902E0">
        <w:t xml:space="preserve"> </w:t>
      </w:r>
    </w:p>
    <w:p w14:paraId="3E8654C9" w14:textId="7EC523D2" w:rsidR="0071450B" w:rsidRDefault="002D475A" w:rsidP="00253560">
      <w:pPr>
        <w:spacing w:after="120"/>
        <w:rPr>
          <w:rFonts w:cs="Times New Roman"/>
          <w:color w:val="000000" w:themeColor="text1"/>
          <w:shd w:val="clear" w:color="auto" w:fill="FFFFFF"/>
        </w:rPr>
      </w:pPr>
      <w:r>
        <w:rPr>
          <w:rFonts w:cs="Times New Roman"/>
          <w:color w:val="000000" w:themeColor="text1"/>
          <w:shd w:val="clear" w:color="auto" w:fill="FFFFFF"/>
        </w:rPr>
        <w:t>Other equal treatment rights are also at risk. If the rights of those with EUSS status is governed only by domestic law until proof of WA residence rights can be ascertained</w:t>
      </w:r>
      <w:r w:rsidR="006A57B1">
        <w:rPr>
          <w:rFonts w:cs="Times New Roman"/>
          <w:color w:val="000000" w:themeColor="text1"/>
          <w:shd w:val="clear" w:color="auto" w:fill="FFFFFF"/>
        </w:rPr>
        <w:t>,</w:t>
      </w:r>
      <w:r>
        <w:rPr>
          <w:rFonts w:cs="Times New Roman"/>
          <w:color w:val="000000" w:themeColor="text1"/>
          <w:shd w:val="clear" w:color="auto" w:fill="FFFFFF"/>
        </w:rPr>
        <w:t xml:space="preserve"> there is no reason why the UK could not extend discriminatory provisions to the right to work, to </w:t>
      </w:r>
      <w:proofErr w:type="gramStart"/>
      <w:r>
        <w:rPr>
          <w:rFonts w:cs="Times New Roman"/>
          <w:color w:val="000000" w:themeColor="text1"/>
          <w:shd w:val="clear" w:color="auto" w:fill="FFFFFF"/>
        </w:rPr>
        <w:t>rent</w:t>
      </w:r>
      <w:r w:rsidR="000A4F8A">
        <w:rPr>
          <w:rFonts w:cs="Times New Roman"/>
          <w:color w:val="000000" w:themeColor="text1"/>
          <w:shd w:val="clear" w:color="auto" w:fill="FFFFFF"/>
        </w:rPr>
        <w:t>,</w:t>
      </w:r>
      <w:proofErr w:type="gramEnd"/>
      <w:r w:rsidR="000A4F8A">
        <w:rPr>
          <w:rFonts w:cs="Times New Roman"/>
          <w:color w:val="000000" w:themeColor="text1"/>
          <w:shd w:val="clear" w:color="auto" w:fill="FFFFFF"/>
        </w:rPr>
        <w:t xml:space="preserve"> </w:t>
      </w:r>
      <w:r>
        <w:rPr>
          <w:rFonts w:cs="Times New Roman"/>
          <w:color w:val="000000" w:themeColor="text1"/>
          <w:shd w:val="clear" w:color="auto" w:fill="FFFFFF"/>
        </w:rPr>
        <w:t xml:space="preserve">to open bank accounts or </w:t>
      </w:r>
      <w:r w:rsidR="00226E21">
        <w:rPr>
          <w:rFonts w:cs="Times New Roman"/>
          <w:color w:val="000000" w:themeColor="text1"/>
          <w:shd w:val="clear" w:color="auto" w:fill="FFFFFF"/>
        </w:rPr>
        <w:t>to access free healthcare</w:t>
      </w:r>
      <w:r>
        <w:rPr>
          <w:rFonts w:cs="Times New Roman"/>
          <w:color w:val="000000" w:themeColor="text1"/>
          <w:shd w:val="clear" w:color="auto" w:fill="FFFFFF"/>
        </w:rPr>
        <w:t>.</w:t>
      </w:r>
      <w:r w:rsidR="000F1B87">
        <w:rPr>
          <w:rFonts w:cs="Times New Roman"/>
          <w:color w:val="000000" w:themeColor="text1"/>
          <w:shd w:val="clear" w:color="auto" w:fill="FFFFFF"/>
        </w:rPr>
        <w:t xml:space="preserve"> </w:t>
      </w:r>
      <w:r w:rsidR="0061541B">
        <w:rPr>
          <w:rFonts w:cs="Times New Roman"/>
          <w:color w:val="000000" w:themeColor="text1"/>
          <w:shd w:val="clear" w:color="auto" w:fill="FFFFFF"/>
        </w:rPr>
        <w:t xml:space="preserve">If the government’s argument about Article 13 WA is </w:t>
      </w:r>
      <w:proofErr w:type="gramStart"/>
      <w:r w:rsidR="0061541B">
        <w:rPr>
          <w:rFonts w:cs="Times New Roman"/>
          <w:color w:val="000000" w:themeColor="text1"/>
          <w:shd w:val="clear" w:color="auto" w:fill="FFFFFF"/>
        </w:rPr>
        <w:t>accepted</w:t>
      </w:r>
      <w:r w:rsidR="00204F5C">
        <w:rPr>
          <w:rFonts w:cs="Times New Roman"/>
          <w:color w:val="000000" w:themeColor="text1"/>
          <w:shd w:val="clear" w:color="auto" w:fill="FFFFFF"/>
        </w:rPr>
        <w:t>,</w:t>
      </w:r>
      <w:r w:rsidR="0061541B">
        <w:rPr>
          <w:rFonts w:cs="Times New Roman"/>
          <w:color w:val="000000" w:themeColor="text1"/>
          <w:shd w:val="clear" w:color="auto" w:fill="FFFFFF"/>
        </w:rPr>
        <w:t xml:space="preserve"> and</w:t>
      </w:r>
      <w:proofErr w:type="gramEnd"/>
      <w:r w:rsidR="0061541B">
        <w:rPr>
          <w:rFonts w:cs="Times New Roman"/>
          <w:color w:val="000000" w:themeColor="text1"/>
          <w:shd w:val="clear" w:color="auto" w:fill="FFFFFF"/>
        </w:rPr>
        <w:t xml:space="preserve"> p</w:t>
      </w:r>
      <w:r w:rsidR="000A4F8A">
        <w:rPr>
          <w:rFonts w:cs="Times New Roman"/>
          <w:color w:val="000000" w:themeColor="text1"/>
          <w:shd w:val="clear" w:color="auto" w:fill="FFFFFF"/>
        </w:rPr>
        <w:t>rovided that</w:t>
      </w:r>
      <w:r w:rsidR="00387C21">
        <w:rPr>
          <w:rFonts w:cs="Times New Roman"/>
          <w:color w:val="000000" w:themeColor="text1"/>
          <w:shd w:val="clear" w:color="auto" w:fill="FFFFFF"/>
        </w:rPr>
        <w:t xml:space="preserve"> these restrictions come with an opportunity for EUSS status holders to demonstrate their WA compliant residence</w:t>
      </w:r>
      <w:r w:rsidR="001A267F">
        <w:rPr>
          <w:rFonts w:cs="Times New Roman"/>
          <w:color w:val="000000" w:themeColor="text1"/>
          <w:shd w:val="clear" w:color="auto" w:fill="FFFFFF"/>
        </w:rPr>
        <w:t xml:space="preserve">, this would </w:t>
      </w:r>
      <w:r w:rsidR="000B7EB0">
        <w:rPr>
          <w:rFonts w:cs="Times New Roman"/>
          <w:color w:val="000000" w:themeColor="text1"/>
          <w:shd w:val="clear" w:color="auto" w:fill="FFFFFF"/>
        </w:rPr>
        <w:t xml:space="preserve">be entirely </w:t>
      </w:r>
      <w:r w:rsidR="005172BB">
        <w:rPr>
          <w:rFonts w:cs="Times New Roman"/>
          <w:color w:val="000000" w:themeColor="text1"/>
          <w:shd w:val="clear" w:color="auto" w:fill="FFFFFF"/>
        </w:rPr>
        <w:t>with</w:t>
      </w:r>
      <w:r w:rsidR="000B7EB0">
        <w:rPr>
          <w:rFonts w:cs="Times New Roman"/>
          <w:color w:val="000000" w:themeColor="text1"/>
          <w:shd w:val="clear" w:color="auto" w:fill="FFFFFF"/>
        </w:rPr>
        <w:t xml:space="preserve">in the UK’s </w:t>
      </w:r>
      <w:r w:rsidR="00BC5457">
        <w:rPr>
          <w:rFonts w:cs="Times New Roman"/>
          <w:color w:val="000000" w:themeColor="text1"/>
          <w:shd w:val="clear" w:color="auto" w:fill="FFFFFF"/>
        </w:rPr>
        <w:lastRenderedPageBreak/>
        <w:t>power</w:t>
      </w:r>
      <w:r w:rsidR="00067F26">
        <w:rPr>
          <w:rFonts w:cs="Times New Roman"/>
          <w:color w:val="000000" w:themeColor="text1"/>
          <w:shd w:val="clear" w:color="auto" w:fill="FFFFFF"/>
        </w:rPr>
        <w:t xml:space="preserve"> and</w:t>
      </w:r>
      <w:r w:rsidR="00FD4631">
        <w:rPr>
          <w:rFonts w:cs="Times New Roman"/>
          <w:color w:val="000000" w:themeColor="text1"/>
          <w:shd w:val="clear" w:color="auto" w:fill="FFFFFF"/>
        </w:rPr>
        <w:t xml:space="preserve">, in the </w:t>
      </w:r>
      <w:proofErr w:type="gramStart"/>
      <w:r w:rsidR="00FD4631">
        <w:rPr>
          <w:rFonts w:cs="Times New Roman"/>
          <w:color w:val="000000" w:themeColor="text1"/>
          <w:shd w:val="clear" w:color="auto" w:fill="FFFFFF"/>
        </w:rPr>
        <w:t>governments</w:t>
      </w:r>
      <w:proofErr w:type="gramEnd"/>
      <w:r w:rsidR="00FD4631">
        <w:rPr>
          <w:rFonts w:cs="Times New Roman"/>
          <w:color w:val="000000" w:themeColor="text1"/>
          <w:shd w:val="clear" w:color="auto" w:fill="FFFFFF"/>
        </w:rPr>
        <w:t xml:space="preserve"> eyes, permitted by the withdrawal agreement</w:t>
      </w:r>
      <w:r w:rsidR="000B7EB0">
        <w:rPr>
          <w:rFonts w:cs="Times New Roman"/>
          <w:color w:val="000000" w:themeColor="text1"/>
          <w:shd w:val="clear" w:color="auto" w:fill="FFFFFF"/>
        </w:rPr>
        <w:t>.</w:t>
      </w:r>
      <w:r w:rsidR="00441EEC">
        <w:rPr>
          <w:rFonts w:cs="Times New Roman"/>
          <w:color w:val="000000" w:themeColor="text1"/>
          <w:shd w:val="clear" w:color="auto" w:fill="FFFFFF"/>
        </w:rPr>
        <w:t xml:space="preserve"> </w:t>
      </w:r>
      <w:r w:rsidR="00C45246">
        <w:rPr>
          <w:rFonts w:cs="Times New Roman"/>
          <w:color w:val="000000" w:themeColor="text1"/>
          <w:shd w:val="clear" w:color="auto" w:fill="FFFFFF"/>
        </w:rPr>
        <w:t>These examples are just some of the current rules that make up the ‘hostile’</w:t>
      </w:r>
      <w:r w:rsidR="00204F5C">
        <w:rPr>
          <w:rFonts w:cs="Times New Roman"/>
          <w:color w:val="000000" w:themeColor="text1"/>
          <w:shd w:val="clear" w:color="auto" w:fill="FFFFFF"/>
        </w:rPr>
        <w:t>,</w:t>
      </w:r>
      <w:r w:rsidR="00C45246">
        <w:rPr>
          <w:rFonts w:cs="Times New Roman"/>
          <w:color w:val="000000" w:themeColor="text1"/>
          <w:shd w:val="clear" w:color="auto" w:fill="FFFFFF"/>
        </w:rPr>
        <w:t xml:space="preserve"> now called ‘compliant environment’</w:t>
      </w:r>
      <w:r w:rsidR="00204F5C">
        <w:rPr>
          <w:rFonts w:cs="Times New Roman"/>
          <w:color w:val="000000" w:themeColor="text1"/>
          <w:shd w:val="clear" w:color="auto" w:fill="FFFFFF"/>
        </w:rPr>
        <w:t>,</w:t>
      </w:r>
      <w:r w:rsidR="00C45246">
        <w:rPr>
          <w:rFonts w:cs="Times New Roman"/>
          <w:color w:val="000000" w:themeColor="text1"/>
          <w:shd w:val="clear" w:color="auto" w:fill="FFFFFF"/>
        </w:rPr>
        <w:t xml:space="preserve"> policy,</w:t>
      </w:r>
      <w:r w:rsidR="00C45246">
        <w:rPr>
          <w:rStyle w:val="FootnoteReference"/>
          <w:rFonts w:cs="Times New Roman"/>
          <w:color w:val="000000" w:themeColor="text1"/>
          <w:shd w:val="clear" w:color="auto" w:fill="FFFFFF"/>
        </w:rPr>
        <w:footnoteReference w:id="91"/>
      </w:r>
      <w:r w:rsidR="00C45246">
        <w:rPr>
          <w:rFonts w:cs="Times New Roman"/>
          <w:color w:val="000000" w:themeColor="text1"/>
          <w:shd w:val="clear" w:color="auto" w:fill="FFFFFF"/>
        </w:rPr>
        <w:t xml:space="preserve"> but </w:t>
      </w:r>
      <w:r w:rsidR="00C45246" w:rsidRPr="0071450B">
        <w:rPr>
          <w:rFonts w:cs="Times New Roman"/>
          <w:color w:val="000000" w:themeColor="text1"/>
          <w:shd w:val="clear" w:color="auto" w:fill="FFFFFF"/>
        </w:rPr>
        <w:t xml:space="preserve">this could be expanded by future </w:t>
      </w:r>
      <w:r w:rsidR="000B0F5B" w:rsidRPr="0071450B">
        <w:rPr>
          <w:rFonts w:cs="Times New Roman"/>
          <w:color w:val="000000" w:themeColor="text1"/>
          <w:shd w:val="clear" w:color="auto" w:fill="FFFFFF"/>
        </w:rPr>
        <w:t>governments</w:t>
      </w:r>
      <w:r w:rsidR="004F1D49" w:rsidRPr="0071450B">
        <w:rPr>
          <w:rFonts w:cs="Times New Roman"/>
          <w:color w:val="000000" w:themeColor="text1"/>
          <w:shd w:val="clear" w:color="auto" w:fill="FFFFFF"/>
        </w:rPr>
        <w:t xml:space="preserve">, </w:t>
      </w:r>
      <w:r w:rsidR="0071450B" w:rsidRPr="0071450B">
        <w:rPr>
          <w:rFonts w:cs="Times New Roman"/>
          <w:color w:val="000000" w:themeColor="text1"/>
          <w:shd w:val="clear" w:color="auto" w:fill="FFFFFF"/>
        </w:rPr>
        <w:t xml:space="preserve">through </w:t>
      </w:r>
      <w:r w:rsidR="004F1D49" w:rsidRPr="0071450B">
        <w:rPr>
          <w:rFonts w:cs="Times New Roman"/>
          <w:color w:val="000000" w:themeColor="text1"/>
          <w:shd w:val="clear" w:color="auto" w:fill="FFFFFF"/>
        </w:rPr>
        <w:t>future policy</w:t>
      </w:r>
      <w:r w:rsidR="00D14F02" w:rsidRPr="0071450B">
        <w:rPr>
          <w:rFonts w:cs="Times New Roman"/>
          <w:color w:val="000000" w:themeColor="text1"/>
          <w:shd w:val="clear" w:color="auto" w:fill="FFFFFF"/>
        </w:rPr>
        <w:t xml:space="preserve"> and future legislative amendments</w:t>
      </w:r>
      <w:r w:rsidR="00D14F02">
        <w:rPr>
          <w:rFonts w:cs="Times New Roman"/>
          <w:color w:val="000000" w:themeColor="text1"/>
          <w:shd w:val="clear" w:color="auto" w:fill="FFFFFF"/>
        </w:rPr>
        <w:t xml:space="preserve"> </w:t>
      </w:r>
      <w:r w:rsidR="00C45246">
        <w:rPr>
          <w:rFonts w:cs="Times New Roman"/>
          <w:color w:val="000000" w:themeColor="text1"/>
          <w:shd w:val="clear" w:color="auto" w:fill="FFFFFF"/>
        </w:rPr>
        <w:t>to make life for migrants in the UK even more difficult.</w:t>
      </w:r>
      <w:r w:rsidR="00FD3DC8">
        <w:rPr>
          <w:rFonts w:cs="Times New Roman"/>
          <w:color w:val="000000" w:themeColor="text1"/>
          <w:shd w:val="clear" w:color="auto" w:fill="FFFFFF"/>
        </w:rPr>
        <w:t xml:space="preserve"> </w:t>
      </w:r>
      <w:r w:rsidR="00D457E5">
        <w:rPr>
          <w:rFonts w:cs="Times New Roman"/>
          <w:color w:val="000000" w:themeColor="text1"/>
          <w:shd w:val="clear" w:color="auto" w:fill="FFFFFF"/>
        </w:rPr>
        <w:t>Withdrawal Agreement</w:t>
      </w:r>
      <w:r w:rsidR="00D457E5" w:rsidRPr="00D457E5">
        <w:rPr>
          <w:rFonts w:cs="Times New Roman"/>
          <w:color w:val="000000" w:themeColor="text1"/>
          <w:shd w:val="clear" w:color="auto" w:fill="FFFFFF"/>
        </w:rPr>
        <w:t xml:space="preserve"> rights and protections place </w:t>
      </w:r>
      <w:r w:rsidR="00D457E5">
        <w:rPr>
          <w:rFonts w:cs="Times New Roman"/>
          <w:color w:val="000000" w:themeColor="text1"/>
          <w:shd w:val="clear" w:color="auto" w:fill="FFFFFF"/>
        </w:rPr>
        <w:t xml:space="preserve">beneficiaries </w:t>
      </w:r>
      <w:r w:rsidR="00D457E5" w:rsidRPr="00D457E5">
        <w:rPr>
          <w:rFonts w:cs="Times New Roman"/>
          <w:color w:val="000000" w:themeColor="text1"/>
          <w:shd w:val="clear" w:color="auto" w:fill="FFFFFF"/>
        </w:rPr>
        <w:t xml:space="preserve">in a favourable position </w:t>
      </w:r>
      <w:r w:rsidR="00D457E5">
        <w:rPr>
          <w:rFonts w:cs="Times New Roman"/>
          <w:color w:val="000000" w:themeColor="text1"/>
          <w:shd w:val="clear" w:color="auto" w:fill="FFFFFF"/>
        </w:rPr>
        <w:t xml:space="preserve">compared to </w:t>
      </w:r>
      <w:r w:rsidR="00D457E5" w:rsidRPr="00D457E5">
        <w:rPr>
          <w:rFonts w:cs="Times New Roman"/>
          <w:color w:val="000000" w:themeColor="text1"/>
          <w:shd w:val="clear" w:color="auto" w:fill="FFFFFF"/>
        </w:rPr>
        <w:t xml:space="preserve">all other migrants, and in some cases require this cohort to have access to rights not normally available to UK nationals - such as the application of different conditions </w:t>
      </w:r>
      <w:proofErr w:type="gramStart"/>
      <w:r w:rsidR="00D457E5" w:rsidRPr="00D457E5">
        <w:rPr>
          <w:rFonts w:cs="Times New Roman"/>
          <w:color w:val="000000" w:themeColor="text1"/>
          <w:shd w:val="clear" w:color="auto" w:fill="FFFFFF"/>
        </w:rPr>
        <w:t>in order to</w:t>
      </w:r>
      <w:proofErr w:type="gramEnd"/>
      <w:r w:rsidR="00D457E5" w:rsidRPr="00D457E5">
        <w:rPr>
          <w:rFonts w:cs="Times New Roman"/>
          <w:color w:val="000000" w:themeColor="text1"/>
          <w:shd w:val="clear" w:color="auto" w:fill="FFFFFF"/>
        </w:rPr>
        <w:t xml:space="preserve"> be joined by relatives, or the waiving of regional residence conditions to access social advantages. Any changes in domestic rules on the rights of </w:t>
      </w:r>
      <w:r w:rsidR="00D457E5">
        <w:rPr>
          <w:rFonts w:cs="Times New Roman"/>
          <w:color w:val="000000" w:themeColor="text1"/>
          <w:shd w:val="clear" w:color="auto" w:fill="FFFFFF"/>
        </w:rPr>
        <w:t xml:space="preserve">EUSS status holders </w:t>
      </w:r>
      <w:r w:rsidR="00D457E5" w:rsidRPr="00D457E5">
        <w:rPr>
          <w:rFonts w:cs="Times New Roman"/>
          <w:color w:val="000000" w:themeColor="text1"/>
          <w:shd w:val="clear" w:color="auto" w:fill="FFFFFF"/>
        </w:rPr>
        <w:t xml:space="preserve">could put this cohort in a more vulnerable position if they are not able to rely on their WA equal treatment rights. </w:t>
      </w:r>
      <w:r w:rsidR="0071450B">
        <w:rPr>
          <w:rFonts w:cs="Times New Roman"/>
          <w:color w:val="000000" w:themeColor="text1"/>
          <w:shd w:val="clear" w:color="auto" w:fill="FFFFFF"/>
        </w:rPr>
        <w:t xml:space="preserve">If the current UK government’s position holds, and swathes of people are excluded from WA protections, then the WA effectively permits the rolling out of future draconian immigration law and policy changes to </w:t>
      </w:r>
      <w:proofErr w:type="gramStart"/>
      <w:r w:rsidR="0071450B">
        <w:rPr>
          <w:rFonts w:cs="Times New Roman"/>
          <w:color w:val="000000" w:themeColor="text1"/>
          <w:shd w:val="clear" w:color="auto" w:fill="FFFFFF"/>
        </w:rPr>
        <w:t>a large number of</w:t>
      </w:r>
      <w:proofErr w:type="gramEnd"/>
      <w:r w:rsidR="0071450B">
        <w:rPr>
          <w:rFonts w:cs="Times New Roman"/>
          <w:color w:val="000000" w:themeColor="text1"/>
          <w:shd w:val="clear" w:color="auto" w:fill="FFFFFF"/>
        </w:rPr>
        <w:t xml:space="preserve"> EUSS holders. </w:t>
      </w:r>
    </w:p>
    <w:p w14:paraId="2E6DB579" w14:textId="1EDDD021" w:rsidR="00A63893" w:rsidRDefault="00D457E5" w:rsidP="00253560">
      <w:pPr>
        <w:spacing w:after="120"/>
        <w:rPr>
          <w:rFonts w:cs="Times New Roman"/>
          <w:color w:val="000000" w:themeColor="text1"/>
          <w:shd w:val="clear" w:color="auto" w:fill="FFFFFF"/>
        </w:rPr>
      </w:pPr>
      <w:r w:rsidRPr="00D457E5">
        <w:rPr>
          <w:rFonts w:cs="Times New Roman"/>
          <w:color w:val="000000" w:themeColor="text1"/>
          <w:shd w:val="clear" w:color="auto" w:fill="FFFFFF"/>
        </w:rPr>
        <w:t>For example, future changes on the right to work or a long residence requirement test to access housing or other public funds could be mitigated by having WA rights. WA status lasts for the lifetimes of its beneficiaries. It will therefore withstand changes made to migrants’ rights for many decades in the future and many iterations of the UK government.</w:t>
      </w:r>
    </w:p>
    <w:p w14:paraId="181B1713" w14:textId="1F65ACAA" w:rsidR="00C41572" w:rsidRDefault="00253560" w:rsidP="00253560">
      <w:pPr>
        <w:spacing w:after="120"/>
        <w:rPr>
          <w:rFonts w:cs="Times New Roman"/>
          <w:color w:val="000000" w:themeColor="text1"/>
          <w:shd w:val="clear" w:color="auto" w:fill="FFFFFF"/>
        </w:rPr>
      </w:pPr>
      <w:r>
        <w:rPr>
          <w:rFonts w:cs="Times New Roman"/>
          <w:color w:val="000000" w:themeColor="text1"/>
          <w:shd w:val="clear" w:color="auto" w:fill="FFFFFF"/>
        </w:rPr>
        <w:t xml:space="preserve">Future such iterations </w:t>
      </w:r>
      <w:r w:rsidR="00DC74B7" w:rsidRPr="0087664F">
        <w:rPr>
          <w:rFonts w:cs="Times New Roman"/>
          <w:color w:val="000000" w:themeColor="text1"/>
          <w:shd w:val="clear" w:color="auto" w:fill="FFFFFF"/>
        </w:rPr>
        <w:t>may choose to make changes</w:t>
      </w:r>
      <w:r w:rsidR="00616121">
        <w:rPr>
          <w:rFonts w:cs="Times New Roman"/>
          <w:color w:val="000000" w:themeColor="text1"/>
          <w:shd w:val="clear" w:color="auto" w:fill="FFFFFF"/>
        </w:rPr>
        <w:t xml:space="preserve"> and amendments</w:t>
      </w:r>
      <w:r w:rsidR="00DC74B7" w:rsidRPr="0087664F">
        <w:rPr>
          <w:rFonts w:cs="Times New Roman"/>
          <w:color w:val="000000" w:themeColor="text1"/>
          <w:shd w:val="clear" w:color="auto" w:fill="FFFFFF"/>
        </w:rPr>
        <w:t xml:space="preserve"> to the</w:t>
      </w:r>
      <w:r w:rsidR="000126F5">
        <w:rPr>
          <w:rFonts w:cs="Times New Roman"/>
          <w:color w:val="000000" w:themeColor="text1"/>
          <w:shd w:val="clear" w:color="auto" w:fill="FFFFFF"/>
        </w:rPr>
        <w:t xml:space="preserve"> immigration</w:t>
      </w:r>
      <w:r w:rsidR="00DC74B7" w:rsidRPr="0087664F">
        <w:rPr>
          <w:rFonts w:cs="Times New Roman"/>
          <w:color w:val="000000" w:themeColor="text1"/>
          <w:shd w:val="clear" w:color="auto" w:fill="FFFFFF"/>
        </w:rPr>
        <w:t xml:space="preserve"> rights of those reliant on domestic immigration law </w:t>
      </w:r>
      <w:r w:rsidR="003B5CA5">
        <w:rPr>
          <w:rFonts w:cs="Times New Roman"/>
          <w:color w:val="000000" w:themeColor="text1"/>
          <w:shd w:val="clear" w:color="auto" w:fill="FFFFFF"/>
        </w:rPr>
        <w:t xml:space="preserve">only </w:t>
      </w:r>
      <w:r w:rsidR="00DC74B7" w:rsidRPr="0087664F">
        <w:rPr>
          <w:rFonts w:cs="Times New Roman"/>
          <w:color w:val="000000" w:themeColor="text1"/>
          <w:shd w:val="clear" w:color="auto" w:fill="FFFFFF"/>
        </w:rPr>
        <w:t xml:space="preserve">(and their family members and future children) which would not affect those </w:t>
      </w:r>
      <w:r w:rsidR="00204F5C">
        <w:rPr>
          <w:rFonts w:cs="Times New Roman"/>
          <w:color w:val="000000" w:themeColor="text1"/>
          <w:shd w:val="clear" w:color="auto" w:fill="FFFFFF"/>
        </w:rPr>
        <w:t xml:space="preserve">residing </w:t>
      </w:r>
      <w:proofErr w:type="gramStart"/>
      <w:r w:rsidR="00204F5C">
        <w:rPr>
          <w:rFonts w:cs="Times New Roman"/>
          <w:color w:val="000000" w:themeColor="text1"/>
          <w:shd w:val="clear" w:color="auto" w:fill="FFFFFF"/>
        </w:rPr>
        <w:t>on the basis of</w:t>
      </w:r>
      <w:proofErr w:type="gramEnd"/>
      <w:r w:rsidR="00204F5C">
        <w:rPr>
          <w:rFonts w:cs="Times New Roman"/>
          <w:color w:val="000000" w:themeColor="text1"/>
          <w:shd w:val="clear" w:color="auto" w:fill="FFFFFF"/>
        </w:rPr>
        <w:t xml:space="preserve"> </w:t>
      </w:r>
      <w:r w:rsidR="00DC74B7" w:rsidRPr="0087664F">
        <w:rPr>
          <w:rFonts w:cs="Times New Roman"/>
          <w:color w:val="000000" w:themeColor="text1"/>
          <w:shd w:val="clear" w:color="auto" w:fill="FFFFFF"/>
        </w:rPr>
        <w:t xml:space="preserve">the WA. </w:t>
      </w:r>
      <w:r w:rsidR="00C41572">
        <w:rPr>
          <w:rFonts w:cs="Times New Roman"/>
          <w:color w:val="000000" w:themeColor="text1"/>
          <w:shd w:val="clear" w:color="auto" w:fill="FFFFFF"/>
        </w:rPr>
        <w:t xml:space="preserve">As </w:t>
      </w:r>
      <w:r w:rsidR="00C41572" w:rsidRPr="00C902E0">
        <w:rPr>
          <w:rFonts w:cs="Times New Roman"/>
          <w:color w:val="000000" w:themeColor="text1"/>
          <w:shd w:val="clear" w:color="auto" w:fill="FFFFFF"/>
        </w:rPr>
        <w:t xml:space="preserve">the Home Office </w:t>
      </w:r>
      <w:r w:rsidR="00C41572" w:rsidRPr="00C902E0">
        <w:rPr>
          <w:rFonts w:cs="Times New Roman"/>
          <w:color w:val="000000" w:themeColor="text1"/>
          <w:shd w:val="clear" w:color="auto" w:fill="FFFFFF"/>
        </w:rPr>
        <w:lastRenderedPageBreak/>
        <w:t>begin</w:t>
      </w:r>
      <w:r w:rsidR="00D457E5">
        <w:rPr>
          <w:rFonts w:cs="Times New Roman"/>
          <w:color w:val="000000" w:themeColor="text1"/>
          <w:shd w:val="clear" w:color="auto" w:fill="FFFFFF"/>
        </w:rPr>
        <w:t>s</w:t>
      </w:r>
      <w:r w:rsidR="00C41572">
        <w:rPr>
          <w:rFonts w:cs="Times New Roman"/>
          <w:color w:val="000000" w:themeColor="text1"/>
          <w:shd w:val="clear" w:color="auto" w:fill="FFFFFF"/>
        </w:rPr>
        <w:t xml:space="preserve"> </w:t>
      </w:r>
      <w:r w:rsidR="00C41572" w:rsidRPr="00C902E0">
        <w:rPr>
          <w:rFonts w:cs="Times New Roman"/>
          <w:color w:val="000000" w:themeColor="text1"/>
          <w:shd w:val="clear" w:color="auto" w:fill="FFFFFF"/>
        </w:rPr>
        <w:t xml:space="preserve">to </w:t>
      </w:r>
      <w:r w:rsidR="00CC29F1">
        <w:rPr>
          <w:rFonts w:cs="Times New Roman"/>
          <w:color w:val="000000" w:themeColor="text1"/>
          <w:shd w:val="clear" w:color="auto" w:fill="FFFFFF"/>
        </w:rPr>
        <w:t xml:space="preserve">roll out automatic </w:t>
      </w:r>
      <w:r w:rsidR="004D29AB">
        <w:rPr>
          <w:rFonts w:cs="Times New Roman"/>
          <w:color w:val="000000" w:themeColor="text1"/>
          <w:shd w:val="clear" w:color="auto" w:fill="FFFFFF"/>
        </w:rPr>
        <w:t>exten</w:t>
      </w:r>
      <w:r w:rsidR="00CC29F1">
        <w:rPr>
          <w:rFonts w:cs="Times New Roman"/>
          <w:color w:val="000000" w:themeColor="text1"/>
          <w:shd w:val="clear" w:color="auto" w:fill="FFFFFF"/>
        </w:rPr>
        <w:t>sions of</w:t>
      </w:r>
      <w:r w:rsidR="004D29AB">
        <w:rPr>
          <w:rFonts w:cs="Times New Roman"/>
          <w:color w:val="000000" w:themeColor="text1"/>
          <w:shd w:val="clear" w:color="auto" w:fill="FFFFFF"/>
        </w:rPr>
        <w:t xml:space="preserve"> pre-settled status</w:t>
      </w:r>
      <w:r w:rsidR="00D90FB6">
        <w:rPr>
          <w:rFonts w:cs="Times New Roman"/>
          <w:color w:val="000000" w:themeColor="text1"/>
          <w:shd w:val="clear" w:color="auto" w:fill="FFFFFF"/>
        </w:rPr>
        <w:t>, as required by the High Court,</w:t>
      </w:r>
      <w:r w:rsidR="00D90FB6">
        <w:rPr>
          <w:rStyle w:val="FootnoteReference"/>
          <w:rFonts w:cs="Times New Roman"/>
          <w:color w:val="000000" w:themeColor="text1"/>
          <w:shd w:val="clear" w:color="auto" w:fill="FFFFFF"/>
        </w:rPr>
        <w:footnoteReference w:id="92"/>
      </w:r>
      <w:r w:rsidR="00D90FB6">
        <w:rPr>
          <w:rFonts w:cs="Times New Roman"/>
          <w:color w:val="000000" w:themeColor="text1"/>
          <w:shd w:val="clear" w:color="auto" w:fill="FFFFFF"/>
        </w:rPr>
        <w:t xml:space="preserve"> </w:t>
      </w:r>
      <w:r w:rsidR="004D29AB">
        <w:rPr>
          <w:rFonts w:cs="Times New Roman"/>
          <w:color w:val="000000" w:themeColor="text1"/>
          <w:shd w:val="clear" w:color="auto" w:fill="FFFFFF"/>
        </w:rPr>
        <w:t xml:space="preserve">and </w:t>
      </w:r>
      <w:r w:rsidR="00D90FB6">
        <w:rPr>
          <w:rFonts w:cs="Times New Roman"/>
          <w:color w:val="000000" w:themeColor="text1"/>
          <w:shd w:val="clear" w:color="auto" w:fill="FFFFFF"/>
        </w:rPr>
        <w:t>use</w:t>
      </w:r>
      <w:r w:rsidR="00D457E5">
        <w:rPr>
          <w:rFonts w:cs="Times New Roman"/>
          <w:color w:val="000000" w:themeColor="text1"/>
          <w:shd w:val="clear" w:color="auto" w:fill="FFFFFF"/>
        </w:rPr>
        <w:t>s</w:t>
      </w:r>
      <w:r w:rsidR="004D29AB">
        <w:rPr>
          <w:rFonts w:cs="Times New Roman"/>
          <w:color w:val="000000" w:themeColor="text1"/>
          <w:shd w:val="clear" w:color="auto" w:fill="FFFFFF"/>
        </w:rPr>
        <w:t xml:space="preserve"> this as an opportunity to </w:t>
      </w:r>
      <w:r w:rsidR="00D90FB6">
        <w:rPr>
          <w:rFonts w:cs="Times New Roman"/>
          <w:color w:val="000000" w:themeColor="text1"/>
          <w:shd w:val="clear" w:color="auto" w:fill="FFFFFF"/>
        </w:rPr>
        <w:t>identify cases for curtailment w</w:t>
      </w:r>
      <w:r w:rsidR="004D29AB">
        <w:rPr>
          <w:rFonts w:cs="Times New Roman"/>
          <w:color w:val="000000" w:themeColor="text1"/>
          <w:shd w:val="clear" w:color="auto" w:fill="FFFFFF"/>
        </w:rPr>
        <w:t>here EU citizens no longer meet the conditions of Appendix EU</w:t>
      </w:r>
      <w:r w:rsidR="00844EE2">
        <w:rPr>
          <w:rFonts w:cs="Times New Roman"/>
          <w:color w:val="000000" w:themeColor="text1"/>
          <w:shd w:val="clear" w:color="auto" w:fill="FFFFFF"/>
        </w:rPr>
        <w:t xml:space="preserve">, </w:t>
      </w:r>
      <w:r w:rsidR="00C41572" w:rsidRPr="00C902E0">
        <w:rPr>
          <w:rFonts w:cs="Times New Roman"/>
          <w:color w:val="000000" w:themeColor="text1"/>
          <w:shd w:val="clear" w:color="auto" w:fill="FFFFFF"/>
        </w:rPr>
        <w:t xml:space="preserve">there is a </w:t>
      </w:r>
      <w:r w:rsidR="00844EE2" w:rsidRPr="00C902E0">
        <w:rPr>
          <w:rFonts w:cs="Times New Roman"/>
          <w:color w:val="000000" w:themeColor="text1"/>
          <w:shd w:val="clear" w:color="auto" w:fill="FFFFFF"/>
        </w:rPr>
        <w:t>danger</w:t>
      </w:r>
      <w:r w:rsidR="00C41572" w:rsidRPr="00C902E0">
        <w:rPr>
          <w:rFonts w:cs="Times New Roman"/>
          <w:color w:val="000000" w:themeColor="text1"/>
          <w:shd w:val="clear" w:color="auto" w:fill="FFFFFF"/>
        </w:rPr>
        <w:t xml:space="preserve"> </w:t>
      </w:r>
      <w:r w:rsidR="00D457E5">
        <w:rPr>
          <w:rFonts w:cs="Times New Roman"/>
          <w:color w:val="000000" w:themeColor="text1"/>
          <w:shd w:val="clear" w:color="auto" w:fill="FFFFFF"/>
        </w:rPr>
        <w:t>of</w:t>
      </w:r>
      <w:r w:rsidR="00C41572" w:rsidRPr="00C902E0">
        <w:rPr>
          <w:rFonts w:cs="Times New Roman"/>
          <w:color w:val="000000" w:themeColor="text1"/>
          <w:shd w:val="clear" w:color="auto" w:fill="FFFFFF"/>
        </w:rPr>
        <w:t xml:space="preserve"> </w:t>
      </w:r>
      <w:r w:rsidR="00D457E5">
        <w:rPr>
          <w:rFonts w:cs="Times New Roman"/>
          <w:color w:val="000000" w:themeColor="text1"/>
          <w:shd w:val="clear" w:color="auto" w:fill="FFFFFF"/>
        </w:rPr>
        <w:t xml:space="preserve">retrospective </w:t>
      </w:r>
      <w:r w:rsidR="00C41572" w:rsidRPr="00C902E0">
        <w:rPr>
          <w:rFonts w:cs="Times New Roman"/>
          <w:color w:val="000000" w:themeColor="text1"/>
          <w:shd w:val="clear" w:color="auto" w:fill="FFFFFF"/>
        </w:rPr>
        <w:t>tweak</w:t>
      </w:r>
      <w:r w:rsidR="00D457E5">
        <w:rPr>
          <w:rFonts w:cs="Times New Roman"/>
          <w:color w:val="000000" w:themeColor="text1"/>
          <w:shd w:val="clear" w:color="auto" w:fill="FFFFFF"/>
        </w:rPr>
        <w:t xml:space="preserve">s to </w:t>
      </w:r>
      <w:r w:rsidR="00C41572" w:rsidRPr="00C902E0">
        <w:rPr>
          <w:rFonts w:cs="Times New Roman"/>
          <w:color w:val="000000" w:themeColor="text1"/>
          <w:shd w:val="clear" w:color="auto" w:fill="FFFFFF"/>
        </w:rPr>
        <w:t xml:space="preserve">the conditions of Appendix EU to </w:t>
      </w:r>
      <w:r w:rsidR="00D457E5">
        <w:rPr>
          <w:rFonts w:cs="Times New Roman"/>
          <w:color w:val="000000" w:themeColor="text1"/>
          <w:shd w:val="clear" w:color="auto" w:fill="FFFFFF"/>
        </w:rPr>
        <w:t xml:space="preserve">incorporate </w:t>
      </w:r>
      <w:r w:rsidR="00C41572" w:rsidRPr="00C902E0">
        <w:rPr>
          <w:rFonts w:cs="Times New Roman"/>
          <w:color w:val="000000" w:themeColor="text1"/>
          <w:shd w:val="clear" w:color="auto" w:fill="FFFFFF"/>
        </w:rPr>
        <w:t xml:space="preserve">the </w:t>
      </w:r>
      <w:r w:rsidR="00D457E5">
        <w:rPr>
          <w:rFonts w:cs="Times New Roman"/>
          <w:color w:val="000000" w:themeColor="text1"/>
          <w:shd w:val="clear" w:color="auto" w:fill="FFFFFF"/>
        </w:rPr>
        <w:t>W</w:t>
      </w:r>
      <w:r w:rsidR="00C41572" w:rsidRPr="00C902E0">
        <w:rPr>
          <w:rFonts w:cs="Times New Roman"/>
          <w:color w:val="000000" w:themeColor="text1"/>
          <w:shd w:val="clear" w:color="auto" w:fill="FFFFFF"/>
        </w:rPr>
        <w:t xml:space="preserve">ithdrawal </w:t>
      </w:r>
      <w:r w:rsidR="00D457E5">
        <w:rPr>
          <w:rFonts w:cs="Times New Roman"/>
          <w:color w:val="000000" w:themeColor="text1"/>
          <w:shd w:val="clear" w:color="auto" w:fill="FFFFFF"/>
        </w:rPr>
        <w:t>A</w:t>
      </w:r>
      <w:r w:rsidR="00C41572" w:rsidRPr="00C902E0">
        <w:rPr>
          <w:rFonts w:cs="Times New Roman"/>
          <w:color w:val="000000" w:themeColor="text1"/>
          <w:shd w:val="clear" w:color="auto" w:fill="FFFFFF"/>
        </w:rPr>
        <w:t>greement</w:t>
      </w:r>
      <w:r w:rsidR="00D457E5">
        <w:rPr>
          <w:rFonts w:cs="Times New Roman"/>
          <w:color w:val="000000" w:themeColor="text1"/>
          <w:shd w:val="clear" w:color="auto" w:fill="FFFFFF"/>
        </w:rPr>
        <w:t xml:space="preserve">’s conditions. </w:t>
      </w:r>
      <w:r w:rsidR="00536D1C">
        <w:rPr>
          <w:rFonts w:cs="Times New Roman"/>
          <w:color w:val="000000" w:themeColor="text1"/>
          <w:shd w:val="clear" w:color="auto" w:fill="FFFFFF"/>
        </w:rPr>
        <w:t>In fact</w:t>
      </w:r>
      <w:r w:rsidR="00D90FB6">
        <w:rPr>
          <w:rFonts w:cs="Times New Roman"/>
          <w:color w:val="000000" w:themeColor="text1"/>
          <w:shd w:val="clear" w:color="auto" w:fill="FFFFFF"/>
        </w:rPr>
        <w:t>,</w:t>
      </w:r>
      <w:r w:rsidR="00536D1C">
        <w:rPr>
          <w:rFonts w:cs="Times New Roman"/>
          <w:color w:val="000000" w:themeColor="text1"/>
          <w:shd w:val="clear" w:color="auto" w:fill="FFFFFF"/>
        </w:rPr>
        <w:t xml:space="preserve"> </w:t>
      </w:r>
      <w:r w:rsidR="005B4982">
        <w:rPr>
          <w:rFonts w:cs="Times New Roman"/>
          <w:color w:val="000000" w:themeColor="text1"/>
          <w:shd w:val="clear" w:color="auto" w:fill="FFFFFF"/>
        </w:rPr>
        <w:t>the</w:t>
      </w:r>
      <w:r w:rsidR="00645C65">
        <w:rPr>
          <w:rFonts w:cs="Times New Roman"/>
          <w:color w:val="000000" w:themeColor="text1"/>
          <w:shd w:val="clear" w:color="auto" w:fill="FFFFFF"/>
        </w:rPr>
        <w:t xml:space="preserve"> Home Office paper on this policy </w:t>
      </w:r>
      <w:r w:rsidR="006B79C1">
        <w:rPr>
          <w:rFonts w:cs="Times New Roman"/>
          <w:color w:val="000000" w:themeColor="text1"/>
          <w:shd w:val="clear" w:color="auto" w:fill="FFFFFF"/>
        </w:rPr>
        <w:t>includes the statement that ‘</w:t>
      </w:r>
      <w:r w:rsidR="006B79C1" w:rsidRPr="006B79C1">
        <w:rPr>
          <w:rFonts w:cs="Times New Roman"/>
          <w:color w:val="000000" w:themeColor="text1"/>
          <w:shd w:val="clear" w:color="auto" w:fill="FFFFFF"/>
        </w:rPr>
        <w:t xml:space="preserve">pre-settled status can be cancelled or curtailed where the holder no longer satisfies, or has never satisfied, the conditions of residence </w:t>
      </w:r>
      <w:r w:rsidR="006B79C1" w:rsidRPr="00C7653F">
        <w:rPr>
          <w:rFonts w:cs="Times New Roman"/>
          <w:i/>
          <w:iCs/>
          <w:color w:val="000000" w:themeColor="text1"/>
          <w:shd w:val="clear" w:color="auto" w:fill="FFFFFF"/>
        </w:rPr>
        <w:t>set out in the Agreements</w:t>
      </w:r>
      <w:r w:rsidR="006B79C1" w:rsidRPr="00C7653F">
        <w:rPr>
          <w:rFonts w:cs="Times New Roman"/>
          <w:color w:val="000000" w:themeColor="text1"/>
          <w:shd w:val="clear" w:color="auto" w:fill="FFFFFF"/>
        </w:rPr>
        <w:t>’</w:t>
      </w:r>
      <w:r w:rsidR="00C7653F">
        <w:rPr>
          <w:rFonts w:cs="Times New Roman"/>
          <w:color w:val="000000" w:themeColor="text1"/>
          <w:shd w:val="clear" w:color="auto" w:fill="FFFFFF"/>
        </w:rPr>
        <w:t xml:space="preserve"> (emphasis added).</w:t>
      </w:r>
      <w:r w:rsidR="00C7653F">
        <w:rPr>
          <w:rStyle w:val="FootnoteReference"/>
          <w:rFonts w:cs="Times New Roman"/>
          <w:color w:val="000000" w:themeColor="text1"/>
          <w:shd w:val="clear" w:color="auto" w:fill="FFFFFF"/>
        </w:rPr>
        <w:footnoteReference w:id="93"/>
      </w:r>
      <w:r w:rsidR="004745FA">
        <w:rPr>
          <w:rFonts w:cs="Times New Roman"/>
          <w:color w:val="000000" w:themeColor="text1"/>
          <w:shd w:val="clear" w:color="auto" w:fill="FFFFFF"/>
        </w:rPr>
        <w:t xml:space="preserve"> </w:t>
      </w:r>
      <w:r w:rsidR="0026191C">
        <w:rPr>
          <w:rFonts w:cs="Times New Roman"/>
          <w:color w:val="000000" w:themeColor="text1"/>
          <w:shd w:val="clear" w:color="auto" w:fill="FFFFFF"/>
        </w:rPr>
        <w:t xml:space="preserve">For EU nationals, the only way to protect themselves from these potential </w:t>
      </w:r>
      <w:r w:rsidR="00D457E5">
        <w:rPr>
          <w:rFonts w:cs="Times New Roman"/>
          <w:color w:val="000000" w:themeColor="text1"/>
          <w:shd w:val="clear" w:color="auto" w:fill="FFFFFF"/>
        </w:rPr>
        <w:t xml:space="preserve">(retroactive) </w:t>
      </w:r>
      <w:r w:rsidR="0026191C">
        <w:rPr>
          <w:rFonts w:cs="Times New Roman"/>
          <w:color w:val="000000" w:themeColor="text1"/>
          <w:shd w:val="clear" w:color="auto" w:fill="FFFFFF"/>
        </w:rPr>
        <w:t xml:space="preserve">developments in domestic law, is to ensure that they can evidence that they meet the conditions of the WA.  </w:t>
      </w:r>
    </w:p>
    <w:p w14:paraId="390CAACF" w14:textId="2A6E312D" w:rsidR="003408B8" w:rsidRDefault="00CD5E46" w:rsidP="00253560">
      <w:pPr>
        <w:spacing w:after="120"/>
        <w:rPr>
          <w:rFonts w:cs="Times New Roman"/>
          <w:color w:val="000000" w:themeColor="text1"/>
          <w:shd w:val="clear" w:color="auto" w:fill="FFFFFF"/>
        </w:rPr>
      </w:pPr>
      <w:r>
        <w:rPr>
          <w:rFonts w:cs="Times New Roman"/>
          <w:color w:val="000000" w:themeColor="text1"/>
          <w:shd w:val="clear" w:color="auto" w:fill="FFFFFF"/>
        </w:rPr>
        <w:t xml:space="preserve">This brings us back to the disconcerting but natural comparison to Windrush. </w:t>
      </w:r>
      <w:r w:rsidR="00204F5C">
        <w:rPr>
          <w:rFonts w:cs="Times New Roman"/>
          <w:color w:val="000000" w:themeColor="text1"/>
          <w:shd w:val="clear" w:color="auto" w:fill="FFFFFF"/>
        </w:rPr>
        <w:t>In</w:t>
      </w:r>
      <w:r w:rsidR="0087664F" w:rsidRPr="0087664F">
        <w:rPr>
          <w:rFonts w:cs="Times New Roman"/>
          <w:color w:val="000000" w:themeColor="text1"/>
          <w:shd w:val="clear" w:color="auto" w:fill="FFFFFF"/>
        </w:rPr>
        <w:t xml:space="preserve"> the future, it could be nightmarish for millions of people having to undertake extensive, retrospective documentary investigations to prove their status, during which the evidential hurdles will make it impossible for many to show that they had and continued to have WA rights. This is the problem posed by a declaratory scheme that the UK government purported to avoid in its adoption of </w:t>
      </w:r>
      <w:r w:rsidR="00204F5C">
        <w:rPr>
          <w:rFonts w:cs="Times New Roman"/>
          <w:color w:val="000000" w:themeColor="text1"/>
          <w:shd w:val="clear" w:color="auto" w:fill="FFFFFF"/>
        </w:rPr>
        <w:t>the EUSS</w:t>
      </w:r>
      <w:r w:rsidR="0087664F" w:rsidRPr="0087664F">
        <w:rPr>
          <w:rFonts w:cs="Times New Roman"/>
          <w:color w:val="000000" w:themeColor="text1"/>
          <w:shd w:val="clear" w:color="auto" w:fill="FFFFFF"/>
        </w:rPr>
        <w:t>.</w:t>
      </w:r>
      <w:r w:rsidR="00F87C7A">
        <w:rPr>
          <w:rFonts w:cs="Times New Roman"/>
          <w:color w:val="000000" w:themeColor="text1"/>
          <w:shd w:val="clear" w:color="auto" w:fill="FFFFFF"/>
        </w:rPr>
        <w:t xml:space="preserve"> </w:t>
      </w:r>
      <w:r w:rsidR="003B7D35" w:rsidRPr="003B7D35">
        <w:rPr>
          <w:rFonts w:cs="Times New Roman"/>
          <w:color w:val="000000" w:themeColor="text1"/>
          <w:shd w:val="clear" w:color="auto" w:fill="FFFFFF"/>
        </w:rPr>
        <w:t xml:space="preserve">For decades everyone assumed that nobody would call the Windrush generation’s rights into question - until that is exactly what happened. We cannot simply assume that future governments will never ask whether someone </w:t>
      </w:r>
      <w:r w:rsidR="003B7D35" w:rsidRPr="007C17A6">
        <w:rPr>
          <w:rFonts w:cs="Times New Roman"/>
          <w:i/>
          <w:iCs/>
          <w:color w:val="000000" w:themeColor="text1"/>
          <w:shd w:val="clear" w:color="auto" w:fill="FFFFFF"/>
        </w:rPr>
        <w:t>really</w:t>
      </w:r>
      <w:r w:rsidR="003B7D35" w:rsidRPr="003B7D35">
        <w:rPr>
          <w:rFonts w:cs="Times New Roman"/>
          <w:color w:val="000000" w:themeColor="text1"/>
          <w:shd w:val="clear" w:color="auto" w:fill="FFFFFF"/>
        </w:rPr>
        <w:t xml:space="preserve"> has Withdrawal Agreement rights, especially when those rights are so consequential.</w:t>
      </w:r>
    </w:p>
    <w:p w14:paraId="58D309E7" w14:textId="3BA04679" w:rsidR="00203DDB" w:rsidRDefault="00D13DDC" w:rsidP="00253560">
      <w:pPr>
        <w:spacing w:after="120"/>
        <w:rPr>
          <w:rFonts w:cs="Times New Roman"/>
          <w:color w:val="000000" w:themeColor="text1"/>
          <w:shd w:val="clear" w:color="auto" w:fill="FFFFFF"/>
        </w:rPr>
      </w:pPr>
      <w:r>
        <w:rPr>
          <w:rFonts w:cs="Times New Roman"/>
          <w:color w:val="000000" w:themeColor="text1"/>
          <w:shd w:val="clear" w:color="auto" w:fill="FFFFFF"/>
        </w:rPr>
        <w:t>The</w:t>
      </w:r>
      <w:r w:rsidR="00667EBC" w:rsidRPr="00667EBC">
        <w:rPr>
          <w:rFonts w:cs="Times New Roman"/>
          <w:color w:val="000000" w:themeColor="text1"/>
          <w:shd w:val="clear" w:color="auto" w:fill="FFFFFF"/>
        </w:rPr>
        <w:t xml:space="preserve"> ongoing, complex legal cases</w:t>
      </w:r>
      <w:r w:rsidR="00275BDF">
        <w:rPr>
          <w:rFonts w:cs="Times New Roman"/>
          <w:color w:val="000000" w:themeColor="text1"/>
          <w:shd w:val="clear" w:color="auto" w:fill="FFFFFF"/>
        </w:rPr>
        <w:t xml:space="preserve"> </w:t>
      </w:r>
      <w:r>
        <w:rPr>
          <w:rFonts w:cs="Times New Roman"/>
          <w:color w:val="000000" w:themeColor="text1"/>
          <w:shd w:val="clear" w:color="auto" w:fill="FFFFFF"/>
        </w:rPr>
        <w:t>on the issue</w:t>
      </w:r>
      <w:r w:rsidR="00667EBC" w:rsidRPr="00667EBC">
        <w:rPr>
          <w:rFonts w:cs="Times New Roman"/>
          <w:color w:val="000000" w:themeColor="text1"/>
          <w:shd w:val="clear" w:color="auto" w:fill="FFFFFF"/>
        </w:rPr>
        <w:t xml:space="preserve"> will take years to reach a conclusion, and </w:t>
      </w:r>
      <w:r>
        <w:rPr>
          <w:rFonts w:cs="Times New Roman"/>
          <w:color w:val="000000" w:themeColor="text1"/>
          <w:shd w:val="clear" w:color="auto" w:fill="FFFFFF"/>
        </w:rPr>
        <w:t xml:space="preserve">even if the question reaches the Supreme Court there is no obligation on the final court to make a </w:t>
      </w:r>
      <w:r>
        <w:rPr>
          <w:rFonts w:cs="Times New Roman"/>
          <w:color w:val="000000" w:themeColor="text1"/>
          <w:shd w:val="clear" w:color="auto" w:fill="FFFFFF"/>
        </w:rPr>
        <w:lastRenderedPageBreak/>
        <w:t xml:space="preserve">reference on questions of the Withdrawal Agreement, even in cases that are not </w:t>
      </w:r>
      <w:proofErr w:type="spellStart"/>
      <w:r w:rsidRPr="00D13DDC">
        <w:rPr>
          <w:rFonts w:cs="Times New Roman"/>
          <w:i/>
          <w:iCs/>
          <w:color w:val="000000" w:themeColor="text1"/>
          <w:shd w:val="clear" w:color="auto" w:fill="FFFFFF"/>
        </w:rPr>
        <w:t>acte</w:t>
      </w:r>
      <w:proofErr w:type="spellEnd"/>
      <w:r w:rsidRPr="00D13DDC">
        <w:rPr>
          <w:rFonts w:cs="Times New Roman"/>
          <w:i/>
          <w:iCs/>
          <w:color w:val="000000" w:themeColor="text1"/>
          <w:shd w:val="clear" w:color="auto" w:fill="FFFFFF"/>
        </w:rPr>
        <w:t xml:space="preserve"> </w:t>
      </w:r>
      <w:proofErr w:type="spellStart"/>
      <w:r w:rsidRPr="00D13DDC">
        <w:rPr>
          <w:rFonts w:cs="Times New Roman"/>
          <w:i/>
          <w:iCs/>
          <w:color w:val="000000" w:themeColor="text1"/>
          <w:shd w:val="clear" w:color="auto" w:fill="FFFFFF"/>
        </w:rPr>
        <w:t>claire</w:t>
      </w:r>
      <w:proofErr w:type="spellEnd"/>
      <w:r w:rsidR="00667EBC" w:rsidRPr="00667EBC">
        <w:rPr>
          <w:rFonts w:cs="Times New Roman"/>
          <w:color w:val="000000" w:themeColor="text1"/>
          <w:shd w:val="clear" w:color="auto" w:fill="FFFFFF"/>
        </w:rPr>
        <w:t>.</w:t>
      </w:r>
      <w:r w:rsidR="00203DDB">
        <w:rPr>
          <w:rStyle w:val="FootnoteReference"/>
          <w:rFonts w:cs="Times New Roman"/>
          <w:color w:val="000000" w:themeColor="text1"/>
          <w:shd w:val="clear" w:color="auto" w:fill="FFFFFF"/>
        </w:rPr>
        <w:footnoteReference w:id="94"/>
      </w:r>
      <w:r w:rsidR="00667EBC" w:rsidRPr="00667EBC">
        <w:rPr>
          <w:rFonts w:cs="Times New Roman"/>
          <w:color w:val="000000" w:themeColor="text1"/>
          <w:shd w:val="clear" w:color="auto" w:fill="FFFFFF"/>
        </w:rPr>
        <w:t xml:space="preserve">  </w:t>
      </w:r>
      <w:r w:rsidR="00203DDB">
        <w:rPr>
          <w:rFonts w:cs="Times New Roman"/>
          <w:color w:val="000000" w:themeColor="text1"/>
          <w:shd w:val="clear" w:color="auto" w:fill="FFFFFF"/>
        </w:rPr>
        <w:t xml:space="preserve">Moreover, should such questions arise </w:t>
      </w:r>
      <w:r w:rsidR="00B2572E">
        <w:rPr>
          <w:rFonts w:cs="Times New Roman"/>
          <w:color w:val="000000" w:themeColor="text1"/>
          <w:shd w:val="clear" w:color="auto" w:fill="FFFFFF"/>
        </w:rPr>
        <w:t xml:space="preserve">in cases that commence </w:t>
      </w:r>
      <w:r w:rsidR="00203DDB">
        <w:rPr>
          <w:rFonts w:cs="Times New Roman"/>
          <w:color w:val="000000" w:themeColor="text1"/>
          <w:shd w:val="clear" w:color="auto" w:fill="FFFFFF"/>
        </w:rPr>
        <w:t>after 2028, then as things currently stand, the CJEU’s jurisdiction on the citizens’ rights aspects of the Withdrawal Agreement will have run out.</w:t>
      </w:r>
      <w:r w:rsidR="00B2572E">
        <w:rPr>
          <w:rStyle w:val="FootnoteReference"/>
          <w:rFonts w:cs="Times New Roman"/>
          <w:color w:val="000000" w:themeColor="text1"/>
          <w:shd w:val="clear" w:color="auto" w:fill="FFFFFF"/>
        </w:rPr>
        <w:footnoteReference w:id="95"/>
      </w:r>
      <w:r w:rsidR="00203DDB">
        <w:rPr>
          <w:rFonts w:cs="Times New Roman"/>
          <w:color w:val="000000" w:themeColor="text1"/>
          <w:shd w:val="clear" w:color="auto" w:fill="FFFFFF"/>
        </w:rPr>
        <w:t xml:space="preserve"> </w:t>
      </w:r>
    </w:p>
    <w:p w14:paraId="7F2175D3" w14:textId="164A8DBF" w:rsidR="00173FBA" w:rsidRPr="001D2CF7" w:rsidRDefault="00203DDB" w:rsidP="00204F5C">
      <w:pPr>
        <w:spacing w:after="120"/>
        <w:rPr>
          <w:rFonts w:cs="Times New Roman"/>
          <w:color w:val="000000" w:themeColor="text1"/>
          <w:shd w:val="clear" w:color="auto" w:fill="FFFFFF"/>
        </w:rPr>
      </w:pPr>
      <w:r>
        <w:rPr>
          <w:rFonts w:cs="Times New Roman"/>
          <w:color w:val="000000" w:themeColor="text1"/>
          <w:shd w:val="clear" w:color="auto" w:fill="FFFFFF"/>
        </w:rPr>
        <w:t>However</w:t>
      </w:r>
      <w:r w:rsidR="00667EBC" w:rsidRPr="00667EBC">
        <w:rPr>
          <w:rFonts w:cs="Times New Roman"/>
          <w:color w:val="000000" w:themeColor="text1"/>
          <w:shd w:val="clear" w:color="auto" w:fill="FFFFFF"/>
        </w:rPr>
        <w:t xml:space="preserve">, new </w:t>
      </w:r>
      <w:r w:rsidR="007944C2">
        <w:rPr>
          <w:rFonts w:cs="Times New Roman"/>
          <w:color w:val="000000" w:themeColor="text1"/>
          <w:shd w:val="clear" w:color="auto" w:fill="FFFFFF"/>
        </w:rPr>
        <w:t xml:space="preserve">legislation </w:t>
      </w:r>
      <w:r w:rsidR="00667EBC" w:rsidRPr="00667EBC">
        <w:rPr>
          <w:rFonts w:cs="Times New Roman"/>
          <w:color w:val="000000" w:themeColor="text1"/>
          <w:shd w:val="clear" w:color="auto" w:fill="FFFFFF"/>
        </w:rPr>
        <w:t>could solve th</w:t>
      </w:r>
      <w:r w:rsidR="00D13DDC">
        <w:rPr>
          <w:rFonts w:cs="Times New Roman"/>
          <w:color w:val="000000" w:themeColor="text1"/>
          <w:shd w:val="clear" w:color="auto" w:fill="FFFFFF"/>
        </w:rPr>
        <w:t xml:space="preserve">e </w:t>
      </w:r>
      <w:r w:rsidR="00667EBC" w:rsidRPr="00667EBC">
        <w:rPr>
          <w:rFonts w:cs="Times New Roman"/>
          <w:color w:val="000000" w:themeColor="text1"/>
          <w:shd w:val="clear" w:color="auto" w:fill="FFFFFF"/>
        </w:rPr>
        <w:t>problem and prevent the coming catastrophe quite simply.</w:t>
      </w:r>
      <w:r w:rsidR="00572549">
        <w:rPr>
          <w:rFonts w:cs="Times New Roman"/>
          <w:color w:val="000000" w:themeColor="text1"/>
          <w:shd w:val="clear" w:color="auto" w:fill="FFFFFF"/>
        </w:rPr>
        <w:t xml:space="preserve"> </w:t>
      </w:r>
      <w:r w:rsidR="00CE4193">
        <w:rPr>
          <w:rFonts w:cs="Times New Roman"/>
          <w:color w:val="000000" w:themeColor="text1"/>
          <w:shd w:val="clear" w:color="auto" w:fill="FFFFFF"/>
        </w:rPr>
        <w:t>A</w:t>
      </w:r>
      <w:r w:rsidR="00D13DDC">
        <w:rPr>
          <w:rFonts w:cs="Times New Roman"/>
          <w:color w:val="000000" w:themeColor="text1"/>
          <w:shd w:val="clear" w:color="auto" w:fill="FFFFFF"/>
        </w:rPr>
        <w:t>nother legislative amendment</w:t>
      </w:r>
      <w:r w:rsidR="00572549">
        <w:rPr>
          <w:rFonts w:cs="Times New Roman"/>
          <w:color w:val="000000" w:themeColor="text1"/>
          <w:shd w:val="clear" w:color="auto" w:fill="FFFFFF"/>
        </w:rPr>
        <w:t xml:space="preserve"> </w:t>
      </w:r>
      <w:r w:rsidR="00CE4193">
        <w:rPr>
          <w:rFonts w:cs="Times New Roman"/>
          <w:color w:val="000000" w:themeColor="text1"/>
          <w:shd w:val="clear" w:color="auto" w:fill="FFFFFF"/>
        </w:rPr>
        <w:t xml:space="preserve">could be introduced </w:t>
      </w:r>
      <w:r w:rsidR="008F1BE6">
        <w:rPr>
          <w:rFonts w:cs="Times New Roman"/>
          <w:color w:val="000000" w:themeColor="text1"/>
          <w:shd w:val="clear" w:color="auto" w:fill="FFFFFF"/>
        </w:rPr>
        <w:t xml:space="preserve">to </w:t>
      </w:r>
      <w:r w:rsidR="00D13DDC">
        <w:rPr>
          <w:rFonts w:cs="Times New Roman"/>
          <w:color w:val="000000" w:themeColor="text1"/>
          <w:shd w:val="clear" w:color="auto" w:fill="FFFFFF"/>
        </w:rPr>
        <w:t>make it clear that a</w:t>
      </w:r>
      <w:r w:rsidR="00934615" w:rsidRPr="00D13DDC">
        <w:rPr>
          <w:rFonts w:cs="Times New Roman"/>
          <w:color w:val="000000" w:themeColor="text1"/>
          <w:shd w:val="clear" w:color="auto" w:fill="FFFFFF"/>
        </w:rPr>
        <w:t xml:space="preserve">ll people </w:t>
      </w:r>
      <w:r w:rsidR="00D13DDC">
        <w:rPr>
          <w:rFonts w:cs="Times New Roman"/>
          <w:color w:val="000000" w:themeColor="text1"/>
          <w:shd w:val="clear" w:color="auto" w:fill="FFFFFF"/>
        </w:rPr>
        <w:t xml:space="preserve">(or all EU citizens and their family members, should the UK wish to exclude </w:t>
      </w:r>
      <w:r w:rsidR="00D13DDC" w:rsidRPr="00D13DDC">
        <w:rPr>
          <w:rFonts w:cs="Times New Roman"/>
          <w:i/>
          <w:iCs/>
          <w:color w:val="000000" w:themeColor="text1"/>
          <w:shd w:val="clear" w:color="auto" w:fill="FFFFFF"/>
        </w:rPr>
        <w:t>Zambrano</w:t>
      </w:r>
      <w:r w:rsidR="00204F5C">
        <w:rPr>
          <w:rStyle w:val="FootnoteReference"/>
          <w:rFonts w:cs="Times New Roman"/>
          <w:i/>
          <w:iCs/>
          <w:color w:val="000000" w:themeColor="text1"/>
          <w:shd w:val="clear" w:color="auto" w:fill="FFFFFF"/>
        </w:rPr>
        <w:footnoteReference w:id="96"/>
      </w:r>
      <w:r w:rsidR="00D13DDC">
        <w:rPr>
          <w:rFonts w:cs="Times New Roman"/>
          <w:color w:val="000000" w:themeColor="text1"/>
          <w:shd w:val="clear" w:color="auto" w:fill="FFFFFF"/>
        </w:rPr>
        <w:t xml:space="preserve"> carers for instance) </w:t>
      </w:r>
      <w:r w:rsidR="00934615" w:rsidRPr="00D13DDC">
        <w:rPr>
          <w:rFonts w:cs="Times New Roman"/>
          <w:color w:val="000000" w:themeColor="text1"/>
          <w:shd w:val="clear" w:color="auto" w:fill="FFFFFF"/>
        </w:rPr>
        <w:t xml:space="preserve">who have been granted status under the EU Settlement Scheme </w:t>
      </w:r>
      <w:r w:rsidR="00D13DDC">
        <w:rPr>
          <w:rFonts w:cs="Times New Roman"/>
          <w:color w:val="000000" w:themeColor="text1"/>
          <w:shd w:val="clear" w:color="auto" w:fill="FFFFFF"/>
        </w:rPr>
        <w:t xml:space="preserve">(or have a pending application) </w:t>
      </w:r>
      <w:r w:rsidR="00934615" w:rsidRPr="00D13DDC">
        <w:rPr>
          <w:rFonts w:cs="Times New Roman"/>
          <w:color w:val="000000" w:themeColor="text1"/>
          <w:shd w:val="clear" w:color="auto" w:fill="FFFFFF"/>
        </w:rPr>
        <w:t>are residing on the basis of the Withdrawal Agreement, and have the rights that follow from this.</w:t>
      </w:r>
      <w:r w:rsidR="00D13DDC">
        <w:rPr>
          <w:rFonts w:cs="Times New Roman"/>
          <w:color w:val="000000" w:themeColor="text1"/>
          <w:shd w:val="clear" w:color="auto" w:fill="FFFFFF"/>
        </w:rPr>
        <w:t xml:space="preserve"> Further details could spell out that pre-settled status confers </w:t>
      </w:r>
      <w:r w:rsidR="00934615" w:rsidRPr="00D13DDC">
        <w:rPr>
          <w:rFonts w:cs="Times New Roman"/>
          <w:color w:val="000000" w:themeColor="text1"/>
          <w:shd w:val="clear" w:color="auto" w:fill="FFFFFF"/>
        </w:rPr>
        <w:t xml:space="preserve">the rights attendant upon residing </w:t>
      </w:r>
      <w:proofErr w:type="gramStart"/>
      <w:r w:rsidR="00934615" w:rsidRPr="00D13DDC">
        <w:rPr>
          <w:rFonts w:cs="Times New Roman"/>
          <w:color w:val="000000" w:themeColor="text1"/>
          <w:shd w:val="clear" w:color="auto" w:fill="FFFFFF"/>
        </w:rPr>
        <w:t>on the basis of</w:t>
      </w:r>
      <w:proofErr w:type="gramEnd"/>
      <w:r w:rsidR="00934615" w:rsidRPr="00D13DDC">
        <w:rPr>
          <w:rFonts w:cs="Times New Roman"/>
          <w:color w:val="000000" w:themeColor="text1"/>
          <w:shd w:val="clear" w:color="auto" w:fill="FFFFFF"/>
        </w:rPr>
        <w:t xml:space="preserve"> Article 13 WA</w:t>
      </w:r>
      <w:r w:rsidR="00D13DDC">
        <w:rPr>
          <w:rFonts w:cs="Times New Roman"/>
          <w:color w:val="000000" w:themeColor="text1"/>
          <w:shd w:val="clear" w:color="auto" w:fill="FFFFFF"/>
        </w:rPr>
        <w:t>, and settled status, or else having held pre-settled status for five years, confers the rights attendant upon Article 15 WA.</w:t>
      </w:r>
      <w:r w:rsidR="00204F5C">
        <w:rPr>
          <w:rFonts w:cs="Times New Roman"/>
          <w:color w:val="000000" w:themeColor="text1"/>
          <w:shd w:val="clear" w:color="auto" w:fill="FFFFFF"/>
        </w:rPr>
        <w:t xml:space="preserve"> </w:t>
      </w:r>
      <w:r w:rsidR="001F048B">
        <w:rPr>
          <w:rFonts w:cs="Times New Roman"/>
          <w:color w:val="000000" w:themeColor="text1"/>
          <w:shd w:val="clear" w:color="auto" w:fill="FFFFFF"/>
        </w:rPr>
        <w:t xml:space="preserve">Additionally, </w:t>
      </w:r>
      <w:r w:rsidR="004D677D">
        <w:rPr>
          <w:rFonts w:cs="Times New Roman"/>
          <w:color w:val="000000" w:themeColor="text1"/>
          <w:shd w:val="clear" w:color="auto" w:fill="FFFFFF"/>
        </w:rPr>
        <w:t>the digital document evidencing EUSS status could be updated</w:t>
      </w:r>
      <w:r w:rsidR="00C618EF">
        <w:rPr>
          <w:rFonts w:cs="Times New Roman"/>
          <w:color w:val="000000" w:themeColor="text1"/>
          <w:shd w:val="clear" w:color="auto" w:fill="FFFFFF"/>
        </w:rPr>
        <w:t xml:space="preserve">. </w:t>
      </w:r>
      <w:r w:rsidR="00C618EF" w:rsidRPr="0071450B">
        <w:rPr>
          <w:rFonts w:cs="Times New Roman"/>
          <w:color w:val="000000" w:themeColor="text1"/>
          <w:shd w:val="clear" w:color="auto" w:fill="FFFFFF"/>
        </w:rPr>
        <w:t xml:space="preserve">Rather than </w:t>
      </w:r>
      <w:r w:rsidR="003A7982" w:rsidRPr="0071450B">
        <w:rPr>
          <w:rFonts w:cs="Times New Roman"/>
          <w:color w:val="000000" w:themeColor="text1"/>
          <w:shd w:val="clear" w:color="auto" w:fill="FFFFFF"/>
        </w:rPr>
        <w:t xml:space="preserve">stating, as it currently does, that </w:t>
      </w:r>
      <w:r w:rsidR="00671691" w:rsidRPr="0071450B">
        <w:rPr>
          <w:rFonts w:cs="Times New Roman"/>
          <w:color w:val="000000" w:themeColor="text1"/>
          <w:shd w:val="clear" w:color="auto" w:fill="FFFFFF"/>
        </w:rPr>
        <w:t xml:space="preserve">‘leave is issued in accordance with the EU exit separation agreements’, it could </w:t>
      </w:r>
      <w:r w:rsidR="004D677D" w:rsidRPr="0071450B">
        <w:rPr>
          <w:rFonts w:cs="Times New Roman"/>
          <w:color w:val="000000" w:themeColor="text1"/>
          <w:shd w:val="clear" w:color="auto" w:fill="FFFFFF"/>
        </w:rPr>
        <w:t>state</w:t>
      </w:r>
      <w:r w:rsidR="00016197" w:rsidRPr="0071450B">
        <w:rPr>
          <w:rFonts w:cs="Times New Roman"/>
          <w:color w:val="000000" w:themeColor="text1"/>
          <w:shd w:val="clear" w:color="auto" w:fill="FFFFFF"/>
        </w:rPr>
        <w:t xml:space="preserve"> that it</w:t>
      </w:r>
      <w:r w:rsidR="00016197" w:rsidRPr="0071450B">
        <w:t xml:space="preserve"> </w:t>
      </w:r>
      <w:r w:rsidR="00016197" w:rsidRPr="0071450B">
        <w:rPr>
          <w:rFonts w:cs="Times New Roman"/>
          <w:color w:val="000000" w:themeColor="text1"/>
          <w:shd w:val="clear" w:color="auto" w:fill="FFFFFF"/>
        </w:rPr>
        <w:t>evidences that the holder</w:t>
      </w:r>
      <w:r w:rsidR="00BB564B" w:rsidRPr="0071450B">
        <w:rPr>
          <w:rFonts w:cs="Times New Roman"/>
          <w:color w:val="000000" w:themeColor="text1"/>
          <w:shd w:val="clear" w:color="auto" w:fill="FFFFFF"/>
        </w:rPr>
        <w:t>’s lawful residence is</w:t>
      </w:r>
      <w:r w:rsidR="00016197" w:rsidRPr="0071450B">
        <w:rPr>
          <w:rFonts w:cs="Times New Roman"/>
          <w:color w:val="000000" w:themeColor="text1"/>
          <w:shd w:val="clear" w:color="auto" w:fill="FFFFFF"/>
        </w:rPr>
        <w:t xml:space="preserve"> </w:t>
      </w:r>
      <w:proofErr w:type="gramStart"/>
      <w:r w:rsidR="00016197" w:rsidRPr="0071450B">
        <w:rPr>
          <w:rFonts w:cs="Times New Roman"/>
          <w:i/>
          <w:iCs/>
          <w:color w:val="000000" w:themeColor="text1"/>
          <w:shd w:val="clear" w:color="auto" w:fill="FFFFFF"/>
        </w:rPr>
        <w:t>on the basis of</w:t>
      </w:r>
      <w:proofErr w:type="gramEnd"/>
      <w:r w:rsidR="00016197" w:rsidRPr="0071450B">
        <w:rPr>
          <w:rFonts w:cs="Times New Roman"/>
          <w:color w:val="000000" w:themeColor="text1"/>
          <w:shd w:val="clear" w:color="auto" w:fill="FFFFFF"/>
        </w:rPr>
        <w:t xml:space="preserve"> the Withdrawal Agreement,</w:t>
      </w:r>
      <w:r w:rsidR="00016197" w:rsidRPr="00016197">
        <w:rPr>
          <w:rFonts w:cs="Times New Roman"/>
          <w:color w:val="000000" w:themeColor="text1"/>
          <w:shd w:val="clear" w:color="auto" w:fill="FFFFFF"/>
        </w:rPr>
        <w:t xml:space="preserve"> and</w:t>
      </w:r>
      <w:r w:rsidR="00016197">
        <w:rPr>
          <w:rFonts w:cs="Times New Roman"/>
          <w:color w:val="000000" w:themeColor="text1"/>
          <w:shd w:val="clear" w:color="auto" w:fill="FFFFFF"/>
        </w:rPr>
        <w:t xml:space="preserve"> that t</w:t>
      </w:r>
      <w:r w:rsidR="00016197" w:rsidRPr="00016197">
        <w:rPr>
          <w:rFonts w:cs="Times New Roman"/>
          <w:color w:val="000000" w:themeColor="text1"/>
          <w:shd w:val="clear" w:color="auto" w:fill="FFFFFF"/>
        </w:rPr>
        <w:t>he document confers the rights in Title II of the Withdrawal Agreement.</w:t>
      </w:r>
    </w:p>
    <w:p w14:paraId="2926E251" w14:textId="77777777" w:rsidR="001D09FD" w:rsidRDefault="001D09FD" w:rsidP="002E34BE">
      <w:pPr>
        <w:rPr>
          <w:rFonts w:cs="Times New Roman"/>
        </w:rPr>
      </w:pPr>
    </w:p>
    <w:p w14:paraId="05AC557C" w14:textId="77777777" w:rsidR="00BA03AE" w:rsidRPr="00207844" w:rsidRDefault="00BA03AE" w:rsidP="00BA03AE">
      <w:pPr>
        <w:pStyle w:val="Heading1"/>
      </w:pPr>
      <w:r w:rsidRPr="00207844">
        <w:t>CONCLUSION</w:t>
      </w:r>
    </w:p>
    <w:p w14:paraId="1FC65572" w14:textId="1F8542B6" w:rsidR="001C184C" w:rsidRPr="001C184C" w:rsidRDefault="00B2572E" w:rsidP="001C184C">
      <w:pPr>
        <w:spacing w:after="120"/>
        <w:rPr>
          <w:rFonts w:cs="Times New Roman"/>
        </w:rPr>
      </w:pPr>
      <w:r>
        <w:rPr>
          <w:rFonts w:cs="Times New Roman"/>
        </w:rPr>
        <w:t xml:space="preserve">The relationship between the UK’s EU Settlement Scheme, and the Withdrawal Agreement’s residence provisions, seems on the face of it to be quite a technical, perhaps even an abstract </w:t>
      </w:r>
      <w:r w:rsidR="00130844">
        <w:rPr>
          <w:rFonts w:cs="Times New Roman"/>
        </w:rPr>
        <w:lastRenderedPageBreak/>
        <w:t>question</w:t>
      </w:r>
      <w:r>
        <w:rPr>
          <w:rFonts w:cs="Times New Roman"/>
        </w:rPr>
        <w:t xml:space="preserve">. But it goes to the very heart of the realisability, and enforceability, of the rights protected in an international (directly effective) legal instrument. </w:t>
      </w:r>
      <w:r w:rsidR="009F4197">
        <w:rPr>
          <w:rFonts w:cs="Times New Roman"/>
        </w:rPr>
        <w:t>The rights that follow on from having a Withdrawal Agreement residence status are substantial</w:t>
      </w:r>
      <w:r w:rsidR="001C184C">
        <w:rPr>
          <w:rFonts w:cs="Times New Roman"/>
        </w:rPr>
        <w:t>; in short</w:t>
      </w:r>
      <w:r w:rsidR="009F4197">
        <w:rPr>
          <w:rFonts w:cs="Times New Roman"/>
        </w:rPr>
        <w:t xml:space="preserve">, they are worth having. </w:t>
      </w:r>
      <w:r w:rsidR="001C184C">
        <w:rPr>
          <w:rFonts w:cs="Times New Roman"/>
        </w:rPr>
        <w:t xml:space="preserve">This point is impliedly accepted by the UK government </w:t>
      </w:r>
      <w:r w:rsidR="001C184C" w:rsidRPr="001C184C">
        <w:rPr>
          <w:rFonts w:cs="Times New Roman"/>
        </w:rPr>
        <w:t xml:space="preserve">in its representations to the Specialised Committee on Citizens Rights, on </w:t>
      </w:r>
      <w:r w:rsidR="001C184C">
        <w:rPr>
          <w:rFonts w:cs="Times New Roman"/>
        </w:rPr>
        <w:t>the</w:t>
      </w:r>
      <w:r w:rsidR="001C184C" w:rsidRPr="001C184C">
        <w:rPr>
          <w:rFonts w:cs="Times New Roman"/>
        </w:rPr>
        <w:t xml:space="preserve"> implementation </w:t>
      </w:r>
      <w:r w:rsidR="001C184C">
        <w:rPr>
          <w:rFonts w:cs="Times New Roman"/>
        </w:rPr>
        <w:t xml:space="preserve">of the WA </w:t>
      </w:r>
      <w:r w:rsidR="001C184C" w:rsidRPr="001C184C">
        <w:rPr>
          <w:rFonts w:cs="Times New Roman"/>
          <w:i/>
          <w:iCs/>
        </w:rPr>
        <w:t>within the EU</w:t>
      </w:r>
      <w:r w:rsidR="001C184C" w:rsidRPr="001C184C">
        <w:rPr>
          <w:rFonts w:cs="Times New Roman"/>
        </w:rPr>
        <w:t>. There, the UK delegation has repeatedly highlighted ‘issues in the implementation of the Withdrawal Agreement’s citizens’ rights’ for UK citizens;</w:t>
      </w:r>
      <w:r w:rsidR="001C184C" w:rsidRPr="001C184C">
        <w:rPr>
          <w:rFonts w:cs="Times New Roman"/>
          <w:vertAlign w:val="superscript"/>
        </w:rPr>
        <w:footnoteReference w:id="97"/>
      </w:r>
      <w:r w:rsidR="001C184C" w:rsidRPr="001C184C">
        <w:rPr>
          <w:rFonts w:cs="Times New Roman"/>
        </w:rPr>
        <w:t xml:space="preserve"> ‘concerns relating to evidencing status in declaratory Member States’,</w:t>
      </w:r>
      <w:r w:rsidR="001C184C" w:rsidRPr="001C184C">
        <w:rPr>
          <w:rFonts w:cs="Times New Roman"/>
          <w:vertAlign w:val="superscript"/>
        </w:rPr>
        <w:footnoteReference w:id="98"/>
      </w:r>
      <w:r w:rsidR="001C184C" w:rsidRPr="001C184C">
        <w:rPr>
          <w:rFonts w:cs="Times New Roman"/>
        </w:rPr>
        <w:t xml:space="preserve"> and ‘concerns around equal treatment’.</w:t>
      </w:r>
      <w:r w:rsidR="001C184C" w:rsidRPr="001C184C">
        <w:rPr>
          <w:rFonts w:cs="Times New Roman"/>
          <w:vertAlign w:val="superscript"/>
        </w:rPr>
        <w:footnoteReference w:id="99"/>
      </w:r>
      <w:r w:rsidR="001C184C" w:rsidRPr="001C184C">
        <w:rPr>
          <w:rFonts w:cs="Times New Roman"/>
        </w:rPr>
        <w:t> </w:t>
      </w:r>
    </w:p>
    <w:p w14:paraId="67301FC8" w14:textId="6E7CF646" w:rsidR="00123528" w:rsidRDefault="001C184C" w:rsidP="00130844">
      <w:pPr>
        <w:spacing w:after="120"/>
        <w:rPr>
          <w:rFonts w:cs="Times New Roman"/>
        </w:rPr>
      </w:pPr>
      <w:r>
        <w:rPr>
          <w:rFonts w:cs="Times New Roman"/>
        </w:rPr>
        <w:t>But</w:t>
      </w:r>
      <w:r w:rsidR="00130844">
        <w:rPr>
          <w:rFonts w:cs="Times New Roman"/>
        </w:rPr>
        <w:t xml:space="preserve"> the UK government has repeatedly demonstrated an impetus to curb and restrict access to valuable supranational rights</w:t>
      </w:r>
      <w:r>
        <w:rPr>
          <w:rFonts w:cs="Times New Roman"/>
        </w:rPr>
        <w:t xml:space="preserve"> within the UK</w:t>
      </w:r>
      <w:r w:rsidR="00130844">
        <w:rPr>
          <w:rFonts w:cs="Times New Roman"/>
        </w:rPr>
        <w:t>, whether provided through EU law, or the Withdrawal Agreement, as evident in the approaches to personal scope and Article 10.  Any suggestion that WA rights are redundant</w:t>
      </w:r>
      <w:r>
        <w:rPr>
          <w:rFonts w:cs="Times New Roman"/>
        </w:rPr>
        <w:t xml:space="preserve"> </w:t>
      </w:r>
      <w:proofErr w:type="gramStart"/>
      <w:r>
        <w:rPr>
          <w:rFonts w:cs="Times New Roman"/>
        </w:rPr>
        <w:t>in light of</w:t>
      </w:r>
      <w:proofErr w:type="gramEnd"/>
      <w:r>
        <w:rPr>
          <w:rFonts w:cs="Times New Roman"/>
        </w:rPr>
        <w:t xml:space="preserve"> the EUSS</w:t>
      </w:r>
      <w:r w:rsidR="00130844">
        <w:rPr>
          <w:rFonts w:cs="Times New Roman"/>
        </w:rPr>
        <w:t xml:space="preserve">, because we can trust that people’s domestic law rights will be ok, protected by a government keen to do right by EU citizens, would be misguided and naïve in the extreme.   </w:t>
      </w:r>
    </w:p>
    <w:p w14:paraId="32F826D0" w14:textId="77777777" w:rsidR="001C184C" w:rsidRDefault="00130844" w:rsidP="001C184C">
      <w:pPr>
        <w:spacing w:after="120"/>
        <w:rPr>
          <w:rFonts w:cs="Times New Roman"/>
        </w:rPr>
      </w:pPr>
      <w:r>
        <w:rPr>
          <w:rFonts w:cs="Times New Roman"/>
        </w:rPr>
        <w:t xml:space="preserve">As domestic immigration law diverges further from EU law, the distinction between those entitled to Withdrawal Agreement residence rights, and those not, will become ever </w:t>
      </w:r>
      <w:proofErr w:type="gramStart"/>
      <w:r>
        <w:rPr>
          <w:rFonts w:cs="Times New Roman"/>
        </w:rPr>
        <w:t>more stark</w:t>
      </w:r>
      <w:proofErr w:type="gramEnd"/>
      <w:r>
        <w:rPr>
          <w:rFonts w:cs="Times New Roman"/>
        </w:rPr>
        <w:t xml:space="preserve">. There is already evidence of UK governments framing entitlements in terms of ‘Withdrawal Agreement valid’ and ‘Withdrawal Agreement invalid’ EUSS status. As time passes, such </w:t>
      </w:r>
      <w:r>
        <w:rPr>
          <w:rFonts w:cs="Times New Roman"/>
        </w:rPr>
        <w:lastRenderedPageBreak/>
        <w:t xml:space="preserve">opportunities to deny WA </w:t>
      </w:r>
      <w:r w:rsidR="006470D0">
        <w:rPr>
          <w:rFonts w:cs="Times New Roman"/>
        </w:rPr>
        <w:t xml:space="preserve">equal treatment </w:t>
      </w:r>
      <w:r>
        <w:rPr>
          <w:rFonts w:cs="Times New Roman"/>
        </w:rPr>
        <w:t xml:space="preserve">rights to EUSS holders will proliferate, and it will become correspondingly harder to demonstrate </w:t>
      </w:r>
      <w:r w:rsidR="006470D0">
        <w:rPr>
          <w:rFonts w:cs="Times New Roman"/>
        </w:rPr>
        <w:t>WA residence status.</w:t>
      </w:r>
      <w:r w:rsidR="001C184C">
        <w:rPr>
          <w:rFonts w:cs="Times New Roman"/>
        </w:rPr>
        <w:t xml:space="preserve"> </w:t>
      </w:r>
    </w:p>
    <w:p w14:paraId="06E0BA62" w14:textId="77777777" w:rsidR="001C184C" w:rsidRDefault="001C184C" w:rsidP="001C184C">
      <w:pPr>
        <w:spacing w:after="120"/>
        <w:rPr>
          <w:rFonts w:cs="Times New Roman"/>
        </w:rPr>
      </w:pPr>
      <w:r>
        <w:rPr>
          <w:rFonts w:cs="Times New Roman"/>
        </w:rPr>
        <w:t xml:space="preserve">Severing EUSS status from Withdrawal Agreement residence rights is short-sighted cakeism. It is an attempt to combine the more restrictive and onerous aspects of a constitutive scheme, for the purposes of excluding people entirely, with the more restrictive aspects of a declaratory scheme – by imposing further conditions before conceding equal treatment rights. But for the sake of avoiding liability for some temporary benefits for a small cohort of people, what the UK has done is dismantle the very structure put in place to give effect to Withdrawal Agreement residence rights. If the government’s position holds sway, there is simply no longer any such structure in place.  </w:t>
      </w:r>
    </w:p>
    <w:p w14:paraId="3F58222E" w14:textId="7BBE5564" w:rsidR="00BA03AE" w:rsidRDefault="00CE2C92" w:rsidP="00BA03AE">
      <w:pPr>
        <w:rPr>
          <w:rFonts w:cs="Times New Roman"/>
        </w:rPr>
      </w:pPr>
      <w:r>
        <w:rPr>
          <w:rFonts w:cs="Times New Roman"/>
        </w:rPr>
        <w:t xml:space="preserve">As a result, the 6 million+ EU citizens and family members in the UK have no certainty about their WA residence status, and many will not even realise it is in any doubt until decades down the line. </w:t>
      </w:r>
      <w:r w:rsidR="00E45C3E" w:rsidRPr="00E45C3E">
        <w:rPr>
          <w:rFonts w:cs="Times New Roman"/>
        </w:rPr>
        <w:t xml:space="preserve">Our research shows how difficult it can be to adduce evidence of contemporaneous ‘right to reside’ conditions - especially for estranged children and victims of domestic abuse. This difficulty will be compounded tenfold if the investigation is </w:t>
      </w:r>
      <w:proofErr w:type="gramStart"/>
      <w:r w:rsidR="00E45C3E" w:rsidRPr="00E45C3E">
        <w:rPr>
          <w:rFonts w:cs="Times New Roman"/>
        </w:rPr>
        <w:t>historical, and</w:t>
      </w:r>
      <w:proofErr w:type="gramEnd"/>
      <w:r w:rsidR="00E45C3E" w:rsidRPr="00E45C3E">
        <w:rPr>
          <w:rFonts w:cs="Times New Roman"/>
        </w:rPr>
        <w:t xml:space="preserve"> involves excavating decades-old evidence held by hostile, absent, incapacitated, or even dead, third parties. It is simply laying a Windrush trap.</w:t>
      </w:r>
      <w:r>
        <w:rPr>
          <w:rFonts w:cs="Times New Roman"/>
        </w:rPr>
        <w:t xml:space="preserve"> </w:t>
      </w:r>
    </w:p>
    <w:p w14:paraId="57A3749F" w14:textId="77777777" w:rsidR="001B04B9" w:rsidRDefault="001B04B9" w:rsidP="00240C71">
      <w:pPr>
        <w:rPr>
          <w:rFonts w:cs="Times New Roman"/>
        </w:rPr>
      </w:pPr>
    </w:p>
    <w:sectPr w:rsidR="001B04B9" w:rsidSect="00B65008">
      <w:footerReference w:type="even" r:id="rId8"/>
      <w:footerReference w:type="default" r:id="rId9"/>
      <w:footnotePr>
        <w:numRestart w:val="eachSect"/>
      </w:footnotePr>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DA5CF" w14:textId="77777777" w:rsidR="005C71E0" w:rsidRDefault="005C71E0" w:rsidP="00502374">
      <w:r>
        <w:separator/>
      </w:r>
    </w:p>
  </w:endnote>
  <w:endnote w:type="continuationSeparator" w:id="0">
    <w:p w14:paraId="1A474C2C" w14:textId="77777777" w:rsidR="005C71E0" w:rsidRDefault="005C71E0" w:rsidP="00502374">
      <w:r>
        <w:continuationSeparator/>
      </w:r>
    </w:p>
  </w:endnote>
  <w:endnote w:type="continuationNotice" w:id="1">
    <w:p w14:paraId="4A86E6F1" w14:textId="77777777" w:rsidR="005C71E0" w:rsidRDefault="005C71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87947126"/>
      <w:docPartObj>
        <w:docPartGallery w:val="Page Numbers (Bottom of Page)"/>
        <w:docPartUnique/>
      </w:docPartObj>
    </w:sdtPr>
    <w:sdtContent>
      <w:p w14:paraId="30FA1AB6" w14:textId="6A6B52A4" w:rsidR="00164CE7" w:rsidRDefault="00164CE7" w:rsidP="003311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2BD903" w14:textId="77777777" w:rsidR="00164CE7" w:rsidRDefault="00164C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Times New Roman"/>
      </w:rPr>
      <w:id w:val="-1170950817"/>
      <w:docPartObj>
        <w:docPartGallery w:val="Page Numbers (Bottom of Page)"/>
        <w:docPartUnique/>
      </w:docPartObj>
    </w:sdtPr>
    <w:sdtContent>
      <w:p w14:paraId="43F79810" w14:textId="0E25F388" w:rsidR="00164CE7" w:rsidRPr="00441F63" w:rsidRDefault="00164CE7" w:rsidP="003311FF">
        <w:pPr>
          <w:pStyle w:val="Footer"/>
          <w:framePr w:wrap="none" w:vAnchor="text" w:hAnchor="margin" w:xAlign="center" w:y="1"/>
          <w:rPr>
            <w:rStyle w:val="PageNumber"/>
            <w:rFonts w:cs="Times New Roman"/>
          </w:rPr>
        </w:pPr>
        <w:r w:rsidRPr="00441F63">
          <w:rPr>
            <w:rStyle w:val="PageNumber"/>
            <w:rFonts w:cs="Times New Roman"/>
          </w:rPr>
          <w:fldChar w:fldCharType="begin"/>
        </w:r>
        <w:r w:rsidRPr="00441F63">
          <w:rPr>
            <w:rStyle w:val="PageNumber"/>
            <w:rFonts w:cs="Times New Roman"/>
          </w:rPr>
          <w:instrText xml:space="preserve"> PAGE </w:instrText>
        </w:r>
        <w:r w:rsidRPr="00441F63">
          <w:rPr>
            <w:rStyle w:val="PageNumber"/>
            <w:rFonts w:cs="Times New Roman"/>
          </w:rPr>
          <w:fldChar w:fldCharType="separate"/>
        </w:r>
        <w:r w:rsidR="00173FBA">
          <w:rPr>
            <w:rStyle w:val="PageNumber"/>
            <w:rFonts w:cs="Times New Roman"/>
            <w:noProof/>
          </w:rPr>
          <w:t>4</w:t>
        </w:r>
        <w:r w:rsidRPr="00441F63">
          <w:rPr>
            <w:rStyle w:val="PageNumber"/>
            <w:rFonts w:cs="Times New Roman"/>
          </w:rPr>
          <w:fldChar w:fldCharType="end"/>
        </w:r>
      </w:p>
    </w:sdtContent>
  </w:sdt>
  <w:p w14:paraId="0FF58FE6" w14:textId="77777777" w:rsidR="00164CE7" w:rsidRDefault="00164C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6A264" w14:textId="77777777" w:rsidR="005C71E0" w:rsidRDefault="005C71E0" w:rsidP="00502374">
      <w:r>
        <w:separator/>
      </w:r>
    </w:p>
  </w:footnote>
  <w:footnote w:type="continuationSeparator" w:id="0">
    <w:p w14:paraId="16DE4B34" w14:textId="77777777" w:rsidR="005C71E0" w:rsidRDefault="005C71E0" w:rsidP="00502374">
      <w:r>
        <w:continuationSeparator/>
      </w:r>
    </w:p>
  </w:footnote>
  <w:footnote w:type="continuationNotice" w:id="1">
    <w:p w14:paraId="071C634D" w14:textId="77777777" w:rsidR="005C71E0" w:rsidRDefault="005C71E0"/>
  </w:footnote>
  <w:footnote w:id="2">
    <w:p w14:paraId="2290B79E" w14:textId="52D19123" w:rsidR="00726D95" w:rsidRPr="00337F30" w:rsidRDefault="00726D95" w:rsidP="00337F30">
      <w:pPr>
        <w:snapToGrid w:val="0"/>
        <w:spacing w:after="120" w:line="240" w:lineRule="auto"/>
        <w:jc w:val="left"/>
        <w:rPr>
          <w:rFonts w:cs="Times New Roman"/>
          <w:sz w:val="20"/>
          <w:szCs w:val="20"/>
        </w:rPr>
      </w:pPr>
      <w:r w:rsidRPr="00337F30">
        <w:rPr>
          <w:rStyle w:val="FootnoteReference"/>
          <w:rFonts w:cs="Times New Roman"/>
          <w:sz w:val="20"/>
          <w:szCs w:val="20"/>
        </w:rPr>
        <w:footnoteRef/>
      </w:r>
      <w:r w:rsidRPr="00337F30">
        <w:rPr>
          <w:rFonts w:cs="Times New Roman"/>
          <w:sz w:val="20"/>
          <w:szCs w:val="20"/>
        </w:rPr>
        <w:t xml:space="preserve"> </w:t>
      </w:r>
      <w:r w:rsidR="00000D1B" w:rsidRPr="00337F30">
        <w:rPr>
          <w:rFonts w:cs="Times New Roman"/>
          <w:sz w:val="20"/>
          <w:szCs w:val="20"/>
        </w:rPr>
        <w:t xml:space="preserve">Professor of Law, University of York. </w:t>
      </w:r>
      <w:r w:rsidRPr="00337F30">
        <w:rPr>
          <w:rFonts w:cs="Times New Roman"/>
          <w:sz w:val="20"/>
          <w:szCs w:val="20"/>
        </w:rPr>
        <w:t xml:space="preserve">This research was kindly funded by the </w:t>
      </w:r>
      <w:r w:rsidR="00D23EF5" w:rsidRPr="00337F30">
        <w:rPr>
          <w:rFonts w:cs="Times New Roman"/>
          <w:sz w:val="20"/>
          <w:szCs w:val="20"/>
        </w:rPr>
        <w:t>Economic and Social Research Council</w:t>
      </w:r>
      <w:r w:rsidR="0011523D">
        <w:rPr>
          <w:rFonts w:cs="Times New Roman"/>
          <w:sz w:val="20"/>
          <w:szCs w:val="20"/>
        </w:rPr>
        <w:t xml:space="preserve">, grant ref </w:t>
      </w:r>
      <w:r w:rsidR="0011523D" w:rsidRPr="0011523D">
        <w:rPr>
          <w:rFonts w:cs="Times New Roman"/>
          <w:sz w:val="20"/>
          <w:szCs w:val="20"/>
        </w:rPr>
        <w:t>ES/S007385/1</w:t>
      </w:r>
      <w:r w:rsidR="0011523D">
        <w:rPr>
          <w:rFonts w:cs="Times New Roman"/>
          <w:sz w:val="20"/>
          <w:szCs w:val="20"/>
        </w:rPr>
        <w:t>.</w:t>
      </w:r>
    </w:p>
  </w:footnote>
  <w:footnote w:id="3">
    <w:p w14:paraId="24E0FC2C" w14:textId="07D37BB3" w:rsidR="00726D95" w:rsidRPr="00337F30" w:rsidRDefault="00726D95" w:rsidP="00337F30">
      <w:pPr>
        <w:pStyle w:val="FootnoteText"/>
        <w:snapToGrid w:val="0"/>
        <w:spacing w:after="120" w:line="240" w:lineRule="auto"/>
        <w:jc w:val="left"/>
        <w:rPr>
          <w:rFonts w:cs="Times New Roman"/>
        </w:rPr>
      </w:pPr>
      <w:r w:rsidRPr="00337F30">
        <w:rPr>
          <w:rStyle w:val="FootnoteReference"/>
          <w:rFonts w:cs="Times New Roman"/>
        </w:rPr>
        <w:footnoteRef/>
      </w:r>
      <w:r w:rsidRPr="00337F30">
        <w:rPr>
          <w:rFonts w:cs="Times New Roman"/>
        </w:rPr>
        <w:t xml:space="preserve"> </w:t>
      </w:r>
      <w:r w:rsidR="00000D1B" w:rsidRPr="00337F30">
        <w:rPr>
          <w:rFonts w:cs="Times New Roman"/>
        </w:rPr>
        <w:t>Lecturer in Law, University of York.</w:t>
      </w:r>
    </w:p>
  </w:footnote>
  <w:footnote w:id="4">
    <w:p w14:paraId="3BB5BACF" w14:textId="56E9770F" w:rsidR="004F44B9" w:rsidRPr="00337F30" w:rsidRDefault="004F44B9" w:rsidP="00337F30">
      <w:pPr>
        <w:pStyle w:val="FootnoteText"/>
        <w:snapToGrid w:val="0"/>
        <w:spacing w:after="120" w:line="240" w:lineRule="auto"/>
        <w:jc w:val="left"/>
        <w:rPr>
          <w:rFonts w:cs="Times New Roman"/>
        </w:rPr>
      </w:pPr>
      <w:r w:rsidRPr="00337F30">
        <w:rPr>
          <w:rStyle w:val="FootnoteReference"/>
          <w:rFonts w:cs="Times New Roman"/>
        </w:rPr>
        <w:footnoteRef/>
      </w:r>
      <w:r w:rsidRPr="00337F30">
        <w:rPr>
          <w:rFonts w:cs="Times New Roman"/>
        </w:rPr>
        <w:t xml:space="preserve"> </w:t>
      </w:r>
      <w:r w:rsidRPr="00337F30">
        <w:rPr>
          <w:rFonts w:cs="Times New Roman"/>
          <w:i/>
          <w:iCs/>
        </w:rPr>
        <w:t>C v Oldham</w:t>
      </w:r>
      <w:r w:rsidRPr="00337F30">
        <w:rPr>
          <w:rFonts w:cs="Times New Roman"/>
        </w:rPr>
        <w:t xml:space="preserve"> [2024] EWCC 1 (Case J05MA951) a section 204 Housing Act 1996 appeal, 22 May 2024, </w:t>
      </w:r>
      <w:r w:rsidRPr="00337F30">
        <w:rPr>
          <w:rFonts w:cs="Times New Roman"/>
          <w:i/>
          <w:iCs/>
        </w:rPr>
        <w:t>Hynek v Islington</w:t>
      </w:r>
      <w:r w:rsidRPr="00337F30">
        <w:rPr>
          <w:rFonts w:cs="Times New Roman"/>
        </w:rPr>
        <w:t xml:space="preserve"> K40CL206; 24 May 2024, </w:t>
      </w:r>
      <w:proofErr w:type="spellStart"/>
      <w:r w:rsidRPr="00337F30">
        <w:rPr>
          <w:rFonts w:cs="Times New Roman"/>
          <w:i/>
          <w:iCs/>
        </w:rPr>
        <w:t>Fertré</w:t>
      </w:r>
      <w:proofErr w:type="spellEnd"/>
      <w:r w:rsidRPr="00337F30">
        <w:rPr>
          <w:rFonts w:cs="Times New Roman"/>
          <w:i/>
          <w:iCs/>
        </w:rPr>
        <w:t xml:space="preserve"> v Vale of White Horse District Council</w:t>
      </w:r>
      <w:r w:rsidRPr="00337F30">
        <w:rPr>
          <w:rFonts w:cs="Times New Roman"/>
        </w:rPr>
        <w:t xml:space="preserve"> [2024] EWHC 1754 (KB) 8 July 2024.</w:t>
      </w:r>
    </w:p>
  </w:footnote>
  <w:footnote w:id="5">
    <w:p w14:paraId="128494E2" w14:textId="7CFCE390" w:rsidR="00A36F42" w:rsidRPr="00337F30" w:rsidRDefault="00A36F42" w:rsidP="00337F30">
      <w:pPr>
        <w:pStyle w:val="FootnoteText"/>
        <w:snapToGrid w:val="0"/>
        <w:spacing w:after="120" w:line="240" w:lineRule="auto"/>
        <w:jc w:val="left"/>
        <w:rPr>
          <w:rFonts w:cs="Times New Roman"/>
        </w:rPr>
      </w:pPr>
      <w:r w:rsidRPr="00337F30">
        <w:rPr>
          <w:rStyle w:val="FootnoteReference"/>
          <w:rFonts w:cs="Times New Roman"/>
        </w:rPr>
        <w:footnoteRef/>
      </w:r>
      <w:r w:rsidRPr="00337F30">
        <w:rPr>
          <w:rFonts w:cs="Times New Roman"/>
        </w:rPr>
        <w:t xml:space="preserve"> Agreement on the withdrawal of the United Kingdom of Great Britain and Northern Ireland from</w:t>
      </w:r>
      <w:r w:rsidR="00663D5D" w:rsidRPr="00337F30">
        <w:rPr>
          <w:rFonts w:cs="Times New Roman"/>
        </w:rPr>
        <w:t xml:space="preserve"> </w:t>
      </w:r>
      <w:r w:rsidRPr="00337F30">
        <w:rPr>
          <w:rFonts w:cs="Times New Roman"/>
        </w:rPr>
        <w:t>the European Union and the European Atomic Energy Community [2019] OJ C 384/1 (Withdrawal</w:t>
      </w:r>
      <w:r w:rsidR="00663D5D" w:rsidRPr="00337F30">
        <w:rPr>
          <w:rFonts w:cs="Times New Roman"/>
        </w:rPr>
        <w:t xml:space="preserve"> </w:t>
      </w:r>
      <w:r w:rsidRPr="00337F30">
        <w:rPr>
          <w:rFonts w:cs="Times New Roman"/>
        </w:rPr>
        <w:t>Agreement).</w:t>
      </w:r>
    </w:p>
  </w:footnote>
  <w:footnote w:id="6">
    <w:p w14:paraId="03505881" w14:textId="2CF668E6" w:rsidR="00A36F42" w:rsidRPr="00337F30" w:rsidRDefault="00A36F42" w:rsidP="00337F30">
      <w:pPr>
        <w:pStyle w:val="FootnoteText"/>
        <w:snapToGrid w:val="0"/>
        <w:spacing w:after="120" w:line="240" w:lineRule="auto"/>
        <w:jc w:val="left"/>
        <w:rPr>
          <w:rFonts w:cs="Times New Roman"/>
        </w:rPr>
      </w:pPr>
      <w:r w:rsidRPr="00337F30">
        <w:rPr>
          <w:rStyle w:val="FootnoteReference"/>
          <w:rFonts w:cs="Times New Roman"/>
        </w:rPr>
        <w:footnoteRef/>
      </w:r>
      <w:r w:rsidRPr="00337F30">
        <w:rPr>
          <w:rFonts w:cs="Times New Roman"/>
        </w:rPr>
        <w:t xml:space="preserve"> </w:t>
      </w:r>
      <w:r w:rsidR="0018183D" w:rsidRPr="00337F30">
        <w:rPr>
          <w:rFonts w:cs="Times New Roman"/>
        </w:rPr>
        <w:t>Directive 2004/38/EC of the European Parliament and of the Council of 29 April 2004 on the right of citizens of the Union and their family members to move and reside freely within the territory of the Member States [2004] OJ L158/77 (Directive 2004/38).</w:t>
      </w:r>
    </w:p>
  </w:footnote>
  <w:footnote w:id="7">
    <w:p w14:paraId="630AF781" w14:textId="1AA3CEC8" w:rsidR="00AC6171" w:rsidRPr="00337F30" w:rsidRDefault="00AC6171" w:rsidP="00337F30">
      <w:pPr>
        <w:pStyle w:val="FootnoteText"/>
        <w:snapToGrid w:val="0"/>
        <w:spacing w:after="120" w:line="240" w:lineRule="auto"/>
        <w:rPr>
          <w:rFonts w:cs="Times New Roman"/>
        </w:rPr>
      </w:pPr>
      <w:r w:rsidRPr="00337F30">
        <w:rPr>
          <w:rStyle w:val="FootnoteReference"/>
          <w:rFonts w:cs="Times New Roman"/>
        </w:rPr>
        <w:footnoteRef/>
      </w:r>
      <w:r w:rsidRPr="00337F30">
        <w:rPr>
          <w:rFonts w:cs="Times New Roman"/>
        </w:rPr>
        <w:t xml:space="preserve"> </w:t>
      </w:r>
      <w:r w:rsidR="00073052" w:rsidRPr="00337F30">
        <w:rPr>
          <w:rFonts w:cs="Times New Roman"/>
        </w:rPr>
        <w:t>Directive 2004/38, Arts. 5(5); 8(2); 9(3); 20(2).</w:t>
      </w:r>
    </w:p>
  </w:footnote>
  <w:footnote w:id="8">
    <w:p w14:paraId="79CE373F" w14:textId="776F4AE6" w:rsidR="00AA6621" w:rsidRPr="00337F30" w:rsidRDefault="00AA6621" w:rsidP="00337F30">
      <w:pPr>
        <w:pStyle w:val="FootnoteText"/>
        <w:snapToGrid w:val="0"/>
        <w:spacing w:after="120" w:line="240" w:lineRule="auto"/>
        <w:rPr>
          <w:rFonts w:cs="Times New Roman"/>
          <w:i/>
          <w:iCs/>
        </w:rPr>
      </w:pPr>
      <w:r w:rsidRPr="00337F30">
        <w:rPr>
          <w:rStyle w:val="FootnoteReference"/>
          <w:rFonts w:cs="Times New Roman"/>
        </w:rPr>
        <w:footnoteRef/>
      </w:r>
      <w:r w:rsidRPr="00337F30">
        <w:rPr>
          <w:rFonts w:cs="Times New Roman"/>
        </w:rPr>
        <w:t xml:space="preserve"> </w:t>
      </w:r>
      <w:r w:rsidRPr="00337F30">
        <w:rPr>
          <w:rFonts w:cs="Times New Roman"/>
          <w:lang w:val="es-ES"/>
        </w:rPr>
        <w:t xml:space="preserve">Case C-333/13 </w:t>
      </w:r>
      <w:proofErr w:type="spellStart"/>
      <w:r w:rsidRPr="00337F30">
        <w:rPr>
          <w:rFonts w:cs="Times New Roman"/>
          <w:i/>
          <w:iCs/>
          <w:lang w:val="es-ES"/>
        </w:rPr>
        <w:t>Dano</w:t>
      </w:r>
      <w:proofErr w:type="spellEnd"/>
      <w:r w:rsidRPr="00337F30">
        <w:rPr>
          <w:rFonts w:cs="Times New Roman"/>
          <w:lang w:val="es-ES"/>
        </w:rPr>
        <w:t xml:space="preserve"> ECLI:EU:</w:t>
      </w:r>
      <w:proofErr w:type="gramStart"/>
      <w:r w:rsidRPr="00337F30">
        <w:rPr>
          <w:rFonts w:cs="Times New Roman"/>
          <w:lang w:val="es-ES"/>
        </w:rPr>
        <w:t>C:2014:2358</w:t>
      </w:r>
      <w:proofErr w:type="gramEnd"/>
      <w:r w:rsidRPr="00337F30">
        <w:rPr>
          <w:rFonts w:cs="Times New Roman"/>
          <w:lang w:val="es-ES"/>
        </w:rPr>
        <w:t>.</w:t>
      </w:r>
    </w:p>
  </w:footnote>
  <w:footnote w:id="9">
    <w:p w14:paraId="4124BD4A" w14:textId="3315DD14" w:rsidR="00663D5D" w:rsidRPr="00337F30" w:rsidRDefault="00663D5D" w:rsidP="00337F30">
      <w:pPr>
        <w:pStyle w:val="FootnoteText"/>
        <w:snapToGrid w:val="0"/>
        <w:spacing w:after="120" w:line="240" w:lineRule="auto"/>
        <w:jc w:val="left"/>
        <w:rPr>
          <w:rFonts w:cs="Times New Roman"/>
        </w:rPr>
      </w:pPr>
      <w:r w:rsidRPr="00337F30">
        <w:rPr>
          <w:rStyle w:val="FootnoteReference"/>
          <w:rFonts w:cs="Times New Roman"/>
        </w:rPr>
        <w:footnoteRef/>
      </w:r>
      <w:r w:rsidRPr="00337F30">
        <w:rPr>
          <w:rFonts w:cs="Times New Roman"/>
        </w:rPr>
        <w:t xml:space="preserve"> Withdrawal Agreement, preamble. </w:t>
      </w:r>
    </w:p>
  </w:footnote>
  <w:footnote w:id="10">
    <w:p w14:paraId="67B7F738" w14:textId="4F603FF2" w:rsidR="000216EC" w:rsidRPr="00337F30" w:rsidRDefault="000216EC" w:rsidP="00337F30">
      <w:pPr>
        <w:pStyle w:val="FootnoteText"/>
        <w:snapToGrid w:val="0"/>
        <w:spacing w:after="120" w:line="240" w:lineRule="auto"/>
        <w:jc w:val="left"/>
        <w:rPr>
          <w:rFonts w:cs="Times New Roman"/>
        </w:rPr>
      </w:pPr>
      <w:r w:rsidRPr="00337F30">
        <w:rPr>
          <w:rStyle w:val="FootnoteReference"/>
          <w:rFonts w:cs="Times New Roman"/>
        </w:rPr>
        <w:footnoteRef/>
      </w:r>
      <w:r w:rsidRPr="00337F30">
        <w:rPr>
          <w:rFonts w:cs="Times New Roman"/>
        </w:rPr>
        <w:t xml:space="preserve"> </w:t>
      </w:r>
      <w:r w:rsidR="001505F6" w:rsidRPr="00337F30">
        <w:rPr>
          <w:rFonts w:cs="Times New Roman"/>
        </w:rPr>
        <w:t>The Withdrawal Agreement requires that where a declaratory scheme is offered, there is an option to apply for an be granted a document evidencing status under the agreement, Article 18(</w:t>
      </w:r>
      <w:r w:rsidR="00E41E52" w:rsidRPr="00337F30">
        <w:rPr>
          <w:rFonts w:cs="Times New Roman"/>
        </w:rPr>
        <w:t>4).</w:t>
      </w:r>
    </w:p>
  </w:footnote>
  <w:footnote w:id="11">
    <w:p w14:paraId="06B9E596" w14:textId="66BFDC8B" w:rsidR="00F62530" w:rsidRPr="00337F30" w:rsidRDefault="00F62530" w:rsidP="00337F30">
      <w:pPr>
        <w:pStyle w:val="FootnoteText"/>
        <w:snapToGrid w:val="0"/>
        <w:spacing w:after="120" w:line="240" w:lineRule="auto"/>
        <w:jc w:val="left"/>
        <w:rPr>
          <w:rFonts w:cs="Times New Roman"/>
        </w:rPr>
      </w:pPr>
      <w:r w:rsidRPr="00337F30">
        <w:rPr>
          <w:rStyle w:val="FootnoteReference"/>
          <w:rFonts w:cs="Times New Roman"/>
        </w:rPr>
        <w:footnoteRef/>
      </w:r>
      <w:r w:rsidRPr="00337F30">
        <w:rPr>
          <w:rFonts w:cs="Times New Roman"/>
        </w:rPr>
        <w:t xml:space="preserve"> </w:t>
      </w:r>
      <w:r w:rsidR="00785A58" w:rsidRPr="00337F30">
        <w:rPr>
          <w:rFonts w:cs="Times New Roman"/>
        </w:rPr>
        <w:t>Home Affairs Committee</w:t>
      </w:r>
      <w:r w:rsidR="008369E7" w:rsidRPr="00337F30">
        <w:rPr>
          <w:rFonts w:cs="Times New Roman"/>
        </w:rPr>
        <w:t xml:space="preserve">, </w:t>
      </w:r>
      <w:r w:rsidR="00196B56" w:rsidRPr="00337F30">
        <w:rPr>
          <w:rFonts w:cs="Times New Roman"/>
        </w:rPr>
        <w:t xml:space="preserve">‘Oral evidence: </w:t>
      </w:r>
      <w:r w:rsidR="006C646B" w:rsidRPr="00337F30">
        <w:rPr>
          <w:rFonts w:cs="Times New Roman"/>
        </w:rPr>
        <w:t>The work of the Home Secretar</w:t>
      </w:r>
      <w:r w:rsidR="00196B56" w:rsidRPr="00337F30">
        <w:rPr>
          <w:rFonts w:cs="Times New Roman"/>
        </w:rPr>
        <w:t xml:space="preserve">y’ </w:t>
      </w:r>
      <w:r w:rsidR="00602DE8" w:rsidRPr="00337F30">
        <w:rPr>
          <w:rFonts w:cs="Times New Roman"/>
        </w:rPr>
        <w:t>(</w:t>
      </w:r>
      <w:r w:rsidR="00D8389F" w:rsidRPr="00337F30">
        <w:rPr>
          <w:rFonts w:cs="Times New Roman"/>
        </w:rPr>
        <w:t>HC 434</w:t>
      </w:r>
      <w:r w:rsidR="006C646B" w:rsidRPr="00337F30">
        <w:rPr>
          <w:rFonts w:cs="Times New Roman"/>
        </w:rPr>
        <w:t>)</w:t>
      </w:r>
      <w:r w:rsidR="00870EC6" w:rsidRPr="00337F30">
        <w:rPr>
          <w:rFonts w:cs="Times New Roman"/>
        </w:rPr>
        <w:t xml:space="preserve"> Q759</w:t>
      </w:r>
      <w:r w:rsidR="00DB77EF" w:rsidRPr="00337F30">
        <w:rPr>
          <w:rFonts w:cs="Times New Roman"/>
        </w:rPr>
        <w:t>.</w:t>
      </w:r>
    </w:p>
  </w:footnote>
  <w:footnote w:id="12">
    <w:p w14:paraId="178C980B" w14:textId="64077B0F" w:rsidR="00F62530" w:rsidRPr="00337F30" w:rsidRDefault="00F62530" w:rsidP="00337F30">
      <w:pPr>
        <w:pStyle w:val="FootnoteText"/>
        <w:snapToGrid w:val="0"/>
        <w:spacing w:after="120" w:line="240" w:lineRule="auto"/>
        <w:jc w:val="left"/>
        <w:rPr>
          <w:rFonts w:cs="Times New Roman"/>
        </w:rPr>
      </w:pPr>
      <w:r w:rsidRPr="00337F30">
        <w:rPr>
          <w:rStyle w:val="FootnoteReference"/>
          <w:rFonts w:cs="Times New Roman"/>
        </w:rPr>
        <w:footnoteRef/>
      </w:r>
      <w:r w:rsidRPr="00337F30">
        <w:rPr>
          <w:rFonts w:cs="Times New Roman"/>
        </w:rPr>
        <w:t xml:space="preserve"> </w:t>
      </w:r>
      <w:r w:rsidR="00421ABC" w:rsidRPr="00337F30">
        <w:rPr>
          <w:rFonts w:cs="Times New Roman"/>
        </w:rPr>
        <w:t>ibid Q763.</w:t>
      </w:r>
    </w:p>
  </w:footnote>
  <w:footnote w:id="13">
    <w:p w14:paraId="014EA644" w14:textId="7AF3C947" w:rsidR="00C21DDD" w:rsidRPr="00337F30" w:rsidRDefault="00C21DDD" w:rsidP="00337F30">
      <w:pPr>
        <w:pStyle w:val="FootnoteText"/>
        <w:snapToGrid w:val="0"/>
        <w:spacing w:after="120" w:line="240" w:lineRule="auto"/>
        <w:jc w:val="left"/>
        <w:rPr>
          <w:rFonts w:cs="Times New Roman"/>
        </w:rPr>
      </w:pPr>
      <w:r w:rsidRPr="00337F30">
        <w:rPr>
          <w:rStyle w:val="FootnoteReference"/>
          <w:rFonts w:cs="Times New Roman"/>
        </w:rPr>
        <w:footnoteRef/>
      </w:r>
      <w:r w:rsidRPr="00337F30">
        <w:rPr>
          <w:rFonts w:cs="Times New Roman"/>
        </w:rPr>
        <w:t xml:space="preserve"> Powers to </w:t>
      </w:r>
      <w:r w:rsidR="00510A0F" w:rsidRPr="00337F30">
        <w:rPr>
          <w:rFonts w:cs="Times New Roman"/>
        </w:rPr>
        <w:t>curtail, cancel or revoke status are contained in Annex 3 of Appendix EU to the Immigration Rules</w:t>
      </w:r>
      <w:r w:rsidR="00ED7AAA" w:rsidRPr="00337F30">
        <w:rPr>
          <w:rFonts w:cs="Times New Roman"/>
        </w:rPr>
        <w:t xml:space="preserve"> HC</w:t>
      </w:r>
      <w:r w:rsidR="004A6F20" w:rsidRPr="00337F30">
        <w:rPr>
          <w:rFonts w:cs="Times New Roman"/>
        </w:rPr>
        <w:t xml:space="preserve"> 395, as amended (Appendix EU)</w:t>
      </w:r>
      <w:r w:rsidR="00510A0F" w:rsidRPr="00337F30">
        <w:rPr>
          <w:rFonts w:cs="Times New Roman"/>
        </w:rPr>
        <w:t xml:space="preserve">. This includes instances of long absences from the UK or where it is justified on grounds of on grounds of public policy, public security or public health.   </w:t>
      </w:r>
    </w:p>
  </w:footnote>
  <w:footnote w:id="14">
    <w:p w14:paraId="05507FB6" w14:textId="164DDA5B" w:rsidR="00342913" w:rsidRPr="00337F30" w:rsidRDefault="00342913" w:rsidP="00337F30">
      <w:pPr>
        <w:pStyle w:val="FootnoteText"/>
        <w:snapToGrid w:val="0"/>
        <w:spacing w:after="120" w:line="240" w:lineRule="auto"/>
        <w:rPr>
          <w:rFonts w:cs="Times New Roman"/>
        </w:rPr>
      </w:pPr>
      <w:r w:rsidRPr="00337F30">
        <w:rPr>
          <w:rStyle w:val="FootnoteReference"/>
          <w:rFonts w:cs="Times New Roman"/>
        </w:rPr>
        <w:footnoteRef/>
      </w:r>
      <w:r w:rsidRPr="00337F30">
        <w:rPr>
          <w:rFonts w:cs="Times New Roman"/>
        </w:rPr>
        <w:t xml:space="preserve"> 30 June 2021; Art. 18(1)(b) WA: ‘the deadline for submitting the application shall not be less than 6 months from the end of the transition period’.</w:t>
      </w:r>
    </w:p>
  </w:footnote>
  <w:footnote w:id="15">
    <w:p w14:paraId="47A98F4C" w14:textId="22E29929" w:rsidR="00342913" w:rsidRPr="00337F30" w:rsidRDefault="00342913" w:rsidP="00337F30">
      <w:pPr>
        <w:pStyle w:val="FootnoteText"/>
        <w:snapToGrid w:val="0"/>
        <w:spacing w:after="120" w:line="240" w:lineRule="auto"/>
        <w:rPr>
          <w:rFonts w:cs="Times New Roman"/>
        </w:rPr>
      </w:pPr>
      <w:r w:rsidRPr="00337F30">
        <w:rPr>
          <w:rStyle w:val="FootnoteReference"/>
          <w:rFonts w:cs="Times New Roman"/>
        </w:rPr>
        <w:footnoteRef/>
      </w:r>
      <w:r w:rsidRPr="00337F30">
        <w:rPr>
          <w:rFonts w:cs="Times New Roman"/>
        </w:rPr>
        <w:t xml:space="preserve"> Case C-709/20 </w:t>
      </w:r>
      <w:r w:rsidRPr="00337F30">
        <w:rPr>
          <w:rFonts w:cs="Times New Roman"/>
          <w:i/>
          <w:iCs/>
        </w:rPr>
        <w:t>CG</w:t>
      </w:r>
      <w:r w:rsidRPr="00337F30">
        <w:rPr>
          <w:rFonts w:cs="Times New Roman"/>
        </w:rPr>
        <w:t xml:space="preserve"> ECLI:EU:</w:t>
      </w:r>
      <w:proofErr w:type="gramStart"/>
      <w:r w:rsidRPr="00337F30">
        <w:rPr>
          <w:rFonts w:cs="Times New Roman"/>
        </w:rPr>
        <w:t>C:2021:515</w:t>
      </w:r>
      <w:proofErr w:type="gramEnd"/>
      <w:r w:rsidRPr="00337F30">
        <w:rPr>
          <w:rFonts w:cs="Times New Roman"/>
        </w:rPr>
        <w:t xml:space="preserve"> Opinion of AG Richard de la Tour, </w:t>
      </w:r>
      <w:proofErr w:type="spellStart"/>
      <w:r w:rsidRPr="00337F30">
        <w:rPr>
          <w:rFonts w:cs="Times New Roman"/>
        </w:rPr>
        <w:t>fn</w:t>
      </w:r>
      <w:proofErr w:type="spellEnd"/>
      <w:r w:rsidRPr="00337F30">
        <w:rPr>
          <w:rFonts w:cs="Times New Roman"/>
        </w:rPr>
        <w:t xml:space="preserve"> 56.</w:t>
      </w:r>
    </w:p>
  </w:footnote>
  <w:footnote w:id="16">
    <w:p w14:paraId="4188985D" w14:textId="133D55AE" w:rsidR="000022A8" w:rsidRPr="00337F30" w:rsidRDefault="000022A8" w:rsidP="00337F30">
      <w:pPr>
        <w:pStyle w:val="FootnoteText"/>
        <w:snapToGrid w:val="0"/>
        <w:spacing w:after="120" w:line="240" w:lineRule="auto"/>
        <w:jc w:val="left"/>
        <w:rPr>
          <w:rFonts w:cs="Times New Roman"/>
        </w:rPr>
      </w:pPr>
      <w:r w:rsidRPr="00337F30">
        <w:rPr>
          <w:rStyle w:val="FootnoteReference"/>
          <w:rFonts w:cs="Times New Roman"/>
        </w:rPr>
        <w:footnoteRef/>
      </w:r>
      <w:r w:rsidRPr="00337F30">
        <w:rPr>
          <w:rFonts w:cs="Times New Roman"/>
        </w:rPr>
        <w:t xml:space="preserve"> </w:t>
      </w:r>
      <w:r w:rsidR="008B290F" w:rsidRPr="00337F30">
        <w:rPr>
          <w:rFonts w:eastAsia="Times New Roman" w:cs="Times New Roman"/>
          <w:i/>
          <w:color w:val="222222"/>
          <w:lang w:eastAsia="en-GB"/>
        </w:rPr>
        <w:t>VP v Secretary of State for Work and Pensions (JSA)</w:t>
      </w:r>
      <w:r w:rsidR="008B290F" w:rsidRPr="00337F30">
        <w:rPr>
          <w:rFonts w:eastAsia="Times New Roman" w:cs="Times New Roman"/>
          <w:color w:val="222222"/>
          <w:lang w:eastAsia="en-GB"/>
        </w:rPr>
        <w:t xml:space="preserve"> [2014] UKUT 32 (AAC)</w:t>
      </w:r>
      <w:r w:rsidR="005D2A25" w:rsidRPr="00337F30">
        <w:rPr>
          <w:rFonts w:eastAsia="Times New Roman" w:cs="Times New Roman"/>
          <w:color w:val="222222"/>
          <w:lang w:eastAsia="en-GB"/>
        </w:rPr>
        <w:t xml:space="preserve"> [83</w:t>
      </w:r>
      <w:r w:rsidR="006832A7" w:rsidRPr="00337F30">
        <w:rPr>
          <w:rFonts w:eastAsia="Times New Roman" w:cs="Times New Roman"/>
          <w:color w:val="222222"/>
          <w:lang w:eastAsia="en-GB"/>
        </w:rPr>
        <w:t>–</w:t>
      </w:r>
      <w:r w:rsidR="00017A5B" w:rsidRPr="00337F30">
        <w:rPr>
          <w:rFonts w:eastAsia="Times New Roman" w:cs="Times New Roman"/>
          <w:color w:val="222222"/>
          <w:lang w:eastAsia="en-GB"/>
        </w:rPr>
        <w:t>8</w:t>
      </w:r>
      <w:r w:rsidR="005D2A25" w:rsidRPr="00337F30">
        <w:rPr>
          <w:rFonts w:eastAsia="Times New Roman" w:cs="Times New Roman"/>
          <w:color w:val="222222"/>
          <w:lang w:eastAsia="en-GB"/>
        </w:rPr>
        <w:t>4].</w:t>
      </w:r>
    </w:p>
  </w:footnote>
  <w:footnote w:id="17">
    <w:p w14:paraId="3A23D7A7" w14:textId="08DB24B5" w:rsidR="0046408A" w:rsidRPr="00337F30" w:rsidRDefault="0046408A" w:rsidP="00337F30">
      <w:pPr>
        <w:pStyle w:val="FootnoteText"/>
        <w:snapToGrid w:val="0"/>
        <w:spacing w:after="120" w:line="240" w:lineRule="auto"/>
        <w:jc w:val="left"/>
        <w:rPr>
          <w:rFonts w:cs="Times New Roman"/>
        </w:rPr>
      </w:pPr>
      <w:r w:rsidRPr="00337F30">
        <w:rPr>
          <w:rStyle w:val="FootnoteReference"/>
          <w:rFonts w:cs="Times New Roman"/>
        </w:rPr>
        <w:footnoteRef/>
      </w:r>
      <w:r w:rsidRPr="00337F30">
        <w:rPr>
          <w:rFonts w:cs="Times New Roman"/>
        </w:rPr>
        <w:t xml:space="preserve"> Directive 2004/38, Article 7.</w:t>
      </w:r>
    </w:p>
  </w:footnote>
  <w:footnote w:id="18">
    <w:p w14:paraId="17206D42" w14:textId="1A5B5B36" w:rsidR="0046408A" w:rsidRPr="00337F30" w:rsidRDefault="0046408A" w:rsidP="00337F30">
      <w:pPr>
        <w:pStyle w:val="FootnoteText"/>
        <w:snapToGrid w:val="0"/>
        <w:spacing w:after="120" w:line="240" w:lineRule="auto"/>
        <w:jc w:val="left"/>
        <w:rPr>
          <w:rFonts w:cs="Times New Roman"/>
        </w:rPr>
      </w:pPr>
      <w:r w:rsidRPr="00337F30">
        <w:rPr>
          <w:rStyle w:val="FootnoteReference"/>
          <w:rFonts w:cs="Times New Roman"/>
        </w:rPr>
        <w:footnoteRef/>
      </w:r>
      <w:r w:rsidRPr="00337F30">
        <w:rPr>
          <w:rFonts w:cs="Times New Roman"/>
        </w:rPr>
        <w:t xml:space="preserve"> </w:t>
      </w:r>
      <w:r w:rsidR="003B331B" w:rsidRPr="00337F30">
        <w:rPr>
          <w:rFonts w:cs="Times New Roman"/>
        </w:rPr>
        <w:t xml:space="preserve">Articles 16 and 17. </w:t>
      </w:r>
    </w:p>
  </w:footnote>
  <w:footnote w:id="19">
    <w:p w14:paraId="1C724D39" w14:textId="03F7D353" w:rsidR="003F357D" w:rsidRPr="00337F30" w:rsidRDefault="003F357D" w:rsidP="00337F30">
      <w:pPr>
        <w:pStyle w:val="FootnoteText"/>
        <w:snapToGrid w:val="0"/>
        <w:spacing w:after="120" w:line="240" w:lineRule="auto"/>
        <w:jc w:val="left"/>
        <w:rPr>
          <w:rFonts w:cs="Times New Roman"/>
        </w:rPr>
      </w:pPr>
      <w:r w:rsidRPr="00337F30">
        <w:rPr>
          <w:rStyle w:val="FootnoteReference"/>
          <w:rFonts w:cs="Times New Roman"/>
        </w:rPr>
        <w:footnoteRef/>
      </w:r>
      <w:r w:rsidRPr="00337F30">
        <w:rPr>
          <w:rFonts w:cs="Times New Roman"/>
        </w:rPr>
        <w:t xml:space="preserve"> HM Government ‘</w:t>
      </w:r>
      <w:hyperlink r:id="rId1" w:tgtFrame="_blank" w:history="1">
        <w:r w:rsidRPr="00337F30">
          <w:rPr>
            <w:rStyle w:val="Hyperlink"/>
            <w:rFonts w:cs="Times New Roman"/>
          </w:rPr>
          <w:t>Technical note: citizens’ rights, administrative procedures in the UK’ Policy Paper</w:t>
        </w:r>
      </w:hyperlink>
      <w:r w:rsidRPr="00337F30">
        <w:rPr>
          <w:rFonts w:cs="Times New Roman"/>
        </w:rPr>
        <w:t>, 8 November 2017, [3].</w:t>
      </w:r>
    </w:p>
  </w:footnote>
  <w:footnote w:id="20">
    <w:p w14:paraId="43245315" w14:textId="39EB81FE" w:rsidR="003178D0" w:rsidRPr="00337F30" w:rsidRDefault="003178D0" w:rsidP="00337F30">
      <w:pPr>
        <w:pStyle w:val="FootnoteText"/>
        <w:snapToGrid w:val="0"/>
        <w:spacing w:after="120" w:line="240" w:lineRule="auto"/>
        <w:rPr>
          <w:rFonts w:cs="Times New Roman"/>
          <w:u w:val="single"/>
        </w:rPr>
      </w:pPr>
      <w:r w:rsidRPr="00337F30">
        <w:rPr>
          <w:rStyle w:val="FootnoteReference"/>
          <w:rFonts w:cs="Times New Roman"/>
        </w:rPr>
        <w:footnoteRef/>
      </w:r>
      <w:r w:rsidRPr="00337F30">
        <w:rPr>
          <w:rFonts w:cs="Times New Roman"/>
        </w:rPr>
        <w:t xml:space="preserve"> C</w:t>
      </w:r>
      <w:r w:rsidR="00711D4D">
        <w:rPr>
          <w:rFonts w:cs="Times New Roman"/>
        </w:rPr>
        <w:t>harlotte</w:t>
      </w:r>
      <w:r w:rsidRPr="00337F30">
        <w:rPr>
          <w:rFonts w:cs="Times New Roman"/>
        </w:rPr>
        <w:t xml:space="preserve"> O’Brien </w:t>
      </w:r>
      <w:r w:rsidRPr="00337F30">
        <w:rPr>
          <w:rFonts w:cs="Times New Roman"/>
          <w:i/>
          <w:iCs/>
        </w:rPr>
        <w:t>Unity in Adversity: EU Citizenship, Social Justice and the Cautionary Tale of the UK</w:t>
      </w:r>
      <w:r w:rsidRPr="00337F30">
        <w:rPr>
          <w:rFonts w:cs="Times New Roman"/>
        </w:rPr>
        <w:t xml:space="preserve"> (Hart Publishing 2017). </w:t>
      </w:r>
    </w:p>
  </w:footnote>
  <w:footnote w:id="21">
    <w:p w14:paraId="368FDD56" w14:textId="00BC44FB" w:rsidR="00D2134C" w:rsidRPr="00337F30" w:rsidRDefault="00D2134C" w:rsidP="00337F30">
      <w:pPr>
        <w:pStyle w:val="FootnoteText"/>
        <w:snapToGrid w:val="0"/>
        <w:spacing w:after="120" w:line="240" w:lineRule="auto"/>
        <w:rPr>
          <w:rFonts w:cs="Times New Roman"/>
        </w:rPr>
      </w:pPr>
      <w:r w:rsidRPr="00337F30">
        <w:rPr>
          <w:rStyle w:val="FootnoteReference"/>
          <w:rFonts w:cs="Times New Roman"/>
        </w:rPr>
        <w:footnoteRef/>
      </w:r>
      <w:r w:rsidRPr="00337F30">
        <w:rPr>
          <w:rFonts w:cs="Times New Roman"/>
        </w:rPr>
        <w:t xml:space="preserve"> </w:t>
      </w:r>
      <w:r w:rsidR="003B331B" w:rsidRPr="00337F30">
        <w:rPr>
          <w:rFonts w:cs="Times New Roman"/>
        </w:rPr>
        <w:t>UK Parliament: House of Commons Exiting the EU Committee, First Report on the EU (Withdrawal Bill) HC 373, 15 Nov 2017.</w:t>
      </w:r>
    </w:p>
  </w:footnote>
  <w:footnote w:id="22">
    <w:p w14:paraId="736F5E9F" w14:textId="3B288C05" w:rsidR="00022B42" w:rsidRPr="00337F30" w:rsidRDefault="00022B42" w:rsidP="00337F30">
      <w:pPr>
        <w:pStyle w:val="FootnoteText"/>
        <w:snapToGrid w:val="0"/>
        <w:spacing w:after="120" w:line="240" w:lineRule="auto"/>
        <w:jc w:val="left"/>
        <w:rPr>
          <w:rFonts w:cs="Times New Roman"/>
        </w:rPr>
      </w:pPr>
      <w:r w:rsidRPr="00337F30">
        <w:rPr>
          <w:rStyle w:val="FootnoteReference"/>
          <w:rFonts w:cs="Times New Roman"/>
        </w:rPr>
        <w:footnoteRef/>
      </w:r>
      <w:r w:rsidRPr="00337F30">
        <w:rPr>
          <w:rFonts w:cs="Times New Roman"/>
        </w:rPr>
        <w:t xml:space="preserve"> </w:t>
      </w:r>
      <w:r w:rsidR="003B331B" w:rsidRPr="00337F30">
        <w:rPr>
          <w:rFonts w:cs="Times New Roman"/>
        </w:rPr>
        <w:t>Charlotte O’Brien, ‘Between the devil and the deep blue sea: Vulnerable EU citizens cast adrift in the UK post-Brexit’ (2021) 58(2) Common Market Law Review 431.</w:t>
      </w:r>
    </w:p>
  </w:footnote>
  <w:footnote w:id="23">
    <w:p w14:paraId="61A276F1" w14:textId="2F86B7A7" w:rsidR="005953D0" w:rsidRPr="00337F30" w:rsidRDefault="005953D0" w:rsidP="00337F30">
      <w:pPr>
        <w:pStyle w:val="FootnoteText"/>
        <w:snapToGrid w:val="0"/>
        <w:spacing w:after="120" w:line="240" w:lineRule="auto"/>
        <w:jc w:val="left"/>
        <w:rPr>
          <w:rFonts w:cs="Times New Roman"/>
        </w:rPr>
      </w:pPr>
      <w:r w:rsidRPr="00337F30">
        <w:rPr>
          <w:rStyle w:val="FootnoteReference"/>
          <w:rFonts w:cs="Times New Roman"/>
        </w:rPr>
        <w:footnoteRef/>
      </w:r>
      <w:r w:rsidRPr="00337F30">
        <w:rPr>
          <w:rFonts w:cs="Times New Roman"/>
        </w:rPr>
        <w:t xml:space="preserve"> HM Government ‘The United Kingdom’s Exit from the European Union: Safeguarding the Position of EU Citizens Living in the UK and UK Nationals Living in the EU’ Cm9464,  HM Government ‘</w:t>
      </w:r>
      <w:hyperlink r:id="rId2" w:tgtFrame="_blank" w:history="1">
        <w:r w:rsidRPr="00337F30">
          <w:rPr>
            <w:rStyle w:val="Hyperlink"/>
            <w:rFonts w:cs="Times New Roman"/>
          </w:rPr>
          <w:t>Technical note: citizens’ rights, administrative procedures in the UK’ Policy Paper</w:t>
        </w:r>
      </w:hyperlink>
      <w:r w:rsidRPr="00337F30">
        <w:rPr>
          <w:rFonts w:cs="Times New Roman"/>
        </w:rPr>
        <w:t>, 8 November 2017</w:t>
      </w:r>
      <w:r w:rsidR="003F357D" w:rsidRPr="00337F30">
        <w:rPr>
          <w:rFonts w:cs="Times New Roman"/>
        </w:rPr>
        <w:t xml:space="preserve"> [4]</w:t>
      </w:r>
      <w:r w:rsidRPr="00337F30">
        <w:rPr>
          <w:rFonts w:cs="Times New Roman"/>
        </w:rPr>
        <w:t xml:space="preserve">. </w:t>
      </w:r>
    </w:p>
  </w:footnote>
  <w:footnote w:id="24">
    <w:p w14:paraId="30B9F16A" w14:textId="6BD5722C" w:rsidR="005953D0" w:rsidRPr="00337F30" w:rsidRDefault="005953D0" w:rsidP="00337F30">
      <w:pPr>
        <w:pStyle w:val="FootnoteText"/>
        <w:snapToGrid w:val="0"/>
        <w:spacing w:after="120" w:line="240" w:lineRule="auto"/>
        <w:jc w:val="left"/>
        <w:rPr>
          <w:rFonts w:cs="Times New Roman"/>
        </w:rPr>
      </w:pPr>
      <w:r w:rsidRPr="00337F30">
        <w:rPr>
          <w:rStyle w:val="FootnoteReference"/>
          <w:rFonts w:cs="Times New Roman"/>
        </w:rPr>
        <w:footnoteRef/>
      </w:r>
      <w:r w:rsidRPr="00337F30">
        <w:rPr>
          <w:rFonts w:cs="Times New Roman"/>
        </w:rPr>
        <w:t xml:space="preserve"> </w:t>
      </w:r>
      <w:r w:rsidR="00431DF1" w:rsidRPr="00337F30">
        <w:rPr>
          <w:rFonts w:cs="Times New Roman"/>
        </w:rPr>
        <w:t>I</w:t>
      </w:r>
      <w:r w:rsidR="00C90CED" w:rsidRPr="00337F30">
        <w:rPr>
          <w:rFonts w:cs="Times New Roman"/>
        </w:rPr>
        <w:t>bid</w:t>
      </w:r>
      <w:r w:rsidR="00431DF1" w:rsidRPr="00337F30">
        <w:rPr>
          <w:rFonts w:cs="Times New Roman"/>
        </w:rPr>
        <w:t>, [10].</w:t>
      </w:r>
      <w:r w:rsidRPr="00337F30">
        <w:rPr>
          <w:rFonts w:cs="Times New Roman"/>
        </w:rPr>
        <w:fldChar w:fldCharType="begin"/>
      </w:r>
      <w:r w:rsidRPr="00337F30">
        <w:rPr>
          <w:rFonts w:cs="Times New Roman"/>
        </w:rPr>
        <w:instrText xml:space="preserve"> ADDIN EN.CITE &lt;EndNote&gt;&lt;Cite&gt;&lt;Author&gt;O&amp;apos;Brien&lt;/Author&gt;&lt;Year&gt;2015&lt;/Year&gt;&lt;RecNum&gt;10&lt;/RecNum&gt;&lt;record&gt;&lt;rec-number&gt;10&lt;/rec-number&gt;&lt;foreign-keys&gt;&lt;key app="EN" db-id="wa2tvftrwxrta3e2ar9xrtp4wzdfee2et9wz" timestamp="1740495652"&gt;10&lt;/key&gt;&lt;/foreign-keys&gt;&lt;ref-type name="Journal Article"&gt;17&lt;/ref-type&gt;&lt;contributors&gt;&lt;authors&gt;&lt;author&gt;Charlotte O&amp;apos;Brien&lt;/author&gt;&lt;/authors&gt;&lt;/contributors&gt;&lt;titles&gt;&lt;title&gt;The pillory, the precipice and the slippery slope: the profound effects of the UK&amp;apos;s legal reform programme targeting EU migrants&lt;/title&gt;&lt;secondary-title&gt;Journal of Social Welfare and Family Law&lt;/secondary-title&gt;&lt;/titles&gt;&lt;periodical&gt;&lt;full-title&gt;Journal of Social Welfare and Family Law&lt;/full-title&gt;&lt;/periodical&gt;&lt;pages&gt;111-136&lt;/pages&gt;&lt;volume&gt;37&lt;/volume&gt;&lt;number&gt;1&lt;/number&gt;&lt;section&gt;111&lt;/section&gt;&lt;dates&gt;&lt;year&gt;2015&lt;/year&gt;&lt;/dates&gt;&lt;urls&gt;&lt;/urls&gt;&lt;/record&gt;&lt;/Cite&gt;&lt;/EndNote&gt;</w:instrText>
      </w:r>
      <w:r w:rsidRPr="00337F30">
        <w:rPr>
          <w:rFonts w:cs="Times New Roman"/>
        </w:rPr>
        <w:fldChar w:fldCharType="separate"/>
      </w:r>
      <w:r w:rsidRPr="00337F30">
        <w:rPr>
          <w:rFonts w:cs="Times New Roman"/>
        </w:rPr>
        <w:fldChar w:fldCharType="end"/>
      </w:r>
    </w:p>
  </w:footnote>
  <w:footnote w:id="25">
    <w:p w14:paraId="264F3893" w14:textId="1EB6A085" w:rsidR="00DC6C82" w:rsidRPr="00337F30" w:rsidRDefault="00DC6C82" w:rsidP="00337F30">
      <w:pPr>
        <w:pStyle w:val="FootnoteText"/>
        <w:snapToGrid w:val="0"/>
        <w:spacing w:after="120" w:line="240" w:lineRule="auto"/>
        <w:jc w:val="left"/>
        <w:rPr>
          <w:rFonts w:cs="Times New Roman"/>
        </w:rPr>
      </w:pPr>
      <w:r w:rsidRPr="00337F30">
        <w:rPr>
          <w:rStyle w:val="FootnoteReference"/>
          <w:rFonts w:cs="Times New Roman"/>
        </w:rPr>
        <w:footnoteRef/>
      </w:r>
      <w:r w:rsidRPr="00337F30">
        <w:rPr>
          <w:rFonts w:cs="Times New Roman"/>
        </w:rPr>
        <w:t xml:space="preserve"> Children can establish a right of residence as a family member of a qualifying EU </w:t>
      </w:r>
      <w:r w:rsidR="0091593A" w:rsidRPr="00337F30">
        <w:rPr>
          <w:rFonts w:cs="Times New Roman"/>
        </w:rPr>
        <w:t>citizen;</w:t>
      </w:r>
      <w:r w:rsidRPr="00337F30">
        <w:rPr>
          <w:rFonts w:cs="Times New Roman"/>
        </w:rPr>
        <w:t xml:space="preserve"> </w:t>
      </w:r>
      <w:r w:rsidR="0091593A" w:rsidRPr="00337F30">
        <w:rPr>
          <w:rFonts w:cs="Times New Roman"/>
        </w:rPr>
        <w:t>however,</w:t>
      </w:r>
      <w:r w:rsidRPr="00337F30">
        <w:rPr>
          <w:rFonts w:cs="Times New Roman"/>
        </w:rPr>
        <w:t xml:space="preserve"> this means that they must rely on the actions of their parents or guardians</w:t>
      </w:r>
      <w:r w:rsidR="002172CB" w:rsidRPr="00337F30">
        <w:rPr>
          <w:rFonts w:cs="Times New Roman"/>
        </w:rPr>
        <w:t xml:space="preserve"> and whether these meet the requirements of Directive 2004/38. This is also further complicated for children</w:t>
      </w:r>
      <w:r w:rsidR="00334E7E" w:rsidRPr="00337F30">
        <w:rPr>
          <w:rFonts w:cs="Times New Roman"/>
        </w:rPr>
        <w:t xml:space="preserve"> who are estranged from their parents or</w:t>
      </w:r>
      <w:r w:rsidR="002172CB" w:rsidRPr="00337F30">
        <w:rPr>
          <w:rFonts w:cs="Times New Roman"/>
        </w:rPr>
        <w:t xml:space="preserve"> </w:t>
      </w:r>
      <w:r w:rsidR="0091593A" w:rsidRPr="00337F30">
        <w:rPr>
          <w:rFonts w:cs="Times New Roman"/>
        </w:rPr>
        <w:t xml:space="preserve">whose parents or guardians are not EEA nationals. </w:t>
      </w:r>
    </w:p>
  </w:footnote>
  <w:footnote w:id="26">
    <w:p w14:paraId="144E2777" w14:textId="655F8345" w:rsidR="00C67893" w:rsidRPr="00337F30" w:rsidRDefault="00C67893" w:rsidP="00337F30">
      <w:pPr>
        <w:pStyle w:val="FootnoteText"/>
        <w:snapToGrid w:val="0"/>
        <w:spacing w:after="120" w:line="240" w:lineRule="auto"/>
        <w:jc w:val="left"/>
        <w:rPr>
          <w:rFonts w:cs="Times New Roman"/>
        </w:rPr>
      </w:pPr>
      <w:r w:rsidRPr="00337F30">
        <w:rPr>
          <w:rStyle w:val="FootnoteReference"/>
          <w:rFonts w:cs="Times New Roman"/>
        </w:rPr>
        <w:footnoteRef/>
      </w:r>
      <w:r w:rsidRPr="00337F30">
        <w:rPr>
          <w:rFonts w:cs="Times New Roman"/>
        </w:rPr>
        <w:t xml:space="preserve"> For </w:t>
      </w:r>
      <w:r w:rsidR="00B253F0" w:rsidRPr="00337F30">
        <w:rPr>
          <w:rFonts w:cs="Times New Roman"/>
        </w:rPr>
        <w:t>example,</w:t>
      </w:r>
      <w:r w:rsidRPr="00337F30">
        <w:rPr>
          <w:rFonts w:cs="Times New Roman"/>
        </w:rPr>
        <w:t xml:space="preserve"> there is no protection available for those who </w:t>
      </w:r>
      <w:proofErr w:type="gramStart"/>
      <w:r w:rsidRPr="00337F30">
        <w:rPr>
          <w:rFonts w:cs="Times New Roman"/>
        </w:rPr>
        <w:t>have to</w:t>
      </w:r>
      <w:proofErr w:type="gramEnd"/>
      <w:r w:rsidRPr="00337F30">
        <w:rPr>
          <w:rFonts w:cs="Times New Roman"/>
        </w:rPr>
        <w:t xml:space="preserve"> take time off work to care for an ill family member or friend – a responsibility that</w:t>
      </w:r>
      <w:r w:rsidR="00F6723E" w:rsidRPr="00337F30">
        <w:rPr>
          <w:rFonts w:cs="Times New Roman"/>
        </w:rPr>
        <w:t xml:space="preserve"> disproportionately falls on women.</w:t>
      </w:r>
      <w:r w:rsidR="00A046E6" w:rsidRPr="00337F30">
        <w:rPr>
          <w:rFonts w:cs="Times New Roman"/>
        </w:rPr>
        <w:t xml:space="preserve"> Written evidence submitted by Dr Charlotte O’Brien, York Law School, University of York</w:t>
      </w:r>
      <w:r w:rsidR="003B331B" w:rsidRPr="00337F30">
        <w:rPr>
          <w:rFonts w:cs="Times New Roman"/>
        </w:rPr>
        <w:t xml:space="preserve"> to the House of Commons Exiting the EU Committee</w:t>
      </w:r>
      <w:r w:rsidR="00A046E6" w:rsidRPr="00337F30">
        <w:rPr>
          <w:rFonts w:cs="Times New Roman"/>
        </w:rPr>
        <w:t xml:space="preserve"> (NEG0008)</w:t>
      </w:r>
      <w:r w:rsidR="003B331B" w:rsidRPr="00337F30">
        <w:rPr>
          <w:rFonts w:cs="Times New Roman"/>
        </w:rPr>
        <w:t xml:space="preserve">, </w:t>
      </w:r>
      <w:hyperlink r:id="rId3" w:history="1">
        <w:r w:rsidR="003B331B" w:rsidRPr="00337F30">
          <w:rPr>
            <w:rStyle w:val="Hyperlink"/>
            <w:rFonts w:cs="Times New Roman"/>
          </w:rPr>
          <w:t>https://committees.parliament.uk/writtenevidence/84575/html/</w:t>
        </w:r>
      </w:hyperlink>
      <w:r w:rsidR="003B331B" w:rsidRPr="00337F30">
        <w:rPr>
          <w:rFonts w:cs="Times New Roman"/>
        </w:rPr>
        <w:t xml:space="preserve"> </w:t>
      </w:r>
    </w:p>
  </w:footnote>
  <w:footnote w:id="27">
    <w:p w14:paraId="1C3DE726" w14:textId="00134C4B" w:rsidR="00357542" w:rsidRPr="00337F30" w:rsidRDefault="00357542" w:rsidP="00337F30">
      <w:pPr>
        <w:pStyle w:val="FootnoteText"/>
        <w:snapToGrid w:val="0"/>
        <w:spacing w:after="120" w:line="240" w:lineRule="auto"/>
        <w:jc w:val="left"/>
        <w:rPr>
          <w:rFonts w:cs="Times New Roman"/>
        </w:rPr>
      </w:pPr>
      <w:r w:rsidRPr="00337F30">
        <w:rPr>
          <w:rStyle w:val="FootnoteReference"/>
          <w:rFonts w:cs="Times New Roman"/>
        </w:rPr>
        <w:footnoteRef/>
      </w:r>
      <w:r w:rsidRPr="00337F30">
        <w:rPr>
          <w:rFonts w:cs="Times New Roman"/>
        </w:rPr>
        <w:t xml:space="preserve"> See A Welsh, </w:t>
      </w:r>
      <w:r w:rsidR="00522652" w:rsidRPr="00337F30">
        <w:rPr>
          <w:rFonts w:cs="Times New Roman"/>
          <w:i/>
          <w:iCs/>
        </w:rPr>
        <w:t>The Market Citizenship Illusion: Free Movement Rights for Atypical Workers</w:t>
      </w:r>
      <w:r w:rsidR="00522652" w:rsidRPr="00337F30">
        <w:rPr>
          <w:rFonts w:cs="Times New Roman"/>
        </w:rPr>
        <w:t xml:space="preserve"> (Hart Publishing, 2025) and </w:t>
      </w:r>
      <w:r w:rsidR="0072428F" w:rsidRPr="00337F30">
        <w:rPr>
          <w:rFonts w:cs="Times New Roman"/>
        </w:rPr>
        <w:t xml:space="preserve">C O’Brien, </w:t>
      </w:r>
      <w:r w:rsidR="001B7DFE" w:rsidRPr="00337F30">
        <w:rPr>
          <w:rFonts w:cs="Times New Roman"/>
          <w:i/>
          <w:iCs/>
        </w:rPr>
        <w:t xml:space="preserve">Unity in Adversity: EU Citizenship, Social Justice and the Cautionary Tale of the UK </w:t>
      </w:r>
      <w:r w:rsidR="001B7DFE" w:rsidRPr="00337F30">
        <w:rPr>
          <w:rFonts w:cs="Times New Roman"/>
        </w:rPr>
        <w:t>(Hart Publishing, 2017).</w:t>
      </w:r>
    </w:p>
  </w:footnote>
  <w:footnote w:id="28">
    <w:p w14:paraId="5C9500BE" w14:textId="051E3ECD" w:rsidR="00BC570A" w:rsidRPr="00337F30" w:rsidRDefault="00BC570A" w:rsidP="00337F30">
      <w:pPr>
        <w:pStyle w:val="FootnoteText"/>
        <w:snapToGrid w:val="0"/>
        <w:spacing w:after="120" w:line="240" w:lineRule="auto"/>
        <w:jc w:val="left"/>
        <w:rPr>
          <w:rFonts w:cs="Times New Roman"/>
        </w:rPr>
      </w:pPr>
      <w:r w:rsidRPr="00337F30">
        <w:rPr>
          <w:rStyle w:val="FootnoteReference"/>
          <w:rFonts w:cs="Times New Roman"/>
        </w:rPr>
        <w:footnoteRef/>
      </w:r>
      <w:r w:rsidRPr="00337F30">
        <w:rPr>
          <w:rFonts w:cs="Times New Roman"/>
        </w:rPr>
        <w:t xml:space="preserve"> </w:t>
      </w:r>
      <w:r w:rsidR="00B358A5" w:rsidRPr="00337F30">
        <w:rPr>
          <w:rFonts w:cs="Times New Roman"/>
        </w:rPr>
        <w:t xml:space="preserve">‘EU Settlement Scheme: statement of intent’ </w:t>
      </w:r>
      <w:r w:rsidR="00812ADF" w:rsidRPr="00337F30">
        <w:rPr>
          <w:rFonts w:cs="Times New Roman"/>
        </w:rPr>
        <w:t>(Home Office, 21 June 2018).</w:t>
      </w:r>
    </w:p>
  </w:footnote>
  <w:footnote w:id="29">
    <w:p w14:paraId="34678F80" w14:textId="77777777" w:rsidR="00670CF7" w:rsidRPr="00337F30" w:rsidRDefault="00670CF7" w:rsidP="00337F30">
      <w:pPr>
        <w:pStyle w:val="FootnoteText"/>
        <w:snapToGrid w:val="0"/>
        <w:spacing w:after="120" w:line="240" w:lineRule="auto"/>
        <w:jc w:val="left"/>
        <w:rPr>
          <w:rFonts w:cs="Times New Roman"/>
        </w:rPr>
      </w:pPr>
      <w:r w:rsidRPr="00337F30">
        <w:rPr>
          <w:rStyle w:val="FootnoteReference"/>
          <w:rFonts w:cs="Times New Roman"/>
        </w:rPr>
        <w:footnoteRef/>
      </w:r>
      <w:r w:rsidRPr="00337F30">
        <w:rPr>
          <w:rFonts w:cs="Times New Roman"/>
        </w:rPr>
        <w:t xml:space="preserve"> For example, checking to see if the ID photograph has been uploaded successfully. This process later included a reasonable grounds test for late applications.</w:t>
      </w:r>
    </w:p>
  </w:footnote>
  <w:footnote w:id="30">
    <w:p w14:paraId="03F8F98B" w14:textId="77777777" w:rsidR="00670CF7" w:rsidRPr="00337F30" w:rsidRDefault="00670CF7" w:rsidP="00337F30">
      <w:pPr>
        <w:pStyle w:val="FootnoteText"/>
        <w:snapToGrid w:val="0"/>
        <w:spacing w:after="120" w:line="240" w:lineRule="auto"/>
        <w:jc w:val="left"/>
        <w:rPr>
          <w:rFonts w:cs="Times New Roman"/>
        </w:rPr>
      </w:pPr>
      <w:r w:rsidRPr="00337F30">
        <w:rPr>
          <w:rStyle w:val="FootnoteReference"/>
          <w:rFonts w:cs="Times New Roman"/>
        </w:rPr>
        <w:footnoteRef/>
      </w:r>
      <w:r w:rsidRPr="00337F30">
        <w:rPr>
          <w:rFonts w:cs="Times New Roman"/>
        </w:rPr>
        <w:t xml:space="preserve"> This involved checking for any relevant criminality. This process led to substantial delays as applications were paused on a rolling </w:t>
      </w:r>
      <w:proofErr w:type="gramStart"/>
      <w:r w:rsidRPr="00337F30">
        <w:rPr>
          <w:rFonts w:cs="Times New Roman"/>
        </w:rPr>
        <w:t>6 month</w:t>
      </w:r>
      <w:proofErr w:type="gramEnd"/>
      <w:r w:rsidRPr="00337F30">
        <w:rPr>
          <w:rFonts w:cs="Times New Roman"/>
        </w:rPr>
        <w:t xml:space="preserve"> basis until pending criminal prosecutions were completed.  A policy that was identified as unlawful by the Upper Tribunal, </w:t>
      </w:r>
      <w:r w:rsidRPr="00337F30">
        <w:rPr>
          <w:rFonts w:cs="Times New Roman"/>
          <w:i/>
          <w:iCs/>
        </w:rPr>
        <w:t>R(</w:t>
      </w:r>
      <w:proofErr w:type="spellStart"/>
      <w:r w:rsidRPr="00337F30">
        <w:rPr>
          <w:rFonts w:cs="Times New Roman"/>
          <w:i/>
          <w:iCs/>
        </w:rPr>
        <w:t>Krzysztofik</w:t>
      </w:r>
      <w:proofErr w:type="spellEnd"/>
      <w:r w:rsidRPr="00337F30">
        <w:rPr>
          <w:rFonts w:cs="Times New Roman"/>
          <w:i/>
          <w:iCs/>
        </w:rPr>
        <w:t>) v Secretary of State for the Home Department</w:t>
      </w:r>
      <w:r w:rsidRPr="00337F30">
        <w:rPr>
          <w:rFonts w:cs="Times New Roman"/>
        </w:rPr>
        <w:t xml:space="preserve"> (JR-2021-LON-001727).</w:t>
      </w:r>
    </w:p>
  </w:footnote>
  <w:footnote w:id="31">
    <w:p w14:paraId="57420E3F" w14:textId="2DC6CE98" w:rsidR="00025071" w:rsidRPr="00337F30" w:rsidRDefault="00025071" w:rsidP="00337F30">
      <w:pPr>
        <w:pStyle w:val="FootnoteText"/>
        <w:snapToGrid w:val="0"/>
        <w:spacing w:after="120" w:line="240" w:lineRule="auto"/>
        <w:rPr>
          <w:rFonts w:cs="Times New Roman"/>
        </w:rPr>
      </w:pPr>
      <w:r w:rsidRPr="00337F30">
        <w:rPr>
          <w:rStyle w:val="FootnoteReference"/>
          <w:rFonts w:cs="Times New Roman"/>
        </w:rPr>
        <w:footnoteRef/>
      </w:r>
      <w:r w:rsidRPr="00337F30">
        <w:rPr>
          <w:rFonts w:cs="Times New Roman"/>
        </w:rPr>
        <w:t xml:space="preserve"> </w:t>
      </w:r>
      <w:r w:rsidR="002D323D" w:rsidRPr="00337F30">
        <w:rPr>
          <w:rFonts w:cs="Times New Roman"/>
        </w:rPr>
        <w:t xml:space="preserve">Kuba Jablonowski &amp; Monique Hawkins, ‘Loss and liability: Glitching immigration status as a feature of the British border after Brexit’, (2024) 38(2) </w:t>
      </w:r>
      <w:r w:rsidR="002D323D" w:rsidRPr="00337F30">
        <w:rPr>
          <w:rFonts w:cs="Times New Roman"/>
          <w:i/>
          <w:iCs/>
        </w:rPr>
        <w:t>Journal of Immigration, Asylum and Nationality Law</w:t>
      </w:r>
      <w:r w:rsidR="002D323D" w:rsidRPr="00337F30">
        <w:rPr>
          <w:rFonts w:cs="Times New Roman"/>
        </w:rPr>
        <w:t xml:space="preserve">, 254. </w:t>
      </w:r>
    </w:p>
  </w:footnote>
  <w:footnote w:id="32">
    <w:p w14:paraId="4694BE9F" w14:textId="7E8E29FC" w:rsidR="009743D2" w:rsidRPr="00337F30" w:rsidRDefault="009743D2" w:rsidP="00337F30">
      <w:pPr>
        <w:pStyle w:val="FootnoteText"/>
        <w:snapToGrid w:val="0"/>
        <w:spacing w:after="120" w:line="240" w:lineRule="auto"/>
        <w:jc w:val="left"/>
        <w:rPr>
          <w:rFonts w:cs="Times New Roman"/>
        </w:rPr>
      </w:pPr>
      <w:r w:rsidRPr="00337F30">
        <w:rPr>
          <w:rStyle w:val="FootnoteReference"/>
          <w:rFonts w:cs="Times New Roman"/>
        </w:rPr>
        <w:footnoteRef/>
      </w:r>
      <w:r w:rsidRPr="00337F30">
        <w:rPr>
          <w:rFonts w:cs="Times New Roman"/>
        </w:rPr>
        <w:t xml:space="preserve"> </w:t>
      </w:r>
      <w:r w:rsidR="00AD65EE" w:rsidRPr="00337F30">
        <w:rPr>
          <w:rFonts w:cs="Times New Roman"/>
        </w:rPr>
        <w:t xml:space="preserve">Joe Tomlinson, ‘Quick and uneasy justice: An administrative justice analysis of the EU Settlement Scheme’ (Public Law Project, 16 July 2019). </w:t>
      </w:r>
    </w:p>
  </w:footnote>
  <w:footnote w:id="33">
    <w:p w14:paraId="6C6B9460" w14:textId="0D5137F9" w:rsidR="009743D2" w:rsidRPr="00337F30" w:rsidRDefault="009743D2" w:rsidP="00337F30">
      <w:pPr>
        <w:pStyle w:val="FootnoteText"/>
        <w:snapToGrid w:val="0"/>
        <w:spacing w:after="120" w:line="240" w:lineRule="auto"/>
        <w:jc w:val="left"/>
        <w:rPr>
          <w:rFonts w:cs="Times New Roman"/>
        </w:rPr>
      </w:pPr>
      <w:r w:rsidRPr="00337F30">
        <w:rPr>
          <w:rStyle w:val="FootnoteReference"/>
          <w:rFonts w:cs="Times New Roman"/>
        </w:rPr>
        <w:footnoteRef/>
      </w:r>
      <w:r w:rsidRPr="00337F30">
        <w:rPr>
          <w:rFonts w:cs="Times New Roman"/>
        </w:rPr>
        <w:t xml:space="preserve"> </w:t>
      </w:r>
      <w:r w:rsidR="00C171F7" w:rsidRPr="00337F30">
        <w:rPr>
          <w:rFonts w:cs="Times New Roman"/>
        </w:rPr>
        <w:t>Joe Tomlinson and Alice Welsh, ‘Tens of thousands of people wait months for an EU Settlement Scheme decision’ (Free Movement, 2 June 2020)</w:t>
      </w:r>
      <w:r w:rsidR="006A26EA" w:rsidRPr="00337F30">
        <w:rPr>
          <w:rFonts w:cs="Times New Roman"/>
        </w:rPr>
        <w:t>.</w:t>
      </w:r>
    </w:p>
  </w:footnote>
  <w:footnote w:id="34">
    <w:p w14:paraId="01E8EE2E" w14:textId="3D14B995" w:rsidR="009743D2" w:rsidRPr="00337F30" w:rsidRDefault="009743D2" w:rsidP="00337F30">
      <w:pPr>
        <w:pStyle w:val="FootnoteText"/>
        <w:snapToGrid w:val="0"/>
        <w:spacing w:after="120" w:line="240" w:lineRule="auto"/>
        <w:jc w:val="left"/>
        <w:rPr>
          <w:rFonts w:cs="Times New Roman"/>
        </w:rPr>
      </w:pPr>
      <w:r w:rsidRPr="00337F30">
        <w:rPr>
          <w:rStyle w:val="FootnoteReference"/>
          <w:rFonts w:cs="Times New Roman"/>
        </w:rPr>
        <w:footnoteRef/>
      </w:r>
      <w:r w:rsidRPr="00337F30">
        <w:rPr>
          <w:rFonts w:cs="Times New Roman"/>
        </w:rPr>
        <w:t xml:space="preserve"> </w:t>
      </w:r>
      <w:r w:rsidR="00927772" w:rsidRPr="00337F30">
        <w:rPr>
          <w:rFonts w:cs="Times New Roman"/>
          <w:color w:val="000000" w:themeColor="text1"/>
          <w:shd w:val="clear" w:color="auto" w:fill="FFFFFF"/>
        </w:rPr>
        <w:t>Amber Rudd, the then Home Secretary was reported as clumsily comparing the ease of the process to ‘setting up a LK Bennett account’, a luxury clothing brand.</w:t>
      </w:r>
      <w:r w:rsidR="00927772" w:rsidRPr="00337F30">
        <w:rPr>
          <w:rFonts w:cs="Times New Roman"/>
        </w:rPr>
        <w:t xml:space="preserve"> </w:t>
      </w:r>
      <w:r w:rsidR="008A353F" w:rsidRPr="00337F30">
        <w:rPr>
          <w:rFonts w:cs="Times New Roman"/>
        </w:rPr>
        <w:t xml:space="preserve">‘Rudd says online EU registration will be 'as easy as shopping at LK Bennett'’ (The Guardian, 23 April 2018) </w:t>
      </w:r>
      <w:hyperlink r:id="rId4" w:history="1">
        <w:r w:rsidR="008A353F" w:rsidRPr="00337F30">
          <w:rPr>
            <w:rStyle w:val="Hyperlink"/>
            <w:rFonts w:cs="Times New Roman"/>
          </w:rPr>
          <w:t>https://www.theguardian.com/politics/2018/apr/23/amber-rudd-online-eu-registration-system-lk-bennett</w:t>
        </w:r>
      </w:hyperlink>
      <w:r w:rsidR="008A353F" w:rsidRPr="00337F30">
        <w:rPr>
          <w:rFonts w:cs="Times New Roman"/>
        </w:rPr>
        <w:t xml:space="preserve">. </w:t>
      </w:r>
    </w:p>
  </w:footnote>
  <w:footnote w:id="35">
    <w:p w14:paraId="2D3691CF" w14:textId="77777777" w:rsidR="0036482C" w:rsidRPr="00337F30" w:rsidRDefault="0036482C" w:rsidP="00337F30">
      <w:pPr>
        <w:pStyle w:val="FootnoteText"/>
        <w:snapToGrid w:val="0"/>
        <w:spacing w:after="120" w:line="240" w:lineRule="auto"/>
        <w:jc w:val="left"/>
        <w:rPr>
          <w:rFonts w:cs="Times New Roman"/>
        </w:rPr>
      </w:pPr>
      <w:r w:rsidRPr="00337F30">
        <w:rPr>
          <w:rStyle w:val="FootnoteReference"/>
          <w:rFonts w:cs="Times New Roman"/>
        </w:rPr>
        <w:footnoteRef/>
      </w:r>
      <w:r w:rsidRPr="00337F30">
        <w:rPr>
          <w:rFonts w:cs="Times New Roman"/>
        </w:rPr>
        <w:t xml:space="preserve"> Withdrawal Agreement, Art18(1)(a). </w:t>
      </w:r>
    </w:p>
  </w:footnote>
  <w:footnote w:id="36">
    <w:p w14:paraId="21848A78" w14:textId="77777777" w:rsidR="0036482C" w:rsidRPr="00337F30" w:rsidRDefault="0036482C" w:rsidP="00337F30">
      <w:pPr>
        <w:pStyle w:val="FootnoteText"/>
        <w:snapToGrid w:val="0"/>
        <w:spacing w:after="120" w:line="240" w:lineRule="auto"/>
        <w:jc w:val="left"/>
        <w:rPr>
          <w:rFonts w:cs="Times New Roman"/>
        </w:rPr>
      </w:pPr>
      <w:r w:rsidRPr="00337F30">
        <w:rPr>
          <w:rStyle w:val="FootnoteReference"/>
          <w:rFonts w:cs="Times New Roman"/>
        </w:rPr>
        <w:footnoteRef/>
      </w:r>
      <w:r w:rsidRPr="00337F30">
        <w:rPr>
          <w:rFonts w:cs="Times New Roman"/>
        </w:rPr>
        <w:t xml:space="preserve"> EEA EFTA Separation Agreement.</w:t>
      </w:r>
    </w:p>
  </w:footnote>
  <w:footnote w:id="37">
    <w:p w14:paraId="74C0D005" w14:textId="77777777" w:rsidR="0036482C" w:rsidRPr="00337F30" w:rsidRDefault="0036482C" w:rsidP="00337F30">
      <w:pPr>
        <w:pStyle w:val="FootnoteText"/>
        <w:snapToGrid w:val="0"/>
        <w:spacing w:after="120" w:line="240" w:lineRule="auto"/>
        <w:jc w:val="left"/>
        <w:rPr>
          <w:rFonts w:cs="Times New Roman"/>
        </w:rPr>
      </w:pPr>
      <w:r w:rsidRPr="00337F30">
        <w:rPr>
          <w:rStyle w:val="FootnoteReference"/>
          <w:rFonts w:cs="Times New Roman"/>
        </w:rPr>
        <w:footnoteRef/>
      </w:r>
      <w:r w:rsidRPr="00337F30">
        <w:rPr>
          <w:rFonts w:cs="Times New Roman"/>
        </w:rPr>
        <w:t xml:space="preserve"> Swiss Citizens’ Rights Agreement.</w:t>
      </w:r>
    </w:p>
  </w:footnote>
  <w:footnote w:id="38">
    <w:p w14:paraId="373BD52B" w14:textId="77777777" w:rsidR="000A44F4" w:rsidRPr="00337F30" w:rsidRDefault="000A44F4" w:rsidP="00337F30">
      <w:pPr>
        <w:pStyle w:val="FootnoteText"/>
        <w:snapToGrid w:val="0"/>
        <w:spacing w:after="120" w:line="240" w:lineRule="auto"/>
        <w:jc w:val="left"/>
        <w:rPr>
          <w:rFonts w:cs="Times New Roman"/>
        </w:rPr>
      </w:pPr>
      <w:r w:rsidRPr="00337F30">
        <w:rPr>
          <w:rStyle w:val="FootnoteReference"/>
          <w:rFonts w:cs="Times New Roman"/>
        </w:rPr>
        <w:footnoteRef/>
      </w:r>
      <w:r w:rsidRPr="00337F30">
        <w:rPr>
          <w:rFonts w:cs="Times New Roman"/>
        </w:rPr>
        <w:t xml:space="preserve"> See, for example, The European Affairs Committee, ‘Citizens’ Rights’ (HL 2020-21 46) [79-80].</w:t>
      </w:r>
    </w:p>
  </w:footnote>
  <w:footnote w:id="39">
    <w:p w14:paraId="43A91A99" w14:textId="62AC37BA" w:rsidR="000A44F4" w:rsidRPr="00337F30" w:rsidRDefault="000A44F4" w:rsidP="002D2883">
      <w:pPr>
        <w:pStyle w:val="FootnoteText"/>
        <w:snapToGrid w:val="0"/>
        <w:spacing w:after="120" w:line="276" w:lineRule="auto"/>
        <w:jc w:val="left"/>
        <w:rPr>
          <w:rFonts w:cs="Times New Roman"/>
        </w:rPr>
      </w:pPr>
      <w:r w:rsidRPr="00337F30">
        <w:rPr>
          <w:rStyle w:val="FootnoteReference"/>
          <w:rFonts w:cs="Times New Roman"/>
        </w:rPr>
        <w:footnoteRef/>
      </w:r>
      <w:r w:rsidRPr="00337F30">
        <w:rPr>
          <w:rFonts w:cs="Times New Roman"/>
        </w:rPr>
        <w:t xml:space="preserve"> Joint statement following the meeting of the Specialised Committee on Citizens’ Rights, 17 June 2021</w:t>
      </w:r>
      <w:r w:rsidR="002D2883">
        <w:rPr>
          <w:rFonts w:cs="Times New Roman"/>
        </w:rPr>
        <w:t xml:space="preserve"> </w:t>
      </w:r>
      <w:r w:rsidRPr="00337F30">
        <w:rPr>
          <w:rFonts w:cs="Times New Roman"/>
        </w:rPr>
        <w:t>&lt;https://commission.europa.eu/publications/joint-statement-following-meeting-specialised-committee-citizens-rights_en&gt;.</w:t>
      </w:r>
    </w:p>
  </w:footnote>
  <w:footnote w:id="40">
    <w:p w14:paraId="496E47E2" w14:textId="77BB3EB0" w:rsidR="000A44F4" w:rsidRPr="00337F30" w:rsidRDefault="000A44F4" w:rsidP="00337F30">
      <w:pPr>
        <w:pStyle w:val="FootnoteText"/>
        <w:snapToGrid w:val="0"/>
        <w:spacing w:after="120" w:line="240" w:lineRule="auto"/>
        <w:jc w:val="left"/>
        <w:rPr>
          <w:rFonts w:cs="Times New Roman"/>
        </w:rPr>
      </w:pPr>
      <w:r w:rsidRPr="00337F30">
        <w:rPr>
          <w:rStyle w:val="FootnoteReference"/>
          <w:rFonts w:cs="Times New Roman"/>
        </w:rPr>
        <w:footnoteRef/>
      </w:r>
      <w:r w:rsidRPr="00337F30">
        <w:rPr>
          <w:rFonts w:cs="Times New Roman"/>
        </w:rPr>
        <w:t xml:space="preserve"> Joint statement following the meeting of the Specialised Committee on Citizens’ Rights, 6 June 2024 </w:t>
      </w:r>
      <w:hyperlink r:id="rId5" w:history="1">
        <w:r w:rsidRPr="00337F30">
          <w:rPr>
            <w:rStyle w:val="Hyperlink"/>
            <w:rFonts w:cs="Times New Roman"/>
          </w:rPr>
          <w:t>https://commission.europa.eu/publications/joint-statement-following-fourteenth-meeting-specialised-committee-citizens-rights_en</w:t>
        </w:r>
      </w:hyperlink>
      <w:r w:rsidRPr="00337F30">
        <w:rPr>
          <w:rFonts w:cs="Times New Roman"/>
        </w:rPr>
        <w:t>.</w:t>
      </w:r>
    </w:p>
  </w:footnote>
  <w:footnote w:id="41">
    <w:p w14:paraId="45B96288" w14:textId="77777777" w:rsidR="00F458EE" w:rsidRDefault="00F458EE" w:rsidP="00F458EE">
      <w:pPr>
        <w:pStyle w:val="FootnoteText"/>
      </w:pPr>
      <w:r>
        <w:rPr>
          <w:rStyle w:val="FootnoteReference"/>
        </w:rPr>
        <w:footnoteRef/>
      </w:r>
      <w:r>
        <w:t xml:space="preserve"> </w:t>
      </w:r>
      <w:r w:rsidRPr="005F758C">
        <w:t xml:space="preserve">Case C-34/09 </w:t>
      </w:r>
      <w:r w:rsidRPr="0071737D">
        <w:rPr>
          <w:i/>
          <w:iCs/>
        </w:rPr>
        <w:t>Ruiz Zambrano</w:t>
      </w:r>
      <w:r w:rsidRPr="005F758C">
        <w:t xml:space="preserve"> EU:</w:t>
      </w:r>
      <w:proofErr w:type="gramStart"/>
      <w:r w:rsidRPr="005F758C">
        <w:t>C:2011:124</w:t>
      </w:r>
      <w:proofErr w:type="gramEnd"/>
      <w:r>
        <w:t xml:space="preserve">, Case </w:t>
      </w:r>
      <w:r w:rsidRPr="0071737D">
        <w:t>C-370/90</w:t>
      </w:r>
      <w:r>
        <w:t xml:space="preserve"> </w:t>
      </w:r>
      <w:r w:rsidRPr="002B3C67">
        <w:rPr>
          <w:i/>
          <w:iCs/>
        </w:rPr>
        <w:t>Surinder Singh</w:t>
      </w:r>
      <w:r>
        <w:t xml:space="preserve"> </w:t>
      </w:r>
      <w:r w:rsidRPr="002B3C67">
        <w:t>EU:C:1992:296</w:t>
      </w:r>
      <w:r>
        <w:t>.</w:t>
      </w:r>
    </w:p>
  </w:footnote>
  <w:footnote w:id="42">
    <w:p w14:paraId="4E4039B4" w14:textId="39A6D1FF" w:rsidR="0078015C" w:rsidRPr="00337F30" w:rsidRDefault="0078015C" w:rsidP="00337F30">
      <w:pPr>
        <w:pStyle w:val="FootnoteText"/>
        <w:snapToGrid w:val="0"/>
        <w:spacing w:after="120" w:line="240" w:lineRule="auto"/>
        <w:jc w:val="left"/>
        <w:rPr>
          <w:rFonts w:cs="Times New Roman"/>
        </w:rPr>
      </w:pPr>
      <w:r w:rsidRPr="00337F30">
        <w:rPr>
          <w:rStyle w:val="FootnoteReference"/>
          <w:rFonts w:cs="Times New Roman"/>
        </w:rPr>
        <w:footnoteRef/>
      </w:r>
      <w:r w:rsidRPr="00337F30">
        <w:rPr>
          <w:rFonts w:cs="Times New Roman"/>
        </w:rPr>
        <w:t xml:space="preserve"> Charlotte O’Brien, </w:t>
      </w:r>
      <w:r w:rsidR="00E65F4B" w:rsidRPr="00337F30">
        <w:rPr>
          <w:rFonts w:cs="Times New Roman"/>
        </w:rPr>
        <w:t xml:space="preserve">‘Between the devil and the deep blue sea: Vulnerable EU citizens cast adrift in the UK post-Brexit’ (2021) </w:t>
      </w:r>
      <w:r w:rsidR="003A0F39" w:rsidRPr="00337F30">
        <w:rPr>
          <w:rFonts w:cs="Times New Roman"/>
        </w:rPr>
        <w:t xml:space="preserve">58(2) Common Market Law Review 431, </w:t>
      </w:r>
      <w:r w:rsidRPr="00337F30">
        <w:rPr>
          <w:rFonts w:cs="Times New Roman"/>
        </w:rPr>
        <w:t>450</w:t>
      </w:r>
      <w:r w:rsidR="003A0F39" w:rsidRPr="00337F30">
        <w:rPr>
          <w:rFonts w:cs="Times New Roman"/>
        </w:rPr>
        <w:t>–</w:t>
      </w:r>
      <w:r w:rsidRPr="00337F30">
        <w:rPr>
          <w:rFonts w:cs="Times New Roman"/>
        </w:rPr>
        <w:t>1</w:t>
      </w:r>
      <w:r w:rsidR="003A0F39" w:rsidRPr="00337F30">
        <w:rPr>
          <w:rFonts w:cs="Times New Roman"/>
        </w:rPr>
        <w:t>.</w:t>
      </w:r>
    </w:p>
  </w:footnote>
  <w:footnote w:id="43">
    <w:p w14:paraId="61E6B066" w14:textId="45EEEB76" w:rsidR="00FE0C02" w:rsidRPr="00337F30" w:rsidRDefault="00FE0C02" w:rsidP="00337F30">
      <w:pPr>
        <w:pStyle w:val="FootnoteText"/>
        <w:snapToGrid w:val="0"/>
        <w:spacing w:after="120" w:line="240" w:lineRule="auto"/>
        <w:rPr>
          <w:rFonts w:cs="Times New Roman"/>
        </w:rPr>
      </w:pPr>
      <w:r w:rsidRPr="00337F30">
        <w:rPr>
          <w:rStyle w:val="FootnoteReference"/>
          <w:rFonts w:cs="Times New Roman"/>
        </w:rPr>
        <w:footnoteRef/>
      </w:r>
      <w:r w:rsidRPr="00337F30">
        <w:rPr>
          <w:rFonts w:cs="Times New Roman"/>
        </w:rPr>
        <w:t xml:space="preserve"> </w:t>
      </w:r>
      <w:r w:rsidRPr="00337F30">
        <w:rPr>
          <w:rFonts w:cs="Times New Roman"/>
          <w:lang w:val="en-US"/>
        </w:rPr>
        <w:t>The Social Security (Income-related Benefits) (Updating and Amendment) (EU Exit) Regulations 2019; The Child Benefit and Child Tax Credit (Amendment) (EU Exit) Regulations 2019; The Allocation of Housing and Homelessness (Eligibility) (England) (Amendment) (EU Exit) Regulations 2019.</w:t>
      </w:r>
    </w:p>
  </w:footnote>
  <w:footnote w:id="44">
    <w:p w14:paraId="758EE664" w14:textId="0DCBDF94" w:rsidR="00FE0C02" w:rsidRPr="00337F30" w:rsidRDefault="00FE0C02" w:rsidP="00337F30">
      <w:pPr>
        <w:pStyle w:val="FootnoteText"/>
        <w:snapToGrid w:val="0"/>
        <w:spacing w:after="120" w:line="240" w:lineRule="auto"/>
        <w:rPr>
          <w:rFonts w:cs="Times New Roman"/>
        </w:rPr>
      </w:pPr>
      <w:r w:rsidRPr="00337F30">
        <w:rPr>
          <w:rStyle w:val="FootnoteReference"/>
          <w:rFonts w:cs="Times New Roman"/>
        </w:rPr>
        <w:footnoteRef/>
      </w:r>
      <w:r w:rsidRPr="00337F30">
        <w:rPr>
          <w:rFonts w:cs="Times New Roman"/>
        </w:rPr>
        <w:t xml:space="preserve"> </w:t>
      </w:r>
      <w:r w:rsidRPr="00FE0C02">
        <w:rPr>
          <w:rFonts w:cs="Times New Roman"/>
        </w:rPr>
        <w:t>The Immigration and Social Security Co-ordination (EU Withdrawal) Act 2020 (Consequential, Saving, Transitional and Transitory Provisions) (EU Exit)</w:t>
      </w:r>
      <w:r w:rsidRPr="00337F30">
        <w:rPr>
          <w:rFonts w:cs="Times New Roman"/>
        </w:rPr>
        <w:t xml:space="preserve"> Regulations 2020.</w:t>
      </w:r>
      <w:r w:rsidRPr="00FE0C02">
        <w:rPr>
          <w:rFonts w:cs="Times New Roman"/>
          <w:i/>
          <w:iCs/>
        </w:rPr>
        <w:t xml:space="preserve"> </w:t>
      </w:r>
    </w:p>
  </w:footnote>
  <w:footnote w:id="45">
    <w:p w14:paraId="24A70F9D" w14:textId="27B6D854" w:rsidR="00005A49" w:rsidRPr="00337F30" w:rsidRDefault="00005A49" w:rsidP="00337F30">
      <w:pPr>
        <w:pStyle w:val="FootnoteText"/>
        <w:tabs>
          <w:tab w:val="left" w:pos="664"/>
        </w:tabs>
        <w:snapToGrid w:val="0"/>
        <w:spacing w:after="120" w:line="240" w:lineRule="auto"/>
        <w:jc w:val="left"/>
        <w:rPr>
          <w:rFonts w:cs="Times New Roman"/>
        </w:rPr>
      </w:pPr>
      <w:r w:rsidRPr="00337F30">
        <w:rPr>
          <w:rStyle w:val="FootnoteReference"/>
          <w:rFonts w:cs="Times New Roman"/>
        </w:rPr>
        <w:footnoteRef/>
      </w:r>
      <w:r w:rsidRPr="00337F30">
        <w:rPr>
          <w:rFonts w:cs="Times New Roman"/>
        </w:rPr>
        <w:t xml:space="preserve"> </w:t>
      </w:r>
      <w:r w:rsidR="002C695C" w:rsidRPr="00337F30">
        <w:rPr>
          <w:rFonts w:cs="Times New Roman"/>
        </w:rPr>
        <w:t xml:space="preserve">The Citizens' Rights (Application Deadline and Temporary Protection) (EU Exit) Regulations 2020 No. 1209. </w:t>
      </w:r>
    </w:p>
  </w:footnote>
  <w:footnote w:id="46">
    <w:p w14:paraId="034420F3" w14:textId="6F032C9A" w:rsidR="009E3F4A" w:rsidRPr="00337F30" w:rsidRDefault="009E3F4A" w:rsidP="00337F30">
      <w:pPr>
        <w:pStyle w:val="FootnoteText"/>
        <w:snapToGrid w:val="0"/>
        <w:spacing w:after="120" w:line="240" w:lineRule="auto"/>
        <w:jc w:val="left"/>
        <w:rPr>
          <w:rFonts w:cs="Times New Roman"/>
        </w:rPr>
      </w:pPr>
      <w:r w:rsidRPr="00337F30">
        <w:rPr>
          <w:rStyle w:val="FootnoteReference"/>
          <w:rFonts w:cs="Times New Roman"/>
        </w:rPr>
        <w:footnoteRef/>
      </w:r>
      <w:r w:rsidRPr="00337F30">
        <w:rPr>
          <w:rFonts w:cs="Times New Roman"/>
        </w:rPr>
        <w:t xml:space="preserve"> </w:t>
      </w:r>
      <w:r w:rsidR="00D70860" w:rsidRPr="00337F30">
        <w:rPr>
          <w:rFonts w:cs="Times New Roman"/>
        </w:rPr>
        <w:t>Immigration and Social Security Co-ordination (EU Withdrawal) Act 2020</w:t>
      </w:r>
      <w:r w:rsidR="001A247F" w:rsidRPr="00337F30">
        <w:rPr>
          <w:rFonts w:cs="Times New Roman"/>
        </w:rPr>
        <w:t>,</w:t>
      </w:r>
      <w:r w:rsidR="00B7466C" w:rsidRPr="00337F30">
        <w:rPr>
          <w:rFonts w:cs="Times New Roman"/>
        </w:rPr>
        <w:t xml:space="preserve"> s</w:t>
      </w:r>
      <w:r w:rsidR="001A247F" w:rsidRPr="00337F30">
        <w:rPr>
          <w:rFonts w:cs="Times New Roman"/>
        </w:rPr>
        <w:t xml:space="preserve"> </w:t>
      </w:r>
      <w:r w:rsidR="00B7466C" w:rsidRPr="00337F30">
        <w:rPr>
          <w:rFonts w:cs="Times New Roman"/>
        </w:rPr>
        <w:t xml:space="preserve">1. </w:t>
      </w:r>
    </w:p>
  </w:footnote>
  <w:footnote w:id="47">
    <w:p w14:paraId="5AC9F85C" w14:textId="69A401C7" w:rsidR="00E82996" w:rsidRPr="00337F30" w:rsidRDefault="00E82996" w:rsidP="00337F30">
      <w:pPr>
        <w:pStyle w:val="FootnoteText"/>
        <w:snapToGrid w:val="0"/>
        <w:spacing w:after="120" w:line="240" w:lineRule="auto"/>
        <w:jc w:val="left"/>
        <w:rPr>
          <w:rFonts w:cs="Times New Roman"/>
        </w:rPr>
      </w:pPr>
      <w:r w:rsidRPr="00337F30">
        <w:rPr>
          <w:rStyle w:val="FootnoteReference"/>
          <w:rFonts w:cs="Times New Roman"/>
        </w:rPr>
        <w:footnoteRef/>
      </w:r>
      <w:r w:rsidRPr="00337F30">
        <w:rPr>
          <w:rFonts w:cs="Times New Roman"/>
        </w:rPr>
        <w:t xml:space="preserve"> The Citizens' Rights (Application Deadline and Temporary Protection) (EU Exit) Regulations 2020, SI 2020/1209, reg</w:t>
      </w:r>
      <w:r w:rsidR="007124FB">
        <w:rPr>
          <w:rFonts w:cs="Times New Roman"/>
        </w:rPr>
        <w:t>s</w:t>
      </w:r>
      <w:r w:rsidRPr="00337F30">
        <w:rPr>
          <w:rFonts w:cs="Times New Roman"/>
        </w:rPr>
        <w:t xml:space="preserve"> 3</w:t>
      </w:r>
      <w:r w:rsidR="007124FB">
        <w:rPr>
          <w:rFonts w:cs="Times New Roman"/>
        </w:rPr>
        <w:t>-4.</w:t>
      </w:r>
    </w:p>
  </w:footnote>
  <w:footnote w:id="48">
    <w:p w14:paraId="2610B2A7" w14:textId="32ED1592" w:rsidR="0023763E" w:rsidRDefault="0023763E" w:rsidP="003708F1">
      <w:pPr>
        <w:pStyle w:val="FootnoteText"/>
        <w:spacing w:after="240" w:line="276" w:lineRule="auto"/>
      </w:pPr>
      <w:r>
        <w:rPr>
          <w:rStyle w:val="FootnoteReference"/>
        </w:rPr>
        <w:footnoteRef/>
      </w:r>
      <w:r w:rsidR="003708F1">
        <w:t xml:space="preserve"> </w:t>
      </w:r>
      <w:r w:rsidR="005633DA">
        <w:t>Where absences from the UK fall within the rules on permitted absences</w:t>
      </w:r>
      <w:r w:rsidR="0055728B">
        <w:t xml:space="preserve"> in</w:t>
      </w:r>
      <w:r w:rsidR="0055728B" w:rsidRPr="0055728B">
        <w:t xml:space="preserve"> Article 16(3) and Article 21 of Directive 2004/38</w:t>
      </w:r>
      <w:r w:rsidR="005633DA">
        <w:t xml:space="preserve">, they </w:t>
      </w:r>
      <w:r w:rsidR="006C3DF8">
        <w:t xml:space="preserve">do not prevent the EU citizen from </w:t>
      </w:r>
      <w:r w:rsidR="003708F1">
        <w:t xml:space="preserve">being in the personal scope of the WA. </w:t>
      </w:r>
      <w:r w:rsidR="006C3DF8">
        <w:t xml:space="preserve"> </w:t>
      </w:r>
    </w:p>
  </w:footnote>
  <w:footnote w:id="49">
    <w:p w14:paraId="679568C4" w14:textId="77777777" w:rsidR="009A64D1" w:rsidRPr="00337F30" w:rsidRDefault="009A64D1" w:rsidP="00337F30">
      <w:pPr>
        <w:pStyle w:val="FootnoteText"/>
        <w:snapToGrid w:val="0"/>
        <w:spacing w:after="120" w:line="240" w:lineRule="auto"/>
        <w:jc w:val="left"/>
        <w:rPr>
          <w:rFonts w:cs="Times New Roman"/>
        </w:rPr>
      </w:pPr>
      <w:r w:rsidRPr="00337F30">
        <w:rPr>
          <w:rStyle w:val="FootnoteReference"/>
          <w:rFonts w:cs="Times New Roman"/>
        </w:rPr>
        <w:footnoteRef/>
      </w:r>
      <w:r w:rsidRPr="00337F30">
        <w:rPr>
          <w:rFonts w:cs="Times New Roman"/>
        </w:rPr>
        <w:t xml:space="preserve"> ibid, reg 3(6).</w:t>
      </w:r>
    </w:p>
  </w:footnote>
  <w:footnote w:id="50">
    <w:p w14:paraId="03AA51D2" w14:textId="4DF74C74" w:rsidR="00763791" w:rsidRDefault="00763791" w:rsidP="00782527">
      <w:pPr>
        <w:pStyle w:val="FootnoteText"/>
        <w:spacing w:after="240" w:line="276" w:lineRule="auto"/>
        <w:jc w:val="left"/>
      </w:pPr>
      <w:r>
        <w:rPr>
          <w:rStyle w:val="FootnoteReference"/>
        </w:rPr>
        <w:footnoteRef/>
      </w:r>
      <w:r>
        <w:t xml:space="preserve"> </w:t>
      </w:r>
      <w:r w:rsidR="00B057EC" w:rsidRPr="0075542A">
        <w:t xml:space="preserve">European </w:t>
      </w:r>
      <w:r w:rsidRPr="0075542A">
        <w:t>Commission</w:t>
      </w:r>
      <w:r w:rsidR="00B057EC" w:rsidRPr="0075542A">
        <w:t>, ‘</w:t>
      </w:r>
      <w:r w:rsidR="002E424D" w:rsidRPr="0075542A">
        <w:t xml:space="preserve">Memo: </w:t>
      </w:r>
      <w:r w:rsidR="00B057EC" w:rsidRPr="0075542A">
        <w:t>Questions and Answers – the rights of EU citizens in the United Kingdom after the end of the transition period</w:t>
      </w:r>
      <w:r w:rsidR="00E51C3B" w:rsidRPr="0075542A">
        <w:t xml:space="preserve">’ </w:t>
      </w:r>
      <w:r w:rsidR="002E424D" w:rsidRPr="0075542A">
        <w:t>(</w:t>
      </w:r>
      <w:r w:rsidR="00782527" w:rsidRPr="0075542A">
        <w:t xml:space="preserve">European Commission, </w:t>
      </w:r>
      <w:r w:rsidR="002E424D" w:rsidRPr="0075542A">
        <w:t xml:space="preserve">1 July 2020) </w:t>
      </w:r>
      <w:hyperlink r:id="rId6" w:history="1">
        <w:r w:rsidR="002E424D" w:rsidRPr="0075542A">
          <w:rPr>
            <w:rStyle w:val="Hyperlink"/>
          </w:rPr>
          <w:t>https://commission.europa.eu/document/download/00db0299-23d1-4276-8eb8-7e47bd4db96b_en?filename=qa-eu-cit-in-uk_en.pdf</w:t>
        </w:r>
      </w:hyperlink>
      <w:r w:rsidR="002E424D" w:rsidRPr="0075542A">
        <w:t>.</w:t>
      </w:r>
      <w:r w:rsidR="002E424D">
        <w:t xml:space="preserve"> </w:t>
      </w:r>
    </w:p>
  </w:footnote>
  <w:footnote w:id="51">
    <w:p w14:paraId="5B3F399F" w14:textId="77777777" w:rsidR="007124FB" w:rsidRPr="00337F30" w:rsidRDefault="007124FB" w:rsidP="007124FB">
      <w:pPr>
        <w:pStyle w:val="FootnoteText"/>
        <w:snapToGrid w:val="0"/>
        <w:spacing w:after="120" w:line="240" w:lineRule="auto"/>
        <w:rPr>
          <w:rFonts w:cs="Times New Roman"/>
        </w:rPr>
      </w:pPr>
      <w:r w:rsidRPr="00337F30">
        <w:rPr>
          <w:rStyle w:val="FootnoteReference"/>
          <w:rFonts w:cs="Times New Roman"/>
        </w:rPr>
        <w:footnoteRef/>
      </w:r>
      <w:r w:rsidRPr="00337F30">
        <w:rPr>
          <w:rFonts w:cs="Times New Roman"/>
        </w:rPr>
        <w:t xml:space="preserve"> In </w:t>
      </w:r>
      <w:r w:rsidRPr="00337F30">
        <w:rPr>
          <w:rFonts w:cs="Times New Roman"/>
          <w:i/>
          <w:iCs/>
        </w:rPr>
        <w:t xml:space="preserve">Gubeladze, </w:t>
      </w:r>
      <w:r w:rsidRPr="00337F30">
        <w:rPr>
          <w:rFonts w:cs="Times New Roman"/>
        </w:rPr>
        <w:t xml:space="preserve">the Court of Appeal found that it was not legitimate to import ‘right to reside’ conditions into EU provisions simply requiring ‘residence’. </w:t>
      </w:r>
    </w:p>
  </w:footnote>
  <w:footnote w:id="52">
    <w:p w14:paraId="3AB27910" w14:textId="7005AC0D" w:rsidR="009A64D1" w:rsidRPr="00337F30" w:rsidRDefault="009A64D1" w:rsidP="00337F30">
      <w:pPr>
        <w:pStyle w:val="FootnoteText"/>
        <w:snapToGrid w:val="0"/>
        <w:spacing w:after="120" w:line="240" w:lineRule="auto"/>
        <w:rPr>
          <w:rFonts w:cs="Times New Roman"/>
        </w:rPr>
      </w:pPr>
      <w:r w:rsidRPr="00337F30">
        <w:rPr>
          <w:rStyle w:val="FootnoteReference"/>
          <w:rFonts w:cs="Times New Roman"/>
        </w:rPr>
        <w:footnoteRef/>
      </w:r>
      <w:r w:rsidRPr="00337F30">
        <w:rPr>
          <w:rFonts w:cs="Times New Roman"/>
        </w:rPr>
        <w:t xml:space="preserve"> Home Office, ‘Temporary protection for more applicants to the Settlement Scheme’ (Gov.uk, 6 August 2021) </w:t>
      </w:r>
      <w:hyperlink r:id="rId7" w:history="1">
        <w:r w:rsidRPr="00337F30">
          <w:rPr>
            <w:rStyle w:val="Hyperlink"/>
            <w:rFonts w:cs="Times New Roman"/>
          </w:rPr>
          <w:t>https://www.gov.uk/government/news/temporary-protection-for-more-applicants-to-the-settlement-scheme</w:t>
        </w:r>
      </w:hyperlink>
      <w:r w:rsidRPr="00337F30">
        <w:rPr>
          <w:rFonts w:cs="Times New Roman"/>
        </w:rPr>
        <w:t>,</w:t>
      </w:r>
    </w:p>
  </w:footnote>
  <w:footnote w:id="53">
    <w:p w14:paraId="38A126A2" w14:textId="1EE9380F" w:rsidR="009A64D1" w:rsidRPr="00337F30" w:rsidRDefault="009A64D1" w:rsidP="00337F30">
      <w:pPr>
        <w:pStyle w:val="FootnoteText"/>
        <w:snapToGrid w:val="0"/>
        <w:spacing w:after="120" w:line="240" w:lineRule="auto"/>
        <w:rPr>
          <w:rFonts w:cs="Times New Roman"/>
        </w:rPr>
      </w:pPr>
      <w:r w:rsidRPr="00337F30">
        <w:rPr>
          <w:rStyle w:val="FootnoteReference"/>
          <w:rFonts w:cs="Times New Roman"/>
        </w:rPr>
        <w:footnoteRef/>
      </w:r>
      <w:r w:rsidRPr="00337F30">
        <w:rPr>
          <w:rFonts w:cs="Times New Roman"/>
        </w:rPr>
        <w:t xml:space="preserve"> Kate </w:t>
      </w:r>
      <w:proofErr w:type="spellStart"/>
      <w:r w:rsidRPr="00337F30">
        <w:rPr>
          <w:rFonts w:cs="Times New Roman"/>
        </w:rPr>
        <w:t>Osamor</w:t>
      </w:r>
      <w:proofErr w:type="spellEnd"/>
      <w:r w:rsidRPr="00337F30">
        <w:rPr>
          <w:rFonts w:cs="Times New Roman"/>
        </w:rPr>
        <w:t xml:space="preserve"> MP, Social Security Benefits: EU Nationals. (UK Parliament: Written question,</w:t>
      </w:r>
      <w:r w:rsidRPr="00337F30">
        <w:rPr>
          <w:rFonts w:cs="Times New Roman"/>
          <w:i/>
          <w:iCs/>
        </w:rPr>
        <w:t xml:space="preserve"> </w:t>
      </w:r>
      <w:r w:rsidRPr="00337F30">
        <w:rPr>
          <w:rFonts w:cs="Times New Roman"/>
        </w:rPr>
        <w:t xml:space="preserve">21 September 2021) HC 47029, Available at </w:t>
      </w:r>
      <w:hyperlink r:id="rId8" w:history="1">
        <w:r w:rsidRPr="00337F30">
          <w:rPr>
            <w:rStyle w:val="Hyperlink"/>
            <w:rFonts w:cs="Times New Roman"/>
          </w:rPr>
          <w:t>https://questions-statements.parliament.uk/written-questions/detail/2021-09-10/47029</w:t>
        </w:r>
      </w:hyperlink>
      <w:r w:rsidRPr="00337F30">
        <w:rPr>
          <w:rFonts w:cs="Times New Roman"/>
        </w:rPr>
        <w:t>.</w:t>
      </w:r>
    </w:p>
  </w:footnote>
  <w:footnote w:id="54">
    <w:p w14:paraId="02585C6F" w14:textId="64DC60DF" w:rsidR="00346732" w:rsidRPr="00337F30" w:rsidRDefault="00346732" w:rsidP="00337F30">
      <w:pPr>
        <w:pStyle w:val="FootnoteText"/>
        <w:snapToGrid w:val="0"/>
        <w:spacing w:after="120" w:line="240" w:lineRule="auto"/>
        <w:jc w:val="left"/>
        <w:rPr>
          <w:rFonts w:cs="Times New Roman"/>
        </w:rPr>
      </w:pPr>
      <w:r w:rsidRPr="00337F30">
        <w:rPr>
          <w:rStyle w:val="FootnoteReference"/>
          <w:rFonts w:cs="Times New Roman"/>
        </w:rPr>
        <w:footnoteRef/>
      </w:r>
      <w:r w:rsidRPr="00337F30">
        <w:rPr>
          <w:rFonts w:cs="Times New Roman"/>
        </w:rPr>
        <w:t xml:space="preserve"> Department for Work and Pensions, ‘</w:t>
      </w:r>
      <w:r w:rsidR="00DD0750" w:rsidRPr="00337F30">
        <w:rPr>
          <w:rFonts w:cs="Times New Roman"/>
        </w:rPr>
        <w:t xml:space="preserve">Memo </w:t>
      </w:r>
      <w:r w:rsidRPr="00337F30">
        <w:rPr>
          <w:rFonts w:cs="Times New Roman"/>
        </w:rPr>
        <w:t>19-21: Claimants without a status under the European Union</w:t>
      </w:r>
      <w:r w:rsidR="00DD0750" w:rsidRPr="00337F30">
        <w:rPr>
          <w:rFonts w:cs="Times New Roman"/>
        </w:rPr>
        <w:t xml:space="preserve"> </w:t>
      </w:r>
      <w:r w:rsidRPr="00337F30">
        <w:rPr>
          <w:rFonts w:cs="Times New Roman"/>
        </w:rPr>
        <w:t>Settlement Scheme at the end of the Grace Period’ (November 2021), para 7.</w:t>
      </w:r>
    </w:p>
  </w:footnote>
  <w:footnote w:id="55">
    <w:p w14:paraId="79136D2F" w14:textId="1BE23F2D" w:rsidR="00E9269B" w:rsidRPr="00337F30" w:rsidRDefault="00E9269B" w:rsidP="00337F30">
      <w:pPr>
        <w:pStyle w:val="FootnoteText"/>
        <w:snapToGrid w:val="0"/>
        <w:spacing w:after="120" w:line="240" w:lineRule="auto"/>
        <w:jc w:val="left"/>
        <w:rPr>
          <w:rFonts w:cs="Times New Roman"/>
        </w:rPr>
      </w:pPr>
      <w:r w:rsidRPr="00337F30">
        <w:rPr>
          <w:rStyle w:val="FootnoteReference"/>
          <w:rFonts w:cs="Times New Roman"/>
        </w:rPr>
        <w:footnoteRef/>
      </w:r>
      <w:r w:rsidRPr="00337F30">
        <w:rPr>
          <w:rFonts w:cs="Times New Roman"/>
        </w:rPr>
        <w:t xml:space="preserve"> </w:t>
      </w:r>
      <w:r w:rsidR="00346732" w:rsidRPr="00337F30">
        <w:rPr>
          <w:rFonts w:cs="Times New Roman"/>
        </w:rPr>
        <w:t>ibid</w:t>
      </w:r>
      <w:r w:rsidR="00540D74" w:rsidRPr="00337F30">
        <w:rPr>
          <w:rFonts w:cs="Times New Roman"/>
        </w:rPr>
        <w:t xml:space="preserve"> para 7.</w:t>
      </w:r>
    </w:p>
  </w:footnote>
  <w:footnote w:id="56">
    <w:p w14:paraId="1FBCDA66" w14:textId="641BCAF7" w:rsidR="006566B5" w:rsidRDefault="006566B5" w:rsidP="00446BEA">
      <w:pPr>
        <w:pStyle w:val="FootnoteText"/>
        <w:spacing w:after="240" w:line="276" w:lineRule="auto"/>
        <w:jc w:val="left"/>
      </w:pPr>
      <w:r>
        <w:rPr>
          <w:rStyle w:val="FootnoteReference"/>
        </w:rPr>
        <w:footnoteRef/>
      </w:r>
      <w:r>
        <w:t xml:space="preserve"> Alice Welsh, </w:t>
      </w:r>
      <w:r w:rsidR="00493BF8">
        <w:t>‘</w:t>
      </w:r>
      <w:r w:rsidR="00493BF8" w:rsidRPr="00493BF8">
        <w:t>Lost in dissemination – Unpicking pending EUSS applications and accessing benefits?</w:t>
      </w:r>
      <w:r w:rsidR="00493BF8">
        <w:t xml:space="preserve">’ (EU Rights and Brexit Hub, 14 March </w:t>
      </w:r>
      <w:r w:rsidR="00754AA8">
        <w:t xml:space="preserve">2022) </w:t>
      </w:r>
      <w:hyperlink r:id="rId9" w:history="1">
        <w:r w:rsidR="00754AA8" w:rsidRPr="00DC7D54">
          <w:rPr>
            <w:rStyle w:val="Hyperlink"/>
          </w:rPr>
          <w:t>https://www.eurightshub.york.ac.uk/blog/6jd0pjr5swh379fbjo97ffk4fd8ir6</w:t>
        </w:r>
      </w:hyperlink>
      <w:r w:rsidR="00754AA8">
        <w:t xml:space="preserve">. </w:t>
      </w:r>
    </w:p>
  </w:footnote>
  <w:footnote w:id="57">
    <w:p w14:paraId="2BB25751" w14:textId="390CBE2D" w:rsidR="00D34CB0" w:rsidRPr="00337F30" w:rsidRDefault="00D34CB0" w:rsidP="00337F30">
      <w:pPr>
        <w:pStyle w:val="FootnoteText"/>
        <w:snapToGrid w:val="0"/>
        <w:spacing w:after="120" w:line="240" w:lineRule="auto"/>
        <w:jc w:val="left"/>
        <w:rPr>
          <w:rFonts w:cs="Times New Roman"/>
        </w:rPr>
      </w:pPr>
      <w:r w:rsidRPr="00337F30">
        <w:rPr>
          <w:rStyle w:val="FootnoteReference"/>
          <w:rFonts w:cs="Times New Roman"/>
        </w:rPr>
        <w:footnoteRef/>
      </w:r>
      <w:r w:rsidRPr="00337F30">
        <w:rPr>
          <w:rFonts w:cs="Times New Roman"/>
        </w:rPr>
        <w:t xml:space="preserve"> Charlotte O’Brien and Luke Piper, ‘Fudging the fallout of the EUSS deadline: the chasm between law and practice profoundly undermines the rule of law’ (EU Rights and Brexit Hub, 14 July 2021) </w:t>
      </w:r>
      <w:hyperlink r:id="rId10" w:history="1">
        <w:r w:rsidRPr="00337F30">
          <w:rPr>
            <w:rStyle w:val="Hyperlink"/>
            <w:rFonts w:cs="Times New Roman"/>
          </w:rPr>
          <w:t>https://www.eurightshub.york.ac.uk/blog/9da4glyi9saw0jsv7rv1agjugftgbm</w:t>
        </w:r>
      </w:hyperlink>
      <w:r w:rsidRPr="00337F30">
        <w:rPr>
          <w:rFonts w:cs="Times New Roman"/>
        </w:rPr>
        <w:t xml:space="preserve">. </w:t>
      </w:r>
    </w:p>
  </w:footnote>
  <w:footnote w:id="58">
    <w:p w14:paraId="34ECC988" w14:textId="05BE82F7" w:rsidR="00AF3EF2" w:rsidRPr="00337F30" w:rsidRDefault="00AF3EF2" w:rsidP="00337F30">
      <w:pPr>
        <w:pStyle w:val="FootnoteText"/>
        <w:snapToGrid w:val="0"/>
        <w:spacing w:after="120" w:line="240" w:lineRule="auto"/>
        <w:jc w:val="left"/>
        <w:rPr>
          <w:rFonts w:cs="Times New Roman"/>
        </w:rPr>
      </w:pPr>
      <w:r w:rsidRPr="00337F30">
        <w:rPr>
          <w:rStyle w:val="FootnoteReference"/>
          <w:rFonts w:cs="Times New Roman"/>
        </w:rPr>
        <w:footnoteRef/>
      </w:r>
      <w:r w:rsidRPr="00337F30">
        <w:rPr>
          <w:rFonts w:cs="Times New Roman"/>
        </w:rPr>
        <w:t xml:space="preserve"> </w:t>
      </w:r>
      <w:r w:rsidR="00D34CB0" w:rsidRPr="00337F30">
        <w:rPr>
          <w:rFonts w:cs="Times New Roman"/>
        </w:rPr>
        <w:t xml:space="preserve">E.g. Case </w:t>
      </w:r>
      <w:r w:rsidR="00D34CB0" w:rsidRPr="00337F30">
        <w:rPr>
          <w:rFonts w:cs="Times New Roman"/>
          <w:kern w:val="0"/>
        </w:rPr>
        <w:t>EUR00112; a mandatory reconsideration notice stated: ‘‘from the evidence [client] provided it shows that his employment with [employer] started [in January 2021] as reported on the HMRC letter, and therefore he cannot be classed as a worker or retained worker on the transition date end”.</w:t>
      </w:r>
    </w:p>
  </w:footnote>
  <w:footnote w:id="59">
    <w:p w14:paraId="58727F5E" w14:textId="77777777" w:rsidR="00590597" w:rsidRPr="00337F30" w:rsidRDefault="00590597" w:rsidP="00337F30">
      <w:pPr>
        <w:pStyle w:val="FootnoteText"/>
        <w:snapToGrid w:val="0"/>
        <w:spacing w:after="120" w:line="240" w:lineRule="auto"/>
        <w:jc w:val="left"/>
        <w:rPr>
          <w:rFonts w:cs="Times New Roman"/>
        </w:rPr>
      </w:pPr>
      <w:r w:rsidRPr="00337F30">
        <w:rPr>
          <w:rStyle w:val="FootnoteReference"/>
          <w:rFonts w:cs="Times New Roman"/>
        </w:rPr>
        <w:footnoteRef/>
      </w:r>
      <w:r w:rsidRPr="00337F30">
        <w:rPr>
          <w:rFonts w:cs="Times New Roman"/>
        </w:rPr>
        <w:t xml:space="preserve"> </w:t>
      </w:r>
      <w:r w:rsidRPr="00337F30">
        <w:rPr>
          <w:rFonts w:cs="Times New Roman"/>
          <w:i/>
          <w:iCs/>
        </w:rPr>
        <w:t>SSWP v AT</w:t>
      </w:r>
      <w:r w:rsidRPr="00337F30">
        <w:rPr>
          <w:rFonts w:cs="Times New Roman"/>
        </w:rPr>
        <w:t xml:space="preserve"> [2023] EWCA </w:t>
      </w:r>
      <w:proofErr w:type="spellStart"/>
      <w:r w:rsidRPr="00337F30">
        <w:rPr>
          <w:rFonts w:cs="Times New Roman"/>
        </w:rPr>
        <w:t>Civ</w:t>
      </w:r>
      <w:proofErr w:type="spellEnd"/>
      <w:r w:rsidRPr="00337F30">
        <w:rPr>
          <w:rFonts w:cs="Times New Roman"/>
        </w:rPr>
        <w:t xml:space="preserve"> 130 [103].</w:t>
      </w:r>
    </w:p>
  </w:footnote>
  <w:footnote w:id="60">
    <w:p w14:paraId="3B8D19BB" w14:textId="77777777" w:rsidR="00590597" w:rsidRPr="00337F30" w:rsidRDefault="00590597" w:rsidP="00337F30">
      <w:pPr>
        <w:pStyle w:val="FootnoteText"/>
        <w:snapToGrid w:val="0"/>
        <w:spacing w:after="120" w:line="240" w:lineRule="auto"/>
        <w:jc w:val="left"/>
        <w:rPr>
          <w:rFonts w:cs="Times New Roman"/>
        </w:rPr>
      </w:pPr>
      <w:r w:rsidRPr="00337F30">
        <w:rPr>
          <w:rStyle w:val="FootnoteReference"/>
          <w:rFonts w:cs="Times New Roman"/>
        </w:rPr>
        <w:footnoteRef/>
      </w:r>
      <w:r w:rsidRPr="00337F30">
        <w:rPr>
          <w:rFonts w:cs="Times New Roman"/>
        </w:rPr>
        <w:t xml:space="preserve"> Department for Work and Pensions ‘Memo 06-24: AT and the EU Charter of Fundamental Rights Assessment’ (28 June 2024) Para 12. While this guidance has been updated on 3 February 2025 to remove the exclusion of family members (provided their EU national sponsor is in the scope of the WA), the exclusion of those with pending applications and those deemed not to be in the scope of WA remains.</w:t>
      </w:r>
    </w:p>
  </w:footnote>
  <w:footnote w:id="61">
    <w:p w14:paraId="184600AD" w14:textId="77777777" w:rsidR="00590597" w:rsidRPr="00337F30" w:rsidRDefault="00590597" w:rsidP="00337F30">
      <w:pPr>
        <w:pStyle w:val="FootnoteText"/>
        <w:snapToGrid w:val="0"/>
        <w:spacing w:after="120" w:line="240" w:lineRule="auto"/>
        <w:jc w:val="left"/>
        <w:rPr>
          <w:rFonts w:cs="Times New Roman"/>
        </w:rPr>
      </w:pPr>
      <w:r w:rsidRPr="00337F30">
        <w:rPr>
          <w:rStyle w:val="FootnoteReference"/>
          <w:rFonts w:cs="Times New Roman"/>
        </w:rPr>
        <w:footnoteRef/>
      </w:r>
      <w:r w:rsidRPr="00337F30">
        <w:rPr>
          <w:rFonts w:cs="Times New Roman"/>
        </w:rPr>
        <w:t xml:space="preserve"> Border Security, Asylum and Immigration Bill [as amended in Public Bill Committee] HC Bill (2024 –25) [205</w:t>
      </w:r>
      <w:r w:rsidRPr="00337F30">
        <w:rPr>
          <w:rFonts w:cs="Times New Roman"/>
          <w:b/>
          <w:bCs/>
        </w:rPr>
        <w:t>]</w:t>
      </w:r>
      <w:r w:rsidRPr="00337F30">
        <w:rPr>
          <w:rFonts w:cs="Times New Roman"/>
        </w:rPr>
        <w:t xml:space="preserve"> cl 42.</w:t>
      </w:r>
    </w:p>
  </w:footnote>
  <w:footnote w:id="62">
    <w:p w14:paraId="662B5CD2" w14:textId="06AD4AC8" w:rsidR="000E13D4" w:rsidRDefault="000E13D4" w:rsidP="000E13D4">
      <w:pPr>
        <w:pStyle w:val="FootnoteText"/>
        <w:spacing w:after="240" w:line="276" w:lineRule="auto"/>
      </w:pPr>
      <w:r w:rsidRPr="0075542A">
        <w:rPr>
          <w:rStyle w:val="FootnoteReference"/>
        </w:rPr>
        <w:footnoteRef/>
      </w:r>
      <w:r w:rsidRPr="0075542A">
        <w:t xml:space="preserve"> It is currently only used in relation to </w:t>
      </w:r>
      <w:proofErr w:type="gramStart"/>
      <w:r w:rsidRPr="0075542A">
        <w:t>assessing</w:t>
      </w:r>
      <w:proofErr w:type="gramEnd"/>
      <w:r w:rsidRPr="0075542A">
        <w:t xml:space="preserve"> </w:t>
      </w:r>
      <w:r w:rsidR="0075542A" w:rsidRPr="0075542A">
        <w:t xml:space="preserve">(some) </w:t>
      </w:r>
      <w:r w:rsidRPr="0075542A">
        <w:t>applications for Universal Credit. For this purpose, the Secretary of State for Work and Pensions has decided that only very limited circumstances trigger a Charter assessment. For example, the applicant must not be able to work. Other issues include the high threshold for assessing a risk of destitution, the delay in getting a full assessment of Charter rights (as it is rarely thoroughly checked for a first instance decision)</w:t>
      </w:r>
      <w:r w:rsidR="0075542A" w:rsidRPr="0075542A">
        <w:t>,</w:t>
      </w:r>
      <w:r w:rsidRPr="0075542A">
        <w:t xml:space="preserve"> and the risk that welfare will be withdrawn as soon as an individual’s circumstances slightly improve. See Department for Work and Pensions, ‘ADM 06/24: AT and the EU Charter of Fundamental Rights Assessment’ (28 June 2024).</w:t>
      </w:r>
    </w:p>
  </w:footnote>
  <w:footnote w:id="63">
    <w:p w14:paraId="5094BDD8" w14:textId="77777777" w:rsidR="00590597" w:rsidRPr="00337F30" w:rsidRDefault="00590597" w:rsidP="00337F30">
      <w:pPr>
        <w:pStyle w:val="FootnoteText"/>
        <w:snapToGrid w:val="0"/>
        <w:spacing w:after="120" w:line="240" w:lineRule="auto"/>
        <w:jc w:val="left"/>
        <w:rPr>
          <w:rFonts w:cs="Times New Roman"/>
        </w:rPr>
      </w:pPr>
      <w:r w:rsidRPr="00337F30">
        <w:rPr>
          <w:rStyle w:val="FootnoteReference"/>
          <w:rFonts w:cs="Times New Roman"/>
        </w:rPr>
        <w:footnoteRef/>
      </w:r>
      <w:r w:rsidRPr="00337F30">
        <w:rPr>
          <w:rFonts w:cs="Times New Roman"/>
        </w:rPr>
        <w:t xml:space="preserve"> ibid cl 42(2)(c).</w:t>
      </w:r>
    </w:p>
  </w:footnote>
  <w:footnote w:id="64">
    <w:p w14:paraId="7543EEDE" w14:textId="4B04C97E" w:rsidR="00590597" w:rsidRPr="00337F30" w:rsidRDefault="00590597" w:rsidP="00337F30">
      <w:pPr>
        <w:pStyle w:val="FootnoteText"/>
        <w:snapToGrid w:val="0"/>
        <w:spacing w:after="120" w:line="240" w:lineRule="auto"/>
        <w:jc w:val="left"/>
        <w:rPr>
          <w:rFonts w:cs="Times New Roman"/>
        </w:rPr>
      </w:pPr>
      <w:r w:rsidRPr="00337F30">
        <w:rPr>
          <w:rStyle w:val="FootnoteReference"/>
          <w:rFonts w:cs="Times New Roman"/>
        </w:rPr>
        <w:footnoteRef/>
      </w:r>
      <w:r w:rsidRPr="00337F30">
        <w:rPr>
          <w:rFonts w:cs="Times New Roman"/>
        </w:rPr>
        <w:t xml:space="preserve"> </w:t>
      </w:r>
      <w:r w:rsidRPr="0075542A">
        <w:rPr>
          <w:rFonts w:cs="Times New Roman"/>
        </w:rPr>
        <w:t>ibid cl 42(2)(d)(</w:t>
      </w:r>
      <w:proofErr w:type="spellStart"/>
      <w:r w:rsidRPr="0075542A">
        <w:rPr>
          <w:rFonts w:cs="Times New Roman"/>
        </w:rPr>
        <w:t>i</w:t>
      </w:r>
      <w:proofErr w:type="spellEnd"/>
      <w:r w:rsidRPr="0075542A">
        <w:rPr>
          <w:rFonts w:cs="Times New Roman"/>
        </w:rPr>
        <w:t>).</w:t>
      </w:r>
      <w:r w:rsidR="00915A91" w:rsidRPr="0075542A">
        <w:rPr>
          <w:rFonts w:cs="Times New Roman"/>
        </w:rPr>
        <w:t xml:space="preserve"> This also allows for permitted absences that overlap with 31 December 2020, see cl 42(</w:t>
      </w:r>
      <w:r w:rsidR="006D7719" w:rsidRPr="0075542A">
        <w:rPr>
          <w:rFonts w:cs="Times New Roman"/>
        </w:rPr>
        <w:t>3</w:t>
      </w:r>
      <w:r w:rsidR="00915A91" w:rsidRPr="0075542A">
        <w:rPr>
          <w:rFonts w:cs="Times New Roman"/>
        </w:rPr>
        <w:t>)(</w:t>
      </w:r>
      <w:r w:rsidR="006D7719" w:rsidRPr="0075542A">
        <w:rPr>
          <w:rFonts w:cs="Times New Roman"/>
        </w:rPr>
        <w:t>c</w:t>
      </w:r>
      <w:r w:rsidR="00915A91" w:rsidRPr="0075542A">
        <w:rPr>
          <w:rFonts w:cs="Times New Roman"/>
        </w:rPr>
        <w:t>)</w:t>
      </w:r>
      <w:r w:rsidR="006D7719" w:rsidRPr="0075542A">
        <w:rPr>
          <w:rFonts w:cs="Times New Roman"/>
        </w:rPr>
        <w:t>.</w:t>
      </w:r>
    </w:p>
  </w:footnote>
  <w:footnote w:id="65">
    <w:p w14:paraId="186C18D1" w14:textId="294DAC51" w:rsidR="000622F2" w:rsidRPr="00337F30" w:rsidRDefault="000622F2" w:rsidP="00337F30">
      <w:pPr>
        <w:pStyle w:val="FootnoteText"/>
        <w:snapToGrid w:val="0"/>
        <w:spacing w:after="120" w:line="240" w:lineRule="auto"/>
        <w:jc w:val="left"/>
        <w:rPr>
          <w:rFonts w:cs="Times New Roman"/>
        </w:rPr>
      </w:pPr>
      <w:r w:rsidRPr="00337F30">
        <w:rPr>
          <w:rStyle w:val="FootnoteReference"/>
          <w:rFonts w:cs="Times New Roman"/>
        </w:rPr>
        <w:footnoteRef/>
      </w:r>
      <w:r w:rsidRPr="00337F30">
        <w:rPr>
          <w:rFonts w:cs="Times New Roman"/>
        </w:rPr>
        <w:t xml:space="preserve"> </w:t>
      </w:r>
      <w:r w:rsidRPr="00337F30">
        <w:rPr>
          <w:rFonts w:cs="Times New Roman"/>
          <w:i/>
          <w:iCs/>
        </w:rPr>
        <w:t>Fratila v SSWP</w:t>
      </w:r>
      <w:r w:rsidRPr="00337F30">
        <w:rPr>
          <w:rFonts w:cs="Times New Roman"/>
        </w:rPr>
        <w:t xml:space="preserve"> [2020] EWCA </w:t>
      </w:r>
      <w:proofErr w:type="spellStart"/>
      <w:r w:rsidRPr="00337F30">
        <w:rPr>
          <w:rFonts w:cs="Times New Roman"/>
        </w:rPr>
        <w:t>Civ</w:t>
      </w:r>
      <w:proofErr w:type="spellEnd"/>
      <w:r w:rsidRPr="00337F30">
        <w:rPr>
          <w:rFonts w:cs="Times New Roman"/>
        </w:rPr>
        <w:t xml:space="preserve"> 1741</w:t>
      </w:r>
      <w:r w:rsidR="007124FB">
        <w:rPr>
          <w:rFonts w:cs="Times New Roman"/>
        </w:rPr>
        <w:t xml:space="preserve">; </w:t>
      </w:r>
      <w:r w:rsidR="007124FB" w:rsidRPr="00337F30">
        <w:rPr>
          <w:rFonts w:cs="Times New Roman"/>
        </w:rPr>
        <w:t xml:space="preserve">Case C-709/20 </w:t>
      </w:r>
      <w:r w:rsidR="007124FB" w:rsidRPr="00337F30">
        <w:rPr>
          <w:rFonts w:cs="Times New Roman"/>
          <w:i/>
          <w:iCs/>
        </w:rPr>
        <w:t>CG v The Department for Communities in Northern Ireland</w:t>
      </w:r>
      <w:r w:rsidR="007124FB" w:rsidRPr="00337F30">
        <w:rPr>
          <w:rFonts w:cs="Times New Roman"/>
        </w:rPr>
        <w:t xml:space="preserve"> EU:</w:t>
      </w:r>
      <w:proofErr w:type="gramStart"/>
      <w:r w:rsidR="007124FB" w:rsidRPr="00337F30">
        <w:rPr>
          <w:rFonts w:cs="Times New Roman"/>
        </w:rPr>
        <w:t>C:2021:602</w:t>
      </w:r>
      <w:proofErr w:type="gramEnd"/>
      <w:r w:rsidR="007124FB" w:rsidRPr="00337F30">
        <w:rPr>
          <w:rFonts w:cs="Times New Roman"/>
        </w:rPr>
        <w:t>.</w:t>
      </w:r>
    </w:p>
  </w:footnote>
  <w:footnote w:id="66">
    <w:p w14:paraId="3A1E8D4B" w14:textId="77777777" w:rsidR="008E1E20" w:rsidRPr="00337F30" w:rsidRDefault="008E1E20" w:rsidP="00337F30">
      <w:pPr>
        <w:pStyle w:val="FootnoteText"/>
        <w:snapToGrid w:val="0"/>
        <w:spacing w:after="120" w:line="240" w:lineRule="auto"/>
        <w:jc w:val="left"/>
        <w:rPr>
          <w:rFonts w:cs="Times New Roman"/>
        </w:rPr>
      </w:pPr>
      <w:r w:rsidRPr="00337F30">
        <w:rPr>
          <w:rStyle w:val="FootnoteReference"/>
          <w:rFonts w:cs="Times New Roman"/>
        </w:rPr>
        <w:footnoteRef/>
      </w:r>
      <w:r w:rsidRPr="00337F30">
        <w:rPr>
          <w:rFonts w:cs="Times New Roman"/>
        </w:rPr>
        <w:t xml:space="preserve"> [2024] EWCC 1 (Case J05MA951) a section 204 Housing Act 1996 appeal, 22 May 2024.</w:t>
      </w:r>
    </w:p>
  </w:footnote>
  <w:footnote w:id="67">
    <w:p w14:paraId="411F3809" w14:textId="77777777" w:rsidR="008E1E20" w:rsidRPr="00337F30" w:rsidRDefault="008E1E20" w:rsidP="00337F30">
      <w:pPr>
        <w:pStyle w:val="FootnoteText"/>
        <w:snapToGrid w:val="0"/>
        <w:spacing w:after="120" w:line="240" w:lineRule="auto"/>
        <w:jc w:val="left"/>
        <w:rPr>
          <w:rFonts w:cs="Times New Roman"/>
        </w:rPr>
      </w:pPr>
      <w:r w:rsidRPr="00337F30">
        <w:rPr>
          <w:rStyle w:val="FootnoteReference"/>
          <w:rFonts w:cs="Times New Roman"/>
        </w:rPr>
        <w:footnoteRef/>
      </w:r>
      <w:r w:rsidRPr="00337F30">
        <w:rPr>
          <w:rFonts w:cs="Times New Roman"/>
        </w:rPr>
        <w:t xml:space="preserve"> K40CL206; 24 May 2024.</w:t>
      </w:r>
    </w:p>
  </w:footnote>
  <w:footnote w:id="68">
    <w:p w14:paraId="65B5772D" w14:textId="7473F6BF" w:rsidR="008E1E20" w:rsidRPr="00337F30" w:rsidRDefault="008E1E20" w:rsidP="00337F30">
      <w:pPr>
        <w:pStyle w:val="FootnoteText"/>
        <w:snapToGrid w:val="0"/>
        <w:spacing w:after="120" w:line="240" w:lineRule="auto"/>
        <w:jc w:val="left"/>
        <w:rPr>
          <w:rFonts w:cs="Times New Roman"/>
        </w:rPr>
      </w:pPr>
      <w:r w:rsidRPr="00337F30">
        <w:rPr>
          <w:rStyle w:val="FootnoteReference"/>
          <w:rFonts w:cs="Times New Roman"/>
        </w:rPr>
        <w:footnoteRef/>
      </w:r>
      <w:r w:rsidRPr="00337F30">
        <w:rPr>
          <w:rFonts w:cs="Times New Roman"/>
        </w:rPr>
        <w:t xml:space="preserve"> [2024] EWHC 1754 (KB) 8 July 2024</w:t>
      </w:r>
      <w:r w:rsidR="00F850C0" w:rsidRPr="00337F30">
        <w:rPr>
          <w:rFonts w:cs="Times New Roman"/>
        </w:rPr>
        <w:t xml:space="preserve">; [2025] EWCA </w:t>
      </w:r>
      <w:proofErr w:type="spellStart"/>
      <w:r w:rsidR="00F850C0" w:rsidRPr="00337F30">
        <w:rPr>
          <w:rFonts w:cs="Times New Roman"/>
        </w:rPr>
        <w:t>Civ</w:t>
      </w:r>
      <w:proofErr w:type="spellEnd"/>
      <w:r w:rsidR="00F850C0" w:rsidRPr="00337F30">
        <w:rPr>
          <w:rFonts w:cs="Times New Roman"/>
        </w:rPr>
        <w:t xml:space="preserve"> 1057.</w:t>
      </w:r>
    </w:p>
  </w:footnote>
  <w:footnote w:id="69">
    <w:p w14:paraId="26D2535A" w14:textId="19967E8F" w:rsidR="00585E15" w:rsidRPr="00337F30" w:rsidRDefault="00585E15" w:rsidP="00337F30">
      <w:pPr>
        <w:pStyle w:val="FootnoteText"/>
        <w:snapToGrid w:val="0"/>
        <w:spacing w:after="120" w:line="240" w:lineRule="auto"/>
        <w:jc w:val="left"/>
        <w:rPr>
          <w:rFonts w:cs="Times New Roman"/>
        </w:rPr>
      </w:pPr>
      <w:r w:rsidRPr="00337F30">
        <w:rPr>
          <w:rStyle w:val="FootnoteReference"/>
          <w:rFonts w:cs="Times New Roman"/>
        </w:rPr>
        <w:footnoteRef/>
      </w:r>
      <w:r w:rsidRPr="00337F30">
        <w:rPr>
          <w:rFonts w:cs="Times New Roman"/>
        </w:rPr>
        <w:t xml:space="preserve"> </w:t>
      </w:r>
      <w:r w:rsidR="00D07C19" w:rsidRPr="00337F30">
        <w:rPr>
          <w:rFonts w:cs="Times New Roman"/>
        </w:rPr>
        <w:t xml:space="preserve">A Migration Observatory report found that EU </w:t>
      </w:r>
      <w:r w:rsidR="001938D6" w:rsidRPr="00337F30">
        <w:rPr>
          <w:rFonts w:cs="Times New Roman"/>
        </w:rPr>
        <w:t xml:space="preserve">migrants were less likely to claim out-of-work benefits and more likely to claim in-work benefits, which would require them to be a worker and therefore </w:t>
      </w:r>
      <w:r w:rsidR="00274E47" w:rsidRPr="00337F30">
        <w:rPr>
          <w:rFonts w:cs="Times New Roman"/>
        </w:rPr>
        <w:t xml:space="preserve">exercising a right to reside. </w:t>
      </w:r>
      <w:r w:rsidR="0013310D" w:rsidRPr="00337F30">
        <w:rPr>
          <w:rFonts w:cs="Times New Roman"/>
        </w:rPr>
        <w:t xml:space="preserve">Madeleine Sumption and Szilvia </w:t>
      </w:r>
      <w:proofErr w:type="spellStart"/>
      <w:r w:rsidR="0013310D" w:rsidRPr="00337F30">
        <w:rPr>
          <w:rFonts w:cs="Times New Roman"/>
        </w:rPr>
        <w:t>Altorjai</w:t>
      </w:r>
      <w:proofErr w:type="spellEnd"/>
      <w:r w:rsidR="0013310D" w:rsidRPr="00337F30">
        <w:rPr>
          <w:rFonts w:cs="Times New Roman"/>
        </w:rPr>
        <w:t>, ‘EU Migration, Welfare Benefits and EU Membership’ (Migration Observatory</w:t>
      </w:r>
      <w:r w:rsidR="0099731B" w:rsidRPr="00337F30">
        <w:rPr>
          <w:rFonts w:cs="Times New Roman"/>
        </w:rPr>
        <w:t>, 4 May 2016).</w:t>
      </w:r>
    </w:p>
  </w:footnote>
  <w:footnote w:id="70">
    <w:p w14:paraId="201B117B" w14:textId="34A503A5" w:rsidR="00F30A47" w:rsidRPr="00337F30" w:rsidRDefault="00F30A47" w:rsidP="00337F30">
      <w:pPr>
        <w:pStyle w:val="FootnoteText"/>
        <w:snapToGrid w:val="0"/>
        <w:spacing w:after="120" w:line="240" w:lineRule="auto"/>
        <w:jc w:val="left"/>
        <w:rPr>
          <w:rFonts w:cs="Times New Roman"/>
        </w:rPr>
      </w:pPr>
      <w:r w:rsidRPr="00337F30">
        <w:rPr>
          <w:rStyle w:val="FootnoteReference"/>
          <w:rFonts w:cs="Times New Roman"/>
        </w:rPr>
        <w:footnoteRef/>
      </w:r>
      <w:r w:rsidRPr="00337F30">
        <w:rPr>
          <w:rFonts w:cs="Times New Roman"/>
        </w:rPr>
        <w:t xml:space="preserve"> </w:t>
      </w:r>
      <w:r w:rsidR="008610E9" w:rsidRPr="00337F30">
        <w:rPr>
          <w:rFonts w:cs="Times New Roman"/>
        </w:rPr>
        <w:t xml:space="preserve">It is estimated that </w:t>
      </w:r>
      <w:r w:rsidR="002C1E3C" w:rsidRPr="00337F30">
        <w:rPr>
          <w:rFonts w:cs="Times New Roman"/>
        </w:rPr>
        <w:t>over 1 million people have upgraded their status from pre-settled to settled status</w:t>
      </w:r>
      <w:r w:rsidR="00CE637A" w:rsidRPr="00337F30">
        <w:rPr>
          <w:rFonts w:cs="Times New Roman"/>
        </w:rPr>
        <w:t xml:space="preserve"> so far</w:t>
      </w:r>
      <w:r w:rsidR="002C1E3C" w:rsidRPr="00337F30">
        <w:rPr>
          <w:rFonts w:cs="Times New Roman"/>
        </w:rPr>
        <w:t xml:space="preserve">. Home Office, </w:t>
      </w:r>
      <w:r w:rsidR="005C6B70" w:rsidRPr="00337F30">
        <w:rPr>
          <w:rFonts w:cs="Times New Roman"/>
        </w:rPr>
        <w:t>‘How many people have been granted settlement via the EU Settlement Scheme?’ (</w:t>
      </w:r>
      <w:r w:rsidR="00835F0C" w:rsidRPr="00337F30">
        <w:rPr>
          <w:rFonts w:cs="Times New Roman"/>
        </w:rPr>
        <w:t>Official statistics</w:t>
      </w:r>
      <w:r w:rsidR="005C6B70" w:rsidRPr="00337F30">
        <w:rPr>
          <w:rFonts w:cs="Times New Roman"/>
        </w:rPr>
        <w:t>, 27 February 2025).</w:t>
      </w:r>
    </w:p>
  </w:footnote>
  <w:footnote w:id="71">
    <w:p w14:paraId="0153D017" w14:textId="798444BA" w:rsidR="004E092F" w:rsidRPr="00337F30" w:rsidRDefault="004E092F" w:rsidP="00337F30">
      <w:pPr>
        <w:pStyle w:val="FootnoteText"/>
        <w:snapToGrid w:val="0"/>
        <w:spacing w:after="120" w:line="240" w:lineRule="auto"/>
        <w:jc w:val="left"/>
        <w:rPr>
          <w:rFonts w:cs="Times New Roman"/>
        </w:rPr>
      </w:pPr>
      <w:r w:rsidRPr="00337F30">
        <w:rPr>
          <w:rStyle w:val="FootnoteReference"/>
          <w:rFonts w:cs="Times New Roman"/>
        </w:rPr>
        <w:footnoteRef/>
      </w:r>
      <w:r w:rsidRPr="00337F30">
        <w:rPr>
          <w:rFonts w:cs="Times New Roman"/>
        </w:rPr>
        <w:t xml:space="preserve"> </w:t>
      </w:r>
      <w:r w:rsidRPr="00337F30">
        <w:rPr>
          <w:rFonts w:cs="Times New Roman"/>
          <w:i/>
          <w:iCs/>
        </w:rPr>
        <w:t xml:space="preserve">R (IMA) v Secretary of State for the Home Department </w:t>
      </w:r>
      <w:r w:rsidRPr="00337F30">
        <w:rPr>
          <w:rFonts w:cs="Times New Roman"/>
        </w:rPr>
        <w:t>[202</w:t>
      </w:r>
      <w:r w:rsidR="00A724F8" w:rsidRPr="00337F30">
        <w:rPr>
          <w:rFonts w:cs="Times New Roman"/>
        </w:rPr>
        <w:t>2</w:t>
      </w:r>
      <w:r w:rsidRPr="00337F30">
        <w:rPr>
          <w:rFonts w:cs="Times New Roman"/>
        </w:rPr>
        <w:t>] 1 WLR 817 [46].</w:t>
      </w:r>
    </w:p>
  </w:footnote>
  <w:footnote w:id="72">
    <w:p w14:paraId="6D47AC21" w14:textId="1F1BD14D" w:rsidR="00274A26" w:rsidRPr="00337F30" w:rsidRDefault="00274A26" w:rsidP="00337F30">
      <w:pPr>
        <w:pStyle w:val="FootnoteText"/>
        <w:snapToGrid w:val="0"/>
        <w:spacing w:after="120" w:line="240" w:lineRule="auto"/>
        <w:jc w:val="left"/>
        <w:rPr>
          <w:rFonts w:cs="Times New Roman"/>
        </w:rPr>
      </w:pPr>
      <w:r w:rsidRPr="00337F30">
        <w:rPr>
          <w:rStyle w:val="FootnoteReference"/>
          <w:rFonts w:cs="Times New Roman"/>
        </w:rPr>
        <w:footnoteRef/>
      </w:r>
      <w:r w:rsidRPr="00337F30">
        <w:rPr>
          <w:rFonts w:cs="Times New Roman"/>
        </w:rPr>
        <w:t xml:space="preserve"> Withdrawal Agreement, Art 18(1)</w:t>
      </w:r>
      <w:r w:rsidR="00773AAD" w:rsidRPr="00337F30">
        <w:rPr>
          <w:rFonts w:cs="Times New Roman"/>
        </w:rPr>
        <w:t>.</w:t>
      </w:r>
    </w:p>
  </w:footnote>
  <w:footnote w:id="73">
    <w:p w14:paraId="65D84502" w14:textId="333FE290" w:rsidR="00773AAD" w:rsidRPr="00337F30" w:rsidRDefault="00773AAD" w:rsidP="00337F30">
      <w:pPr>
        <w:pStyle w:val="FootnoteText"/>
        <w:snapToGrid w:val="0"/>
        <w:spacing w:after="120" w:line="240" w:lineRule="auto"/>
        <w:jc w:val="left"/>
        <w:rPr>
          <w:rFonts w:cs="Times New Roman"/>
        </w:rPr>
      </w:pPr>
      <w:r w:rsidRPr="00337F30">
        <w:rPr>
          <w:rStyle w:val="FootnoteReference"/>
          <w:rFonts w:cs="Times New Roman"/>
        </w:rPr>
        <w:footnoteRef/>
      </w:r>
      <w:r w:rsidRPr="00337F30">
        <w:rPr>
          <w:rFonts w:cs="Times New Roman"/>
        </w:rPr>
        <w:t xml:space="preserve"> ibid, Art 18(1)(a).</w:t>
      </w:r>
    </w:p>
  </w:footnote>
  <w:footnote w:id="74">
    <w:p w14:paraId="015474B2" w14:textId="2992F55C" w:rsidR="0006029D" w:rsidRPr="00337F30" w:rsidRDefault="0006029D" w:rsidP="00337F30">
      <w:pPr>
        <w:pStyle w:val="FootnoteText"/>
        <w:snapToGrid w:val="0"/>
        <w:spacing w:after="120" w:line="240" w:lineRule="auto"/>
        <w:jc w:val="left"/>
        <w:rPr>
          <w:rFonts w:cs="Times New Roman"/>
        </w:rPr>
      </w:pPr>
      <w:r w:rsidRPr="00337F30">
        <w:rPr>
          <w:rStyle w:val="FootnoteReference"/>
          <w:rFonts w:cs="Times New Roman"/>
        </w:rPr>
        <w:footnoteRef/>
      </w:r>
      <w:r w:rsidRPr="00337F30">
        <w:rPr>
          <w:rFonts w:cs="Times New Roman"/>
        </w:rPr>
        <w:t xml:space="preserve"> </w:t>
      </w:r>
      <w:proofErr w:type="spellStart"/>
      <w:r w:rsidR="005671AE" w:rsidRPr="00337F30">
        <w:rPr>
          <w:rFonts w:cs="Times New Roman"/>
          <w:i/>
          <w:iCs/>
        </w:rPr>
        <w:t>Fertré</w:t>
      </w:r>
      <w:proofErr w:type="spellEnd"/>
      <w:r w:rsidR="005671AE" w:rsidRPr="00337F30">
        <w:rPr>
          <w:rFonts w:cs="Times New Roman"/>
          <w:i/>
          <w:iCs/>
        </w:rPr>
        <w:t xml:space="preserve"> v Vale of White Horse District Council</w:t>
      </w:r>
      <w:r w:rsidR="005671AE" w:rsidRPr="00337F30">
        <w:rPr>
          <w:rFonts w:cs="Times New Roman"/>
        </w:rPr>
        <w:t xml:space="preserve"> [2024] EWHC 1754 (KB) 8 July 2024 </w:t>
      </w:r>
      <w:r w:rsidRPr="00337F30">
        <w:rPr>
          <w:rFonts w:cs="Times New Roman"/>
        </w:rPr>
        <w:t>[81-84, 90]</w:t>
      </w:r>
      <w:r w:rsidR="005671AE" w:rsidRPr="00337F30">
        <w:rPr>
          <w:rFonts w:cs="Times New Roman"/>
        </w:rPr>
        <w:t>.</w:t>
      </w:r>
    </w:p>
  </w:footnote>
  <w:footnote w:id="75">
    <w:p w14:paraId="62B5E89A" w14:textId="2445FF1F" w:rsidR="00064863" w:rsidRPr="00337F30" w:rsidRDefault="00064863" w:rsidP="00337F30">
      <w:pPr>
        <w:pStyle w:val="FootnoteText"/>
        <w:snapToGrid w:val="0"/>
        <w:spacing w:after="120" w:line="240" w:lineRule="auto"/>
        <w:jc w:val="left"/>
        <w:rPr>
          <w:rFonts w:cs="Times New Roman"/>
        </w:rPr>
      </w:pPr>
      <w:r w:rsidRPr="00337F30">
        <w:rPr>
          <w:rStyle w:val="FootnoteReference"/>
          <w:rFonts w:cs="Times New Roman"/>
        </w:rPr>
        <w:footnoteRef/>
      </w:r>
      <w:r w:rsidRPr="00337F30">
        <w:rPr>
          <w:rFonts w:cs="Times New Roman"/>
        </w:rPr>
        <w:t xml:space="preserve"> Ibid </w:t>
      </w:r>
    </w:p>
  </w:footnote>
  <w:footnote w:id="76">
    <w:p w14:paraId="0AF41504" w14:textId="385F198B" w:rsidR="00AD271E" w:rsidRPr="00337F30" w:rsidRDefault="00AD271E" w:rsidP="00337F30">
      <w:pPr>
        <w:pStyle w:val="FootnoteText"/>
        <w:snapToGrid w:val="0"/>
        <w:spacing w:after="120" w:line="240" w:lineRule="auto"/>
        <w:jc w:val="left"/>
        <w:rPr>
          <w:rFonts w:cs="Times New Roman"/>
        </w:rPr>
      </w:pPr>
      <w:r w:rsidRPr="00337F30">
        <w:rPr>
          <w:rStyle w:val="FootnoteReference"/>
          <w:rFonts w:cs="Times New Roman"/>
        </w:rPr>
        <w:footnoteRef/>
      </w:r>
      <w:r w:rsidRPr="00337F30">
        <w:rPr>
          <w:rFonts w:cs="Times New Roman"/>
        </w:rPr>
        <w:t xml:space="preserve"> Ibid [</w:t>
      </w:r>
      <w:r w:rsidR="006F5E84" w:rsidRPr="00337F30">
        <w:rPr>
          <w:rFonts w:cs="Times New Roman"/>
        </w:rPr>
        <w:t>87].</w:t>
      </w:r>
    </w:p>
  </w:footnote>
  <w:footnote w:id="77">
    <w:p w14:paraId="4D658A11" w14:textId="42637D8C" w:rsidR="00B2572E" w:rsidRPr="00337F30" w:rsidRDefault="00B2572E" w:rsidP="00337F30">
      <w:pPr>
        <w:pStyle w:val="FootnoteText"/>
        <w:snapToGrid w:val="0"/>
        <w:spacing w:after="120" w:line="240" w:lineRule="auto"/>
      </w:pPr>
      <w:r w:rsidRPr="00337F30">
        <w:rPr>
          <w:rStyle w:val="FootnoteReference"/>
        </w:rPr>
        <w:footnoteRef/>
      </w:r>
      <w:r w:rsidRPr="00337F30">
        <w:t xml:space="preserve"> </w:t>
      </w:r>
      <w:proofErr w:type="spellStart"/>
      <w:r w:rsidRPr="00337F30">
        <w:rPr>
          <w:i/>
          <w:iCs/>
        </w:rPr>
        <w:t>Fertré</w:t>
      </w:r>
      <w:proofErr w:type="spellEnd"/>
      <w:r w:rsidRPr="00337F30">
        <w:rPr>
          <w:i/>
          <w:iCs/>
        </w:rPr>
        <w:t xml:space="preserve"> v Vale of White Horse District Council</w:t>
      </w:r>
      <w:r w:rsidRPr="00337F30">
        <w:t xml:space="preserve"> [2025] EWCA </w:t>
      </w:r>
      <w:proofErr w:type="spellStart"/>
      <w:r w:rsidRPr="00337F30">
        <w:t>Civ</w:t>
      </w:r>
      <w:proofErr w:type="spellEnd"/>
      <w:r w:rsidRPr="00337F30">
        <w:t xml:space="preserve"> 1057 (31 July 2025) 84, 87, 90, 93, 94, 103.</w:t>
      </w:r>
    </w:p>
  </w:footnote>
  <w:footnote w:id="78">
    <w:p w14:paraId="2E19F185" w14:textId="1A039825" w:rsidR="009D33B9" w:rsidRPr="00337F30" w:rsidRDefault="009D33B9" w:rsidP="00337F30">
      <w:pPr>
        <w:pStyle w:val="FootnoteText"/>
        <w:snapToGrid w:val="0"/>
        <w:spacing w:after="120" w:line="240" w:lineRule="auto"/>
        <w:jc w:val="left"/>
        <w:rPr>
          <w:rFonts w:cs="Times New Roman"/>
        </w:rPr>
      </w:pPr>
      <w:r w:rsidRPr="00337F30">
        <w:rPr>
          <w:rStyle w:val="FootnoteReference"/>
          <w:rFonts w:cs="Times New Roman"/>
        </w:rPr>
        <w:footnoteRef/>
      </w:r>
      <w:r w:rsidRPr="00337F30">
        <w:rPr>
          <w:rFonts w:cs="Times New Roman"/>
        </w:rPr>
        <w:t xml:space="preserve"> </w:t>
      </w:r>
      <w:r w:rsidR="00802536" w:rsidRPr="00337F30">
        <w:rPr>
          <w:rFonts w:cs="Times New Roman"/>
        </w:rPr>
        <w:t xml:space="preserve">‘Who the EU Settlement Scheme left behind in the North West of England’ (Greater Manchester Immigration Aid Unit, August 2021), </w:t>
      </w:r>
      <w:r w:rsidR="00847305" w:rsidRPr="00337F30">
        <w:rPr>
          <w:rFonts w:cs="Times New Roman"/>
        </w:rPr>
        <w:t xml:space="preserve"> </w:t>
      </w:r>
      <w:r w:rsidR="000713BC" w:rsidRPr="00337F30">
        <w:rPr>
          <w:rFonts w:cs="Times New Roman"/>
        </w:rPr>
        <w:t xml:space="preserve">Amelia Gentleman, ‘Thousands aged over 65 failed to apply for EU settled status – report’ (The Guardian, 23 July 2021) </w:t>
      </w:r>
      <w:hyperlink r:id="rId11" w:history="1">
        <w:r w:rsidR="000713BC" w:rsidRPr="00337F30">
          <w:rPr>
            <w:rStyle w:val="Hyperlink"/>
            <w:rFonts w:cs="Times New Roman"/>
          </w:rPr>
          <w:t>https://www.theguardian.com/politics/2021/jul/23/thousand-aged-over-65-failed-apply-eu-settled-status-report</w:t>
        </w:r>
      </w:hyperlink>
      <w:r w:rsidR="000713BC" w:rsidRPr="00337F30">
        <w:rPr>
          <w:rFonts w:cs="Times New Roman"/>
        </w:rPr>
        <w:t xml:space="preserve">, </w:t>
      </w:r>
      <w:r w:rsidR="00847305" w:rsidRPr="00337F30">
        <w:rPr>
          <w:rFonts w:cs="Times New Roman"/>
        </w:rPr>
        <w:t xml:space="preserve">examples of high profile cases have been reported </w:t>
      </w:r>
      <w:r w:rsidR="000713BC" w:rsidRPr="00337F30">
        <w:rPr>
          <w:rFonts w:cs="Times New Roman"/>
        </w:rPr>
        <w:t xml:space="preserve">such as </w:t>
      </w:r>
      <w:r w:rsidR="009A3D67" w:rsidRPr="00337F30">
        <w:rPr>
          <w:rFonts w:cs="Times New Roman"/>
        </w:rPr>
        <w:t>Lisa O’Carroll, ‘French woman ‘heartbroken’ after losing job in UK after Brexit speaks out’ (The Guardian</w:t>
      </w:r>
      <w:r w:rsidR="00B55645" w:rsidRPr="00337F30">
        <w:rPr>
          <w:rFonts w:cs="Times New Roman"/>
        </w:rPr>
        <w:t xml:space="preserve">, 15 January 2024) </w:t>
      </w:r>
      <w:hyperlink r:id="rId12" w:history="1">
        <w:r w:rsidR="00B55645" w:rsidRPr="00337F30">
          <w:rPr>
            <w:rStyle w:val="Hyperlink"/>
            <w:rFonts w:cs="Times New Roman"/>
          </w:rPr>
          <w:t>https://www.theguardian.com/politics/2024/jan/15/french-woman-heartbroken-after-losing-job-in-uk-after-brexit-speaks-out</w:t>
        </w:r>
      </w:hyperlink>
      <w:r w:rsidR="000713BC" w:rsidRPr="00337F30">
        <w:rPr>
          <w:rFonts w:cs="Times New Roman"/>
        </w:rPr>
        <w:t>.</w:t>
      </w:r>
    </w:p>
  </w:footnote>
  <w:footnote w:id="79">
    <w:p w14:paraId="1B2B7B04" w14:textId="22766264" w:rsidR="00A0570E" w:rsidRPr="00337F30" w:rsidRDefault="00A0570E" w:rsidP="00337F30">
      <w:pPr>
        <w:pStyle w:val="FootnoteText"/>
        <w:snapToGrid w:val="0"/>
        <w:spacing w:after="120" w:line="240" w:lineRule="auto"/>
        <w:jc w:val="left"/>
        <w:rPr>
          <w:rFonts w:cs="Times New Roman"/>
        </w:rPr>
      </w:pPr>
      <w:r w:rsidRPr="00337F30">
        <w:rPr>
          <w:rStyle w:val="FootnoteReference"/>
          <w:rFonts w:cs="Times New Roman"/>
        </w:rPr>
        <w:footnoteRef/>
      </w:r>
      <w:r w:rsidRPr="00337F30">
        <w:rPr>
          <w:rFonts w:cs="Times New Roman"/>
        </w:rPr>
        <w:t xml:space="preserve"> ‘Complaints: NHS charging for successful late EUSS applicants’ (16</w:t>
      </w:r>
      <w:r w:rsidRPr="00337F30">
        <w:rPr>
          <w:rFonts w:cs="Times New Roman"/>
          <w:vertAlign w:val="superscript"/>
        </w:rPr>
        <w:t>th</w:t>
      </w:r>
      <w:r w:rsidRPr="00337F30">
        <w:rPr>
          <w:rFonts w:cs="Times New Roman"/>
        </w:rPr>
        <w:t xml:space="preserve"> December 2024, Independent Monitoring Authority) &lt;</w:t>
      </w:r>
      <w:hyperlink r:id="rId13" w:history="1">
        <w:r w:rsidRPr="00337F30">
          <w:rPr>
            <w:rStyle w:val="Hyperlink"/>
            <w:rFonts w:cs="Times New Roman"/>
          </w:rPr>
          <w:t>https://ima-citizensrights.org.uk/outcomes/nhs-charging-for-successful-late-euss-applicants/</w:t>
        </w:r>
      </w:hyperlink>
      <w:r w:rsidRPr="00337F30">
        <w:rPr>
          <w:rFonts w:cs="Times New Roman"/>
        </w:rPr>
        <w:t xml:space="preserve">&gt;. </w:t>
      </w:r>
    </w:p>
  </w:footnote>
  <w:footnote w:id="80">
    <w:p w14:paraId="43292E0A" w14:textId="77777777" w:rsidR="00342151" w:rsidRPr="00337F30" w:rsidRDefault="00342151" w:rsidP="00337F30">
      <w:pPr>
        <w:pStyle w:val="FootnoteText"/>
        <w:snapToGrid w:val="0"/>
        <w:spacing w:after="120" w:line="240" w:lineRule="auto"/>
        <w:jc w:val="left"/>
        <w:rPr>
          <w:rFonts w:cs="Times New Roman"/>
        </w:rPr>
      </w:pPr>
      <w:r w:rsidRPr="00337F30">
        <w:rPr>
          <w:rStyle w:val="FootnoteReference"/>
          <w:rFonts w:cs="Times New Roman"/>
        </w:rPr>
        <w:footnoteRef/>
      </w:r>
      <w:r w:rsidRPr="00337F30">
        <w:rPr>
          <w:rFonts w:cs="Times New Roman"/>
        </w:rPr>
        <w:t xml:space="preserve"> Appendix EU.</w:t>
      </w:r>
    </w:p>
  </w:footnote>
  <w:footnote w:id="81">
    <w:p w14:paraId="1DD812EC" w14:textId="77777777" w:rsidR="00342151" w:rsidRPr="00337F30" w:rsidRDefault="00342151" w:rsidP="00337F30">
      <w:pPr>
        <w:pStyle w:val="FootnoteText"/>
        <w:snapToGrid w:val="0"/>
        <w:spacing w:after="120" w:line="240" w:lineRule="auto"/>
        <w:jc w:val="left"/>
        <w:rPr>
          <w:rFonts w:cs="Times New Roman"/>
        </w:rPr>
      </w:pPr>
      <w:r w:rsidRPr="00337F30">
        <w:rPr>
          <w:rStyle w:val="FootnoteReference"/>
          <w:rFonts w:cs="Times New Roman"/>
        </w:rPr>
        <w:footnoteRef/>
      </w:r>
      <w:r w:rsidRPr="00337F30">
        <w:rPr>
          <w:rFonts w:cs="Times New Roman"/>
        </w:rPr>
        <w:t xml:space="preserve"> ibid, Annex 3. </w:t>
      </w:r>
    </w:p>
  </w:footnote>
  <w:footnote w:id="82">
    <w:p w14:paraId="2DDE1F8E" w14:textId="673792FE" w:rsidR="00A82431" w:rsidRPr="00337F30" w:rsidRDefault="00A82431" w:rsidP="00337F30">
      <w:pPr>
        <w:pStyle w:val="FootnoteText"/>
        <w:snapToGrid w:val="0"/>
        <w:spacing w:after="120" w:line="240" w:lineRule="auto"/>
        <w:jc w:val="left"/>
        <w:rPr>
          <w:rFonts w:cs="Times New Roman"/>
        </w:rPr>
      </w:pPr>
      <w:r w:rsidRPr="00337F30">
        <w:rPr>
          <w:rStyle w:val="FootnoteReference"/>
          <w:rFonts w:cs="Times New Roman"/>
        </w:rPr>
        <w:footnoteRef/>
      </w:r>
      <w:r w:rsidRPr="00337F30">
        <w:rPr>
          <w:rFonts w:cs="Times New Roman"/>
        </w:rPr>
        <w:t xml:space="preserve"> </w:t>
      </w:r>
      <w:r w:rsidR="003438CD" w:rsidRPr="00337F30">
        <w:rPr>
          <w:rFonts w:cs="Times New Roman"/>
        </w:rPr>
        <w:t>Withdrawal Agreement, Art 18(1)</w:t>
      </w:r>
    </w:p>
  </w:footnote>
  <w:footnote w:id="83">
    <w:p w14:paraId="16692B3B" w14:textId="2CB7202D" w:rsidR="00AE786B" w:rsidRPr="00337F30" w:rsidRDefault="00AE786B" w:rsidP="00337F30">
      <w:pPr>
        <w:pStyle w:val="FootnoteText"/>
        <w:snapToGrid w:val="0"/>
        <w:spacing w:after="120" w:line="240" w:lineRule="auto"/>
        <w:rPr>
          <w:rFonts w:cs="Times New Roman"/>
        </w:rPr>
      </w:pPr>
      <w:r w:rsidRPr="00337F30">
        <w:rPr>
          <w:rStyle w:val="FootnoteReference"/>
          <w:rFonts w:cs="Times New Roman"/>
        </w:rPr>
        <w:footnoteRef/>
      </w:r>
      <w:r w:rsidRPr="00337F30">
        <w:rPr>
          <w:rFonts w:cs="Times New Roman"/>
        </w:rPr>
        <w:t xml:space="preserve"> Withdrawal Agreement, Art 12. </w:t>
      </w:r>
    </w:p>
  </w:footnote>
  <w:footnote w:id="84">
    <w:p w14:paraId="6BEDD0D7" w14:textId="0A784006" w:rsidR="00381427" w:rsidRPr="00337F30" w:rsidRDefault="00381427" w:rsidP="00337F30">
      <w:pPr>
        <w:pStyle w:val="FootnoteText"/>
        <w:snapToGrid w:val="0"/>
        <w:spacing w:after="120" w:line="240" w:lineRule="auto"/>
        <w:rPr>
          <w:rFonts w:cs="Times New Roman"/>
        </w:rPr>
      </w:pPr>
      <w:r w:rsidRPr="00337F30">
        <w:rPr>
          <w:rStyle w:val="FootnoteReference"/>
          <w:rFonts w:cs="Times New Roman"/>
        </w:rPr>
        <w:footnoteRef/>
      </w:r>
      <w:r w:rsidRPr="00337F30">
        <w:rPr>
          <w:rFonts w:cs="Times New Roman"/>
        </w:rPr>
        <w:t xml:space="preserve"> </w:t>
      </w:r>
      <w:r w:rsidR="00132974" w:rsidRPr="00337F30">
        <w:rPr>
          <w:rFonts w:cs="Times New Roman"/>
        </w:rPr>
        <w:t xml:space="preserve">European Union (Withdrawal) Act 2018, </w:t>
      </w:r>
      <w:r w:rsidR="00546756" w:rsidRPr="00337F30">
        <w:rPr>
          <w:rFonts w:cs="Times New Roman"/>
        </w:rPr>
        <w:t xml:space="preserve">s 7A. </w:t>
      </w:r>
    </w:p>
  </w:footnote>
  <w:footnote w:id="85">
    <w:p w14:paraId="49D2A2C7" w14:textId="24336D7E" w:rsidR="003B7D35" w:rsidRPr="00337F30" w:rsidRDefault="003B7D35" w:rsidP="00337F30">
      <w:pPr>
        <w:pStyle w:val="FootnoteText"/>
        <w:snapToGrid w:val="0"/>
        <w:spacing w:after="120" w:line="240" w:lineRule="auto"/>
        <w:rPr>
          <w:rFonts w:cs="Times New Roman"/>
        </w:rPr>
      </w:pPr>
      <w:r w:rsidRPr="00337F30">
        <w:rPr>
          <w:rStyle w:val="FootnoteReference"/>
          <w:rFonts w:cs="Times New Roman"/>
        </w:rPr>
        <w:footnoteRef/>
      </w:r>
      <w:r w:rsidRPr="00337F30">
        <w:rPr>
          <w:rFonts w:cs="Times New Roman"/>
        </w:rPr>
        <w:t xml:space="preserve"> European Parliament (2023) ‘Update on the implementation of the citizens' rights provisions of the Withdrawal Agreement’ (European Parliamentary Research Service) PE 739.351, </w:t>
      </w:r>
      <w:hyperlink r:id="rId14" w:history="1">
        <w:r w:rsidRPr="00337F30">
          <w:rPr>
            <w:rStyle w:val="Hyperlink"/>
            <w:rFonts w:cs="Times New Roman"/>
          </w:rPr>
          <w:t>https://www.europarl.europa.eu/RegData/etudes/BRIE/2023/739351/EPRS_BRI(2023)739351_EN.pdf</w:t>
        </w:r>
      </w:hyperlink>
      <w:r w:rsidRPr="00337F30">
        <w:rPr>
          <w:rFonts w:cs="Times New Roman"/>
        </w:rPr>
        <w:t xml:space="preserve"> (emphasis added).</w:t>
      </w:r>
    </w:p>
  </w:footnote>
  <w:footnote w:id="86">
    <w:p w14:paraId="30BB7AE5" w14:textId="5E6A0932" w:rsidR="003B7D35" w:rsidRPr="00337F30" w:rsidRDefault="003B7D35" w:rsidP="00337F30">
      <w:pPr>
        <w:pStyle w:val="FootnoteText"/>
        <w:snapToGrid w:val="0"/>
        <w:spacing w:after="120" w:line="240" w:lineRule="auto"/>
        <w:rPr>
          <w:rFonts w:cs="Times New Roman"/>
        </w:rPr>
      </w:pPr>
      <w:r w:rsidRPr="00337F30">
        <w:rPr>
          <w:rStyle w:val="FootnoteReference"/>
          <w:rFonts w:cs="Times New Roman"/>
        </w:rPr>
        <w:footnoteRef/>
      </w:r>
      <w:r w:rsidRPr="00337F30">
        <w:rPr>
          <w:rFonts w:cs="Times New Roman"/>
        </w:rPr>
        <w:t xml:space="preserve"> EU Commission </w:t>
      </w:r>
      <w:r w:rsidRPr="00337F30">
        <w:rPr>
          <w:rFonts w:cs="Times New Roman"/>
          <w:i/>
          <w:iCs/>
        </w:rPr>
        <w:t xml:space="preserve">Joint statement following the ninth meeting of the Specialised Committee on Citizens’ Rights </w:t>
      </w:r>
      <w:r w:rsidRPr="00337F30">
        <w:rPr>
          <w:rFonts w:cs="Times New Roman"/>
        </w:rPr>
        <w:t xml:space="preserve">24 January 2022, </w:t>
      </w:r>
      <w:hyperlink r:id="rId15" w:history="1">
        <w:r w:rsidRPr="00337F30">
          <w:rPr>
            <w:rStyle w:val="Hyperlink"/>
            <w:rFonts w:cs="Times New Roman"/>
          </w:rPr>
          <w:t>https://commission.europa.eu/publications/joint-statement-following-meeting-specialised-committee-citizens-rights-1_en</w:t>
        </w:r>
      </w:hyperlink>
      <w:r w:rsidRPr="00337F30">
        <w:rPr>
          <w:rFonts w:cs="Times New Roman"/>
        </w:rPr>
        <w:t xml:space="preserve"> (emphasis added).</w:t>
      </w:r>
    </w:p>
  </w:footnote>
  <w:footnote w:id="87">
    <w:p w14:paraId="647BE594" w14:textId="5491492E" w:rsidR="007B74B4" w:rsidRPr="00337F30" w:rsidRDefault="007B74B4" w:rsidP="00337F30">
      <w:pPr>
        <w:pStyle w:val="FootnoteText"/>
        <w:snapToGrid w:val="0"/>
        <w:spacing w:after="120" w:line="240" w:lineRule="auto"/>
        <w:rPr>
          <w:rFonts w:cs="Times New Roman"/>
        </w:rPr>
      </w:pPr>
      <w:r w:rsidRPr="00337F30">
        <w:rPr>
          <w:rStyle w:val="FootnoteReference"/>
          <w:rFonts w:cs="Times New Roman"/>
        </w:rPr>
        <w:footnoteRef/>
      </w:r>
      <w:r w:rsidRPr="00337F30">
        <w:rPr>
          <w:rFonts w:cs="Times New Roman"/>
        </w:rPr>
        <w:t xml:space="preserve"> </w:t>
      </w:r>
      <w:r w:rsidR="00186921" w:rsidRPr="00337F30">
        <w:rPr>
          <w:rFonts w:cs="Times New Roman"/>
        </w:rPr>
        <w:t>Data</w:t>
      </w:r>
      <w:r w:rsidRPr="00337F30">
        <w:rPr>
          <w:rFonts w:cs="Times New Roman"/>
        </w:rPr>
        <w:t xml:space="preserve"> </w:t>
      </w:r>
      <w:r w:rsidR="00186921" w:rsidRPr="00337F30">
        <w:rPr>
          <w:rFonts w:cs="Times New Roman"/>
        </w:rPr>
        <w:t xml:space="preserve">from the </w:t>
      </w:r>
      <w:r w:rsidRPr="00337F30">
        <w:rPr>
          <w:rFonts w:cs="Times New Roman"/>
        </w:rPr>
        <w:t xml:space="preserve">EU Rights and Brexit Hub </w:t>
      </w:r>
      <w:r w:rsidR="00186921" w:rsidRPr="00337F30">
        <w:rPr>
          <w:rFonts w:cs="Times New Roman"/>
        </w:rPr>
        <w:t xml:space="preserve">show that where two government bodies make decisions on </w:t>
      </w:r>
      <w:proofErr w:type="gramStart"/>
      <w:r w:rsidR="00186921" w:rsidRPr="00337F30">
        <w:rPr>
          <w:rFonts w:cs="Times New Roman"/>
        </w:rPr>
        <w:t>an</w:t>
      </w:r>
      <w:proofErr w:type="gramEnd"/>
      <w:r w:rsidR="00186921" w:rsidRPr="00337F30">
        <w:rPr>
          <w:rFonts w:cs="Times New Roman"/>
        </w:rPr>
        <w:t xml:space="preserve"> claimant</w:t>
      </w:r>
      <w:r w:rsidR="00950315" w:rsidRPr="00337F30">
        <w:rPr>
          <w:rFonts w:cs="Times New Roman"/>
        </w:rPr>
        <w:t>’</w:t>
      </w:r>
      <w:r w:rsidR="00186921" w:rsidRPr="00337F30">
        <w:rPr>
          <w:rFonts w:cs="Times New Roman"/>
        </w:rPr>
        <w:t xml:space="preserve">s right of residence there can often be contrasting outcomes. </w:t>
      </w:r>
      <w:r w:rsidR="006E5ADD" w:rsidRPr="00337F30">
        <w:rPr>
          <w:rFonts w:cs="Times New Roman"/>
        </w:rPr>
        <w:t xml:space="preserve">Showing a HMRC decision maker </w:t>
      </w:r>
      <w:r w:rsidR="004F730A" w:rsidRPr="00337F30">
        <w:rPr>
          <w:rFonts w:cs="Times New Roman"/>
        </w:rPr>
        <w:t xml:space="preserve">looking at an application for Child Benefit </w:t>
      </w:r>
      <w:r w:rsidR="006E5ADD" w:rsidRPr="00337F30">
        <w:rPr>
          <w:rFonts w:cs="Times New Roman"/>
        </w:rPr>
        <w:t>that the DWP identified a right to reside when assessing the</w:t>
      </w:r>
      <w:r w:rsidR="004F730A" w:rsidRPr="00337F30">
        <w:rPr>
          <w:rFonts w:cs="Times New Roman"/>
        </w:rPr>
        <w:t xml:space="preserve"> same</w:t>
      </w:r>
      <w:r w:rsidR="006E5ADD" w:rsidRPr="00337F30">
        <w:rPr>
          <w:rFonts w:cs="Times New Roman"/>
        </w:rPr>
        <w:t xml:space="preserve"> claimant</w:t>
      </w:r>
      <w:r w:rsidR="00950315" w:rsidRPr="00337F30">
        <w:rPr>
          <w:rFonts w:cs="Times New Roman"/>
        </w:rPr>
        <w:t>’</w:t>
      </w:r>
      <w:r w:rsidR="006E5ADD" w:rsidRPr="00337F30">
        <w:rPr>
          <w:rFonts w:cs="Times New Roman"/>
        </w:rPr>
        <w:t xml:space="preserve">s eligibility for UC </w:t>
      </w:r>
      <w:r w:rsidR="004F730A" w:rsidRPr="00337F30">
        <w:rPr>
          <w:rFonts w:cs="Times New Roman"/>
        </w:rPr>
        <w:t xml:space="preserve">does not </w:t>
      </w:r>
      <w:r w:rsidR="00950315" w:rsidRPr="00337F30">
        <w:rPr>
          <w:rFonts w:cs="Times New Roman"/>
        </w:rPr>
        <w:t xml:space="preserve">mean that the two decisions will be the same. </w:t>
      </w:r>
    </w:p>
  </w:footnote>
  <w:footnote w:id="88">
    <w:p w14:paraId="5250A224" w14:textId="1710C4EB" w:rsidR="00064BF3" w:rsidRPr="00337F30" w:rsidRDefault="00064BF3" w:rsidP="00337F30">
      <w:pPr>
        <w:pStyle w:val="FootnoteText"/>
        <w:snapToGrid w:val="0"/>
        <w:spacing w:after="120" w:line="240" w:lineRule="auto"/>
        <w:rPr>
          <w:rFonts w:cs="Times New Roman"/>
        </w:rPr>
      </w:pPr>
      <w:r w:rsidRPr="00337F30">
        <w:rPr>
          <w:rStyle w:val="FootnoteReference"/>
          <w:rFonts w:cs="Times New Roman"/>
        </w:rPr>
        <w:footnoteRef/>
      </w:r>
      <w:r w:rsidRPr="00337F30">
        <w:rPr>
          <w:rFonts w:cs="Times New Roman"/>
        </w:rPr>
        <w:t xml:space="preserve"> The government information website </w:t>
      </w:r>
      <w:r w:rsidR="007516D7" w:rsidRPr="00337F30">
        <w:rPr>
          <w:rFonts w:cs="Times New Roman"/>
        </w:rPr>
        <w:t xml:space="preserve">for permanent residence states: ‘If you already have a permanent residence document, it is no longer valid.’ ‘Permanent residence documents for EU, EEA or Swiss citizens’ (Gov.uk) </w:t>
      </w:r>
      <w:hyperlink r:id="rId16" w:history="1">
        <w:r w:rsidR="007516D7" w:rsidRPr="00337F30">
          <w:rPr>
            <w:rStyle w:val="Hyperlink"/>
            <w:rFonts w:cs="Times New Roman"/>
          </w:rPr>
          <w:t>https://www.gov.uk/permanent-residence-document-eu-eea</w:t>
        </w:r>
      </w:hyperlink>
      <w:r w:rsidR="007516D7" w:rsidRPr="00337F30">
        <w:rPr>
          <w:rFonts w:cs="Times New Roman"/>
        </w:rPr>
        <w:t xml:space="preserve">. </w:t>
      </w:r>
    </w:p>
  </w:footnote>
  <w:footnote w:id="89">
    <w:p w14:paraId="29B0A838" w14:textId="67AEB7B2" w:rsidR="00C17485" w:rsidRPr="00337F30" w:rsidRDefault="00C17485" w:rsidP="00337F30">
      <w:pPr>
        <w:pStyle w:val="FootnoteText"/>
        <w:snapToGrid w:val="0"/>
        <w:spacing w:after="120" w:line="240" w:lineRule="auto"/>
        <w:rPr>
          <w:rFonts w:cs="Times New Roman"/>
        </w:rPr>
      </w:pPr>
      <w:r w:rsidRPr="00337F30">
        <w:rPr>
          <w:rStyle w:val="FootnoteReference"/>
          <w:rFonts w:cs="Times New Roman"/>
        </w:rPr>
        <w:footnoteRef/>
      </w:r>
      <w:r w:rsidRPr="00337F30">
        <w:rPr>
          <w:rFonts w:cs="Times New Roman"/>
        </w:rPr>
        <w:t xml:space="preserve"> Directive 2004/38, Art 16. </w:t>
      </w:r>
    </w:p>
  </w:footnote>
  <w:footnote w:id="90">
    <w:p w14:paraId="7A00D7D9" w14:textId="5265AE89" w:rsidR="00535087" w:rsidRPr="00337F30" w:rsidRDefault="00535087" w:rsidP="00337F30">
      <w:pPr>
        <w:pStyle w:val="FootnoteText"/>
        <w:snapToGrid w:val="0"/>
        <w:spacing w:after="120" w:line="240" w:lineRule="auto"/>
        <w:jc w:val="left"/>
        <w:rPr>
          <w:rFonts w:cs="Times New Roman"/>
        </w:rPr>
      </w:pPr>
      <w:r w:rsidRPr="00337F30">
        <w:rPr>
          <w:rStyle w:val="FootnoteReference"/>
          <w:rFonts w:cs="Times New Roman"/>
        </w:rPr>
        <w:footnoteRef/>
      </w:r>
      <w:r w:rsidRPr="00337F30">
        <w:rPr>
          <w:rFonts w:cs="Times New Roman"/>
        </w:rPr>
        <w:t xml:space="preserve"> Department for Levelling up, Housing and Communities, </w:t>
      </w:r>
      <w:r w:rsidR="002273BB" w:rsidRPr="00337F30">
        <w:rPr>
          <w:rFonts w:cs="Times New Roman"/>
        </w:rPr>
        <w:t>‘</w:t>
      </w:r>
      <w:r w:rsidRPr="00337F30">
        <w:rPr>
          <w:rFonts w:cs="Times New Roman"/>
        </w:rPr>
        <w:t>Open consultation: Consultation on reforms to social housing allocations</w:t>
      </w:r>
      <w:r w:rsidR="002273BB" w:rsidRPr="00337F30">
        <w:rPr>
          <w:rFonts w:cs="Times New Roman"/>
        </w:rPr>
        <w:t>’</w:t>
      </w:r>
      <w:r w:rsidR="003D4295" w:rsidRPr="00337F30">
        <w:rPr>
          <w:rFonts w:cs="Times New Roman"/>
        </w:rPr>
        <w:t xml:space="preserve"> (Gov.uk,</w:t>
      </w:r>
      <w:r w:rsidRPr="00337F30">
        <w:rPr>
          <w:rFonts w:cs="Times New Roman"/>
        </w:rPr>
        <w:t xml:space="preserve"> 30 January 2024</w:t>
      </w:r>
      <w:r w:rsidR="003D4295" w:rsidRPr="00337F30">
        <w:rPr>
          <w:rFonts w:cs="Times New Roman"/>
        </w:rPr>
        <w:t xml:space="preserve">) </w:t>
      </w:r>
      <w:hyperlink r:id="rId17" w:history="1">
        <w:r w:rsidRPr="00337F30">
          <w:rPr>
            <w:rStyle w:val="Hyperlink"/>
            <w:rFonts w:cs="Times New Roman"/>
          </w:rPr>
          <w:t>https://www.gov.uk/government/consultations/consultation-on-reforms-to-social-housing-allocations/consultation-on-reforms-to-social-housing-allocations</w:t>
        </w:r>
      </w:hyperlink>
      <w:r w:rsidRPr="00337F30">
        <w:rPr>
          <w:rFonts w:cs="Times New Roman"/>
        </w:rPr>
        <w:t xml:space="preserve">. </w:t>
      </w:r>
    </w:p>
  </w:footnote>
  <w:footnote w:id="91">
    <w:p w14:paraId="3F8A24A8" w14:textId="77777777" w:rsidR="00C45246" w:rsidRPr="00337F30" w:rsidRDefault="00C45246" w:rsidP="00337F30">
      <w:pPr>
        <w:pStyle w:val="FootnoteText"/>
        <w:snapToGrid w:val="0"/>
        <w:spacing w:after="120" w:line="240" w:lineRule="auto"/>
        <w:rPr>
          <w:rFonts w:cs="Times New Roman"/>
        </w:rPr>
      </w:pPr>
      <w:r w:rsidRPr="00337F30">
        <w:rPr>
          <w:rStyle w:val="FootnoteReference"/>
          <w:rFonts w:cs="Times New Roman"/>
        </w:rPr>
        <w:footnoteRef/>
      </w:r>
      <w:r w:rsidRPr="00337F30">
        <w:rPr>
          <w:rFonts w:cs="Times New Roman"/>
        </w:rPr>
        <w:t xml:space="preserve"> These rules can be traced to the following legislation: The National Health Service (Charges to Overseas Visitors) Regulations 1982 SI 1982/795, Immigration Asylum and Nationality Act 2006. The most recent formulation of the hostile environment can be found in the Immigration Act 2014. This Act increased the maximum civil penalty for employing someone without a right to work. It introduced right to rent checks, restrictions on Banks from opening current accounts for disqualified persons and new powers to revoke driving licences. The Act also provided powers to create the Immigration Health Surcharge and tightened the rules on the NHS Ordinary residence test. </w:t>
      </w:r>
    </w:p>
  </w:footnote>
  <w:footnote w:id="92">
    <w:p w14:paraId="220270FA" w14:textId="77777777" w:rsidR="00D90FB6" w:rsidRPr="00337F30" w:rsidRDefault="00D90FB6" w:rsidP="00337F30">
      <w:pPr>
        <w:pStyle w:val="FootnoteText"/>
        <w:snapToGrid w:val="0"/>
        <w:spacing w:after="120" w:line="240" w:lineRule="auto"/>
        <w:rPr>
          <w:rFonts w:cs="Times New Roman"/>
        </w:rPr>
      </w:pPr>
      <w:r w:rsidRPr="00337F30">
        <w:rPr>
          <w:rStyle w:val="FootnoteReference"/>
          <w:rFonts w:cs="Times New Roman"/>
        </w:rPr>
        <w:footnoteRef/>
      </w:r>
      <w:r w:rsidRPr="00337F30">
        <w:rPr>
          <w:rFonts w:cs="Times New Roman"/>
        </w:rPr>
        <w:t xml:space="preserve"> </w:t>
      </w:r>
      <w:r w:rsidRPr="00337F30">
        <w:rPr>
          <w:rFonts w:cs="Times New Roman"/>
          <w:i/>
          <w:iCs/>
        </w:rPr>
        <w:t xml:space="preserve">R (IMA) v Secretary of State for the Home Department </w:t>
      </w:r>
      <w:r w:rsidRPr="00337F30">
        <w:rPr>
          <w:rFonts w:cs="Times New Roman"/>
        </w:rPr>
        <w:t>[2022] 1 WLR 817.</w:t>
      </w:r>
    </w:p>
  </w:footnote>
  <w:footnote w:id="93">
    <w:p w14:paraId="62255540" w14:textId="0234F37C" w:rsidR="00C7653F" w:rsidRPr="00337F30" w:rsidRDefault="00C7653F" w:rsidP="00337F30">
      <w:pPr>
        <w:pStyle w:val="FootnoteText"/>
        <w:snapToGrid w:val="0"/>
        <w:spacing w:after="120" w:line="240" w:lineRule="auto"/>
        <w:rPr>
          <w:rFonts w:cs="Times New Roman"/>
        </w:rPr>
      </w:pPr>
      <w:r w:rsidRPr="00337F30">
        <w:rPr>
          <w:rStyle w:val="FootnoteReference"/>
          <w:rFonts w:cs="Times New Roman"/>
        </w:rPr>
        <w:footnoteRef/>
      </w:r>
      <w:r w:rsidRPr="00337F30">
        <w:rPr>
          <w:rFonts w:cs="Times New Roman"/>
        </w:rPr>
        <w:t xml:space="preserve"> Policy Paper, ‘</w:t>
      </w:r>
      <w:r w:rsidR="00A724F8" w:rsidRPr="00337F30">
        <w:rPr>
          <w:rFonts w:cs="Times New Roman"/>
        </w:rPr>
        <w:t>Home Office implementation of the judgment in R (Independent Monitoring Authority for the Citizens’ Rights Agreements) v Secretary of State for the Home Department [2022]’ (Home Office, 16 January 2025)</w:t>
      </w:r>
      <w:r w:rsidR="00615FD0" w:rsidRPr="00337F30">
        <w:rPr>
          <w:rFonts w:cs="Times New Roman"/>
        </w:rPr>
        <w:t xml:space="preserve"> </w:t>
      </w:r>
      <w:hyperlink r:id="rId18" w:history="1">
        <w:r w:rsidR="00615FD0" w:rsidRPr="00337F30">
          <w:rPr>
            <w:rStyle w:val="Hyperlink"/>
            <w:rFonts w:cs="Times New Roman"/>
          </w:rPr>
          <w:t>https://www.gov.uk/government/publications/residence-rights-under-the-withdrawal-agreement/home-office-implementation-of-the-judgment-in-r-independent-monitoring-authority-for-the-citizens-rights-agreements-v-secretary-of-state-for-the-ho</w:t>
        </w:r>
      </w:hyperlink>
      <w:r w:rsidR="00615FD0" w:rsidRPr="00337F30">
        <w:rPr>
          <w:rFonts w:cs="Times New Roman"/>
        </w:rPr>
        <w:t xml:space="preserve">. </w:t>
      </w:r>
    </w:p>
  </w:footnote>
  <w:footnote w:id="94">
    <w:p w14:paraId="14DA7DE7" w14:textId="427A84E7" w:rsidR="00203DDB" w:rsidRPr="00337F30" w:rsidRDefault="00203DDB" w:rsidP="00337F30">
      <w:pPr>
        <w:pStyle w:val="FootnoteText"/>
        <w:snapToGrid w:val="0"/>
        <w:spacing w:after="120" w:line="240" w:lineRule="auto"/>
      </w:pPr>
      <w:r w:rsidRPr="00337F30">
        <w:rPr>
          <w:rStyle w:val="FootnoteReference"/>
        </w:rPr>
        <w:footnoteRef/>
      </w:r>
      <w:r w:rsidRPr="00337F30">
        <w:t xml:space="preserve"> Article 158(1) WA; this contrasts with the duty in Article 267 TFEU on final courts to make references where questions of interpretation of the EU Treaties arise.  </w:t>
      </w:r>
    </w:p>
  </w:footnote>
  <w:footnote w:id="95">
    <w:p w14:paraId="0EBC6873" w14:textId="4614230C" w:rsidR="00B2572E" w:rsidRPr="00337F30" w:rsidRDefault="00B2572E" w:rsidP="00337F30">
      <w:pPr>
        <w:pStyle w:val="FootnoteText"/>
        <w:snapToGrid w:val="0"/>
        <w:spacing w:after="120" w:line="240" w:lineRule="auto"/>
      </w:pPr>
      <w:r w:rsidRPr="00337F30">
        <w:rPr>
          <w:rStyle w:val="FootnoteReference"/>
        </w:rPr>
        <w:footnoteRef/>
      </w:r>
      <w:r w:rsidRPr="00337F30">
        <w:t xml:space="preserve"> Article 158(1) WA. </w:t>
      </w:r>
    </w:p>
  </w:footnote>
  <w:footnote w:id="96">
    <w:p w14:paraId="5AAD8FE9" w14:textId="3484C452" w:rsidR="00204F5C" w:rsidRDefault="00204F5C">
      <w:pPr>
        <w:pStyle w:val="FootnoteText"/>
      </w:pPr>
      <w:r>
        <w:rPr>
          <w:rStyle w:val="FootnoteReference"/>
        </w:rPr>
        <w:footnoteRef/>
      </w:r>
      <w:r>
        <w:t xml:space="preserve"> </w:t>
      </w:r>
      <w:r w:rsidRPr="00204F5C">
        <w:t xml:space="preserve">Case C-34/09 </w:t>
      </w:r>
      <w:r w:rsidRPr="00204F5C">
        <w:rPr>
          <w:i/>
          <w:iCs/>
        </w:rPr>
        <w:t>Ruiz Zambrano</w:t>
      </w:r>
      <w:r w:rsidRPr="00204F5C">
        <w:t xml:space="preserve"> EU:</w:t>
      </w:r>
      <w:proofErr w:type="gramStart"/>
      <w:r w:rsidRPr="00204F5C">
        <w:t>C:2011:124</w:t>
      </w:r>
      <w:proofErr w:type="gramEnd"/>
      <w:r>
        <w:t>.</w:t>
      </w:r>
    </w:p>
  </w:footnote>
  <w:footnote w:id="97">
    <w:p w14:paraId="300429A2" w14:textId="374DBA34" w:rsidR="001C184C" w:rsidRPr="00337F30" w:rsidRDefault="001C184C" w:rsidP="00337F30">
      <w:pPr>
        <w:pStyle w:val="FootnoteText"/>
        <w:snapToGrid w:val="0"/>
        <w:spacing w:after="120" w:line="240" w:lineRule="auto"/>
        <w:rPr>
          <w:rFonts w:cs="Arial"/>
        </w:rPr>
      </w:pPr>
      <w:r w:rsidRPr="00337F30">
        <w:rPr>
          <w:rStyle w:val="FootnoteReference"/>
          <w:rFonts w:cs="Arial"/>
        </w:rPr>
        <w:footnoteRef/>
      </w:r>
      <w:r w:rsidRPr="00337F30">
        <w:rPr>
          <w:rFonts w:cs="Arial"/>
        </w:rPr>
        <w:t xml:space="preserve"> EU Commission, </w:t>
      </w:r>
      <w:r w:rsidRPr="00337F30">
        <w:rPr>
          <w:rFonts w:cs="Arial"/>
          <w:i/>
          <w:iCs/>
        </w:rPr>
        <w:t xml:space="preserve">Joint statement following the fifteenth meeting of the Specialised Committee on Citizens’ Rights, </w:t>
      </w:r>
      <w:r w:rsidRPr="00337F30">
        <w:rPr>
          <w:rFonts w:cs="Arial"/>
        </w:rPr>
        <w:t xml:space="preserve">14 November 2024, </w:t>
      </w:r>
      <w:hyperlink r:id="rId19" w:history="1">
        <w:r w:rsidRPr="00337F30">
          <w:rPr>
            <w:rStyle w:val="Hyperlink"/>
            <w:rFonts w:cs="Arial"/>
          </w:rPr>
          <w:t>https://commission.europa.eu/document/download/1509ec4c-2dc7-42e2-9908-90ffc9140e2a_en?filename=15th-SCCR-joint-statement-en.pdf</w:t>
        </w:r>
      </w:hyperlink>
      <w:r w:rsidRPr="00337F30">
        <w:rPr>
          <w:rFonts w:cs="Arial"/>
        </w:rPr>
        <w:t>.</w:t>
      </w:r>
    </w:p>
  </w:footnote>
  <w:footnote w:id="98">
    <w:p w14:paraId="2ABDF5A8" w14:textId="77777777" w:rsidR="001C184C" w:rsidRPr="00337F30" w:rsidRDefault="001C184C" w:rsidP="00337F30">
      <w:pPr>
        <w:pStyle w:val="FootnoteText"/>
        <w:snapToGrid w:val="0"/>
        <w:spacing w:after="120" w:line="240" w:lineRule="auto"/>
        <w:rPr>
          <w:rFonts w:cs="Arial"/>
        </w:rPr>
      </w:pPr>
      <w:r w:rsidRPr="00337F30">
        <w:rPr>
          <w:rStyle w:val="FootnoteReference"/>
          <w:rFonts w:cs="Arial"/>
        </w:rPr>
        <w:footnoteRef/>
      </w:r>
      <w:r w:rsidRPr="00337F30">
        <w:rPr>
          <w:rFonts w:cs="Arial"/>
        </w:rPr>
        <w:t xml:space="preserve"> EU Commission, </w:t>
      </w:r>
      <w:r w:rsidRPr="00337F30">
        <w:rPr>
          <w:rFonts w:cs="Arial"/>
          <w:i/>
          <w:iCs/>
        </w:rPr>
        <w:t xml:space="preserve">Joint statement following the ninth meeting of the Specialised Committee on Citizens’ Rights, </w:t>
      </w:r>
      <w:r w:rsidRPr="00337F30">
        <w:rPr>
          <w:rFonts w:cs="Arial"/>
        </w:rPr>
        <w:t>14 January 2022,</w:t>
      </w:r>
    </w:p>
    <w:p w14:paraId="548604A6" w14:textId="159E9E04" w:rsidR="001C184C" w:rsidRPr="00337F30" w:rsidRDefault="001C184C" w:rsidP="00337F30">
      <w:pPr>
        <w:pStyle w:val="FootnoteText"/>
        <w:snapToGrid w:val="0"/>
        <w:spacing w:after="120" w:line="240" w:lineRule="auto"/>
        <w:rPr>
          <w:rFonts w:cs="Arial"/>
        </w:rPr>
      </w:pPr>
      <w:hyperlink r:id="rId20" w:history="1">
        <w:r w:rsidRPr="00337F30">
          <w:rPr>
            <w:rStyle w:val="Hyperlink"/>
            <w:rFonts w:cs="Arial"/>
          </w:rPr>
          <w:t>https://commission.europa.eu/document/download/311aae79-a4e3-4d24-9de2-81f2b3a0eb11_en?filename=9th_joint_statement_en.pdf</w:t>
        </w:r>
      </w:hyperlink>
      <w:r w:rsidRPr="00337F30">
        <w:rPr>
          <w:rFonts w:cs="Arial"/>
        </w:rPr>
        <w:t>.</w:t>
      </w:r>
    </w:p>
  </w:footnote>
  <w:footnote w:id="99">
    <w:p w14:paraId="346D2D3F" w14:textId="5E520812" w:rsidR="001C184C" w:rsidRPr="00337F30" w:rsidRDefault="001C184C" w:rsidP="00337F30">
      <w:pPr>
        <w:pStyle w:val="FootnoteText"/>
        <w:snapToGrid w:val="0"/>
        <w:spacing w:after="120" w:line="240" w:lineRule="auto"/>
        <w:rPr>
          <w:rFonts w:cs="Arial"/>
        </w:rPr>
      </w:pPr>
      <w:r w:rsidRPr="00337F30">
        <w:rPr>
          <w:rStyle w:val="FootnoteReference"/>
          <w:rFonts w:cs="Arial"/>
        </w:rPr>
        <w:footnoteRef/>
      </w:r>
      <w:r w:rsidRPr="00337F30">
        <w:rPr>
          <w:rFonts w:cs="Arial"/>
        </w:rPr>
        <w:t xml:space="preserve"> EU Commission, </w:t>
      </w:r>
      <w:r w:rsidRPr="00337F30">
        <w:rPr>
          <w:rFonts w:cs="Arial"/>
          <w:i/>
          <w:iCs/>
        </w:rPr>
        <w:t>Joint statement following the thirteenth meeting of the Specialised Committee on Citizens’ Rights</w:t>
      </w:r>
      <w:r w:rsidRPr="00337F30">
        <w:rPr>
          <w:rFonts w:cs="Arial"/>
        </w:rPr>
        <w:t xml:space="preserve">, 8 December 2023, </w:t>
      </w:r>
      <w:hyperlink r:id="rId21" w:history="1">
        <w:r w:rsidRPr="00337F30">
          <w:rPr>
            <w:rStyle w:val="Hyperlink"/>
            <w:rFonts w:cs="Arial"/>
          </w:rPr>
          <w:t>https://commission.europa.eu/document/download/dcff3b9d-f29f-4cec-b9ab-a489b8e33033_en?filename=13th-SCCR-draft-joint-statement.pdf</w:t>
        </w:r>
      </w:hyperlink>
      <w:r w:rsidRPr="00337F30">
        <w:rPr>
          <w:rFonts w:cs="Ari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165C"/>
    <w:multiLevelType w:val="hybridMultilevel"/>
    <w:tmpl w:val="480ECDB8"/>
    <w:lvl w:ilvl="0" w:tplc="EFC29A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712C2C"/>
    <w:multiLevelType w:val="hybridMultilevel"/>
    <w:tmpl w:val="940ACC1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C561AE7"/>
    <w:multiLevelType w:val="hybridMultilevel"/>
    <w:tmpl w:val="8E70ED3E"/>
    <w:lvl w:ilvl="0" w:tplc="0E44C2F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EFA695E"/>
    <w:multiLevelType w:val="hybridMultilevel"/>
    <w:tmpl w:val="8AAED02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14C5270"/>
    <w:multiLevelType w:val="hybridMultilevel"/>
    <w:tmpl w:val="A9DE20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D37E64"/>
    <w:multiLevelType w:val="hybridMultilevel"/>
    <w:tmpl w:val="4A2AA85A"/>
    <w:lvl w:ilvl="0" w:tplc="2958A054">
      <w:start w:val="1"/>
      <w:numFmt w:val="bullet"/>
      <w:lvlText w:val="•"/>
      <w:lvlJc w:val="left"/>
      <w:pPr>
        <w:tabs>
          <w:tab w:val="num" w:pos="720"/>
        </w:tabs>
        <w:ind w:left="720" w:hanging="360"/>
      </w:pPr>
      <w:rPr>
        <w:rFonts w:ascii="Arial" w:hAnsi="Arial" w:hint="default"/>
      </w:rPr>
    </w:lvl>
    <w:lvl w:ilvl="1" w:tplc="25186A6E">
      <w:start w:val="1"/>
      <w:numFmt w:val="bullet"/>
      <w:lvlText w:val="•"/>
      <w:lvlJc w:val="left"/>
      <w:pPr>
        <w:tabs>
          <w:tab w:val="num" w:pos="1440"/>
        </w:tabs>
        <w:ind w:left="1440" w:hanging="360"/>
      </w:pPr>
      <w:rPr>
        <w:rFonts w:ascii="Arial" w:hAnsi="Arial" w:hint="default"/>
      </w:rPr>
    </w:lvl>
    <w:lvl w:ilvl="2" w:tplc="8550CD8C" w:tentative="1">
      <w:start w:val="1"/>
      <w:numFmt w:val="bullet"/>
      <w:lvlText w:val="•"/>
      <w:lvlJc w:val="left"/>
      <w:pPr>
        <w:tabs>
          <w:tab w:val="num" w:pos="2160"/>
        </w:tabs>
        <w:ind w:left="2160" w:hanging="360"/>
      </w:pPr>
      <w:rPr>
        <w:rFonts w:ascii="Arial" w:hAnsi="Arial" w:hint="default"/>
      </w:rPr>
    </w:lvl>
    <w:lvl w:ilvl="3" w:tplc="F594BC26" w:tentative="1">
      <w:start w:val="1"/>
      <w:numFmt w:val="bullet"/>
      <w:lvlText w:val="•"/>
      <w:lvlJc w:val="left"/>
      <w:pPr>
        <w:tabs>
          <w:tab w:val="num" w:pos="2880"/>
        </w:tabs>
        <w:ind w:left="2880" w:hanging="360"/>
      </w:pPr>
      <w:rPr>
        <w:rFonts w:ascii="Arial" w:hAnsi="Arial" w:hint="default"/>
      </w:rPr>
    </w:lvl>
    <w:lvl w:ilvl="4" w:tplc="7652880A" w:tentative="1">
      <w:start w:val="1"/>
      <w:numFmt w:val="bullet"/>
      <w:lvlText w:val="•"/>
      <w:lvlJc w:val="left"/>
      <w:pPr>
        <w:tabs>
          <w:tab w:val="num" w:pos="3600"/>
        </w:tabs>
        <w:ind w:left="3600" w:hanging="360"/>
      </w:pPr>
      <w:rPr>
        <w:rFonts w:ascii="Arial" w:hAnsi="Arial" w:hint="default"/>
      </w:rPr>
    </w:lvl>
    <w:lvl w:ilvl="5" w:tplc="559E1024" w:tentative="1">
      <w:start w:val="1"/>
      <w:numFmt w:val="bullet"/>
      <w:lvlText w:val="•"/>
      <w:lvlJc w:val="left"/>
      <w:pPr>
        <w:tabs>
          <w:tab w:val="num" w:pos="4320"/>
        </w:tabs>
        <w:ind w:left="4320" w:hanging="360"/>
      </w:pPr>
      <w:rPr>
        <w:rFonts w:ascii="Arial" w:hAnsi="Arial" w:hint="default"/>
      </w:rPr>
    </w:lvl>
    <w:lvl w:ilvl="6" w:tplc="87508C48" w:tentative="1">
      <w:start w:val="1"/>
      <w:numFmt w:val="bullet"/>
      <w:lvlText w:val="•"/>
      <w:lvlJc w:val="left"/>
      <w:pPr>
        <w:tabs>
          <w:tab w:val="num" w:pos="5040"/>
        </w:tabs>
        <w:ind w:left="5040" w:hanging="360"/>
      </w:pPr>
      <w:rPr>
        <w:rFonts w:ascii="Arial" w:hAnsi="Arial" w:hint="default"/>
      </w:rPr>
    </w:lvl>
    <w:lvl w:ilvl="7" w:tplc="195A0BCA" w:tentative="1">
      <w:start w:val="1"/>
      <w:numFmt w:val="bullet"/>
      <w:lvlText w:val="•"/>
      <w:lvlJc w:val="left"/>
      <w:pPr>
        <w:tabs>
          <w:tab w:val="num" w:pos="5760"/>
        </w:tabs>
        <w:ind w:left="5760" w:hanging="360"/>
      </w:pPr>
      <w:rPr>
        <w:rFonts w:ascii="Arial" w:hAnsi="Arial" w:hint="default"/>
      </w:rPr>
    </w:lvl>
    <w:lvl w:ilvl="8" w:tplc="B7D8843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28326A1"/>
    <w:multiLevelType w:val="hybridMultilevel"/>
    <w:tmpl w:val="B462CB88"/>
    <w:lvl w:ilvl="0" w:tplc="31AAAE78">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D024E3"/>
    <w:multiLevelType w:val="hybridMultilevel"/>
    <w:tmpl w:val="B30C6E1C"/>
    <w:lvl w:ilvl="0" w:tplc="0809001B">
      <w:start w:val="1"/>
      <w:numFmt w:val="lowerRoman"/>
      <w:lvlText w:val="%1."/>
      <w:lvlJc w:val="right"/>
      <w:pPr>
        <w:ind w:left="1352" w:hanging="360"/>
      </w:pPr>
    </w:lvl>
    <w:lvl w:ilvl="1" w:tplc="08090019" w:tentative="1">
      <w:start w:val="1"/>
      <w:numFmt w:val="lowerLetter"/>
      <w:lvlText w:val="%2."/>
      <w:lvlJc w:val="left"/>
      <w:pPr>
        <w:ind w:left="2216" w:hanging="360"/>
      </w:pPr>
    </w:lvl>
    <w:lvl w:ilvl="2" w:tplc="0809001B" w:tentative="1">
      <w:start w:val="1"/>
      <w:numFmt w:val="lowerRoman"/>
      <w:lvlText w:val="%3."/>
      <w:lvlJc w:val="right"/>
      <w:pPr>
        <w:ind w:left="2936" w:hanging="180"/>
      </w:pPr>
    </w:lvl>
    <w:lvl w:ilvl="3" w:tplc="0809000F" w:tentative="1">
      <w:start w:val="1"/>
      <w:numFmt w:val="decimal"/>
      <w:lvlText w:val="%4."/>
      <w:lvlJc w:val="left"/>
      <w:pPr>
        <w:ind w:left="3656" w:hanging="360"/>
      </w:pPr>
    </w:lvl>
    <w:lvl w:ilvl="4" w:tplc="08090019" w:tentative="1">
      <w:start w:val="1"/>
      <w:numFmt w:val="lowerLetter"/>
      <w:lvlText w:val="%5."/>
      <w:lvlJc w:val="left"/>
      <w:pPr>
        <w:ind w:left="4376" w:hanging="360"/>
      </w:pPr>
    </w:lvl>
    <w:lvl w:ilvl="5" w:tplc="0809001B" w:tentative="1">
      <w:start w:val="1"/>
      <w:numFmt w:val="lowerRoman"/>
      <w:lvlText w:val="%6."/>
      <w:lvlJc w:val="right"/>
      <w:pPr>
        <w:ind w:left="5096" w:hanging="180"/>
      </w:pPr>
    </w:lvl>
    <w:lvl w:ilvl="6" w:tplc="0809000F" w:tentative="1">
      <w:start w:val="1"/>
      <w:numFmt w:val="decimal"/>
      <w:lvlText w:val="%7."/>
      <w:lvlJc w:val="left"/>
      <w:pPr>
        <w:ind w:left="5816" w:hanging="360"/>
      </w:pPr>
    </w:lvl>
    <w:lvl w:ilvl="7" w:tplc="08090019" w:tentative="1">
      <w:start w:val="1"/>
      <w:numFmt w:val="lowerLetter"/>
      <w:lvlText w:val="%8."/>
      <w:lvlJc w:val="left"/>
      <w:pPr>
        <w:ind w:left="6536" w:hanging="360"/>
      </w:pPr>
    </w:lvl>
    <w:lvl w:ilvl="8" w:tplc="0809001B" w:tentative="1">
      <w:start w:val="1"/>
      <w:numFmt w:val="lowerRoman"/>
      <w:lvlText w:val="%9."/>
      <w:lvlJc w:val="right"/>
      <w:pPr>
        <w:ind w:left="7256" w:hanging="180"/>
      </w:pPr>
    </w:lvl>
  </w:abstractNum>
  <w:abstractNum w:abstractNumId="8" w15:restartNumberingAfterBreak="0">
    <w:nsid w:val="71453CBA"/>
    <w:multiLevelType w:val="hybridMultilevel"/>
    <w:tmpl w:val="B260BDA4"/>
    <w:lvl w:ilvl="0" w:tplc="1286DDB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35111088">
    <w:abstractNumId w:val="8"/>
  </w:num>
  <w:num w:numId="2" w16cid:durableId="1183478443">
    <w:abstractNumId w:val="6"/>
  </w:num>
  <w:num w:numId="3" w16cid:durableId="193927369">
    <w:abstractNumId w:val="0"/>
  </w:num>
  <w:num w:numId="4" w16cid:durableId="1189835293">
    <w:abstractNumId w:val="4"/>
  </w:num>
  <w:num w:numId="5" w16cid:durableId="20056973">
    <w:abstractNumId w:val="7"/>
  </w:num>
  <w:num w:numId="6" w16cid:durableId="1386372108">
    <w:abstractNumId w:val="1"/>
  </w:num>
  <w:num w:numId="7" w16cid:durableId="1140073066">
    <w:abstractNumId w:val="2"/>
  </w:num>
  <w:num w:numId="8" w16cid:durableId="1908370865">
    <w:abstractNumId w:val="5"/>
  </w:num>
  <w:num w:numId="9" w16cid:durableId="17566335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removePersonalInformation/>
  <w:removeDateAndTime/>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0" w:nlCheck="1" w:checkStyle="0"/>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OSCOLA_4th_edn&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502374"/>
    <w:rsid w:val="000005C0"/>
    <w:rsid w:val="00000D1B"/>
    <w:rsid w:val="000011C4"/>
    <w:rsid w:val="0000125A"/>
    <w:rsid w:val="00001A62"/>
    <w:rsid w:val="000022A8"/>
    <w:rsid w:val="000028F3"/>
    <w:rsid w:val="00002B15"/>
    <w:rsid w:val="0000389E"/>
    <w:rsid w:val="00004765"/>
    <w:rsid w:val="00005A49"/>
    <w:rsid w:val="0000633F"/>
    <w:rsid w:val="0000695C"/>
    <w:rsid w:val="00006CB1"/>
    <w:rsid w:val="00006F85"/>
    <w:rsid w:val="00007413"/>
    <w:rsid w:val="00010892"/>
    <w:rsid w:val="0001103B"/>
    <w:rsid w:val="00011208"/>
    <w:rsid w:val="00011230"/>
    <w:rsid w:val="00011761"/>
    <w:rsid w:val="000125C4"/>
    <w:rsid w:val="000126F5"/>
    <w:rsid w:val="00012EA2"/>
    <w:rsid w:val="000130B2"/>
    <w:rsid w:val="000130F8"/>
    <w:rsid w:val="00013597"/>
    <w:rsid w:val="00013ACC"/>
    <w:rsid w:val="00014543"/>
    <w:rsid w:val="000147D5"/>
    <w:rsid w:val="00015E4E"/>
    <w:rsid w:val="00016197"/>
    <w:rsid w:val="000161DD"/>
    <w:rsid w:val="00016999"/>
    <w:rsid w:val="00016F6B"/>
    <w:rsid w:val="000174AF"/>
    <w:rsid w:val="00017A5B"/>
    <w:rsid w:val="00021136"/>
    <w:rsid w:val="00021526"/>
    <w:rsid w:val="000216EC"/>
    <w:rsid w:val="00021D42"/>
    <w:rsid w:val="00022161"/>
    <w:rsid w:val="00022B42"/>
    <w:rsid w:val="00022C7A"/>
    <w:rsid w:val="000236B1"/>
    <w:rsid w:val="00023A5F"/>
    <w:rsid w:val="00023D79"/>
    <w:rsid w:val="0002416D"/>
    <w:rsid w:val="000246BE"/>
    <w:rsid w:val="00024900"/>
    <w:rsid w:val="00024A2A"/>
    <w:rsid w:val="00024C97"/>
    <w:rsid w:val="00025071"/>
    <w:rsid w:val="000263FA"/>
    <w:rsid w:val="000266C2"/>
    <w:rsid w:val="00027255"/>
    <w:rsid w:val="00027FE3"/>
    <w:rsid w:val="00030BAD"/>
    <w:rsid w:val="00031F5A"/>
    <w:rsid w:val="00032240"/>
    <w:rsid w:val="000327F5"/>
    <w:rsid w:val="00033509"/>
    <w:rsid w:val="000344C2"/>
    <w:rsid w:val="000348D4"/>
    <w:rsid w:val="00034C71"/>
    <w:rsid w:val="00034D03"/>
    <w:rsid w:val="00034D13"/>
    <w:rsid w:val="000359C6"/>
    <w:rsid w:val="00035C2C"/>
    <w:rsid w:val="00035E39"/>
    <w:rsid w:val="00037077"/>
    <w:rsid w:val="00037256"/>
    <w:rsid w:val="000377FE"/>
    <w:rsid w:val="0003784D"/>
    <w:rsid w:val="00040315"/>
    <w:rsid w:val="0004068E"/>
    <w:rsid w:val="00040B30"/>
    <w:rsid w:val="000416BE"/>
    <w:rsid w:val="00042156"/>
    <w:rsid w:val="000429EF"/>
    <w:rsid w:val="00042B14"/>
    <w:rsid w:val="00043898"/>
    <w:rsid w:val="00045059"/>
    <w:rsid w:val="000450A7"/>
    <w:rsid w:val="0004612F"/>
    <w:rsid w:val="00046923"/>
    <w:rsid w:val="00046B5F"/>
    <w:rsid w:val="000501BB"/>
    <w:rsid w:val="0005065A"/>
    <w:rsid w:val="00051071"/>
    <w:rsid w:val="000512DE"/>
    <w:rsid w:val="0005255B"/>
    <w:rsid w:val="00052D5F"/>
    <w:rsid w:val="000535A4"/>
    <w:rsid w:val="00054B95"/>
    <w:rsid w:val="00055A18"/>
    <w:rsid w:val="00055D29"/>
    <w:rsid w:val="00056080"/>
    <w:rsid w:val="0005635B"/>
    <w:rsid w:val="00056584"/>
    <w:rsid w:val="00056B13"/>
    <w:rsid w:val="0005712E"/>
    <w:rsid w:val="0006029D"/>
    <w:rsid w:val="00060775"/>
    <w:rsid w:val="00060A58"/>
    <w:rsid w:val="00061C34"/>
    <w:rsid w:val="0006215E"/>
    <w:rsid w:val="000622F2"/>
    <w:rsid w:val="0006256A"/>
    <w:rsid w:val="000633D3"/>
    <w:rsid w:val="00063862"/>
    <w:rsid w:val="00063BFC"/>
    <w:rsid w:val="00063EB8"/>
    <w:rsid w:val="00064863"/>
    <w:rsid w:val="00064BF3"/>
    <w:rsid w:val="000661E2"/>
    <w:rsid w:val="000667E6"/>
    <w:rsid w:val="000674BE"/>
    <w:rsid w:val="00067F26"/>
    <w:rsid w:val="000706EA"/>
    <w:rsid w:val="000712AF"/>
    <w:rsid w:val="000713BC"/>
    <w:rsid w:val="00072069"/>
    <w:rsid w:val="00072446"/>
    <w:rsid w:val="000728E2"/>
    <w:rsid w:val="00073052"/>
    <w:rsid w:val="00073146"/>
    <w:rsid w:val="00073553"/>
    <w:rsid w:val="00074118"/>
    <w:rsid w:val="00074953"/>
    <w:rsid w:val="0007496E"/>
    <w:rsid w:val="00075A49"/>
    <w:rsid w:val="00075D59"/>
    <w:rsid w:val="00077798"/>
    <w:rsid w:val="000800CB"/>
    <w:rsid w:val="000810D6"/>
    <w:rsid w:val="00081A7C"/>
    <w:rsid w:val="000820BF"/>
    <w:rsid w:val="000823B7"/>
    <w:rsid w:val="00082667"/>
    <w:rsid w:val="00082E88"/>
    <w:rsid w:val="000831BB"/>
    <w:rsid w:val="000836D6"/>
    <w:rsid w:val="00084222"/>
    <w:rsid w:val="00086F84"/>
    <w:rsid w:val="000873CC"/>
    <w:rsid w:val="00090482"/>
    <w:rsid w:val="00090BBE"/>
    <w:rsid w:val="00090C4E"/>
    <w:rsid w:val="00091670"/>
    <w:rsid w:val="0009203B"/>
    <w:rsid w:val="00092257"/>
    <w:rsid w:val="00092B2E"/>
    <w:rsid w:val="0009319E"/>
    <w:rsid w:val="00094DBE"/>
    <w:rsid w:val="00094E7F"/>
    <w:rsid w:val="000956A4"/>
    <w:rsid w:val="0009673F"/>
    <w:rsid w:val="00097719"/>
    <w:rsid w:val="00097DB8"/>
    <w:rsid w:val="000A0C70"/>
    <w:rsid w:val="000A1A86"/>
    <w:rsid w:val="000A1D39"/>
    <w:rsid w:val="000A3052"/>
    <w:rsid w:val="000A3304"/>
    <w:rsid w:val="000A3426"/>
    <w:rsid w:val="000A34A2"/>
    <w:rsid w:val="000A35B7"/>
    <w:rsid w:val="000A40D4"/>
    <w:rsid w:val="000A44F4"/>
    <w:rsid w:val="000A4A6B"/>
    <w:rsid w:val="000A4F8A"/>
    <w:rsid w:val="000A5459"/>
    <w:rsid w:val="000A64D6"/>
    <w:rsid w:val="000A693E"/>
    <w:rsid w:val="000A76EF"/>
    <w:rsid w:val="000B0DF0"/>
    <w:rsid w:val="000B0F5B"/>
    <w:rsid w:val="000B1468"/>
    <w:rsid w:val="000B1484"/>
    <w:rsid w:val="000B2648"/>
    <w:rsid w:val="000B2AC6"/>
    <w:rsid w:val="000B3774"/>
    <w:rsid w:val="000B39BF"/>
    <w:rsid w:val="000B4214"/>
    <w:rsid w:val="000B4EE4"/>
    <w:rsid w:val="000B4F76"/>
    <w:rsid w:val="000B54B5"/>
    <w:rsid w:val="000B5AAF"/>
    <w:rsid w:val="000B610F"/>
    <w:rsid w:val="000B6798"/>
    <w:rsid w:val="000B756A"/>
    <w:rsid w:val="000B7744"/>
    <w:rsid w:val="000B7AA6"/>
    <w:rsid w:val="000B7C4D"/>
    <w:rsid w:val="000B7D69"/>
    <w:rsid w:val="000B7EB0"/>
    <w:rsid w:val="000C0B22"/>
    <w:rsid w:val="000C15BD"/>
    <w:rsid w:val="000C22A2"/>
    <w:rsid w:val="000C2849"/>
    <w:rsid w:val="000C3B09"/>
    <w:rsid w:val="000C4358"/>
    <w:rsid w:val="000C542D"/>
    <w:rsid w:val="000C5790"/>
    <w:rsid w:val="000C5D37"/>
    <w:rsid w:val="000C6A0E"/>
    <w:rsid w:val="000D05A5"/>
    <w:rsid w:val="000D07BF"/>
    <w:rsid w:val="000D087E"/>
    <w:rsid w:val="000D1E9D"/>
    <w:rsid w:val="000D28C4"/>
    <w:rsid w:val="000D3707"/>
    <w:rsid w:val="000D3E91"/>
    <w:rsid w:val="000D48F6"/>
    <w:rsid w:val="000D4E08"/>
    <w:rsid w:val="000D5754"/>
    <w:rsid w:val="000D5D34"/>
    <w:rsid w:val="000D73FC"/>
    <w:rsid w:val="000D745E"/>
    <w:rsid w:val="000D7CB0"/>
    <w:rsid w:val="000E13D4"/>
    <w:rsid w:val="000E1468"/>
    <w:rsid w:val="000E1EB1"/>
    <w:rsid w:val="000E2A9A"/>
    <w:rsid w:val="000E2B30"/>
    <w:rsid w:val="000E5824"/>
    <w:rsid w:val="000E60DB"/>
    <w:rsid w:val="000E63FA"/>
    <w:rsid w:val="000E6A6D"/>
    <w:rsid w:val="000E6F38"/>
    <w:rsid w:val="000E7304"/>
    <w:rsid w:val="000F0D9E"/>
    <w:rsid w:val="000F1B87"/>
    <w:rsid w:val="000F1EE7"/>
    <w:rsid w:val="000F2352"/>
    <w:rsid w:val="000F2474"/>
    <w:rsid w:val="000F299A"/>
    <w:rsid w:val="000F2EF1"/>
    <w:rsid w:val="000F34A7"/>
    <w:rsid w:val="000F4828"/>
    <w:rsid w:val="000F4AAF"/>
    <w:rsid w:val="000F5488"/>
    <w:rsid w:val="000F5C43"/>
    <w:rsid w:val="000F700E"/>
    <w:rsid w:val="000F73D5"/>
    <w:rsid w:val="000F7618"/>
    <w:rsid w:val="001006C4"/>
    <w:rsid w:val="00102516"/>
    <w:rsid w:val="00102977"/>
    <w:rsid w:val="00103CD8"/>
    <w:rsid w:val="00104657"/>
    <w:rsid w:val="00104BF8"/>
    <w:rsid w:val="00105535"/>
    <w:rsid w:val="00105628"/>
    <w:rsid w:val="001071B3"/>
    <w:rsid w:val="001077DD"/>
    <w:rsid w:val="0010785A"/>
    <w:rsid w:val="00107D14"/>
    <w:rsid w:val="00110640"/>
    <w:rsid w:val="00110818"/>
    <w:rsid w:val="0011126B"/>
    <w:rsid w:val="00112750"/>
    <w:rsid w:val="00112C31"/>
    <w:rsid w:val="001136FA"/>
    <w:rsid w:val="0011523D"/>
    <w:rsid w:val="00115AB7"/>
    <w:rsid w:val="00117B55"/>
    <w:rsid w:val="00117D32"/>
    <w:rsid w:val="00120551"/>
    <w:rsid w:val="0012263B"/>
    <w:rsid w:val="0012290F"/>
    <w:rsid w:val="00123528"/>
    <w:rsid w:val="001243D3"/>
    <w:rsid w:val="001245E7"/>
    <w:rsid w:val="0012524A"/>
    <w:rsid w:val="00126ACF"/>
    <w:rsid w:val="00126ED8"/>
    <w:rsid w:val="00127235"/>
    <w:rsid w:val="001277AA"/>
    <w:rsid w:val="00127E7D"/>
    <w:rsid w:val="00130844"/>
    <w:rsid w:val="001309D5"/>
    <w:rsid w:val="00132974"/>
    <w:rsid w:val="00132FB0"/>
    <w:rsid w:val="0013310D"/>
    <w:rsid w:val="00135673"/>
    <w:rsid w:val="001357DC"/>
    <w:rsid w:val="00135A7A"/>
    <w:rsid w:val="00136654"/>
    <w:rsid w:val="00136A63"/>
    <w:rsid w:val="001403A2"/>
    <w:rsid w:val="0014048F"/>
    <w:rsid w:val="00140A4C"/>
    <w:rsid w:val="00141986"/>
    <w:rsid w:val="001423D1"/>
    <w:rsid w:val="00142DB2"/>
    <w:rsid w:val="0014662F"/>
    <w:rsid w:val="00146992"/>
    <w:rsid w:val="00146CC9"/>
    <w:rsid w:val="00147EDD"/>
    <w:rsid w:val="00147F85"/>
    <w:rsid w:val="001505F6"/>
    <w:rsid w:val="00150A67"/>
    <w:rsid w:val="00150EBD"/>
    <w:rsid w:val="00150F9D"/>
    <w:rsid w:val="00151D6A"/>
    <w:rsid w:val="0015377A"/>
    <w:rsid w:val="00153D09"/>
    <w:rsid w:val="00154D2A"/>
    <w:rsid w:val="00155288"/>
    <w:rsid w:val="0015576B"/>
    <w:rsid w:val="001569F2"/>
    <w:rsid w:val="00161CB8"/>
    <w:rsid w:val="00162737"/>
    <w:rsid w:val="0016275A"/>
    <w:rsid w:val="00162986"/>
    <w:rsid w:val="00162EB6"/>
    <w:rsid w:val="001631D1"/>
    <w:rsid w:val="001632CD"/>
    <w:rsid w:val="00163500"/>
    <w:rsid w:val="001647ED"/>
    <w:rsid w:val="00164CE7"/>
    <w:rsid w:val="00167104"/>
    <w:rsid w:val="001700EB"/>
    <w:rsid w:val="001703FD"/>
    <w:rsid w:val="00171790"/>
    <w:rsid w:val="00171BE6"/>
    <w:rsid w:val="00172012"/>
    <w:rsid w:val="00172110"/>
    <w:rsid w:val="0017217E"/>
    <w:rsid w:val="001738E3"/>
    <w:rsid w:val="00173AAB"/>
    <w:rsid w:val="00173EFB"/>
    <w:rsid w:val="00173FBA"/>
    <w:rsid w:val="00174D22"/>
    <w:rsid w:val="00174D62"/>
    <w:rsid w:val="00174E03"/>
    <w:rsid w:val="00174E66"/>
    <w:rsid w:val="00175D47"/>
    <w:rsid w:val="00176164"/>
    <w:rsid w:val="00176C91"/>
    <w:rsid w:val="0017740B"/>
    <w:rsid w:val="001775F5"/>
    <w:rsid w:val="00177CE5"/>
    <w:rsid w:val="00177F34"/>
    <w:rsid w:val="0018057F"/>
    <w:rsid w:val="00180909"/>
    <w:rsid w:val="00180F6D"/>
    <w:rsid w:val="00181452"/>
    <w:rsid w:val="0018183D"/>
    <w:rsid w:val="00181EC2"/>
    <w:rsid w:val="001837FB"/>
    <w:rsid w:val="00183B2E"/>
    <w:rsid w:val="001861F3"/>
    <w:rsid w:val="00186921"/>
    <w:rsid w:val="00186F86"/>
    <w:rsid w:val="001873FF"/>
    <w:rsid w:val="00190426"/>
    <w:rsid w:val="001918B1"/>
    <w:rsid w:val="0019190C"/>
    <w:rsid w:val="00193487"/>
    <w:rsid w:val="001938D6"/>
    <w:rsid w:val="00193F2D"/>
    <w:rsid w:val="00194A61"/>
    <w:rsid w:val="001968D6"/>
    <w:rsid w:val="00196B56"/>
    <w:rsid w:val="00197C19"/>
    <w:rsid w:val="001A06D3"/>
    <w:rsid w:val="001A09B3"/>
    <w:rsid w:val="001A1180"/>
    <w:rsid w:val="001A196C"/>
    <w:rsid w:val="001A2019"/>
    <w:rsid w:val="001A231F"/>
    <w:rsid w:val="001A247F"/>
    <w:rsid w:val="001A267F"/>
    <w:rsid w:val="001A2D03"/>
    <w:rsid w:val="001A3270"/>
    <w:rsid w:val="001A4377"/>
    <w:rsid w:val="001A4FD4"/>
    <w:rsid w:val="001A5002"/>
    <w:rsid w:val="001A6041"/>
    <w:rsid w:val="001A6610"/>
    <w:rsid w:val="001A698E"/>
    <w:rsid w:val="001A7770"/>
    <w:rsid w:val="001A7E0A"/>
    <w:rsid w:val="001B04B9"/>
    <w:rsid w:val="001B0B0C"/>
    <w:rsid w:val="001B139F"/>
    <w:rsid w:val="001B18BE"/>
    <w:rsid w:val="001B19AA"/>
    <w:rsid w:val="001B19AB"/>
    <w:rsid w:val="001B1BC0"/>
    <w:rsid w:val="001B2E7F"/>
    <w:rsid w:val="001B2F2A"/>
    <w:rsid w:val="001B5018"/>
    <w:rsid w:val="001B58D1"/>
    <w:rsid w:val="001B5AAE"/>
    <w:rsid w:val="001B6848"/>
    <w:rsid w:val="001B70CE"/>
    <w:rsid w:val="001B70D9"/>
    <w:rsid w:val="001B75A7"/>
    <w:rsid w:val="001B7DFE"/>
    <w:rsid w:val="001C06B1"/>
    <w:rsid w:val="001C0CD2"/>
    <w:rsid w:val="001C1821"/>
    <w:rsid w:val="001C184C"/>
    <w:rsid w:val="001C1C97"/>
    <w:rsid w:val="001C29E1"/>
    <w:rsid w:val="001C2C2E"/>
    <w:rsid w:val="001C3F3B"/>
    <w:rsid w:val="001C43EC"/>
    <w:rsid w:val="001C447E"/>
    <w:rsid w:val="001C50C1"/>
    <w:rsid w:val="001C548D"/>
    <w:rsid w:val="001C5D45"/>
    <w:rsid w:val="001C5D63"/>
    <w:rsid w:val="001C6006"/>
    <w:rsid w:val="001C6E8E"/>
    <w:rsid w:val="001D06D2"/>
    <w:rsid w:val="001D0825"/>
    <w:rsid w:val="001D09FD"/>
    <w:rsid w:val="001D0EEE"/>
    <w:rsid w:val="001D2A04"/>
    <w:rsid w:val="001D2CBA"/>
    <w:rsid w:val="001D2CF7"/>
    <w:rsid w:val="001D317A"/>
    <w:rsid w:val="001D35B8"/>
    <w:rsid w:val="001D41DE"/>
    <w:rsid w:val="001D4947"/>
    <w:rsid w:val="001D5066"/>
    <w:rsid w:val="001D556B"/>
    <w:rsid w:val="001D5E60"/>
    <w:rsid w:val="001D64A3"/>
    <w:rsid w:val="001D671E"/>
    <w:rsid w:val="001D6C2D"/>
    <w:rsid w:val="001D6EE0"/>
    <w:rsid w:val="001D7354"/>
    <w:rsid w:val="001D7746"/>
    <w:rsid w:val="001D7F52"/>
    <w:rsid w:val="001E07D4"/>
    <w:rsid w:val="001E1349"/>
    <w:rsid w:val="001E17DA"/>
    <w:rsid w:val="001E28E1"/>
    <w:rsid w:val="001E3F88"/>
    <w:rsid w:val="001E4782"/>
    <w:rsid w:val="001E5B0B"/>
    <w:rsid w:val="001E68D0"/>
    <w:rsid w:val="001E71F2"/>
    <w:rsid w:val="001E783D"/>
    <w:rsid w:val="001F048B"/>
    <w:rsid w:val="001F1096"/>
    <w:rsid w:val="001F1E2E"/>
    <w:rsid w:val="001F1E4C"/>
    <w:rsid w:val="001F26BF"/>
    <w:rsid w:val="001F3F04"/>
    <w:rsid w:val="001F3F86"/>
    <w:rsid w:val="001F423C"/>
    <w:rsid w:val="001F4315"/>
    <w:rsid w:val="001F4D76"/>
    <w:rsid w:val="001F5B0B"/>
    <w:rsid w:val="001F5E8A"/>
    <w:rsid w:val="001F6B3B"/>
    <w:rsid w:val="001F6E16"/>
    <w:rsid w:val="001F7AB3"/>
    <w:rsid w:val="001F7FA4"/>
    <w:rsid w:val="00200974"/>
    <w:rsid w:val="00202C57"/>
    <w:rsid w:val="00202DE9"/>
    <w:rsid w:val="00203146"/>
    <w:rsid w:val="002032C8"/>
    <w:rsid w:val="0020384C"/>
    <w:rsid w:val="00203CDB"/>
    <w:rsid w:val="00203DDB"/>
    <w:rsid w:val="002041B0"/>
    <w:rsid w:val="00204F5C"/>
    <w:rsid w:val="00205882"/>
    <w:rsid w:val="00206182"/>
    <w:rsid w:val="0020619B"/>
    <w:rsid w:val="00206695"/>
    <w:rsid w:val="00207844"/>
    <w:rsid w:val="00207BFE"/>
    <w:rsid w:val="00210750"/>
    <w:rsid w:val="002108D6"/>
    <w:rsid w:val="00210B14"/>
    <w:rsid w:val="00211A14"/>
    <w:rsid w:val="00213531"/>
    <w:rsid w:val="00213909"/>
    <w:rsid w:val="00213C3B"/>
    <w:rsid w:val="002140D6"/>
    <w:rsid w:val="002149CF"/>
    <w:rsid w:val="002172CB"/>
    <w:rsid w:val="002174D6"/>
    <w:rsid w:val="00217E74"/>
    <w:rsid w:val="00221E0D"/>
    <w:rsid w:val="0022375E"/>
    <w:rsid w:val="00223989"/>
    <w:rsid w:val="00223CC2"/>
    <w:rsid w:val="00224359"/>
    <w:rsid w:val="00224D76"/>
    <w:rsid w:val="00225A4D"/>
    <w:rsid w:val="00225AE6"/>
    <w:rsid w:val="00226E21"/>
    <w:rsid w:val="002273BB"/>
    <w:rsid w:val="00230CB7"/>
    <w:rsid w:val="00232211"/>
    <w:rsid w:val="00232DF1"/>
    <w:rsid w:val="002351ED"/>
    <w:rsid w:val="00235D91"/>
    <w:rsid w:val="0023608C"/>
    <w:rsid w:val="0023632C"/>
    <w:rsid w:val="0023763E"/>
    <w:rsid w:val="00237EE0"/>
    <w:rsid w:val="00240C71"/>
    <w:rsid w:val="002414D5"/>
    <w:rsid w:val="00241853"/>
    <w:rsid w:val="00241868"/>
    <w:rsid w:val="002418AE"/>
    <w:rsid w:val="00241993"/>
    <w:rsid w:val="00241FC3"/>
    <w:rsid w:val="00242C01"/>
    <w:rsid w:val="002436AE"/>
    <w:rsid w:val="002436C3"/>
    <w:rsid w:val="00243913"/>
    <w:rsid w:val="002442F3"/>
    <w:rsid w:val="00244A94"/>
    <w:rsid w:val="00244D14"/>
    <w:rsid w:val="002458F2"/>
    <w:rsid w:val="0024615B"/>
    <w:rsid w:val="002470B2"/>
    <w:rsid w:val="002513DF"/>
    <w:rsid w:val="002519DD"/>
    <w:rsid w:val="00251BFC"/>
    <w:rsid w:val="00252EF1"/>
    <w:rsid w:val="0025336D"/>
    <w:rsid w:val="00253560"/>
    <w:rsid w:val="0025392E"/>
    <w:rsid w:val="00254666"/>
    <w:rsid w:val="002549B6"/>
    <w:rsid w:val="002550F4"/>
    <w:rsid w:val="00255599"/>
    <w:rsid w:val="00255AB6"/>
    <w:rsid w:val="0025613B"/>
    <w:rsid w:val="002568A6"/>
    <w:rsid w:val="00257207"/>
    <w:rsid w:val="0026012B"/>
    <w:rsid w:val="00260DCB"/>
    <w:rsid w:val="002617DF"/>
    <w:rsid w:val="0026191C"/>
    <w:rsid w:val="0026248E"/>
    <w:rsid w:val="00262EA2"/>
    <w:rsid w:val="00263D23"/>
    <w:rsid w:val="00264042"/>
    <w:rsid w:val="0026477A"/>
    <w:rsid w:val="00265018"/>
    <w:rsid w:val="00265A46"/>
    <w:rsid w:val="00266054"/>
    <w:rsid w:val="00266305"/>
    <w:rsid w:val="00266735"/>
    <w:rsid w:val="002672C1"/>
    <w:rsid w:val="002708AB"/>
    <w:rsid w:val="00270B55"/>
    <w:rsid w:val="00271188"/>
    <w:rsid w:val="00272293"/>
    <w:rsid w:val="00272D6A"/>
    <w:rsid w:val="002734B7"/>
    <w:rsid w:val="002747D6"/>
    <w:rsid w:val="00274927"/>
    <w:rsid w:val="00274A26"/>
    <w:rsid w:val="00274E47"/>
    <w:rsid w:val="00275BB5"/>
    <w:rsid w:val="00275BDF"/>
    <w:rsid w:val="00275C7C"/>
    <w:rsid w:val="0027630E"/>
    <w:rsid w:val="00276B22"/>
    <w:rsid w:val="00276FA2"/>
    <w:rsid w:val="002778A7"/>
    <w:rsid w:val="002800C5"/>
    <w:rsid w:val="002805FE"/>
    <w:rsid w:val="00282577"/>
    <w:rsid w:val="00282C84"/>
    <w:rsid w:val="002832D8"/>
    <w:rsid w:val="0028529F"/>
    <w:rsid w:val="002853EB"/>
    <w:rsid w:val="002862B2"/>
    <w:rsid w:val="00291136"/>
    <w:rsid w:val="0029202D"/>
    <w:rsid w:val="002920EB"/>
    <w:rsid w:val="0029268C"/>
    <w:rsid w:val="00293AA1"/>
    <w:rsid w:val="00293FA7"/>
    <w:rsid w:val="002947B6"/>
    <w:rsid w:val="00294E35"/>
    <w:rsid w:val="002964C3"/>
    <w:rsid w:val="00296D82"/>
    <w:rsid w:val="00297467"/>
    <w:rsid w:val="002A044E"/>
    <w:rsid w:val="002A06C3"/>
    <w:rsid w:val="002A2112"/>
    <w:rsid w:val="002A2A2A"/>
    <w:rsid w:val="002A2DA3"/>
    <w:rsid w:val="002A3546"/>
    <w:rsid w:val="002A3643"/>
    <w:rsid w:val="002A46ED"/>
    <w:rsid w:val="002A47DC"/>
    <w:rsid w:val="002A5063"/>
    <w:rsid w:val="002A5C3C"/>
    <w:rsid w:val="002A66F6"/>
    <w:rsid w:val="002A72B4"/>
    <w:rsid w:val="002A74D6"/>
    <w:rsid w:val="002A7C7B"/>
    <w:rsid w:val="002B03D7"/>
    <w:rsid w:val="002B0600"/>
    <w:rsid w:val="002B1B45"/>
    <w:rsid w:val="002B262B"/>
    <w:rsid w:val="002B2F5A"/>
    <w:rsid w:val="002B36B8"/>
    <w:rsid w:val="002B3804"/>
    <w:rsid w:val="002B388D"/>
    <w:rsid w:val="002B3C67"/>
    <w:rsid w:val="002B4779"/>
    <w:rsid w:val="002B5509"/>
    <w:rsid w:val="002B6331"/>
    <w:rsid w:val="002C04BA"/>
    <w:rsid w:val="002C1741"/>
    <w:rsid w:val="002C1D9D"/>
    <w:rsid w:val="002C1E3C"/>
    <w:rsid w:val="002C2377"/>
    <w:rsid w:val="002C43AA"/>
    <w:rsid w:val="002C4DFC"/>
    <w:rsid w:val="002C578B"/>
    <w:rsid w:val="002C62C1"/>
    <w:rsid w:val="002C695C"/>
    <w:rsid w:val="002C7127"/>
    <w:rsid w:val="002C7478"/>
    <w:rsid w:val="002D06E8"/>
    <w:rsid w:val="002D1DCC"/>
    <w:rsid w:val="002D1ED9"/>
    <w:rsid w:val="002D2883"/>
    <w:rsid w:val="002D2D8B"/>
    <w:rsid w:val="002D2FCA"/>
    <w:rsid w:val="002D323D"/>
    <w:rsid w:val="002D33F2"/>
    <w:rsid w:val="002D3AB2"/>
    <w:rsid w:val="002D475A"/>
    <w:rsid w:val="002D48DE"/>
    <w:rsid w:val="002D5EE8"/>
    <w:rsid w:val="002D5F9E"/>
    <w:rsid w:val="002D6812"/>
    <w:rsid w:val="002E0881"/>
    <w:rsid w:val="002E0E6B"/>
    <w:rsid w:val="002E0F02"/>
    <w:rsid w:val="002E1AE4"/>
    <w:rsid w:val="002E2439"/>
    <w:rsid w:val="002E34BE"/>
    <w:rsid w:val="002E3FF5"/>
    <w:rsid w:val="002E424D"/>
    <w:rsid w:val="002E4622"/>
    <w:rsid w:val="002E4755"/>
    <w:rsid w:val="002E48B6"/>
    <w:rsid w:val="002E5E87"/>
    <w:rsid w:val="002E6AB9"/>
    <w:rsid w:val="002E71F5"/>
    <w:rsid w:val="002E7677"/>
    <w:rsid w:val="002F0977"/>
    <w:rsid w:val="002F0DEE"/>
    <w:rsid w:val="002F1003"/>
    <w:rsid w:val="002F232E"/>
    <w:rsid w:val="002F315D"/>
    <w:rsid w:val="002F3BD5"/>
    <w:rsid w:val="002F3D11"/>
    <w:rsid w:val="002F4019"/>
    <w:rsid w:val="002F525E"/>
    <w:rsid w:val="002F5FE7"/>
    <w:rsid w:val="002F66EE"/>
    <w:rsid w:val="002F7F58"/>
    <w:rsid w:val="00300372"/>
    <w:rsid w:val="003006B4"/>
    <w:rsid w:val="00300D51"/>
    <w:rsid w:val="00302377"/>
    <w:rsid w:val="0030279C"/>
    <w:rsid w:val="00305575"/>
    <w:rsid w:val="00305FCE"/>
    <w:rsid w:val="0030609A"/>
    <w:rsid w:val="00306529"/>
    <w:rsid w:val="00307885"/>
    <w:rsid w:val="003078F2"/>
    <w:rsid w:val="00310942"/>
    <w:rsid w:val="00310A84"/>
    <w:rsid w:val="003116F1"/>
    <w:rsid w:val="00312EE7"/>
    <w:rsid w:val="00313974"/>
    <w:rsid w:val="003139BB"/>
    <w:rsid w:val="00313B10"/>
    <w:rsid w:val="00313E94"/>
    <w:rsid w:val="00313FD8"/>
    <w:rsid w:val="00314AF4"/>
    <w:rsid w:val="00314B88"/>
    <w:rsid w:val="0031510A"/>
    <w:rsid w:val="00315470"/>
    <w:rsid w:val="00316D53"/>
    <w:rsid w:val="00316EAC"/>
    <w:rsid w:val="003178D0"/>
    <w:rsid w:val="00320C59"/>
    <w:rsid w:val="00321BFB"/>
    <w:rsid w:val="00321E7D"/>
    <w:rsid w:val="00322A4E"/>
    <w:rsid w:val="00323D78"/>
    <w:rsid w:val="00324461"/>
    <w:rsid w:val="00325648"/>
    <w:rsid w:val="003266E8"/>
    <w:rsid w:val="00326801"/>
    <w:rsid w:val="00326B2B"/>
    <w:rsid w:val="00326DCE"/>
    <w:rsid w:val="00327694"/>
    <w:rsid w:val="00327FE9"/>
    <w:rsid w:val="003300C6"/>
    <w:rsid w:val="003303A8"/>
    <w:rsid w:val="00330D8C"/>
    <w:rsid w:val="00330E89"/>
    <w:rsid w:val="003311FF"/>
    <w:rsid w:val="003321DD"/>
    <w:rsid w:val="00333D3F"/>
    <w:rsid w:val="0033433E"/>
    <w:rsid w:val="00334843"/>
    <w:rsid w:val="00334A46"/>
    <w:rsid w:val="00334E7E"/>
    <w:rsid w:val="003357A9"/>
    <w:rsid w:val="00336A43"/>
    <w:rsid w:val="00336A49"/>
    <w:rsid w:val="00337F30"/>
    <w:rsid w:val="003408B7"/>
    <w:rsid w:val="003408B8"/>
    <w:rsid w:val="00341832"/>
    <w:rsid w:val="00342151"/>
    <w:rsid w:val="00342913"/>
    <w:rsid w:val="0034374F"/>
    <w:rsid w:val="003438CD"/>
    <w:rsid w:val="00343F21"/>
    <w:rsid w:val="00344D81"/>
    <w:rsid w:val="003463A6"/>
    <w:rsid w:val="003464AB"/>
    <w:rsid w:val="00346732"/>
    <w:rsid w:val="0034712C"/>
    <w:rsid w:val="00347F77"/>
    <w:rsid w:val="003502F5"/>
    <w:rsid w:val="003504D2"/>
    <w:rsid w:val="00350E20"/>
    <w:rsid w:val="00352BE0"/>
    <w:rsid w:val="003533B4"/>
    <w:rsid w:val="00353B25"/>
    <w:rsid w:val="003554FF"/>
    <w:rsid w:val="00355FD7"/>
    <w:rsid w:val="00356667"/>
    <w:rsid w:val="00356967"/>
    <w:rsid w:val="00357542"/>
    <w:rsid w:val="00360519"/>
    <w:rsid w:val="00360E88"/>
    <w:rsid w:val="003610A5"/>
    <w:rsid w:val="00361258"/>
    <w:rsid w:val="00361751"/>
    <w:rsid w:val="00361755"/>
    <w:rsid w:val="00361A06"/>
    <w:rsid w:val="003627A3"/>
    <w:rsid w:val="00362B37"/>
    <w:rsid w:val="00362E5C"/>
    <w:rsid w:val="003639FE"/>
    <w:rsid w:val="0036400C"/>
    <w:rsid w:val="0036482C"/>
    <w:rsid w:val="0036484F"/>
    <w:rsid w:val="003657D6"/>
    <w:rsid w:val="00365938"/>
    <w:rsid w:val="0036668A"/>
    <w:rsid w:val="0036692F"/>
    <w:rsid w:val="00366B1D"/>
    <w:rsid w:val="00367F32"/>
    <w:rsid w:val="00367FD9"/>
    <w:rsid w:val="00370124"/>
    <w:rsid w:val="00370339"/>
    <w:rsid w:val="003708F1"/>
    <w:rsid w:val="00370EE3"/>
    <w:rsid w:val="00373B46"/>
    <w:rsid w:val="003741D4"/>
    <w:rsid w:val="003741D5"/>
    <w:rsid w:val="003742BE"/>
    <w:rsid w:val="00374F89"/>
    <w:rsid w:val="00375038"/>
    <w:rsid w:val="00375F07"/>
    <w:rsid w:val="0037602D"/>
    <w:rsid w:val="00376862"/>
    <w:rsid w:val="00376966"/>
    <w:rsid w:val="00377419"/>
    <w:rsid w:val="00380B08"/>
    <w:rsid w:val="00381427"/>
    <w:rsid w:val="00383BDB"/>
    <w:rsid w:val="0038408F"/>
    <w:rsid w:val="00384D18"/>
    <w:rsid w:val="00386968"/>
    <w:rsid w:val="0038704A"/>
    <w:rsid w:val="00387AAF"/>
    <w:rsid w:val="00387C21"/>
    <w:rsid w:val="003911AB"/>
    <w:rsid w:val="00391428"/>
    <w:rsid w:val="00392284"/>
    <w:rsid w:val="0039234D"/>
    <w:rsid w:val="00392504"/>
    <w:rsid w:val="00392B87"/>
    <w:rsid w:val="00393628"/>
    <w:rsid w:val="003937D4"/>
    <w:rsid w:val="00393830"/>
    <w:rsid w:val="0039385F"/>
    <w:rsid w:val="00395ADA"/>
    <w:rsid w:val="003961FA"/>
    <w:rsid w:val="00396DF8"/>
    <w:rsid w:val="00397B27"/>
    <w:rsid w:val="00397EC6"/>
    <w:rsid w:val="003A02FB"/>
    <w:rsid w:val="003A0E9A"/>
    <w:rsid w:val="003A0F39"/>
    <w:rsid w:val="003A1AE1"/>
    <w:rsid w:val="003A2D11"/>
    <w:rsid w:val="003A306B"/>
    <w:rsid w:val="003A30B8"/>
    <w:rsid w:val="003A3735"/>
    <w:rsid w:val="003A3A5D"/>
    <w:rsid w:val="003A3FE3"/>
    <w:rsid w:val="003A4CB5"/>
    <w:rsid w:val="003A4ED8"/>
    <w:rsid w:val="003A4FAF"/>
    <w:rsid w:val="003A596B"/>
    <w:rsid w:val="003A6586"/>
    <w:rsid w:val="003A6EAA"/>
    <w:rsid w:val="003A7482"/>
    <w:rsid w:val="003A7491"/>
    <w:rsid w:val="003A7982"/>
    <w:rsid w:val="003B2AFD"/>
    <w:rsid w:val="003B331B"/>
    <w:rsid w:val="003B414F"/>
    <w:rsid w:val="003B41E6"/>
    <w:rsid w:val="003B4250"/>
    <w:rsid w:val="003B43F9"/>
    <w:rsid w:val="003B49BE"/>
    <w:rsid w:val="003B4A90"/>
    <w:rsid w:val="003B5433"/>
    <w:rsid w:val="003B5918"/>
    <w:rsid w:val="003B5CA5"/>
    <w:rsid w:val="003B6751"/>
    <w:rsid w:val="003B7D35"/>
    <w:rsid w:val="003C0037"/>
    <w:rsid w:val="003C0781"/>
    <w:rsid w:val="003C08EF"/>
    <w:rsid w:val="003C09CA"/>
    <w:rsid w:val="003C0EA2"/>
    <w:rsid w:val="003C1121"/>
    <w:rsid w:val="003C1365"/>
    <w:rsid w:val="003C1EC9"/>
    <w:rsid w:val="003C2887"/>
    <w:rsid w:val="003C2E62"/>
    <w:rsid w:val="003C3480"/>
    <w:rsid w:val="003C3483"/>
    <w:rsid w:val="003C37EB"/>
    <w:rsid w:val="003C3F3D"/>
    <w:rsid w:val="003C3FAE"/>
    <w:rsid w:val="003C4DBE"/>
    <w:rsid w:val="003C550F"/>
    <w:rsid w:val="003C5C22"/>
    <w:rsid w:val="003C5DA9"/>
    <w:rsid w:val="003C67EF"/>
    <w:rsid w:val="003C77CB"/>
    <w:rsid w:val="003D0D29"/>
    <w:rsid w:val="003D140B"/>
    <w:rsid w:val="003D140D"/>
    <w:rsid w:val="003D365D"/>
    <w:rsid w:val="003D4295"/>
    <w:rsid w:val="003D4595"/>
    <w:rsid w:val="003D4A10"/>
    <w:rsid w:val="003D4C1C"/>
    <w:rsid w:val="003D5A8A"/>
    <w:rsid w:val="003D6D34"/>
    <w:rsid w:val="003D7A24"/>
    <w:rsid w:val="003D7E1D"/>
    <w:rsid w:val="003E2836"/>
    <w:rsid w:val="003E2C29"/>
    <w:rsid w:val="003E30BE"/>
    <w:rsid w:val="003E343E"/>
    <w:rsid w:val="003E3BD3"/>
    <w:rsid w:val="003E5EB8"/>
    <w:rsid w:val="003E655B"/>
    <w:rsid w:val="003E7F7F"/>
    <w:rsid w:val="003F132E"/>
    <w:rsid w:val="003F2A4B"/>
    <w:rsid w:val="003F357D"/>
    <w:rsid w:val="003F382A"/>
    <w:rsid w:val="003F3C26"/>
    <w:rsid w:val="003F4B36"/>
    <w:rsid w:val="003F4B8D"/>
    <w:rsid w:val="003F7F4A"/>
    <w:rsid w:val="00400712"/>
    <w:rsid w:val="00400999"/>
    <w:rsid w:val="00400A2D"/>
    <w:rsid w:val="00400BD3"/>
    <w:rsid w:val="004010D2"/>
    <w:rsid w:val="004010D3"/>
    <w:rsid w:val="00401688"/>
    <w:rsid w:val="004016C6"/>
    <w:rsid w:val="00403179"/>
    <w:rsid w:val="004048F3"/>
    <w:rsid w:val="004057F2"/>
    <w:rsid w:val="00405A08"/>
    <w:rsid w:val="00406E2B"/>
    <w:rsid w:val="00406F7C"/>
    <w:rsid w:val="00406FC2"/>
    <w:rsid w:val="00407245"/>
    <w:rsid w:val="0040749A"/>
    <w:rsid w:val="00410236"/>
    <w:rsid w:val="00410387"/>
    <w:rsid w:val="00410AC6"/>
    <w:rsid w:val="00410B3C"/>
    <w:rsid w:val="00410C72"/>
    <w:rsid w:val="00411B29"/>
    <w:rsid w:val="004132E0"/>
    <w:rsid w:val="00413894"/>
    <w:rsid w:val="00413D49"/>
    <w:rsid w:val="00413EFA"/>
    <w:rsid w:val="004141E6"/>
    <w:rsid w:val="004157D1"/>
    <w:rsid w:val="00415913"/>
    <w:rsid w:val="00415FA6"/>
    <w:rsid w:val="0041682A"/>
    <w:rsid w:val="00417037"/>
    <w:rsid w:val="004201ED"/>
    <w:rsid w:val="004204E2"/>
    <w:rsid w:val="00420D28"/>
    <w:rsid w:val="00421ABC"/>
    <w:rsid w:val="004220B2"/>
    <w:rsid w:val="004237DB"/>
    <w:rsid w:val="00423FAF"/>
    <w:rsid w:val="00423FE2"/>
    <w:rsid w:val="00425284"/>
    <w:rsid w:val="004273D8"/>
    <w:rsid w:val="00431BCE"/>
    <w:rsid w:val="00431DF1"/>
    <w:rsid w:val="00431EDA"/>
    <w:rsid w:val="004321A6"/>
    <w:rsid w:val="004325E1"/>
    <w:rsid w:val="00435B4E"/>
    <w:rsid w:val="004371DF"/>
    <w:rsid w:val="00441EEC"/>
    <w:rsid w:val="00441F63"/>
    <w:rsid w:val="00444318"/>
    <w:rsid w:val="0044473E"/>
    <w:rsid w:val="0044497C"/>
    <w:rsid w:val="00445BE5"/>
    <w:rsid w:val="004460DE"/>
    <w:rsid w:val="004465B4"/>
    <w:rsid w:val="00446BEA"/>
    <w:rsid w:val="0044784D"/>
    <w:rsid w:val="00447A47"/>
    <w:rsid w:val="00447D9B"/>
    <w:rsid w:val="004503E5"/>
    <w:rsid w:val="00450434"/>
    <w:rsid w:val="00450831"/>
    <w:rsid w:val="00450F0D"/>
    <w:rsid w:val="0045269C"/>
    <w:rsid w:val="00454697"/>
    <w:rsid w:val="00454A90"/>
    <w:rsid w:val="00454DE2"/>
    <w:rsid w:val="0045657F"/>
    <w:rsid w:val="00456715"/>
    <w:rsid w:val="00456AFC"/>
    <w:rsid w:val="00460196"/>
    <w:rsid w:val="0046062F"/>
    <w:rsid w:val="004616E4"/>
    <w:rsid w:val="00461FC5"/>
    <w:rsid w:val="00463C17"/>
    <w:rsid w:val="0046408A"/>
    <w:rsid w:val="00464921"/>
    <w:rsid w:val="00464E8E"/>
    <w:rsid w:val="00465263"/>
    <w:rsid w:val="00466F21"/>
    <w:rsid w:val="004673FD"/>
    <w:rsid w:val="004705CC"/>
    <w:rsid w:val="0047151F"/>
    <w:rsid w:val="00471AF5"/>
    <w:rsid w:val="004728A2"/>
    <w:rsid w:val="00473B1B"/>
    <w:rsid w:val="004745FA"/>
    <w:rsid w:val="0047576C"/>
    <w:rsid w:val="00475F2B"/>
    <w:rsid w:val="004761A0"/>
    <w:rsid w:val="00476694"/>
    <w:rsid w:val="00476DF8"/>
    <w:rsid w:val="00476E2A"/>
    <w:rsid w:val="00477299"/>
    <w:rsid w:val="004777B7"/>
    <w:rsid w:val="00477B8B"/>
    <w:rsid w:val="00477BD3"/>
    <w:rsid w:val="004805FA"/>
    <w:rsid w:val="00480EA2"/>
    <w:rsid w:val="0048172E"/>
    <w:rsid w:val="00481CF6"/>
    <w:rsid w:val="00482414"/>
    <w:rsid w:val="00482E2C"/>
    <w:rsid w:val="00483009"/>
    <w:rsid w:val="004833C7"/>
    <w:rsid w:val="00484751"/>
    <w:rsid w:val="00485795"/>
    <w:rsid w:val="0048594E"/>
    <w:rsid w:val="0048613E"/>
    <w:rsid w:val="004866A2"/>
    <w:rsid w:val="00486E29"/>
    <w:rsid w:val="00487DF6"/>
    <w:rsid w:val="004916EF"/>
    <w:rsid w:val="00493413"/>
    <w:rsid w:val="00493BF8"/>
    <w:rsid w:val="00493DE2"/>
    <w:rsid w:val="00494785"/>
    <w:rsid w:val="00494958"/>
    <w:rsid w:val="00495D5C"/>
    <w:rsid w:val="00497248"/>
    <w:rsid w:val="00497851"/>
    <w:rsid w:val="004A01AB"/>
    <w:rsid w:val="004A15AE"/>
    <w:rsid w:val="004A1F71"/>
    <w:rsid w:val="004A2008"/>
    <w:rsid w:val="004A3FE9"/>
    <w:rsid w:val="004A5476"/>
    <w:rsid w:val="004A5C84"/>
    <w:rsid w:val="004A630F"/>
    <w:rsid w:val="004A632D"/>
    <w:rsid w:val="004A65B3"/>
    <w:rsid w:val="004A6F20"/>
    <w:rsid w:val="004A7925"/>
    <w:rsid w:val="004A7C1C"/>
    <w:rsid w:val="004A7E53"/>
    <w:rsid w:val="004B175A"/>
    <w:rsid w:val="004B18D1"/>
    <w:rsid w:val="004B191C"/>
    <w:rsid w:val="004B1F28"/>
    <w:rsid w:val="004B275C"/>
    <w:rsid w:val="004B451F"/>
    <w:rsid w:val="004B6F01"/>
    <w:rsid w:val="004B7CCA"/>
    <w:rsid w:val="004B7E9A"/>
    <w:rsid w:val="004C131A"/>
    <w:rsid w:val="004C14C0"/>
    <w:rsid w:val="004C26E9"/>
    <w:rsid w:val="004C283B"/>
    <w:rsid w:val="004C3AE9"/>
    <w:rsid w:val="004C3D63"/>
    <w:rsid w:val="004C546E"/>
    <w:rsid w:val="004C5ACB"/>
    <w:rsid w:val="004C5E34"/>
    <w:rsid w:val="004C6CBD"/>
    <w:rsid w:val="004C6EA7"/>
    <w:rsid w:val="004C75AB"/>
    <w:rsid w:val="004C7B29"/>
    <w:rsid w:val="004D00DB"/>
    <w:rsid w:val="004D0183"/>
    <w:rsid w:val="004D0BA5"/>
    <w:rsid w:val="004D17C1"/>
    <w:rsid w:val="004D1D05"/>
    <w:rsid w:val="004D21DA"/>
    <w:rsid w:val="004D2358"/>
    <w:rsid w:val="004D29AB"/>
    <w:rsid w:val="004D30D3"/>
    <w:rsid w:val="004D40DC"/>
    <w:rsid w:val="004D4320"/>
    <w:rsid w:val="004D4432"/>
    <w:rsid w:val="004D50DF"/>
    <w:rsid w:val="004D66FC"/>
    <w:rsid w:val="004D677D"/>
    <w:rsid w:val="004D76CF"/>
    <w:rsid w:val="004D7E65"/>
    <w:rsid w:val="004E04BD"/>
    <w:rsid w:val="004E092F"/>
    <w:rsid w:val="004E11DD"/>
    <w:rsid w:val="004E1872"/>
    <w:rsid w:val="004E23D0"/>
    <w:rsid w:val="004E2BA0"/>
    <w:rsid w:val="004E2DC3"/>
    <w:rsid w:val="004E2E1E"/>
    <w:rsid w:val="004E31D1"/>
    <w:rsid w:val="004E3311"/>
    <w:rsid w:val="004E370E"/>
    <w:rsid w:val="004E3B2C"/>
    <w:rsid w:val="004E43AE"/>
    <w:rsid w:val="004E43EF"/>
    <w:rsid w:val="004E53C2"/>
    <w:rsid w:val="004E5AA1"/>
    <w:rsid w:val="004E5D53"/>
    <w:rsid w:val="004E67F7"/>
    <w:rsid w:val="004F0A9D"/>
    <w:rsid w:val="004F13C3"/>
    <w:rsid w:val="004F185F"/>
    <w:rsid w:val="004F1D49"/>
    <w:rsid w:val="004F2829"/>
    <w:rsid w:val="004F2E2D"/>
    <w:rsid w:val="004F3C54"/>
    <w:rsid w:val="004F4347"/>
    <w:rsid w:val="004F44B9"/>
    <w:rsid w:val="004F46E3"/>
    <w:rsid w:val="004F47DE"/>
    <w:rsid w:val="004F4A43"/>
    <w:rsid w:val="004F5D1A"/>
    <w:rsid w:val="004F6A7E"/>
    <w:rsid w:val="004F730A"/>
    <w:rsid w:val="004F7C31"/>
    <w:rsid w:val="004F7C82"/>
    <w:rsid w:val="004F7E38"/>
    <w:rsid w:val="00501596"/>
    <w:rsid w:val="00502374"/>
    <w:rsid w:val="00502E60"/>
    <w:rsid w:val="005038EC"/>
    <w:rsid w:val="00503E73"/>
    <w:rsid w:val="00504156"/>
    <w:rsid w:val="00504AB9"/>
    <w:rsid w:val="005060CC"/>
    <w:rsid w:val="005074C6"/>
    <w:rsid w:val="00510A0F"/>
    <w:rsid w:val="00510DC2"/>
    <w:rsid w:val="005129FA"/>
    <w:rsid w:val="00512AD7"/>
    <w:rsid w:val="005132D8"/>
    <w:rsid w:val="00514650"/>
    <w:rsid w:val="00514711"/>
    <w:rsid w:val="00514827"/>
    <w:rsid w:val="005159F4"/>
    <w:rsid w:val="00515C17"/>
    <w:rsid w:val="00515EB1"/>
    <w:rsid w:val="005172BB"/>
    <w:rsid w:val="00517F70"/>
    <w:rsid w:val="005206EE"/>
    <w:rsid w:val="005211E0"/>
    <w:rsid w:val="00521749"/>
    <w:rsid w:val="00522644"/>
    <w:rsid w:val="00522652"/>
    <w:rsid w:val="0052276C"/>
    <w:rsid w:val="005227AD"/>
    <w:rsid w:val="005229D7"/>
    <w:rsid w:val="00523644"/>
    <w:rsid w:val="005247A7"/>
    <w:rsid w:val="00524949"/>
    <w:rsid w:val="00526C19"/>
    <w:rsid w:val="005274E0"/>
    <w:rsid w:val="00530624"/>
    <w:rsid w:val="005307B0"/>
    <w:rsid w:val="00530F81"/>
    <w:rsid w:val="0053183E"/>
    <w:rsid w:val="00531C3D"/>
    <w:rsid w:val="00531C47"/>
    <w:rsid w:val="005320E2"/>
    <w:rsid w:val="005329AD"/>
    <w:rsid w:val="00532DD8"/>
    <w:rsid w:val="00533400"/>
    <w:rsid w:val="00534260"/>
    <w:rsid w:val="00535087"/>
    <w:rsid w:val="00535154"/>
    <w:rsid w:val="00535395"/>
    <w:rsid w:val="00535FCB"/>
    <w:rsid w:val="005361BE"/>
    <w:rsid w:val="00536328"/>
    <w:rsid w:val="00536720"/>
    <w:rsid w:val="00536D1C"/>
    <w:rsid w:val="0053741C"/>
    <w:rsid w:val="005405EF"/>
    <w:rsid w:val="00540D74"/>
    <w:rsid w:val="00540DD1"/>
    <w:rsid w:val="00541C5B"/>
    <w:rsid w:val="00541D38"/>
    <w:rsid w:val="005420EA"/>
    <w:rsid w:val="00542D3E"/>
    <w:rsid w:val="00543768"/>
    <w:rsid w:val="0054635A"/>
    <w:rsid w:val="00546756"/>
    <w:rsid w:val="00550B81"/>
    <w:rsid w:val="00550C16"/>
    <w:rsid w:val="00551830"/>
    <w:rsid w:val="00552DBF"/>
    <w:rsid w:val="005546BB"/>
    <w:rsid w:val="005559DC"/>
    <w:rsid w:val="00555BE2"/>
    <w:rsid w:val="00556369"/>
    <w:rsid w:val="0055651C"/>
    <w:rsid w:val="005568EA"/>
    <w:rsid w:val="0055728B"/>
    <w:rsid w:val="005601C1"/>
    <w:rsid w:val="00560793"/>
    <w:rsid w:val="00560EF3"/>
    <w:rsid w:val="0056113E"/>
    <w:rsid w:val="00561583"/>
    <w:rsid w:val="00561EC6"/>
    <w:rsid w:val="005620FE"/>
    <w:rsid w:val="005633DA"/>
    <w:rsid w:val="005653A3"/>
    <w:rsid w:val="005654A9"/>
    <w:rsid w:val="005671AE"/>
    <w:rsid w:val="00570974"/>
    <w:rsid w:val="00571786"/>
    <w:rsid w:val="00571DCD"/>
    <w:rsid w:val="00572549"/>
    <w:rsid w:val="00573A75"/>
    <w:rsid w:val="0057561D"/>
    <w:rsid w:val="00575EB6"/>
    <w:rsid w:val="005760DE"/>
    <w:rsid w:val="00581399"/>
    <w:rsid w:val="00582A9F"/>
    <w:rsid w:val="00582CC8"/>
    <w:rsid w:val="005833BC"/>
    <w:rsid w:val="00583A0B"/>
    <w:rsid w:val="0058592F"/>
    <w:rsid w:val="00585E15"/>
    <w:rsid w:val="00586143"/>
    <w:rsid w:val="00587AB2"/>
    <w:rsid w:val="00590597"/>
    <w:rsid w:val="00590A75"/>
    <w:rsid w:val="00590DA3"/>
    <w:rsid w:val="005914BC"/>
    <w:rsid w:val="00593EFE"/>
    <w:rsid w:val="00593FA7"/>
    <w:rsid w:val="00595232"/>
    <w:rsid w:val="005953D0"/>
    <w:rsid w:val="00595722"/>
    <w:rsid w:val="00595CDA"/>
    <w:rsid w:val="005960D2"/>
    <w:rsid w:val="005A0295"/>
    <w:rsid w:val="005A0493"/>
    <w:rsid w:val="005A264D"/>
    <w:rsid w:val="005A2EE5"/>
    <w:rsid w:val="005A37E6"/>
    <w:rsid w:val="005A3C29"/>
    <w:rsid w:val="005A51F7"/>
    <w:rsid w:val="005A5FF0"/>
    <w:rsid w:val="005A6A49"/>
    <w:rsid w:val="005A6FED"/>
    <w:rsid w:val="005A78DD"/>
    <w:rsid w:val="005B09C8"/>
    <w:rsid w:val="005B0C0E"/>
    <w:rsid w:val="005B0C7F"/>
    <w:rsid w:val="005B1BBC"/>
    <w:rsid w:val="005B1F9C"/>
    <w:rsid w:val="005B26F7"/>
    <w:rsid w:val="005B28B5"/>
    <w:rsid w:val="005B2A29"/>
    <w:rsid w:val="005B2CE6"/>
    <w:rsid w:val="005B4982"/>
    <w:rsid w:val="005B519B"/>
    <w:rsid w:val="005B59A6"/>
    <w:rsid w:val="005B5C84"/>
    <w:rsid w:val="005B6B25"/>
    <w:rsid w:val="005B6BA7"/>
    <w:rsid w:val="005C5334"/>
    <w:rsid w:val="005C5891"/>
    <w:rsid w:val="005C59FB"/>
    <w:rsid w:val="005C648C"/>
    <w:rsid w:val="005C65C6"/>
    <w:rsid w:val="005C6A49"/>
    <w:rsid w:val="005C6B1F"/>
    <w:rsid w:val="005C6B70"/>
    <w:rsid w:val="005C6E17"/>
    <w:rsid w:val="005C71E0"/>
    <w:rsid w:val="005D10B0"/>
    <w:rsid w:val="005D11F7"/>
    <w:rsid w:val="005D1458"/>
    <w:rsid w:val="005D1598"/>
    <w:rsid w:val="005D22A2"/>
    <w:rsid w:val="005D29DF"/>
    <w:rsid w:val="005D2A25"/>
    <w:rsid w:val="005D372C"/>
    <w:rsid w:val="005D500F"/>
    <w:rsid w:val="005D5F2F"/>
    <w:rsid w:val="005D62CC"/>
    <w:rsid w:val="005D6DC5"/>
    <w:rsid w:val="005D7FE6"/>
    <w:rsid w:val="005E03EA"/>
    <w:rsid w:val="005E0638"/>
    <w:rsid w:val="005E10D7"/>
    <w:rsid w:val="005E181B"/>
    <w:rsid w:val="005E2487"/>
    <w:rsid w:val="005E2D62"/>
    <w:rsid w:val="005E3182"/>
    <w:rsid w:val="005E3850"/>
    <w:rsid w:val="005E42C2"/>
    <w:rsid w:val="005E448E"/>
    <w:rsid w:val="005E4FCE"/>
    <w:rsid w:val="005E5873"/>
    <w:rsid w:val="005E6FDD"/>
    <w:rsid w:val="005E702F"/>
    <w:rsid w:val="005E7711"/>
    <w:rsid w:val="005E7E83"/>
    <w:rsid w:val="005F13C0"/>
    <w:rsid w:val="005F3C8F"/>
    <w:rsid w:val="005F438F"/>
    <w:rsid w:val="005F57F7"/>
    <w:rsid w:val="005F5F40"/>
    <w:rsid w:val="005F62F2"/>
    <w:rsid w:val="005F758C"/>
    <w:rsid w:val="006018F3"/>
    <w:rsid w:val="00601D14"/>
    <w:rsid w:val="0060217C"/>
    <w:rsid w:val="00602DE8"/>
    <w:rsid w:val="00602FC8"/>
    <w:rsid w:val="0060300F"/>
    <w:rsid w:val="006042BC"/>
    <w:rsid w:val="0060463E"/>
    <w:rsid w:val="006046CB"/>
    <w:rsid w:val="00604A70"/>
    <w:rsid w:val="00604C08"/>
    <w:rsid w:val="00605998"/>
    <w:rsid w:val="00606185"/>
    <w:rsid w:val="00606D13"/>
    <w:rsid w:val="00607E23"/>
    <w:rsid w:val="00611A3A"/>
    <w:rsid w:val="0061389D"/>
    <w:rsid w:val="00613A14"/>
    <w:rsid w:val="006141E8"/>
    <w:rsid w:val="00614982"/>
    <w:rsid w:val="0061541B"/>
    <w:rsid w:val="00615656"/>
    <w:rsid w:val="00615B59"/>
    <w:rsid w:val="00615FD0"/>
    <w:rsid w:val="00616121"/>
    <w:rsid w:val="0061666D"/>
    <w:rsid w:val="006168B8"/>
    <w:rsid w:val="00622F6C"/>
    <w:rsid w:val="0062305B"/>
    <w:rsid w:val="0062377D"/>
    <w:rsid w:val="00623BCD"/>
    <w:rsid w:val="00625D21"/>
    <w:rsid w:val="00626DE8"/>
    <w:rsid w:val="0063177E"/>
    <w:rsid w:val="00633317"/>
    <w:rsid w:val="0063387A"/>
    <w:rsid w:val="00633CC8"/>
    <w:rsid w:val="00634288"/>
    <w:rsid w:val="0063447D"/>
    <w:rsid w:val="00634B53"/>
    <w:rsid w:val="00635770"/>
    <w:rsid w:val="00635EA0"/>
    <w:rsid w:val="00636AE7"/>
    <w:rsid w:val="00637317"/>
    <w:rsid w:val="00637581"/>
    <w:rsid w:val="00637D5E"/>
    <w:rsid w:val="006410F1"/>
    <w:rsid w:val="0064216C"/>
    <w:rsid w:val="0064293B"/>
    <w:rsid w:val="00642C11"/>
    <w:rsid w:val="00645C65"/>
    <w:rsid w:val="00646CFE"/>
    <w:rsid w:val="00646FEF"/>
    <w:rsid w:val="006470D0"/>
    <w:rsid w:val="00647A57"/>
    <w:rsid w:val="00650791"/>
    <w:rsid w:val="0065151B"/>
    <w:rsid w:val="00651C52"/>
    <w:rsid w:val="00652DE4"/>
    <w:rsid w:val="00653678"/>
    <w:rsid w:val="0065383A"/>
    <w:rsid w:val="00653C5E"/>
    <w:rsid w:val="006548C9"/>
    <w:rsid w:val="00655AC7"/>
    <w:rsid w:val="00655D48"/>
    <w:rsid w:val="006566B5"/>
    <w:rsid w:val="006566F5"/>
    <w:rsid w:val="00656D7E"/>
    <w:rsid w:val="00656D91"/>
    <w:rsid w:val="00657C35"/>
    <w:rsid w:val="006604F8"/>
    <w:rsid w:val="00661ACF"/>
    <w:rsid w:val="00661E50"/>
    <w:rsid w:val="00662143"/>
    <w:rsid w:val="0066223C"/>
    <w:rsid w:val="0066245B"/>
    <w:rsid w:val="00662C38"/>
    <w:rsid w:val="006630AA"/>
    <w:rsid w:val="00663D5D"/>
    <w:rsid w:val="006650DD"/>
    <w:rsid w:val="00665C23"/>
    <w:rsid w:val="00666033"/>
    <w:rsid w:val="006667A9"/>
    <w:rsid w:val="00667705"/>
    <w:rsid w:val="00667BFF"/>
    <w:rsid w:val="00667EBC"/>
    <w:rsid w:val="00670259"/>
    <w:rsid w:val="0067067A"/>
    <w:rsid w:val="00670AD6"/>
    <w:rsid w:val="00670C18"/>
    <w:rsid w:val="00670C1C"/>
    <w:rsid w:val="00670CF7"/>
    <w:rsid w:val="00671478"/>
    <w:rsid w:val="00671691"/>
    <w:rsid w:val="00671CE1"/>
    <w:rsid w:val="00672290"/>
    <w:rsid w:val="00672B27"/>
    <w:rsid w:val="00672DB7"/>
    <w:rsid w:val="00676369"/>
    <w:rsid w:val="006767E4"/>
    <w:rsid w:val="006778E4"/>
    <w:rsid w:val="00680E3E"/>
    <w:rsid w:val="00680FA7"/>
    <w:rsid w:val="00681EB6"/>
    <w:rsid w:val="0068250B"/>
    <w:rsid w:val="00682BA8"/>
    <w:rsid w:val="006832A7"/>
    <w:rsid w:val="006833A1"/>
    <w:rsid w:val="006834FE"/>
    <w:rsid w:val="00684002"/>
    <w:rsid w:val="006861E1"/>
    <w:rsid w:val="00687A49"/>
    <w:rsid w:val="0069011A"/>
    <w:rsid w:val="00690500"/>
    <w:rsid w:val="00690690"/>
    <w:rsid w:val="0069099C"/>
    <w:rsid w:val="0069106D"/>
    <w:rsid w:val="00691A31"/>
    <w:rsid w:val="006923F8"/>
    <w:rsid w:val="00692CCC"/>
    <w:rsid w:val="006932F8"/>
    <w:rsid w:val="00693B8C"/>
    <w:rsid w:val="00694E5B"/>
    <w:rsid w:val="00694F84"/>
    <w:rsid w:val="006956BC"/>
    <w:rsid w:val="00696285"/>
    <w:rsid w:val="00697ABB"/>
    <w:rsid w:val="006A03C2"/>
    <w:rsid w:val="006A04FA"/>
    <w:rsid w:val="006A1345"/>
    <w:rsid w:val="006A1AF4"/>
    <w:rsid w:val="006A2307"/>
    <w:rsid w:val="006A26EA"/>
    <w:rsid w:val="006A2883"/>
    <w:rsid w:val="006A2CEB"/>
    <w:rsid w:val="006A2D5C"/>
    <w:rsid w:val="006A3636"/>
    <w:rsid w:val="006A364C"/>
    <w:rsid w:val="006A536F"/>
    <w:rsid w:val="006A57B1"/>
    <w:rsid w:val="006A5E71"/>
    <w:rsid w:val="006A7BCA"/>
    <w:rsid w:val="006B0152"/>
    <w:rsid w:val="006B0497"/>
    <w:rsid w:val="006B1738"/>
    <w:rsid w:val="006B314B"/>
    <w:rsid w:val="006B3FAD"/>
    <w:rsid w:val="006B4227"/>
    <w:rsid w:val="006B4540"/>
    <w:rsid w:val="006B4A70"/>
    <w:rsid w:val="006B567A"/>
    <w:rsid w:val="006B5B50"/>
    <w:rsid w:val="006B5FF3"/>
    <w:rsid w:val="006B6AD8"/>
    <w:rsid w:val="006B6BCD"/>
    <w:rsid w:val="006B79C1"/>
    <w:rsid w:val="006B7B1D"/>
    <w:rsid w:val="006C0342"/>
    <w:rsid w:val="006C11C2"/>
    <w:rsid w:val="006C27F6"/>
    <w:rsid w:val="006C3283"/>
    <w:rsid w:val="006C343F"/>
    <w:rsid w:val="006C3574"/>
    <w:rsid w:val="006C3DF8"/>
    <w:rsid w:val="006C5AA7"/>
    <w:rsid w:val="006C646B"/>
    <w:rsid w:val="006C6EF5"/>
    <w:rsid w:val="006C716B"/>
    <w:rsid w:val="006C73C5"/>
    <w:rsid w:val="006C78B2"/>
    <w:rsid w:val="006C7DEB"/>
    <w:rsid w:val="006D032D"/>
    <w:rsid w:val="006D0CE8"/>
    <w:rsid w:val="006D18AE"/>
    <w:rsid w:val="006D1E82"/>
    <w:rsid w:val="006D2936"/>
    <w:rsid w:val="006D3379"/>
    <w:rsid w:val="006D3787"/>
    <w:rsid w:val="006D37F8"/>
    <w:rsid w:val="006D46F9"/>
    <w:rsid w:val="006D5E00"/>
    <w:rsid w:val="006D6EC2"/>
    <w:rsid w:val="006D71B4"/>
    <w:rsid w:val="006D71C5"/>
    <w:rsid w:val="006D7719"/>
    <w:rsid w:val="006D7B12"/>
    <w:rsid w:val="006D7BB7"/>
    <w:rsid w:val="006E1EB3"/>
    <w:rsid w:val="006E29A3"/>
    <w:rsid w:val="006E2FE1"/>
    <w:rsid w:val="006E3654"/>
    <w:rsid w:val="006E3B4F"/>
    <w:rsid w:val="006E46C9"/>
    <w:rsid w:val="006E5365"/>
    <w:rsid w:val="006E5ADD"/>
    <w:rsid w:val="006E64CB"/>
    <w:rsid w:val="006E6B8C"/>
    <w:rsid w:val="006E71F3"/>
    <w:rsid w:val="006E794B"/>
    <w:rsid w:val="006E7D71"/>
    <w:rsid w:val="006E7F1E"/>
    <w:rsid w:val="006F0846"/>
    <w:rsid w:val="006F1026"/>
    <w:rsid w:val="006F3687"/>
    <w:rsid w:val="006F5E84"/>
    <w:rsid w:val="007006DA"/>
    <w:rsid w:val="00701F72"/>
    <w:rsid w:val="0070249E"/>
    <w:rsid w:val="00703EAB"/>
    <w:rsid w:val="00704F86"/>
    <w:rsid w:val="0070505D"/>
    <w:rsid w:val="0070518F"/>
    <w:rsid w:val="00705E92"/>
    <w:rsid w:val="00706314"/>
    <w:rsid w:val="007067E5"/>
    <w:rsid w:val="00707777"/>
    <w:rsid w:val="00710C41"/>
    <w:rsid w:val="0071146C"/>
    <w:rsid w:val="00711D4D"/>
    <w:rsid w:val="007124FB"/>
    <w:rsid w:val="00712584"/>
    <w:rsid w:val="007130A6"/>
    <w:rsid w:val="007131DD"/>
    <w:rsid w:val="0071348A"/>
    <w:rsid w:val="00713991"/>
    <w:rsid w:val="00713AF1"/>
    <w:rsid w:val="00713EF1"/>
    <w:rsid w:val="0071450B"/>
    <w:rsid w:val="00714705"/>
    <w:rsid w:val="0071539B"/>
    <w:rsid w:val="00715758"/>
    <w:rsid w:val="0071650B"/>
    <w:rsid w:val="0071657C"/>
    <w:rsid w:val="0071737D"/>
    <w:rsid w:val="00717D97"/>
    <w:rsid w:val="00720C62"/>
    <w:rsid w:val="007214C0"/>
    <w:rsid w:val="007216AF"/>
    <w:rsid w:val="007232DD"/>
    <w:rsid w:val="007233A3"/>
    <w:rsid w:val="0072417D"/>
    <w:rsid w:val="0072428F"/>
    <w:rsid w:val="007242D6"/>
    <w:rsid w:val="00724615"/>
    <w:rsid w:val="00725113"/>
    <w:rsid w:val="00725545"/>
    <w:rsid w:val="007260BD"/>
    <w:rsid w:val="00726765"/>
    <w:rsid w:val="007267AB"/>
    <w:rsid w:val="00726887"/>
    <w:rsid w:val="00726D95"/>
    <w:rsid w:val="007278D7"/>
    <w:rsid w:val="007279CC"/>
    <w:rsid w:val="00727F82"/>
    <w:rsid w:val="00731CA4"/>
    <w:rsid w:val="0073282E"/>
    <w:rsid w:val="007334CD"/>
    <w:rsid w:val="00734F6F"/>
    <w:rsid w:val="007364F5"/>
    <w:rsid w:val="007366A0"/>
    <w:rsid w:val="0074088C"/>
    <w:rsid w:val="00741448"/>
    <w:rsid w:val="00741759"/>
    <w:rsid w:val="00742295"/>
    <w:rsid w:val="00742FBD"/>
    <w:rsid w:val="00743508"/>
    <w:rsid w:val="00743CB3"/>
    <w:rsid w:val="00743E76"/>
    <w:rsid w:val="0074435E"/>
    <w:rsid w:val="00744866"/>
    <w:rsid w:val="00745140"/>
    <w:rsid w:val="0074574F"/>
    <w:rsid w:val="007458A1"/>
    <w:rsid w:val="00746756"/>
    <w:rsid w:val="00747DB3"/>
    <w:rsid w:val="00751655"/>
    <w:rsid w:val="007516D7"/>
    <w:rsid w:val="00753374"/>
    <w:rsid w:val="00753A5F"/>
    <w:rsid w:val="00753F68"/>
    <w:rsid w:val="00754AA8"/>
    <w:rsid w:val="00754BBF"/>
    <w:rsid w:val="0075542A"/>
    <w:rsid w:val="0075595B"/>
    <w:rsid w:val="007559B9"/>
    <w:rsid w:val="00755B9C"/>
    <w:rsid w:val="00755CDE"/>
    <w:rsid w:val="00755E97"/>
    <w:rsid w:val="007571D8"/>
    <w:rsid w:val="0076038C"/>
    <w:rsid w:val="007613F4"/>
    <w:rsid w:val="00763791"/>
    <w:rsid w:val="00763B12"/>
    <w:rsid w:val="00764BB4"/>
    <w:rsid w:val="0076514E"/>
    <w:rsid w:val="00767A6D"/>
    <w:rsid w:val="00771FF4"/>
    <w:rsid w:val="0077281B"/>
    <w:rsid w:val="00772C8C"/>
    <w:rsid w:val="00773AAD"/>
    <w:rsid w:val="00773DF2"/>
    <w:rsid w:val="00774045"/>
    <w:rsid w:val="0077409C"/>
    <w:rsid w:val="007757FF"/>
    <w:rsid w:val="0077585E"/>
    <w:rsid w:val="00776168"/>
    <w:rsid w:val="007766F8"/>
    <w:rsid w:val="00776743"/>
    <w:rsid w:val="00776BA6"/>
    <w:rsid w:val="00776F63"/>
    <w:rsid w:val="0078015C"/>
    <w:rsid w:val="00781269"/>
    <w:rsid w:val="00781C26"/>
    <w:rsid w:val="007820E9"/>
    <w:rsid w:val="00782362"/>
    <w:rsid w:val="00782527"/>
    <w:rsid w:val="00782B5F"/>
    <w:rsid w:val="007831A0"/>
    <w:rsid w:val="007831C4"/>
    <w:rsid w:val="00783BAB"/>
    <w:rsid w:val="00784D73"/>
    <w:rsid w:val="00785516"/>
    <w:rsid w:val="00785A58"/>
    <w:rsid w:val="00785CFD"/>
    <w:rsid w:val="00785EF1"/>
    <w:rsid w:val="00785FC7"/>
    <w:rsid w:val="007863BC"/>
    <w:rsid w:val="00787BF9"/>
    <w:rsid w:val="00792492"/>
    <w:rsid w:val="007934B1"/>
    <w:rsid w:val="007938AC"/>
    <w:rsid w:val="0079393C"/>
    <w:rsid w:val="00793A70"/>
    <w:rsid w:val="00793C00"/>
    <w:rsid w:val="007944C2"/>
    <w:rsid w:val="007946AB"/>
    <w:rsid w:val="0079509D"/>
    <w:rsid w:val="00795A21"/>
    <w:rsid w:val="007962E2"/>
    <w:rsid w:val="00796DBA"/>
    <w:rsid w:val="00797692"/>
    <w:rsid w:val="007979A6"/>
    <w:rsid w:val="00797C8D"/>
    <w:rsid w:val="007A0122"/>
    <w:rsid w:val="007A0AF9"/>
    <w:rsid w:val="007A0DE2"/>
    <w:rsid w:val="007A0F68"/>
    <w:rsid w:val="007A154D"/>
    <w:rsid w:val="007A170A"/>
    <w:rsid w:val="007A1808"/>
    <w:rsid w:val="007A1915"/>
    <w:rsid w:val="007A225F"/>
    <w:rsid w:val="007A25ED"/>
    <w:rsid w:val="007A27AA"/>
    <w:rsid w:val="007A2EA1"/>
    <w:rsid w:val="007A35CE"/>
    <w:rsid w:val="007A361B"/>
    <w:rsid w:val="007A368C"/>
    <w:rsid w:val="007A3885"/>
    <w:rsid w:val="007A3E98"/>
    <w:rsid w:val="007A3FAE"/>
    <w:rsid w:val="007A46A2"/>
    <w:rsid w:val="007A471E"/>
    <w:rsid w:val="007A50EC"/>
    <w:rsid w:val="007A5F2F"/>
    <w:rsid w:val="007A7225"/>
    <w:rsid w:val="007A78F5"/>
    <w:rsid w:val="007A799F"/>
    <w:rsid w:val="007B0C2A"/>
    <w:rsid w:val="007B11EA"/>
    <w:rsid w:val="007B16C4"/>
    <w:rsid w:val="007B1834"/>
    <w:rsid w:val="007B2654"/>
    <w:rsid w:val="007B2E89"/>
    <w:rsid w:val="007B3A39"/>
    <w:rsid w:val="007B3EF7"/>
    <w:rsid w:val="007B3F49"/>
    <w:rsid w:val="007B4871"/>
    <w:rsid w:val="007B5301"/>
    <w:rsid w:val="007B5AF6"/>
    <w:rsid w:val="007B631B"/>
    <w:rsid w:val="007B6BB8"/>
    <w:rsid w:val="007B74B4"/>
    <w:rsid w:val="007B7657"/>
    <w:rsid w:val="007B76B1"/>
    <w:rsid w:val="007B7976"/>
    <w:rsid w:val="007C05CA"/>
    <w:rsid w:val="007C17A6"/>
    <w:rsid w:val="007C1D8E"/>
    <w:rsid w:val="007C252F"/>
    <w:rsid w:val="007C2CEB"/>
    <w:rsid w:val="007C2D5D"/>
    <w:rsid w:val="007C2D7D"/>
    <w:rsid w:val="007C2DD5"/>
    <w:rsid w:val="007C372E"/>
    <w:rsid w:val="007C43E9"/>
    <w:rsid w:val="007C5F0B"/>
    <w:rsid w:val="007C6843"/>
    <w:rsid w:val="007C6BC1"/>
    <w:rsid w:val="007C6CEA"/>
    <w:rsid w:val="007C729B"/>
    <w:rsid w:val="007C7853"/>
    <w:rsid w:val="007C795E"/>
    <w:rsid w:val="007D08A0"/>
    <w:rsid w:val="007D0A6D"/>
    <w:rsid w:val="007D18C2"/>
    <w:rsid w:val="007D1CB4"/>
    <w:rsid w:val="007D25FC"/>
    <w:rsid w:val="007D27E4"/>
    <w:rsid w:val="007D2D95"/>
    <w:rsid w:val="007D2EBF"/>
    <w:rsid w:val="007D3A2C"/>
    <w:rsid w:val="007D424F"/>
    <w:rsid w:val="007D5C3A"/>
    <w:rsid w:val="007D63D6"/>
    <w:rsid w:val="007D71B1"/>
    <w:rsid w:val="007E0CFA"/>
    <w:rsid w:val="007E137A"/>
    <w:rsid w:val="007E13D6"/>
    <w:rsid w:val="007E16DA"/>
    <w:rsid w:val="007E1FD1"/>
    <w:rsid w:val="007E23BF"/>
    <w:rsid w:val="007E290D"/>
    <w:rsid w:val="007E2B31"/>
    <w:rsid w:val="007E2CDC"/>
    <w:rsid w:val="007E3860"/>
    <w:rsid w:val="007E3B22"/>
    <w:rsid w:val="007E40CB"/>
    <w:rsid w:val="007E628E"/>
    <w:rsid w:val="007E7956"/>
    <w:rsid w:val="007F09F7"/>
    <w:rsid w:val="007F148F"/>
    <w:rsid w:val="007F16C2"/>
    <w:rsid w:val="007F208A"/>
    <w:rsid w:val="007F2C84"/>
    <w:rsid w:val="007F5719"/>
    <w:rsid w:val="007F606F"/>
    <w:rsid w:val="007F60F1"/>
    <w:rsid w:val="007F6B1A"/>
    <w:rsid w:val="007F7784"/>
    <w:rsid w:val="007F7FAC"/>
    <w:rsid w:val="00802536"/>
    <w:rsid w:val="00802A01"/>
    <w:rsid w:val="00802C50"/>
    <w:rsid w:val="008048BD"/>
    <w:rsid w:val="00804A63"/>
    <w:rsid w:val="00804F48"/>
    <w:rsid w:val="0080619D"/>
    <w:rsid w:val="00807C6D"/>
    <w:rsid w:val="00807E63"/>
    <w:rsid w:val="008101A1"/>
    <w:rsid w:val="008101A2"/>
    <w:rsid w:val="008114F9"/>
    <w:rsid w:val="00812A75"/>
    <w:rsid w:val="00812ADF"/>
    <w:rsid w:val="00813426"/>
    <w:rsid w:val="00813986"/>
    <w:rsid w:val="00813B96"/>
    <w:rsid w:val="00813E5A"/>
    <w:rsid w:val="008142B7"/>
    <w:rsid w:val="00814449"/>
    <w:rsid w:val="00814B37"/>
    <w:rsid w:val="00814B8E"/>
    <w:rsid w:val="00815265"/>
    <w:rsid w:val="00815BDD"/>
    <w:rsid w:val="00815BEE"/>
    <w:rsid w:val="00816D41"/>
    <w:rsid w:val="008173FB"/>
    <w:rsid w:val="008177A1"/>
    <w:rsid w:val="00817883"/>
    <w:rsid w:val="00817B22"/>
    <w:rsid w:val="00820260"/>
    <w:rsid w:val="008205FB"/>
    <w:rsid w:val="00821111"/>
    <w:rsid w:val="008216C0"/>
    <w:rsid w:val="0082199F"/>
    <w:rsid w:val="008242D6"/>
    <w:rsid w:val="00824AE4"/>
    <w:rsid w:val="00825798"/>
    <w:rsid w:val="00827191"/>
    <w:rsid w:val="00827A7C"/>
    <w:rsid w:val="00830A41"/>
    <w:rsid w:val="00831F59"/>
    <w:rsid w:val="00832F4A"/>
    <w:rsid w:val="00833338"/>
    <w:rsid w:val="00833826"/>
    <w:rsid w:val="008338F8"/>
    <w:rsid w:val="0083397D"/>
    <w:rsid w:val="00835F0C"/>
    <w:rsid w:val="008369E7"/>
    <w:rsid w:val="00840762"/>
    <w:rsid w:val="00840886"/>
    <w:rsid w:val="008410B1"/>
    <w:rsid w:val="00843CE2"/>
    <w:rsid w:val="00844EE2"/>
    <w:rsid w:val="0084691A"/>
    <w:rsid w:val="00846A56"/>
    <w:rsid w:val="00847305"/>
    <w:rsid w:val="00847412"/>
    <w:rsid w:val="00847760"/>
    <w:rsid w:val="00847822"/>
    <w:rsid w:val="00850139"/>
    <w:rsid w:val="008519CB"/>
    <w:rsid w:val="00852DE6"/>
    <w:rsid w:val="0085384E"/>
    <w:rsid w:val="00854174"/>
    <w:rsid w:val="008544A8"/>
    <w:rsid w:val="00856851"/>
    <w:rsid w:val="008568AD"/>
    <w:rsid w:val="0085780F"/>
    <w:rsid w:val="00857F0C"/>
    <w:rsid w:val="00860A31"/>
    <w:rsid w:val="008610E9"/>
    <w:rsid w:val="00861A86"/>
    <w:rsid w:val="00862334"/>
    <w:rsid w:val="008640E1"/>
    <w:rsid w:val="008645B6"/>
    <w:rsid w:val="008649FE"/>
    <w:rsid w:val="00866030"/>
    <w:rsid w:val="0086616F"/>
    <w:rsid w:val="00866CE0"/>
    <w:rsid w:val="00867F76"/>
    <w:rsid w:val="00870EC6"/>
    <w:rsid w:val="0087189C"/>
    <w:rsid w:val="00871910"/>
    <w:rsid w:val="00871D81"/>
    <w:rsid w:val="008720E7"/>
    <w:rsid w:val="00872780"/>
    <w:rsid w:val="00872B32"/>
    <w:rsid w:val="00873021"/>
    <w:rsid w:val="008730CC"/>
    <w:rsid w:val="008730DB"/>
    <w:rsid w:val="00873117"/>
    <w:rsid w:val="00873C31"/>
    <w:rsid w:val="00874B62"/>
    <w:rsid w:val="00874D3C"/>
    <w:rsid w:val="0087603F"/>
    <w:rsid w:val="008761C5"/>
    <w:rsid w:val="0087664F"/>
    <w:rsid w:val="008767BA"/>
    <w:rsid w:val="00877C1F"/>
    <w:rsid w:val="00880B54"/>
    <w:rsid w:val="00881956"/>
    <w:rsid w:val="00882306"/>
    <w:rsid w:val="00883855"/>
    <w:rsid w:val="0088391D"/>
    <w:rsid w:val="00883EBB"/>
    <w:rsid w:val="00884039"/>
    <w:rsid w:val="00885C9C"/>
    <w:rsid w:val="008865FA"/>
    <w:rsid w:val="00887172"/>
    <w:rsid w:val="008879A3"/>
    <w:rsid w:val="00887E32"/>
    <w:rsid w:val="00891198"/>
    <w:rsid w:val="00892B02"/>
    <w:rsid w:val="0089353E"/>
    <w:rsid w:val="008935D7"/>
    <w:rsid w:val="00893886"/>
    <w:rsid w:val="00894050"/>
    <w:rsid w:val="00894E61"/>
    <w:rsid w:val="00895037"/>
    <w:rsid w:val="008952EE"/>
    <w:rsid w:val="0089567A"/>
    <w:rsid w:val="0089578B"/>
    <w:rsid w:val="008958F7"/>
    <w:rsid w:val="008960E7"/>
    <w:rsid w:val="00897E82"/>
    <w:rsid w:val="008A0CD5"/>
    <w:rsid w:val="008A0F54"/>
    <w:rsid w:val="008A17DD"/>
    <w:rsid w:val="008A1BE0"/>
    <w:rsid w:val="008A1D4D"/>
    <w:rsid w:val="008A29B9"/>
    <w:rsid w:val="008A34FB"/>
    <w:rsid w:val="008A353F"/>
    <w:rsid w:val="008A3C83"/>
    <w:rsid w:val="008A4961"/>
    <w:rsid w:val="008A504C"/>
    <w:rsid w:val="008A50F6"/>
    <w:rsid w:val="008A5431"/>
    <w:rsid w:val="008A5E60"/>
    <w:rsid w:val="008A68DA"/>
    <w:rsid w:val="008A6EA2"/>
    <w:rsid w:val="008A7E00"/>
    <w:rsid w:val="008A7EDC"/>
    <w:rsid w:val="008B10EC"/>
    <w:rsid w:val="008B1C57"/>
    <w:rsid w:val="008B289A"/>
    <w:rsid w:val="008B290F"/>
    <w:rsid w:val="008B30D2"/>
    <w:rsid w:val="008B331F"/>
    <w:rsid w:val="008B40FE"/>
    <w:rsid w:val="008B41B3"/>
    <w:rsid w:val="008B4470"/>
    <w:rsid w:val="008B536B"/>
    <w:rsid w:val="008B58AB"/>
    <w:rsid w:val="008B59DB"/>
    <w:rsid w:val="008B5B5E"/>
    <w:rsid w:val="008B5D36"/>
    <w:rsid w:val="008B65EA"/>
    <w:rsid w:val="008B6783"/>
    <w:rsid w:val="008B6ABF"/>
    <w:rsid w:val="008B7CCB"/>
    <w:rsid w:val="008C0870"/>
    <w:rsid w:val="008C1007"/>
    <w:rsid w:val="008C22BD"/>
    <w:rsid w:val="008C24EE"/>
    <w:rsid w:val="008C3362"/>
    <w:rsid w:val="008C3552"/>
    <w:rsid w:val="008C3658"/>
    <w:rsid w:val="008C3DDB"/>
    <w:rsid w:val="008C4026"/>
    <w:rsid w:val="008C4EEC"/>
    <w:rsid w:val="008C58B3"/>
    <w:rsid w:val="008C593B"/>
    <w:rsid w:val="008C5DFB"/>
    <w:rsid w:val="008C647F"/>
    <w:rsid w:val="008C6857"/>
    <w:rsid w:val="008C6D0C"/>
    <w:rsid w:val="008D0882"/>
    <w:rsid w:val="008D09F7"/>
    <w:rsid w:val="008D0D26"/>
    <w:rsid w:val="008D0E9A"/>
    <w:rsid w:val="008D364C"/>
    <w:rsid w:val="008D37FC"/>
    <w:rsid w:val="008D464A"/>
    <w:rsid w:val="008D5649"/>
    <w:rsid w:val="008D7892"/>
    <w:rsid w:val="008E012A"/>
    <w:rsid w:val="008E0329"/>
    <w:rsid w:val="008E1806"/>
    <w:rsid w:val="008E1E20"/>
    <w:rsid w:val="008E33CA"/>
    <w:rsid w:val="008E37E3"/>
    <w:rsid w:val="008E46DC"/>
    <w:rsid w:val="008E4998"/>
    <w:rsid w:val="008E5686"/>
    <w:rsid w:val="008E5EDC"/>
    <w:rsid w:val="008E6168"/>
    <w:rsid w:val="008E7026"/>
    <w:rsid w:val="008F0AAF"/>
    <w:rsid w:val="008F0C8F"/>
    <w:rsid w:val="008F14E2"/>
    <w:rsid w:val="008F17F6"/>
    <w:rsid w:val="008F1BE6"/>
    <w:rsid w:val="008F24A2"/>
    <w:rsid w:val="008F2799"/>
    <w:rsid w:val="008F2855"/>
    <w:rsid w:val="008F3ECB"/>
    <w:rsid w:val="008F45E9"/>
    <w:rsid w:val="008F4FEF"/>
    <w:rsid w:val="008F5E37"/>
    <w:rsid w:val="008F6303"/>
    <w:rsid w:val="008F65D6"/>
    <w:rsid w:val="008F6669"/>
    <w:rsid w:val="008F6D07"/>
    <w:rsid w:val="008F7442"/>
    <w:rsid w:val="008F7763"/>
    <w:rsid w:val="00900010"/>
    <w:rsid w:val="0090074C"/>
    <w:rsid w:val="00900EED"/>
    <w:rsid w:val="00902BB6"/>
    <w:rsid w:val="009039F3"/>
    <w:rsid w:val="00903B97"/>
    <w:rsid w:val="0090409E"/>
    <w:rsid w:val="00904DDF"/>
    <w:rsid w:val="00904EFD"/>
    <w:rsid w:val="00905DB6"/>
    <w:rsid w:val="00906559"/>
    <w:rsid w:val="00906E22"/>
    <w:rsid w:val="00907AAC"/>
    <w:rsid w:val="00910CCB"/>
    <w:rsid w:val="009122F9"/>
    <w:rsid w:val="009131E1"/>
    <w:rsid w:val="0091373D"/>
    <w:rsid w:val="00913767"/>
    <w:rsid w:val="00913A99"/>
    <w:rsid w:val="00914248"/>
    <w:rsid w:val="009146A9"/>
    <w:rsid w:val="0091593A"/>
    <w:rsid w:val="00915A91"/>
    <w:rsid w:val="00915EA2"/>
    <w:rsid w:val="009163FB"/>
    <w:rsid w:val="00920135"/>
    <w:rsid w:val="009211E4"/>
    <w:rsid w:val="00921623"/>
    <w:rsid w:val="009217D1"/>
    <w:rsid w:val="00921943"/>
    <w:rsid w:val="00921F73"/>
    <w:rsid w:val="00921FEC"/>
    <w:rsid w:val="00922AC2"/>
    <w:rsid w:val="0092481F"/>
    <w:rsid w:val="00924BC1"/>
    <w:rsid w:val="00925FA0"/>
    <w:rsid w:val="00925FFF"/>
    <w:rsid w:val="009264DE"/>
    <w:rsid w:val="009272A8"/>
    <w:rsid w:val="00927499"/>
    <w:rsid w:val="0092771A"/>
    <w:rsid w:val="00927772"/>
    <w:rsid w:val="0092784F"/>
    <w:rsid w:val="00927A41"/>
    <w:rsid w:val="00927FAD"/>
    <w:rsid w:val="0093099A"/>
    <w:rsid w:val="00930D37"/>
    <w:rsid w:val="00931636"/>
    <w:rsid w:val="00931747"/>
    <w:rsid w:val="009320C5"/>
    <w:rsid w:val="00934615"/>
    <w:rsid w:val="00935205"/>
    <w:rsid w:val="00936962"/>
    <w:rsid w:val="00936AF5"/>
    <w:rsid w:val="009370F3"/>
    <w:rsid w:val="0093733D"/>
    <w:rsid w:val="009374EA"/>
    <w:rsid w:val="00937692"/>
    <w:rsid w:val="00940053"/>
    <w:rsid w:val="0094131A"/>
    <w:rsid w:val="009419F8"/>
    <w:rsid w:val="0094336F"/>
    <w:rsid w:val="0094426B"/>
    <w:rsid w:val="00944844"/>
    <w:rsid w:val="0094496D"/>
    <w:rsid w:val="0094611C"/>
    <w:rsid w:val="009461F6"/>
    <w:rsid w:val="00947049"/>
    <w:rsid w:val="00947CBD"/>
    <w:rsid w:val="00950315"/>
    <w:rsid w:val="0095031C"/>
    <w:rsid w:val="009509F3"/>
    <w:rsid w:val="00951F09"/>
    <w:rsid w:val="00952E5A"/>
    <w:rsid w:val="0095330B"/>
    <w:rsid w:val="009533F6"/>
    <w:rsid w:val="009538EF"/>
    <w:rsid w:val="009551DA"/>
    <w:rsid w:val="00955CFD"/>
    <w:rsid w:val="0095638A"/>
    <w:rsid w:val="009576FE"/>
    <w:rsid w:val="0095773F"/>
    <w:rsid w:val="00957CFE"/>
    <w:rsid w:val="00957F8C"/>
    <w:rsid w:val="00961188"/>
    <w:rsid w:val="0096144A"/>
    <w:rsid w:val="00961E71"/>
    <w:rsid w:val="009638C3"/>
    <w:rsid w:val="00964552"/>
    <w:rsid w:val="00965784"/>
    <w:rsid w:val="009659E8"/>
    <w:rsid w:val="00965AA5"/>
    <w:rsid w:val="00966111"/>
    <w:rsid w:val="009663B2"/>
    <w:rsid w:val="00966B7D"/>
    <w:rsid w:val="00967364"/>
    <w:rsid w:val="00967AEC"/>
    <w:rsid w:val="00967BDC"/>
    <w:rsid w:val="00970A58"/>
    <w:rsid w:val="00970B7D"/>
    <w:rsid w:val="00971450"/>
    <w:rsid w:val="009743D2"/>
    <w:rsid w:val="00974B5F"/>
    <w:rsid w:val="0097528A"/>
    <w:rsid w:val="009758CC"/>
    <w:rsid w:val="009767AA"/>
    <w:rsid w:val="00976B79"/>
    <w:rsid w:val="00977BA3"/>
    <w:rsid w:val="00980688"/>
    <w:rsid w:val="0098085B"/>
    <w:rsid w:val="009827AA"/>
    <w:rsid w:val="00982AA3"/>
    <w:rsid w:val="00982C4A"/>
    <w:rsid w:val="00982FDF"/>
    <w:rsid w:val="00983675"/>
    <w:rsid w:val="00983E50"/>
    <w:rsid w:val="00983F20"/>
    <w:rsid w:val="00985A8D"/>
    <w:rsid w:val="00985BA9"/>
    <w:rsid w:val="00985D7A"/>
    <w:rsid w:val="0098634C"/>
    <w:rsid w:val="009871EA"/>
    <w:rsid w:val="00990370"/>
    <w:rsid w:val="00990666"/>
    <w:rsid w:val="009918C4"/>
    <w:rsid w:val="00992EAE"/>
    <w:rsid w:val="00994F24"/>
    <w:rsid w:val="00994F29"/>
    <w:rsid w:val="009960AE"/>
    <w:rsid w:val="00996BF4"/>
    <w:rsid w:val="00996F4B"/>
    <w:rsid w:val="00997156"/>
    <w:rsid w:val="0099731B"/>
    <w:rsid w:val="009A036E"/>
    <w:rsid w:val="009A2B38"/>
    <w:rsid w:val="009A3B40"/>
    <w:rsid w:val="009A3D67"/>
    <w:rsid w:val="009A41E4"/>
    <w:rsid w:val="009A4688"/>
    <w:rsid w:val="009A4CA4"/>
    <w:rsid w:val="009A64D1"/>
    <w:rsid w:val="009A6880"/>
    <w:rsid w:val="009A72EA"/>
    <w:rsid w:val="009B174F"/>
    <w:rsid w:val="009B17C6"/>
    <w:rsid w:val="009B1F05"/>
    <w:rsid w:val="009B275C"/>
    <w:rsid w:val="009B44D9"/>
    <w:rsid w:val="009B57E1"/>
    <w:rsid w:val="009B5A6F"/>
    <w:rsid w:val="009B78C7"/>
    <w:rsid w:val="009B7E86"/>
    <w:rsid w:val="009C00E0"/>
    <w:rsid w:val="009C0A87"/>
    <w:rsid w:val="009C1C56"/>
    <w:rsid w:val="009C239F"/>
    <w:rsid w:val="009C240D"/>
    <w:rsid w:val="009C2F4D"/>
    <w:rsid w:val="009C3014"/>
    <w:rsid w:val="009C3738"/>
    <w:rsid w:val="009C3905"/>
    <w:rsid w:val="009C4212"/>
    <w:rsid w:val="009C64CE"/>
    <w:rsid w:val="009C6DCA"/>
    <w:rsid w:val="009C7F43"/>
    <w:rsid w:val="009D035C"/>
    <w:rsid w:val="009D063A"/>
    <w:rsid w:val="009D06AC"/>
    <w:rsid w:val="009D075D"/>
    <w:rsid w:val="009D094F"/>
    <w:rsid w:val="009D0ABD"/>
    <w:rsid w:val="009D2095"/>
    <w:rsid w:val="009D2344"/>
    <w:rsid w:val="009D2C5B"/>
    <w:rsid w:val="009D33B9"/>
    <w:rsid w:val="009D382E"/>
    <w:rsid w:val="009D507A"/>
    <w:rsid w:val="009D52AD"/>
    <w:rsid w:val="009D6511"/>
    <w:rsid w:val="009D7188"/>
    <w:rsid w:val="009D7519"/>
    <w:rsid w:val="009D78C0"/>
    <w:rsid w:val="009E0363"/>
    <w:rsid w:val="009E03D8"/>
    <w:rsid w:val="009E05A7"/>
    <w:rsid w:val="009E0C6C"/>
    <w:rsid w:val="009E174E"/>
    <w:rsid w:val="009E1C80"/>
    <w:rsid w:val="009E1CB3"/>
    <w:rsid w:val="009E1F89"/>
    <w:rsid w:val="009E2B96"/>
    <w:rsid w:val="009E2D7E"/>
    <w:rsid w:val="009E364F"/>
    <w:rsid w:val="009E3E42"/>
    <w:rsid w:val="009E3E73"/>
    <w:rsid w:val="009E3F4A"/>
    <w:rsid w:val="009E435C"/>
    <w:rsid w:val="009E46B1"/>
    <w:rsid w:val="009E5292"/>
    <w:rsid w:val="009E57BB"/>
    <w:rsid w:val="009E63A6"/>
    <w:rsid w:val="009E6D08"/>
    <w:rsid w:val="009E76D2"/>
    <w:rsid w:val="009E7E15"/>
    <w:rsid w:val="009F02E1"/>
    <w:rsid w:val="009F0324"/>
    <w:rsid w:val="009F1A2B"/>
    <w:rsid w:val="009F207F"/>
    <w:rsid w:val="009F2746"/>
    <w:rsid w:val="009F38FE"/>
    <w:rsid w:val="009F4197"/>
    <w:rsid w:val="009F4719"/>
    <w:rsid w:val="009F56E7"/>
    <w:rsid w:val="009F5980"/>
    <w:rsid w:val="009F60BA"/>
    <w:rsid w:val="009F7C65"/>
    <w:rsid w:val="00A00063"/>
    <w:rsid w:val="00A0045D"/>
    <w:rsid w:val="00A008F9"/>
    <w:rsid w:val="00A00C7B"/>
    <w:rsid w:val="00A00E31"/>
    <w:rsid w:val="00A015B6"/>
    <w:rsid w:val="00A027C3"/>
    <w:rsid w:val="00A02CA5"/>
    <w:rsid w:val="00A03188"/>
    <w:rsid w:val="00A03A2F"/>
    <w:rsid w:val="00A04012"/>
    <w:rsid w:val="00A04513"/>
    <w:rsid w:val="00A046E6"/>
    <w:rsid w:val="00A04C8C"/>
    <w:rsid w:val="00A054CD"/>
    <w:rsid w:val="00A0570E"/>
    <w:rsid w:val="00A05F10"/>
    <w:rsid w:val="00A0621A"/>
    <w:rsid w:val="00A10F47"/>
    <w:rsid w:val="00A11B2C"/>
    <w:rsid w:val="00A1218F"/>
    <w:rsid w:val="00A16ABE"/>
    <w:rsid w:val="00A16B00"/>
    <w:rsid w:val="00A16D26"/>
    <w:rsid w:val="00A16D8F"/>
    <w:rsid w:val="00A176B4"/>
    <w:rsid w:val="00A17951"/>
    <w:rsid w:val="00A201B8"/>
    <w:rsid w:val="00A22180"/>
    <w:rsid w:val="00A229A5"/>
    <w:rsid w:val="00A23735"/>
    <w:rsid w:val="00A24C68"/>
    <w:rsid w:val="00A24E60"/>
    <w:rsid w:val="00A2565F"/>
    <w:rsid w:val="00A25770"/>
    <w:rsid w:val="00A25D75"/>
    <w:rsid w:val="00A26336"/>
    <w:rsid w:val="00A26F9E"/>
    <w:rsid w:val="00A30261"/>
    <w:rsid w:val="00A30E05"/>
    <w:rsid w:val="00A30E43"/>
    <w:rsid w:val="00A3112E"/>
    <w:rsid w:val="00A317FF"/>
    <w:rsid w:val="00A319B0"/>
    <w:rsid w:val="00A320F0"/>
    <w:rsid w:val="00A32C3F"/>
    <w:rsid w:val="00A33060"/>
    <w:rsid w:val="00A33521"/>
    <w:rsid w:val="00A34308"/>
    <w:rsid w:val="00A35855"/>
    <w:rsid w:val="00A36878"/>
    <w:rsid w:val="00A368F6"/>
    <w:rsid w:val="00A36F42"/>
    <w:rsid w:val="00A37ABA"/>
    <w:rsid w:val="00A40675"/>
    <w:rsid w:val="00A40C4C"/>
    <w:rsid w:val="00A41481"/>
    <w:rsid w:val="00A41597"/>
    <w:rsid w:val="00A41E47"/>
    <w:rsid w:val="00A438F8"/>
    <w:rsid w:val="00A4406A"/>
    <w:rsid w:val="00A451B8"/>
    <w:rsid w:val="00A45C95"/>
    <w:rsid w:val="00A50182"/>
    <w:rsid w:val="00A50E50"/>
    <w:rsid w:val="00A5159A"/>
    <w:rsid w:val="00A51994"/>
    <w:rsid w:val="00A522B0"/>
    <w:rsid w:val="00A52398"/>
    <w:rsid w:val="00A53C1E"/>
    <w:rsid w:val="00A540C8"/>
    <w:rsid w:val="00A55F07"/>
    <w:rsid w:val="00A5666D"/>
    <w:rsid w:val="00A57902"/>
    <w:rsid w:val="00A57EF6"/>
    <w:rsid w:val="00A60AB4"/>
    <w:rsid w:val="00A62F40"/>
    <w:rsid w:val="00A63893"/>
    <w:rsid w:val="00A639CF"/>
    <w:rsid w:val="00A63D0A"/>
    <w:rsid w:val="00A63E19"/>
    <w:rsid w:val="00A65B42"/>
    <w:rsid w:val="00A66DAA"/>
    <w:rsid w:val="00A67708"/>
    <w:rsid w:val="00A67ACD"/>
    <w:rsid w:val="00A709F3"/>
    <w:rsid w:val="00A723DC"/>
    <w:rsid w:val="00A724F8"/>
    <w:rsid w:val="00A72723"/>
    <w:rsid w:val="00A7278F"/>
    <w:rsid w:val="00A7353F"/>
    <w:rsid w:val="00A737C2"/>
    <w:rsid w:val="00A74355"/>
    <w:rsid w:val="00A7457A"/>
    <w:rsid w:val="00A74979"/>
    <w:rsid w:val="00A75945"/>
    <w:rsid w:val="00A76170"/>
    <w:rsid w:val="00A76AD9"/>
    <w:rsid w:val="00A77773"/>
    <w:rsid w:val="00A80D09"/>
    <w:rsid w:val="00A82431"/>
    <w:rsid w:val="00A8465E"/>
    <w:rsid w:val="00A85734"/>
    <w:rsid w:val="00A86ABA"/>
    <w:rsid w:val="00A86EFE"/>
    <w:rsid w:val="00A90FAE"/>
    <w:rsid w:val="00A91D9A"/>
    <w:rsid w:val="00A927D7"/>
    <w:rsid w:val="00A927EB"/>
    <w:rsid w:val="00A930FA"/>
    <w:rsid w:val="00A9386D"/>
    <w:rsid w:val="00A947F5"/>
    <w:rsid w:val="00A95EC7"/>
    <w:rsid w:val="00A95FAD"/>
    <w:rsid w:val="00A96162"/>
    <w:rsid w:val="00A96449"/>
    <w:rsid w:val="00A96885"/>
    <w:rsid w:val="00A97FE3"/>
    <w:rsid w:val="00AA0B07"/>
    <w:rsid w:val="00AA10AD"/>
    <w:rsid w:val="00AA1476"/>
    <w:rsid w:val="00AA1ED3"/>
    <w:rsid w:val="00AA2811"/>
    <w:rsid w:val="00AA62F9"/>
    <w:rsid w:val="00AA6484"/>
    <w:rsid w:val="00AA6621"/>
    <w:rsid w:val="00AA6EFC"/>
    <w:rsid w:val="00AA72A0"/>
    <w:rsid w:val="00AB0097"/>
    <w:rsid w:val="00AB035A"/>
    <w:rsid w:val="00AB095C"/>
    <w:rsid w:val="00AB0E03"/>
    <w:rsid w:val="00AB1154"/>
    <w:rsid w:val="00AB153D"/>
    <w:rsid w:val="00AB189A"/>
    <w:rsid w:val="00AB1FF2"/>
    <w:rsid w:val="00AB30C4"/>
    <w:rsid w:val="00AB34AB"/>
    <w:rsid w:val="00AB6225"/>
    <w:rsid w:val="00AC01AC"/>
    <w:rsid w:val="00AC1ABD"/>
    <w:rsid w:val="00AC1DA1"/>
    <w:rsid w:val="00AC20CE"/>
    <w:rsid w:val="00AC224C"/>
    <w:rsid w:val="00AC29C5"/>
    <w:rsid w:val="00AC315C"/>
    <w:rsid w:val="00AC33A9"/>
    <w:rsid w:val="00AC39EF"/>
    <w:rsid w:val="00AC3A7B"/>
    <w:rsid w:val="00AC432A"/>
    <w:rsid w:val="00AC5106"/>
    <w:rsid w:val="00AC6171"/>
    <w:rsid w:val="00AC6B5E"/>
    <w:rsid w:val="00AC7B29"/>
    <w:rsid w:val="00AD0D1D"/>
    <w:rsid w:val="00AD0ED6"/>
    <w:rsid w:val="00AD1010"/>
    <w:rsid w:val="00AD107A"/>
    <w:rsid w:val="00AD12D4"/>
    <w:rsid w:val="00AD271E"/>
    <w:rsid w:val="00AD27FE"/>
    <w:rsid w:val="00AD2A67"/>
    <w:rsid w:val="00AD38FC"/>
    <w:rsid w:val="00AD4045"/>
    <w:rsid w:val="00AD410F"/>
    <w:rsid w:val="00AD5DE0"/>
    <w:rsid w:val="00AD65B7"/>
    <w:rsid w:val="00AD65EE"/>
    <w:rsid w:val="00AD70AC"/>
    <w:rsid w:val="00AD7C2F"/>
    <w:rsid w:val="00AE05A7"/>
    <w:rsid w:val="00AE08C7"/>
    <w:rsid w:val="00AE440F"/>
    <w:rsid w:val="00AE4628"/>
    <w:rsid w:val="00AE575D"/>
    <w:rsid w:val="00AE5B8E"/>
    <w:rsid w:val="00AE6314"/>
    <w:rsid w:val="00AE755B"/>
    <w:rsid w:val="00AE786B"/>
    <w:rsid w:val="00AE7E86"/>
    <w:rsid w:val="00AF0319"/>
    <w:rsid w:val="00AF0FEC"/>
    <w:rsid w:val="00AF1639"/>
    <w:rsid w:val="00AF1A30"/>
    <w:rsid w:val="00AF2B6D"/>
    <w:rsid w:val="00AF34F9"/>
    <w:rsid w:val="00AF3EF2"/>
    <w:rsid w:val="00AF4F12"/>
    <w:rsid w:val="00AF51DF"/>
    <w:rsid w:val="00AF55E4"/>
    <w:rsid w:val="00AF649F"/>
    <w:rsid w:val="00AF7B74"/>
    <w:rsid w:val="00B03AB8"/>
    <w:rsid w:val="00B03B84"/>
    <w:rsid w:val="00B047D3"/>
    <w:rsid w:val="00B04FE2"/>
    <w:rsid w:val="00B0552C"/>
    <w:rsid w:val="00B057EC"/>
    <w:rsid w:val="00B05EFA"/>
    <w:rsid w:val="00B06024"/>
    <w:rsid w:val="00B066EA"/>
    <w:rsid w:val="00B068F1"/>
    <w:rsid w:val="00B079BE"/>
    <w:rsid w:val="00B1043B"/>
    <w:rsid w:val="00B10839"/>
    <w:rsid w:val="00B1123D"/>
    <w:rsid w:val="00B11DCD"/>
    <w:rsid w:val="00B12D5E"/>
    <w:rsid w:val="00B12F24"/>
    <w:rsid w:val="00B134EA"/>
    <w:rsid w:val="00B13CF1"/>
    <w:rsid w:val="00B142AD"/>
    <w:rsid w:val="00B14D3B"/>
    <w:rsid w:val="00B15341"/>
    <w:rsid w:val="00B157BF"/>
    <w:rsid w:val="00B15B63"/>
    <w:rsid w:val="00B15E15"/>
    <w:rsid w:val="00B16FD4"/>
    <w:rsid w:val="00B175F2"/>
    <w:rsid w:val="00B205B5"/>
    <w:rsid w:val="00B20810"/>
    <w:rsid w:val="00B20FF5"/>
    <w:rsid w:val="00B2207B"/>
    <w:rsid w:val="00B22D4C"/>
    <w:rsid w:val="00B2302F"/>
    <w:rsid w:val="00B24790"/>
    <w:rsid w:val="00B250C0"/>
    <w:rsid w:val="00B253F0"/>
    <w:rsid w:val="00B2562D"/>
    <w:rsid w:val="00B2572E"/>
    <w:rsid w:val="00B25AAA"/>
    <w:rsid w:val="00B25FAA"/>
    <w:rsid w:val="00B26753"/>
    <w:rsid w:val="00B31035"/>
    <w:rsid w:val="00B31714"/>
    <w:rsid w:val="00B32C6B"/>
    <w:rsid w:val="00B32FFD"/>
    <w:rsid w:val="00B331F7"/>
    <w:rsid w:val="00B34CF5"/>
    <w:rsid w:val="00B3536F"/>
    <w:rsid w:val="00B358A5"/>
    <w:rsid w:val="00B35D5C"/>
    <w:rsid w:val="00B364F3"/>
    <w:rsid w:val="00B36796"/>
    <w:rsid w:val="00B36E68"/>
    <w:rsid w:val="00B3700B"/>
    <w:rsid w:val="00B37035"/>
    <w:rsid w:val="00B37704"/>
    <w:rsid w:val="00B37D5F"/>
    <w:rsid w:val="00B4164B"/>
    <w:rsid w:val="00B41B6A"/>
    <w:rsid w:val="00B41E2C"/>
    <w:rsid w:val="00B427A5"/>
    <w:rsid w:val="00B453CC"/>
    <w:rsid w:val="00B45FBB"/>
    <w:rsid w:val="00B460ED"/>
    <w:rsid w:val="00B46DF7"/>
    <w:rsid w:val="00B47657"/>
    <w:rsid w:val="00B47E02"/>
    <w:rsid w:val="00B508FF"/>
    <w:rsid w:val="00B53281"/>
    <w:rsid w:val="00B53886"/>
    <w:rsid w:val="00B5406F"/>
    <w:rsid w:val="00B548EE"/>
    <w:rsid w:val="00B550CB"/>
    <w:rsid w:val="00B5541B"/>
    <w:rsid w:val="00B55645"/>
    <w:rsid w:val="00B56D98"/>
    <w:rsid w:val="00B624FE"/>
    <w:rsid w:val="00B6405B"/>
    <w:rsid w:val="00B6410B"/>
    <w:rsid w:val="00B64AE6"/>
    <w:rsid w:val="00B65008"/>
    <w:rsid w:val="00B65A69"/>
    <w:rsid w:val="00B65C7F"/>
    <w:rsid w:val="00B669B9"/>
    <w:rsid w:val="00B67517"/>
    <w:rsid w:val="00B72508"/>
    <w:rsid w:val="00B727FE"/>
    <w:rsid w:val="00B73016"/>
    <w:rsid w:val="00B731B6"/>
    <w:rsid w:val="00B73A43"/>
    <w:rsid w:val="00B7466C"/>
    <w:rsid w:val="00B7486B"/>
    <w:rsid w:val="00B748AB"/>
    <w:rsid w:val="00B74D93"/>
    <w:rsid w:val="00B74F10"/>
    <w:rsid w:val="00B752B5"/>
    <w:rsid w:val="00B75AD4"/>
    <w:rsid w:val="00B76179"/>
    <w:rsid w:val="00B76FEC"/>
    <w:rsid w:val="00B7746E"/>
    <w:rsid w:val="00B77E4F"/>
    <w:rsid w:val="00B815C1"/>
    <w:rsid w:val="00B81D2C"/>
    <w:rsid w:val="00B81DA9"/>
    <w:rsid w:val="00B82E6D"/>
    <w:rsid w:val="00B84018"/>
    <w:rsid w:val="00B84101"/>
    <w:rsid w:val="00B849AF"/>
    <w:rsid w:val="00B8568F"/>
    <w:rsid w:val="00B85EEB"/>
    <w:rsid w:val="00B862BA"/>
    <w:rsid w:val="00B86903"/>
    <w:rsid w:val="00B86C09"/>
    <w:rsid w:val="00B86CAC"/>
    <w:rsid w:val="00B86DF5"/>
    <w:rsid w:val="00B87382"/>
    <w:rsid w:val="00B87515"/>
    <w:rsid w:val="00B9003F"/>
    <w:rsid w:val="00B90799"/>
    <w:rsid w:val="00B9239C"/>
    <w:rsid w:val="00B92437"/>
    <w:rsid w:val="00B93424"/>
    <w:rsid w:val="00B9373B"/>
    <w:rsid w:val="00B93FFC"/>
    <w:rsid w:val="00B9426F"/>
    <w:rsid w:val="00B9433F"/>
    <w:rsid w:val="00B94992"/>
    <w:rsid w:val="00B953D1"/>
    <w:rsid w:val="00B95689"/>
    <w:rsid w:val="00B95AD9"/>
    <w:rsid w:val="00B95E82"/>
    <w:rsid w:val="00B967EB"/>
    <w:rsid w:val="00B96ECD"/>
    <w:rsid w:val="00B970B5"/>
    <w:rsid w:val="00B97C71"/>
    <w:rsid w:val="00BA03AE"/>
    <w:rsid w:val="00BA09D9"/>
    <w:rsid w:val="00BA2786"/>
    <w:rsid w:val="00BA27BF"/>
    <w:rsid w:val="00BA2DC7"/>
    <w:rsid w:val="00BA3913"/>
    <w:rsid w:val="00BA576A"/>
    <w:rsid w:val="00BA60FE"/>
    <w:rsid w:val="00BA688E"/>
    <w:rsid w:val="00BA74F1"/>
    <w:rsid w:val="00BA7548"/>
    <w:rsid w:val="00BA7553"/>
    <w:rsid w:val="00BA7A69"/>
    <w:rsid w:val="00BB0345"/>
    <w:rsid w:val="00BB15F7"/>
    <w:rsid w:val="00BB23BF"/>
    <w:rsid w:val="00BB27C6"/>
    <w:rsid w:val="00BB2972"/>
    <w:rsid w:val="00BB2B40"/>
    <w:rsid w:val="00BB3531"/>
    <w:rsid w:val="00BB3696"/>
    <w:rsid w:val="00BB3F68"/>
    <w:rsid w:val="00BB4D99"/>
    <w:rsid w:val="00BB564B"/>
    <w:rsid w:val="00BB6E08"/>
    <w:rsid w:val="00BB75AA"/>
    <w:rsid w:val="00BB7CF8"/>
    <w:rsid w:val="00BB7ED0"/>
    <w:rsid w:val="00BC05FF"/>
    <w:rsid w:val="00BC0966"/>
    <w:rsid w:val="00BC13A0"/>
    <w:rsid w:val="00BC16E3"/>
    <w:rsid w:val="00BC1775"/>
    <w:rsid w:val="00BC28A6"/>
    <w:rsid w:val="00BC3ABF"/>
    <w:rsid w:val="00BC427B"/>
    <w:rsid w:val="00BC4C7D"/>
    <w:rsid w:val="00BC4DEF"/>
    <w:rsid w:val="00BC501A"/>
    <w:rsid w:val="00BC5457"/>
    <w:rsid w:val="00BC570A"/>
    <w:rsid w:val="00BC5964"/>
    <w:rsid w:val="00BC5A54"/>
    <w:rsid w:val="00BC5D86"/>
    <w:rsid w:val="00BD10F8"/>
    <w:rsid w:val="00BD1336"/>
    <w:rsid w:val="00BD1D5B"/>
    <w:rsid w:val="00BD2A7A"/>
    <w:rsid w:val="00BD2F6F"/>
    <w:rsid w:val="00BD3353"/>
    <w:rsid w:val="00BD33B9"/>
    <w:rsid w:val="00BD422D"/>
    <w:rsid w:val="00BD44CE"/>
    <w:rsid w:val="00BD5F16"/>
    <w:rsid w:val="00BD6680"/>
    <w:rsid w:val="00BD7AD7"/>
    <w:rsid w:val="00BE05B5"/>
    <w:rsid w:val="00BE07C1"/>
    <w:rsid w:val="00BE2E21"/>
    <w:rsid w:val="00BE433B"/>
    <w:rsid w:val="00BE4B0A"/>
    <w:rsid w:val="00BE4BB6"/>
    <w:rsid w:val="00BE5CC1"/>
    <w:rsid w:val="00BE62FB"/>
    <w:rsid w:val="00BE69C4"/>
    <w:rsid w:val="00BE7252"/>
    <w:rsid w:val="00BE7B69"/>
    <w:rsid w:val="00BF048E"/>
    <w:rsid w:val="00BF05A0"/>
    <w:rsid w:val="00BF0C90"/>
    <w:rsid w:val="00BF10B2"/>
    <w:rsid w:val="00BF14E3"/>
    <w:rsid w:val="00BF1676"/>
    <w:rsid w:val="00BF179E"/>
    <w:rsid w:val="00BF29A8"/>
    <w:rsid w:val="00BF30E2"/>
    <w:rsid w:val="00BF3BC1"/>
    <w:rsid w:val="00BF43C1"/>
    <w:rsid w:val="00BF48AD"/>
    <w:rsid w:val="00BF48D2"/>
    <w:rsid w:val="00BF56E6"/>
    <w:rsid w:val="00C00A2B"/>
    <w:rsid w:val="00C01551"/>
    <w:rsid w:val="00C01C2D"/>
    <w:rsid w:val="00C02089"/>
    <w:rsid w:val="00C034F6"/>
    <w:rsid w:val="00C03C53"/>
    <w:rsid w:val="00C03E77"/>
    <w:rsid w:val="00C0436E"/>
    <w:rsid w:val="00C0457D"/>
    <w:rsid w:val="00C04F54"/>
    <w:rsid w:val="00C06E3E"/>
    <w:rsid w:val="00C1060E"/>
    <w:rsid w:val="00C110CC"/>
    <w:rsid w:val="00C11D2A"/>
    <w:rsid w:val="00C12197"/>
    <w:rsid w:val="00C124D3"/>
    <w:rsid w:val="00C125C4"/>
    <w:rsid w:val="00C132C7"/>
    <w:rsid w:val="00C13F67"/>
    <w:rsid w:val="00C14D0C"/>
    <w:rsid w:val="00C163A1"/>
    <w:rsid w:val="00C171E4"/>
    <w:rsid w:val="00C171F7"/>
    <w:rsid w:val="00C17485"/>
    <w:rsid w:val="00C17D67"/>
    <w:rsid w:val="00C2054F"/>
    <w:rsid w:val="00C209CC"/>
    <w:rsid w:val="00C21DDD"/>
    <w:rsid w:val="00C23924"/>
    <w:rsid w:val="00C2493C"/>
    <w:rsid w:val="00C24B18"/>
    <w:rsid w:val="00C25DF9"/>
    <w:rsid w:val="00C26B78"/>
    <w:rsid w:val="00C270C0"/>
    <w:rsid w:val="00C303D3"/>
    <w:rsid w:val="00C304C5"/>
    <w:rsid w:val="00C314A2"/>
    <w:rsid w:val="00C316EA"/>
    <w:rsid w:val="00C3348D"/>
    <w:rsid w:val="00C337D6"/>
    <w:rsid w:val="00C34362"/>
    <w:rsid w:val="00C34CBE"/>
    <w:rsid w:val="00C34D6F"/>
    <w:rsid w:val="00C35D8C"/>
    <w:rsid w:val="00C36625"/>
    <w:rsid w:val="00C3672A"/>
    <w:rsid w:val="00C36A4B"/>
    <w:rsid w:val="00C37184"/>
    <w:rsid w:val="00C37BF4"/>
    <w:rsid w:val="00C4138A"/>
    <w:rsid w:val="00C41572"/>
    <w:rsid w:val="00C43285"/>
    <w:rsid w:val="00C4385F"/>
    <w:rsid w:val="00C438C0"/>
    <w:rsid w:val="00C44744"/>
    <w:rsid w:val="00C44F91"/>
    <w:rsid w:val="00C45246"/>
    <w:rsid w:val="00C453A9"/>
    <w:rsid w:val="00C45821"/>
    <w:rsid w:val="00C467FD"/>
    <w:rsid w:val="00C46B00"/>
    <w:rsid w:val="00C46F90"/>
    <w:rsid w:val="00C47215"/>
    <w:rsid w:val="00C474A6"/>
    <w:rsid w:val="00C476C3"/>
    <w:rsid w:val="00C47894"/>
    <w:rsid w:val="00C50249"/>
    <w:rsid w:val="00C50B1A"/>
    <w:rsid w:val="00C50C13"/>
    <w:rsid w:val="00C51B5B"/>
    <w:rsid w:val="00C51BBF"/>
    <w:rsid w:val="00C5240C"/>
    <w:rsid w:val="00C5257E"/>
    <w:rsid w:val="00C5387D"/>
    <w:rsid w:val="00C538E6"/>
    <w:rsid w:val="00C539A8"/>
    <w:rsid w:val="00C54629"/>
    <w:rsid w:val="00C54F29"/>
    <w:rsid w:val="00C55539"/>
    <w:rsid w:val="00C56B75"/>
    <w:rsid w:val="00C608F4"/>
    <w:rsid w:val="00C618EF"/>
    <w:rsid w:val="00C62692"/>
    <w:rsid w:val="00C62B16"/>
    <w:rsid w:val="00C62D67"/>
    <w:rsid w:val="00C6376F"/>
    <w:rsid w:val="00C6495B"/>
    <w:rsid w:val="00C65386"/>
    <w:rsid w:val="00C65A2A"/>
    <w:rsid w:val="00C65AD6"/>
    <w:rsid w:val="00C65D73"/>
    <w:rsid w:val="00C67893"/>
    <w:rsid w:val="00C6790B"/>
    <w:rsid w:val="00C67C60"/>
    <w:rsid w:val="00C70128"/>
    <w:rsid w:val="00C710FA"/>
    <w:rsid w:val="00C724E8"/>
    <w:rsid w:val="00C7284A"/>
    <w:rsid w:val="00C72880"/>
    <w:rsid w:val="00C7296B"/>
    <w:rsid w:val="00C732A4"/>
    <w:rsid w:val="00C73CD7"/>
    <w:rsid w:val="00C74DE1"/>
    <w:rsid w:val="00C75AC1"/>
    <w:rsid w:val="00C7653F"/>
    <w:rsid w:val="00C76756"/>
    <w:rsid w:val="00C77EE4"/>
    <w:rsid w:val="00C77FB3"/>
    <w:rsid w:val="00C803EE"/>
    <w:rsid w:val="00C809B5"/>
    <w:rsid w:val="00C80FB9"/>
    <w:rsid w:val="00C8150C"/>
    <w:rsid w:val="00C8153F"/>
    <w:rsid w:val="00C81590"/>
    <w:rsid w:val="00C81B0F"/>
    <w:rsid w:val="00C821DC"/>
    <w:rsid w:val="00C82CC8"/>
    <w:rsid w:val="00C82F8A"/>
    <w:rsid w:val="00C834EF"/>
    <w:rsid w:val="00C83885"/>
    <w:rsid w:val="00C839D8"/>
    <w:rsid w:val="00C83BB3"/>
    <w:rsid w:val="00C849F7"/>
    <w:rsid w:val="00C84DCC"/>
    <w:rsid w:val="00C852D2"/>
    <w:rsid w:val="00C85C5C"/>
    <w:rsid w:val="00C85E25"/>
    <w:rsid w:val="00C86091"/>
    <w:rsid w:val="00C87212"/>
    <w:rsid w:val="00C875A2"/>
    <w:rsid w:val="00C87637"/>
    <w:rsid w:val="00C87664"/>
    <w:rsid w:val="00C87955"/>
    <w:rsid w:val="00C87B43"/>
    <w:rsid w:val="00C90024"/>
    <w:rsid w:val="00C902E0"/>
    <w:rsid w:val="00C90374"/>
    <w:rsid w:val="00C90CED"/>
    <w:rsid w:val="00C927B2"/>
    <w:rsid w:val="00C92971"/>
    <w:rsid w:val="00C937E5"/>
    <w:rsid w:val="00C93D0D"/>
    <w:rsid w:val="00C940D0"/>
    <w:rsid w:val="00C942C2"/>
    <w:rsid w:val="00C96EDF"/>
    <w:rsid w:val="00C9778C"/>
    <w:rsid w:val="00CA10F4"/>
    <w:rsid w:val="00CA267A"/>
    <w:rsid w:val="00CA28DF"/>
    <w:rsid w:val="00CA2FBF"/>
    <w:rsid w:val="00CA3E6E"/>
    <w:rsid w:val="00CA4A65"/>
    <w:rsid w:val="00CA50A2"/>
    <w:rsid w:val="00CA5495"/>
    <w:rsid w:val="00CA6C70"/>
    <w:rsid w:val="00CA79BB"/>
    <w:rsid w:val="00CA7B63"/>
    <w:rsid w:val="00CB0323"/>
    <w:rsid w:val="00CB07BC"/>
    <w:rsid w:val="00CB08AD"/>
    <w:rsid w:val="00CB0F24"/>
    <w:rsid w:val="00CB1027"/>
    <w:rsid w:val="00CB110C"/>
    <w:rsid w:val="00CB1777"/>
    <w:rsid w:val="00CB2370"/>
    <w:rsid w:val="00CB32A3"/>
    <w:rsid w:val="00CB46F3"/>
    <w:rsid w:val="00CB4A99"/>
    <w:rsid w:val="00CB57C7"/>
    <w:rsid w:val="00CB5DC9"/>
    <w:rsid w:val="00CB5FFD"/>
    <w:rsid w:val="00CB7437"/>
    <w:rsid w:val="00CB7E5E"/>
    <w:rsid w:val="00CB7E96"/>
    <w:rsid w:val="00CB7FE1"/>
    <w:rsid w:val="00CC030D"/>
    <w:rsid w:val="00CC0D3E"/>
    <w:rsid w:val="00CC139D"/>
    <w:rsid w:val="00CC1BD2"/>
    <w:rsid w:val="00CC1CA7"/>
    <w:rsid w:val="00CC2120"/>
    <w:rsid w:val="00CC29F1"/>
    <w:rsid w:val="00CC34F8"/>
    <w:rsid w:val="00CC3B2C"/>
    <w:rsid w:val="00CC4D2E"/>
    <w:rsid w:val="00CC52C8"/>
    <w:rsid w:val="00CC5B04"/>
    <w:rsid w:val="00CC6F76"/>
    <w:rsid w:val="00CC7324"/>
    <w:rsid w:val="00CC7829"/>
    <w:rsid w:val="00CC7E65"/>
    <w:rsid w:val="00CD070D"/>
    <w:rsid w:val="00CD0E4A"/>
    <w:rsid w:val="00CD1EE5"/>
    <w:rsid w:val="00CD23D4"/>
    <w:rsid w:val="00CD4A0C"/>
    <w:rsid w:val="00CD4AAF"/>
    <w:rsid w:val="00CD5E46"/>
    <w:rsid w:val="00CD6BFB"/>
    <w:rsid w:val="00CD7B1A"/>
    <w:rsid w:val="00CE046A"/>
    <w:rsid w:val="00CE126C"/>
    <w:rsid w:val="00CE1ABA"/>
    <w:rsid w:val="00CE2C92"/>
    <w:rsid w:val="00CE2CBE"/>
    <w:rsid w:val="00CE2FDF"/>
    <w:rsid w:val="00CE4193"/>
    <w:rsid w:val="00CE4735"/>
    <w:rsid w:val="00CE4FE2"/>
    <w:rsid w:val="00CE5A68"/>
    <w:rsid w:val="00CE637A"/>
    <w:rsid w:val="00CE6608"/>
    <w:rsid w:val="00CE68B8"/>
    <w:rsid w:val="00CE6E53"/>
    <w:rsid w:val="00CE73FE"/>
    <w:rsid w:val="00CE748D"/>
    <w:rsid w:val="00CE7AE6"/>
    <w:rsid w:val="00CE7D19"/>
    <w:rsid w:val="00CE7F4B"/>
    <w:rsid w:val="00CF04D8"/>
    <w:rsid w:val="00CF0FBA"/>
    <w:rsid w:val="00CF210B"/>
    <w:rsid w:val="00CF3639"/>
    <w:rsid w:val="00CF3AE1"/>
    <w:rsid w:val="00CF51C5"/>
    <w:rsid w:val="00CF51FC"/>
    <w:rsid w:val="00CF57ED"/>
    <w:rsid w:val="00CF6394"/>
    <w:rsid w:val="00CF6666"/>
    <w:rsid w:val="00CF73D8"/>
    <w:rsid w:val="00D000EA"/>
    <w:rsid w:val="00D001C0"/>
    <w:rsid w:val="00D0038C"/>
    <w:rsid w:val="00D00BD2"/>
    <w:rsid w:val="00D01218"/>
    <w:rsid w:val="00D0166F"/>
    <w:rsid w:val="00D01FCD"/>
    <w:rsid w:val="00D03504"/>
    <w:rsid w:val="00D037DC"/>
    <w:rsid w:val="00D049A4"/>
    <w:rsid w:val="00D04D42"/>
    <w:rsid w:val="00D050EF"/>
    <w:rsid w:val="00D052B3"/>
    <w:rsid w:val="00D06432"/>
    <w:rsid w:val="00D06875"/>
    <w:rsid w:val="00D075A3"/>
    <w:rsid w:val="00D07615"/>
    <w:rsid w:val="00D07C19"/>
    <w:rsid w:val="00D109D5"/>
    <w:rsid w:val="00D10DDF"/>
    <w:rsid w:val="00D11573"/>
    <w:rsid w:val="00D13671"/>
    <w:rsid w:val="00D13DDC"/>
    <w:rsid w:val="00D13F86"/>
    <w:rsid w:val="00D14292"/>
    <w:rsid w:val="00D14F02"/>
    <w:rsid w:val="00D150FE"/>
    <w:rsid w:val="00D1517B"/>
    <w:rsid w:val="00D1540C"/>
    <w:rsid w:val="00D157BE"/>
    <w:rsid w:val="00D158FF"/>
    <w:rsid w:val="00D1640D"/>
    <w:rsid w:val="00D16FDC"/>
    <w:rsid w:val="00D171B7"/>
    <w:rsid w:val="00D17ECD"/>
    <w:rsid w:val="00D20D93"/>
    <w:rsid w:val="00D2134C"/>
    <w:rsid w:val="00D221F1"/>
    <w:rsid w:val="00D222C5"/>
    <w:rsid w:val="00D22404"/>
    <w:rsid w:val="00D22D63"/>
    <w:rsid w:val="00D235CC"/>
    <w:rsid w:val="00D23EF5"/>
    <w:rsid w:val="00D2723B"/>
    <w:rsid w:val="00D2781F"/>
    <w:rsid w:val="00D27BE1"/>
    <w:rsid w:val="00D30A76"/>
    <w:rsid w:val="00D31B5C"/>
    <w:rsid w:val="00D32302"/>
    <w:rsid w:val="00D32766"/>
    <w:rsid w:val="00D32867"/>
    <w:rsid w:val="00D34CB0"/>
    <w:rsid w:val="00D359E5"/>
    <w:rsid w:val="00D360FF"/>
    <w:rsid w:val="00D36D2D"/>
    <w:rsid w:val="00D372EB"/>
    <w:rsid w:val="00D4051B"/>
    <w:rsid w:val="00D41748"/>
    <w:rsid w:val="00D41F4F"/>
    <w:rsid w:val="00D43391"/>
    <w:rsid w:val="00D43E1A"/>
    <w:rsid w:val="00D44F67"/>
    <w:rsid w:val="00D457E5"/>
    <w:rsid w:val="00D45ECE"/>
    <w:rsid w:val="00D45F1F"/>
    <w:rsid w:val="00D468F1"/>
    <w:rsid w:val="00D475F4"/>
    <w:rsid w:val="00D477FA"/>
    <w:rsid w:val="00D504AB"/>
    <w:rsid w:val="00D50C3D"/>
    <w:rsid w:val="00D51FA9"/>
    <w:rsid w:val="00D52B6B"/>
    <w:rsid w:val="00D558EC"/>
    <w:rsid w:val="00D55B87"/>
    <w:rsid w:val="00D56EE0"/>
    <w:rsid w:val="00D6036A"/>
    <w:rsid w:val="00D60B47"/>
    <w:rsid w:val="00D610AC"/>
    <w:rsid w:val="00D61255"/>
    <w:rsid w:val="00D61343"/>
    <w:rsid w:val="00D62F6F"/>
    <w:rsid w:val="00D63745"/>
    <w:rsid w:val="00D6378F"/>
    <w:rsid w:val="00D64424"/>
    <w:rsid w:val="00D64B6D"/>
    <w:rsid w:val="00D66845"/>
    <w:rsid w:val="00D66872"/>
    <w:rsid w:val="00D66B81"/>
    <w:rsid w:val="00D70860"/>
    <w:rsid w:val="00D70B71"/>
    <w:rsid w:val="00D710E7"/>
    <w:rsid w:val="00D71454"/>
    <w:rsid w:val="00D7146B"/>
    <w:rsid w:val="00D726F2"/>
    <w:rsid w:val="00D73070"/>
    <w:rsid w:val="00D731CB"/>
    <w:rsid w:val="00D73365"/>
    <w:rsid w:val="00D73400"/>
    <w:rsid w:val="00D745EC"/>
    <w:rsid w:val="00D7496E"/>
    <w:rsid w:val="00D74D45"/>
    <w:rsid w:val="00D75DBC"/>
    <w:rsid w:val="00D76874"/>
    <w:rsid w:val="00D77B93"/>
    <w:rsid w:val="00D8058A"/>
    <w:rsid w:val="00D80AF5"/>
    <w:rsid w:val="00D813B3"/>
    <w:rsid w:val="00D81BFE"/>
    <w:rsid w:val="00D82039"/>
    <w:rsid w:val="00D823FF"/>
    <w:rsid w:val="00D82629"/>
    <w:rsid w:val="00D83141"/>
    <w:rsid w:val="00D83281"/>
    <w:rsid w:val="00D83702"/>
    <w:rsid w:val="00D837EF"/>
    <w:rsid w:val="00D8389F"/>
    <w:rsid w:val="00D84AFA"/>
    <w:rsid w:val="00D84D1A"/>
    <w:rsid w:val="00D85BAB"/>
    <w:rsid w:val="00D85C91"/>
    <w:rsid w:val="00D860D5"/>
    <w:rsid w:val="00D861AE"/>
    <w:rsid w:val="00D87298"/>
    <w:rsid w:val="00D9027E"/>
    <w:rsid w:val="00D90F67"/>
    <w:rsid w:val="00D90FB6"/>
    <w:rsid w:val="00D91822"/>
    <w:rsid w:val="00D91B69"/>
    <w:rsid w:val="00D92FE1"/>
    <w:rsid w:val="00D93039"/>
    <w:rsid w:val="00D9330E"/>
    <w:rsid w:val="00D93469"/>
    <w:rsid w:val="00D945BE"/>
    <w:rsid w:val="00D96BA3"/>
    <w:rsid w:val="00D9750B"/>
    <w:rsid w:val="00D97D61"/>
    <w:rsid w:val="00DA1C4D"/>
    <w:rsid w:val="00DA6865"/>
    <w:rsid w:val="00DA792F"/>
    <w:rsid w:val="00DB1B49"/>
    <w:rsid w:val="00DB332D"/>
    <w:rsid w:val="00DB39FE"/>
    <w:rsid w:val="00DB4284"/>
    <w:rsid w:val="00DB4609"/>
    <w:rsid w:val="00DB471F"/>
    <w:rsid w:val="00DB4FF4"/>
    <w:rsid w:val="00DB5BEC"/>
    <w:rsid w:val="00DB5FC4"/>
    <w:rsid w:val="00DB6954"/>
    <w:rsid w:val="00DB77EF"/>
    <w:rsid w:val="00DB7AEA"/>
    <w:rsid w:val="00DC0C27"/>
    <w:rsid w:val="00DC15CE"/>
    <w:rsid w:val="00DC1D16"/>
    <w:rsid w:val="00DC3F98"/>
    <w:rsid w:val="00DC42F9"/>
    <w:rsid w:val="00DC4A6B"/>
    <w:rsid w:val="00DC4E96"/>
    <w:rsid w:val="00DC64DF"/>
    <w:rsid w:val="00DC64EA"/>
    <w:rsid w:val="00DC6C82"/>
    <w:rsid w:val="00DC7216"/>
    <w:rsid w:val="00DC74B7"/>
    <w:rsid w:val="00DC7906"/>
    <w:rsid w:val="00DD05B0"/>
    <w:rsid w:val="00DD0750"/>
    <w:rsid w:val="00DD139B"/>
    <w:rsid w:val="00DD1BA8"/>
    <w:rsid w:val="00DD1DCB"/>
    <w:rsid w:val="00DD3421"/>
    <w:rsid w:val="00DD3A44"/>
    <w:rsid w:val="00DD3DBF"/>
    <w:rsid w:val="00DD3E44"/>
    <w:rsid w:val="00DD3F28"/>
    <w:rsid w:val="00DD42C3"/>
    <w:rsid w:val="00DD4FA3"/>
    <w:rsid w:val="00DD6211"/>
    <w:rsid w:val="00DD6B2A"/>
    <w:rsid w:val="00DD7944"/>
    <w:rsid w:val="00DE0C40"/>
    <w:rsid w:val="00DE0F92"/>
    <w:rsid w:val="00DE26FD"/>
    <w:rsid w:val="00DE2897"/>
    <w:rsid w:val="00DE2FB8"/>
    <w:rsid w:val="00DE34DF"/>
    <w:rsid w:val="00DE3714"/>
    <w:rsid w:val="00DE4486"/>
    <w:rsid w:val="00DE5DBB"/>
    <w:rsid w:val="00DE68B7"/>
    <w:rsid w:val="00DE6DF1"/>
    <w:rsid w:val="00DE77C1"/>
    <w:rsid w:val="00DE7F71"/>
    <w:rsid w:val="00DF0AAB"/>
    <w:rsid w:val="00DF119C"/>
    <w:rsid w:val="00DF1728"/>
    <w:rsid w:val="00DF280E"/>
    <w:rsid w:val="00DF37F1"/>
    <w:rsid w:val="00DF4F10"/>
    <w:rsid w:val="00DF53A9"/>
    <w:rsid w:val="00DF5588"/>
    <w:rsid w:val="00DF56E4"/>
    <w:rsid w:val="00DF5BC3"/>
    <w:rsid w:val="00DF710C"/>
    <w:rsid w:val="00DF72B7"/>
    <w:rsid w:val="00DF759B"/>
    <w:rsid w:val="00DF7D19"/>
    <w:rsid w:val="00E001E2"/>
    <w:rsid w:val="00E00478"/>
    <w:rsid w:val="00E005D9"/>
    <w:rsid w:val="00E006A4"/>
    <w:rsid w:val="00E00BBB"/>
    <w:rsid w:val="00E019D0"/>
    <w:rsid w:val="00E01ACD"/>
    <w:rsid w:val="00E02593"/>
    <w:rsid w:val="00E03A0F"/>
    <w:rsid w:val="00E041E7"/>
    <w:rsid w:val="00E044C9"/>
    <w:rsid w:val="00E04752"/>
    <w:rsid w:val="00E04D81"/>
    <w:rsid w:val="00E04DD9"/>
    <w:rsid w:val="00E0575F"/>
    <w:rsid w:val="00E05EC0"/>
    <w:rsid w:val="00E061B3"/>
    <w:rsid w:val="00E066AC"/>
    <w:rsid w:val="00E07E43"/>
    <w:rsid w:val="00E1127B"/>
    <w:rsid w:val="00E11526"/>
    <w:rsid w:val="00E123E2"/>
    <w:rsid w:val="00E13BC4"/>
    <w:rsid w:val="00E14A54"/>
    <w:rsid w:val="00E14CC5"/>
    <w:rsid w:val="00E150C7"/>
    <w:rsid w:val="00E15475"/>
    <w:rsid w:val="00E1578D"/>
    <w:rsid w:val="00E200C6"/>
    <w:rsid w:val="00E20CD3"/>
    <w:rsid w:val="00E21611"/>
    <w:rsid w:val="00E21808"/>
    <w:rsid w:val="00E22536"/>
    <w:rsid w:val="00E22FAA"/>
    <w:rsid w:val="00E23568"/>
    <w:rsid w:val="00E23ED5"/>
    <w:rsid w:val="00E24B45"/>
    <w:rsid w:val="00E24EFD"/>
    <w:rsid w:val="00E24F07"/>
    <w:rsid w:val="00E2502F"/>
    <w:rsid w:val="00E250D2"/>
    <w:rsid w:val="00E25B29"/>
    <w:rsid w:val="00E25BF4"/>
    <w:rsid w:val="00E26105"/>
    <w:rsid w:val="00E26128"/>
    <w:rsid w:val="00E2715D"/>
    <w:rsid w:val="00E307F2"/>
    <w:rsid w:val="00E30B08"/>
    <w:rsid w:val="00E327A8"/>
    <w:rsid w:val="00E33A17"/>
    <w:rsid w:val="00E33BDA"/>
    <w:rsid w:val="00E3407A"/>
    <w:rsid w:val="00E34090"/>
    <w:rsid w:val="00E34298"/>
    <w:rsid w:val="00E342FC"/>
    <w:rsid w:val="00E3477B"/>
    <w:rsid w:val="00E34D62"/>
    <w:rsid w:val="00E35384"/>
    <w:rsid w:val="00E353EC"/>
    <w:rsid w:val="00E35B50"/>
    <w:rsid w:val="00E360C9"/>
    <w:rsid w:val="00E36F8C"/>
    <w:rsid w:val="00E37049"/>
    <w:rsid w:val="00E37361"/>
    <w:rsid w:val="00E3781B"/>
    <w:rsid w:val="00E40758"/>
    <w:rsid w:val="00E40F2C"/>
    <w:rsid w:val="00E413C2"/>
    <w:rsid w:val="00E41E52"/>
    <w:rsid w:val="00E42E30"/>
    <w:rsid w:val="00E4348B"/>
    <w:rsid w:val="00E43E1A"/>
    <w:rsid w:val="00E43EB2"/>
    <w:rsid w:val="00E4490C"/>
    <w:rsid w:val="00E45A9D"/>
    <w:rsid w:val="00E45C3E"/>
    <w:rsid w:val="00E463FF"/>
    <w:rsid w:val="00E464C1"/>
    <w:rsid w:val="00E50229"/>
    <w:rsid w:val="00E50D7D"/>
    <w:rsid w:val="00E50ECB"/>
    <w:rsid w:val="00E518A6"/>
    <w:rsid w:val="00E51C3B"/>
    <w:rsid w:val="00E5250D"/>
    <w:rsid w:val="00E52AD1"/>
    <w:rsid w:val="00E5359D"/>
    <w:rsid w:val="00E54000"/>
    <w:rsid w:val="00E54AF3"/>
    <w:rsid w:val="00E5527F"/>
    <w:rsid w:val="00E563F6"/>
    <w:rsid w:val="00E57C16"/>
    <w:rsid w:val="00E600C8"/>
    <w:rsid w:val="00E60B80"/>
    <w:rsid w:val="00E617D5"/>
    <w:rsid w:val="00E61A92"/>
    <w:rsid w:val="00E61FE9"/>
    <w:rsid w:val="00E62A94"/>
    <w:rsid w:val="00E62CB1"/>
    <w:rsid w:val="00E63492"/>
    <w:rsid w:val="00E64238"/>
    <w:rsid w:val="00E646AA"/>
    <w:rsid w:val="00E648E1"/>
    <w:rsid w:val="00E65F4B"/>
    <w:rsid w:val="00E66D31"/>
    <w:rsid w:val="00E67E4D"/>
    <w:rsid w:val="00E716DB"/>
    <w:rsid w:val="00E72097"/>
    <w:rsid w:val="00E722C1"/>
    <w:rsid w:val="00E729D0"/>
    <w:rsid w:val="00E730E9"/>
    <w:rsid w:val="00E7312A"/>
    <w:rsid w:val="00E73BEE"/>
    <w:rsid w:val="00E73E73"/>
    <w:rsid w:val="00E76D04"/>
    <w:rsid w:val="00E806F8"/>
    <w:rsid w:val="00E8174A"/>
    <w:rsid w:val="00E82038"/>
    <w:rsid w:val="00E82996"/>
    <w:rsid w:val="00E83599"/>
    <w:rsid w:val="00E83E43"/>
    <w:rsid w:val="00E8423A"/>
    <w:rsid w:val="00E84F09"/>
    <w:rsid w:val="00E85997"/>
    <w:rsid w:val="00E91210"/>
    <w:rsid w:val="00E91288"/>
    <w:rsid w:val="00E9202C"/>
    <w:rsid w:val="00E9261B"/>
    <w:rsid w:val="00E9269B"/>
    <w:rsid w:val="00E9289F"/>
    <w:rsid w:val="00E9343D"/>
    <w:rsid w:val="00E93447"/>
    <w:rsid w:val="00E94262"/>
    <w:rsid w:val="00E9444D"/>
    <w:rsid w:val="00E9471E"/>
    <w:rsid w:val="00E94EC4"/>
    <w:rsid w:val="00E94F7E"/>
    <w:rsid w:val="00E95018"/>
    <w:rsid w:val="00E950B5"/>
    <w:rsid w:val="00E950F1"/>
    <w:rsid w:val="00E963E1"/>
    <w:rsid w:val="00E966E4"/>
    <w:rsid w:val="00E9682C"/>
    <w:rsid w:val="00E9686B"/>
    <w:rsid w:val="00E97592"/>
    <w:rsid w:val="00E97DDB"/>
    <w:rsid w:val="00EA010E"/>
    <w:rsid w:val="00EA017C"/>
    <w:rsid w:val="00EA1542"/>
    <w:rsid w:val="00EA1548"/>
    <w:rsid w:val="00EA1DBF"/>
    <w:rsid w:val="00EA21E0"/>
    <w:rsid w:val="00EA32B2"/>
    <w:rsid w:val="00EA334A"/>
    <w:rsid w:val="00EA3E94"/>
    <w:rsid w:val="00EA48BE"/>
    <w:rsid w:val="00EA4C61"/>
    <w:rsid w:val="00EA4D9A"/>
    <w:rsid w:val="00EA4F21"/>
    <w:rsid w:val="00EA5473"/>
    <w:rsid w:val="00EA5D18"/>
    <w:rsid w:val="00EA6891"/>
    <w:rsid w:val="00EA6F3A"/>
    <w:rsid w:val="00EA7170"/>
    <w:rsid w:val="00EA7F80"/>
    <w:rsid w:val="00EB011B"/>
    <w:rsid w:val="00EB01C0"/>
    <w:rsid w:val="00EB06A3"/>
    <w:rsid w:val="00EB1C7C"/>
    <w:rsid w:val="00EB2C36"/>
    <w:rsid w:val="00EB2D7E"/>
    <w:rsid w:val="00EB322D"/>
    <w:rsid w:val="00EB3739"/>
    <w:rsid w:val="00EB4246"/>
    <w:rsid w:val="00EB429B"/>
    <w:rsid w:val="00EB4FF8"/>
    <w:rsid w:val="00EB6AE1"/>
    <w:rsid w:val="00EB6B13"/>
    <w:rsid w:val="00EB6BCA"/>
    <w:rsid w:val="00EB726A"/>
    <w:rsid w:val="00EB730D"/>
    <w:rsid w:val="00EC00AD"/>
    <w:rsid w:val="00EC029E"/>
    <w:rsid w:val="00EC0498"/>
    <w:rsid w:val="00EC05B3"/>
    <w:rsid w:val="00EC0CFC"/>
    <w:rsid w:val="00EC0ECB"/>
    <w:rsid w:val="00EC0EDB"/>
    <w:rsid w:val="00EC10B5"/>
    <w:rsid w:val="00EC2644"/>
    <w:rsid w:val="00EC296A"/>
    <w:rsid w:val="00EC2CD7"/>
    <w:rsid w:val="00EC3B40"/>
    <w:rsid w:val="00EC46E8"/>
    <w:rsid w:val="00EC4883"/>
    <w:rsid w:val="00EC6839"/>
    <w:rsid w:val="00EC7C75"/>
    <w:rsid w:val="00ED01E8"/>
    <w:rsid w:val="00ED02FC"/>
    <w:rsid w:val="00ED17F8"/>
    <w:rsid w:val="00ED1F48"/>
    <w:rsid w:val="00ED1F78"/>
    <w:rsid w:val="00ED2422"/>
    <w:rsid w:val="00ED249E"/>
    <w:rsid w:val="00ED40A2"/>
    <w:rsid w:val="00ED42C0"/>
    <w:rsid w:val="00ED4BD1"/>
    <w:rsid w:val="00ED6273"/>
    <w:rsid w:val="00ED67BA"/>
    <w:rsid w:val="00ED70DF"/>
    <w:rsid w:val="00ED7AAA"/>
    <w:rsid w:val="00EE07F2"/>
    <w:rsid w:val="00EE1011"/>
    <w:rsid w:val="00EE3AB1"/>
    <w:rsid w:val="00EE49CD"/>
    <w:rsid w:val="00EE67B7"/>
    <w:rsid w:val="00EE685A"/>
    <w:rsid w:val="00EE6B23"/>
    <w:rsid w:val="00EE6EC5"/>
    <w:rsid w:val="00EF0A27"/>
    <w:rsid w:val="00EF1069"/>
    <w:rsid w:val="00EF1E25"/>
    <w:rsid w:val="00EF1E64"/>
    <w:rsid w:val="00EF2857"/>
    <w:rsid w:val="00EF29FE"/>
    <w:rsid w:val="00EF553E"/>
    <w:rsid w:val="00EF5AA9"/>
    <w:rsid w:val="00EF5D3E"/>
    <w:rsid w:val="00EF6BD1"/>
    <w:rsid w:val="00EF6C9E"/>
    <w:rsid w:val="00EF6EB8"/>
    <w:rsid w:val="00EF7578"/>
    <w:rsid w:val="00EF775A"/>
    <w:rsid w:val="00F00809"/>
    <w:rsid w:val="00F028F5"/>
    <w:rsid w:val="00F036D3"/>
    <w:rsid w:val="00F03924"/>
    <w:rsid w:val="00F0440F"/>
    <w:rsid w:val="00F04827"/>
    <w:rsid w:val="00F05088"/>
    <w:rsid w:val="00F051E8"/>
    <w:rsid w:val="00F052F0"/>
    <w:rsid w:val="00F061F3"/>
    <w:rsid w:val="00F07A7C"/>
    <w:rsid w:val="00F11878"/>
    <w:rsid w:val="00F119E8"/>
    <w:rsid w:val="00F11FE2"/>
    <w:rsid w:val="00F1240B"/>
    <w:rsid w:val="00F12D31"/>
    <w:rsid w:val="00F13293"/>
    <w:rsid w:val="00F137A3"/>
    <w:rsid w:val="00F1386B"/>
    <w:rsid w:val="00F14047"/>
    <w:rsid w:val="00F169CC"/>
    <w:rsid w:val="00F16DAB"/>
    <w:rsid w:val="00F17471"/>
    <w:rsid w:val="00F17E98"/>
    <w:rsid w:val="00F17F30"/>
    <w:rsid w:val="00F20A96"/>
    <w:rsid w:val="00F20EB0"/>
    <w:rsid w:val="00F21D59"/>
    <w:rsid w:val="00F22D26"/>
    <w:rsid w:val="00F23568"/>
    <w:rsid w:val="00F259D7"/>
    <w:rsid w:val="00F26415"/>
    <w:rsid w:val="00F26715"/>
    <w:rsid w:val="00F2680F"/>
    <w:rsid w:val="00F279D9"/>
    <w:rsid w:val="00F27B4B"/>
    <w:rsid w:val="00F3079F"/>
    <w:rsid w:val="00F3090E"/>
    <w:rsid w:val="00F30A47"/>
    <w:rsid w:val="00F30E0A"/>
    <w:rsid w:val="00F31A79"/>
    <w:rsid w:val="00F3205A"/>
    <w:rsid w:val="00F32385"/>
    <w:rsid w:val="00F325FE"/>
    <w:rsid w:val="00F32FDF"/>
    <w:rsid w:val="00F348FF"/>
    <w:rsid w:val="00F36084"/>
    <w:rsid w:val="00F36669"/>
    <w:rsid w:val="00F370C8"/>
    <w:rsid w:val="00F3798D"/>
    <w:rsid w:val="00F37AAB"/>
    <w:rsid w:val="00F4150B"/>
    <w:rsid w:val="00F4161A"/>
    <w:rsid w:val="00F41F4E"/>
    <w:rsid w:val="00F44594"/>
    <w:rsid w:val="00F458EE"/>
    <w:rsid w:val="00F45C22"/>
    <w:rsid w:val="00F47313"/>
    <w:rsid w:val="00F5069B"/>
    <w:rsid w:val="00F5092F"/>
    <w:rsid w:val="00F50F9D"/>
    <w:rsid w:val="00F51BC2"/>
    <w:rsid w:val="00F52539"/>
    <w:rsid w:val="00F52584"/>
    <w:rsid w:val="00F53118"/>
    <w:rsid w:val="00F539D0"/>
    <w:rsid w:val="00F53ECA"/>
    <w:rsid w:val="00F54137"/>
    <w:rsid w:val="00F55280"/>
    <w:rsid w:val="00F55B88"/>
    <w:rsid w:val="00F563A0"/>
    <w:rsid w:val="00F56D38"/>
    <w:rsid w:val="00F576AF"/>
    <w:rsid w:val="00F601BA"/>
    <w:rsid w:val="00F60930"/>
    <w:rsid w:val="00F6098A"/>
    <w:rsid w:val="00F60B9D"/>
    <w:rsid w:val="00F62530"/>
    <w:rsid w:val="00F6265F"/>
    <w:rsid w:val="00F63055"/>
    <w:rsid w:val="00F63C26"/>
    <w:rsid w:val="00F6438C"/>
    <w:rsid w:val="00F64B0A"/>
    <w:rsid w:val="00F65397"/>
    <w:rsid w:val="00F66B8E"/>
    <w:rsid w:val="00F6723E"/>
    <w:rsid w:val="00F67C32"/>
    <w:rsid w:val="00F67D71"/>
    <w:rsid w:val="00F7033C"/>
    <w:rsid w:val="00F7060F"/>
    <w:rsid w:val="00F70BF6"/>
    <w:rsid w:val="00F71000"/>
    <w:rsid w:val="00F7351C"/>
    <w:rsid w:val="00F7452E"/>
    <w:rsid w:val="00F747FE"/>
    <w:rsid w:val="00F75569"/>
    <w:rsid w:val="00F7797A"/>
    <w:rsid w:val="00F779D6"/>
    <w:rsid w:val="00F77A2B"/>
    <w:rsid w:val="00F80736"/>
    <w:rsid w:val="00F80D44"/>
    <w:rsid w:val="00F82F56"/>
    <w:rsid w:val="00F8383F"/>
    <w:rsid w:val="00F843F3"/>
    <w:rsid w:val="00F8455C"/>
    <w:rsid w:val="00F849B3"/>
    <w:rsid w:val="00F850C0"/>
    <w:rsid w:val="00F85EF3"/>
    <w:rsid w:val="00F85F4A"/>
    <w:rsid w:val="00F86134"/>
    <w:rsid w:val="00F874CB"/>
    <w:rsid w:val="00F87C7A"/>
    <w:rsid w:val="00F900B5"/>
    <w:rsid w:val="00F9057C"/>
    <w:rsid w:val="00F9120B"/>
    <w:rsid w:val="00F914A1"/>
    <w:rsid w:val="00F9183D"/>
    <w:rsid w:val="00F91ED2"/>
    <w:rsid w:val="00F9212B"/>
    <w:rsid w:val="00F92B72"/>
    <w:rsid w:val="00F92E41"/>
    <w:rsid w:val="00F93424"/>
    <w:rsid w:val="00F93968"/>
    <w:rsid w:val="00F939BE"/>
    <w:rsid w:val="00F94A5E"/>
    <w:rsid w:val="00F94EC4"/>
    <w:rsid w:val="00F95D58"/>
    <w:rsid w:val="00F963E9"/>
    <w:rsid w:val="00F9731E"/>
    <w:rsid w:val="00FA12C2"/>
    <w:rsid w:val="00FA19A2"/>
    <w:rsid w:val="00FA3977"/>
    <w:rsid w:val="00FA436C"/>
    <w:rsid w:val="00FA46BF"/>
    <w:rsid w:val="00FA570E"/>
    <w:rsid w:val="00FA5923"/>
    <w:rsid w:val="00FA7BA2"/>
    <w:rsid w:val="00FB08D2"/>
    <w:rsid w:val="00FB2E7C"/>
    <w:rsid w:val="00FB31A7"/>
    <w:rsid w:val="00FB49EC"/>
    <w:rsid w:val="00FB4D47"/>
    <w:rsid w:val="00FB5637"/>
    <w:rsid w:val="00FB5973"/>
    <w:rsid w:val="00FB5EF5"/>
    <w:rsid w:val="00FB5F32"/>
    <w:rsid w:val="00FB64DA"/>
    <w:rsid w:val="00FB6747"/>
    <w:rsid w:val="00FB678F"/>
    <w:rsid w:val="00FC011C"/>
    <w:rsid w:val="00FC0B98"/>
    <w:rsid w:val="00FC142B"/>
    <w:rsid w:val="00FC2207"/>
    <w:rsid w:val="00FC2846"/>
    <w:rsid w:val="00FC2FC8"/>
    <w:rsid w:val="00FC337C"/>
    <w:rsid w:val="00FC41B1"/>
    <w:rsid w:val="00FC43F9"/>
    <w:rsid w:val="00FC4A5E"/>
    <w:rsid w:val="00FC503A"/>
    <w:rsid w:val="00FC5FD9"/>
    <w:rsid w:val="00FC6321"/>
    <w:rsid w:val="00FC6978"/>
    <w:rsid w:val="00FC6FF0"/>
    <w:rsid w:val="00FC7308"/>
    <w:rsid w:val="00FC741C"/>
    <w:rsid w:val="00FC7B1B"/>
    <w:rsid w:val="00FD1EBE"/>
    <w:rsid w:val="00FD22BD"/>
    <w:rsid w:val="00FD24FD"/>
    <w:rsid w:val="00FD29FF"/>
    <w:rsid w:val="00FD3C28"/>
    <w:rsid w:val="00FD3DC8"/>
    <w:rsid w:val="00FD4631"/>
    <w:rsid w:val="00FD4A4F"/>
    <w:rsid w:val="00FD6284"/>
    <w:rsid w:val="00FD7943"/>
    <w:rsid w:val="00FD7F84"/>
    <w:rsid w:val="00FE0748"/>
    <w:rsid w:val="00FE0C02"/>
    <w:rsid w:val="00FE1079"/>
    <w:rsid w:val="00FE11BB"/>
    <w:rsid w:val="00FE1546"/>
    <w:rsid w:val="00FE1D1D"/>
    <w:rsid w:val="00FE1F6C"/>
    <w:rsid w:val="00FE21C4"/>
    <w:rsid w:val="00FE2280"/>
    <w:rsid w:val="00FE2350"/>
    <w:rsid w:val="00FE2939"/>
    <w:rsid w:val="00FE5B54"/>
    <w:rsid w:val="00FE67B8"/>
    <w:rsid w:val="00FE69EE"/>
    <w:rsid w:val="00FE6E4A"/>
    <w:rsid w:val="00FE7E6F"/>
    <w:rsid w:val="00FF1657"/>
    <w:rsid w:val="00FF227E"/>
    <w:rsid w:val="00FF2280"/>
    <w:rsid w:val="00FF2E2E"/>
    <w:rsid w:val="00FF2E93"/>
    <w:rsid w:val="00FF3806"/>
    <w:rsid w:val="00FF3D33"/>
    <w:rsid w:val="00FF5C13"/>
    <w:rsid w:val="00FF5F91"/>
    <w:rsid w:val="00FF6326"/>
    <w:rsid w:val="00FF77C3"/>
    <w:rsid w:val="00FF7CA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D7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172"/>
    <w:pPr>
      <w:spacing w:line="480" w:lineRule="auto"/>
      <w:jc w:val="both"/>
    </w:pPr>
    <w:rPr>
      <w:rFonts w:ascii="Times New Roman" w:hAnsi="Times New Roman"/>
    </w:rPr>
  </w:style>
  <w:style w:type="paragraph" w:styleId="Heading1">
    <w:name w:val="heading 1"/>
    <w:basedOn w:val="Normal"/>
    <w:next w:val="Normal"/>
    <w:link w:val="Heading1Char"/>
    <w:uiPriority w:val="9"/>
    <w:qFormat/>
    <w:rsid w:val="00C73CD7"/>
    <w:pPr>
      <w:keepNext/>
      <w:keepLines/>
      <w:spacing w:before="240"/>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4F2E2D"/>
    <w:pPr>
      <w:keepNext/>
      <w:keepLines/>
      <w:spacing w:before="4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02374"/>
    <w:rPr>
      <w:sz w:val="20"/>
      <w:szCs w:val="20"/>
    </w:rPr>
  </w:style>
  <w:style w:type="character" w:customStyle="1" w:styleId="FootnoteTextChar">
    <w:name w:val="Footnote Text Char"/>
    <w:basedOn w:val="DefaultParagraphFont"/>
    <w:link w:val="FootnoteText"/>
    <w:uiPriority w:val="99"/>
    <w:rsid w:val="00502374"/>
    <w:rPr>
      <w:sz w:val="20"/>
      <w:szCs w:val="20"/>
    </w:rPr>
  </w:style>
  <w:style w:type="character" w:styleId="FootnoteReference">
    <w:name w:val="footnote reference"/>
    <w:basedOn w:val="DefaultParagraphFont"/>
    <w:uiPriority w:val="99"/>
    <w:semiHidden/>
    <w:unhideWhenUsed/>
    <w:rsid w:val="00502374"/>
    <w:rPr>
      <w:vertAlign w:val="superscript"/>
    </w:rPr>
  </w:style>
  <w:style w:type="table" w:styleId="TableGrid">
    <w:name w:val="Table Grid"/>
    <w:basedOn w:val="TableNormal"/>
    <w:uiPriority w:val="39"/>
    <w:rsid w:val="00C85C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1F63"/>
    <w:pPr>
      <w:tabs>
        <w:tab w:val="center" w:pos="4513"/>
        <w:tab w:val="right" w:pos="9026"/>
      </w:tabs>
    </w:pPr>
  </w:style>
  <w:style w:type="character" w:customStyle="1" w:styleId="HeaderChar">
    <w:name w:val="Header Char"/>
    <w:basedOn w:val="DefaultParagraphFont"/>
    <w:link w:val="Header"/>
    <w:uiPriority w:val="99"/>
    <w:rsid w:val="00441F63"/>
  </w:style>
  <w:style w:type="paragraph" w:styleId="Footer">
    <w:name w:val="footer"/>
    <w:basedOn w:val="Normal"/>
    <w:link w:val="FooterChar"/>
    <w:uiPriority w:val="99"/>
    <w:unhideWhenUsed/>
    <w:rsid w:val="00441F63"/>
    <w:pPr>
      <w:tabs>
        <w:tab w:val="center" w:pos="4513"/>
        <w:tab w:val="right" w:pos="9026"/>
      </w:tabs>
    </w:pPr>
  </w:style>
  <w:style w:type="character" w:customStyle="1" w:styleId="FooterChar">
    <w:name w:val="Footer Char"/>
    <w:basedOn w:val="DefaultParagraphFont"/>
    <w:link w:val="Footer"/>
    <w:uiPriority w:val="99"/>
    <w:rsid w:val="00441F63"/>
  </w:style>
  <w:style w:type="character" w:styleId="PageNumber">
    <w:name w:val="page number"/>
    <w:basedOn w:val="DefaultParagraphFont"/>
    <w:uiPriority w:val="99"/>
    <w:semiHidden/>
    <w:unhideWhenUsed/>
    <w:rsid w:val="00441F63"/>
  </w:style>
  <w:style w:type="character" w:styleId="Hyperlink">
    <w:name w:val="Hyperlink"/>
    <w:basedOn w:val="DefaultParagraphFont"/>
    <w:uiPriority w:val="99"/>
    <w:unhideWhenUsed/>
    <w:rsid w:val="00441F63"/>
    <w:rPr>
      <w:color w:val="0000FF"/>
      <w:u w:val="single"/>
    </w:rPr>
  </w:style>
  <w:style w:type="character" w:customStyle="1" w:styleId="show-for-sr">
    <w:name w:val="show-for-sr"/>
    <w:basedOn w:val="DefaultParagraphFont"/>
    <w:rsid w:val="00441F63"/>
  </w:style>
  <w:style w:type="paragraph" w:styleId="Revision">
    <w:name w:val="Revision"/>
    <w:hidden/>
    <w:uiPriority w:val="99"/>
    <w:semiHidden/>
    <w:rsid w:val="00B6410B"/>
  </w:style>
  <w:style w:type="character" w:styleId="CommentReference">
    <w:name w:val="annotation reference"/>
    <w:basedOn w:val="DefaultParagraphFont"/>
    <w:uiPriority w:val="99"/>
    <w:semiHidden/>
    <w:unhideWhenUsed/>
    <w:rsid w:val="00077798"/>
    <w:rPr>
      <w:sz w:val="16"/>
      <w:szCs w:val="16"/>
    </w:rPr>
  </w:style>
  <w:style w:type="paragraph" w:styleId="CommentText">
    <w:name w:val="annotation text"/>
    <w:basedOn w:val="Normal"/>
    <w:link w:val="CommentTextChar"/>
    <w:uiPriority w:val="99"/>
    <w:unhideWhenUsed/>
    <w:rsid w:val="00077798"/>
    <w:rPr>
      <w:sz w:val="20"/>
      <w:szCs w:val="20"/>
    </w:rPr>
  </w:style>
  <w:style w:type="character" w:customStyle="1" w:styleId="CommentTextChar">
    <w:name w:val="Comment Text Char"/>
    <w:basedOn w:val="DefaultParagraphFont"/>
    <w:link w:val="CommentText"/>
    <w:uiPriority w:val="99"/>
    <w:rsid w:val="00077798"/>
    <w:rPr>
      <w:sz w:val="20"/>
      <w:szCs w:val="20"/>
    </w:rPr>
  </w:style>
  <w:style w:type="paragraph" w:styleId="CommentSubject">
    <w:name w:val="annotation subject"/>
    <w:basedOn w:val="CommentText"/>
    <w:next w:val="CommentText"/>
    <w:link w:val="CommentSubjectChar"/>
    <w:uiPriority w:val="99"/>
    <w:semiHidden/>
    <w:unhideWhenUsed/>
    <w:rsid w:val="00077798"/>
    <w:rPr>
      <w:b/>
      <w:bCs/>
    </w:rPr>
  </w:style>
  <w:style w:type="character" w:customStyle="1" w:styleId="CommentSubjectChar">
    <w:name w:val="Comment Subject Char"/>
    <w:basedOn w:val="CommentTextChar"/>
    <w:link w:val="CommentSubject"/>
    <w:uiPriority w:val="99"/>
    <w:semiHidden/>
    <w:rsid w:val="00077798"/>
    <w:rPr>
      <w:b/>
      <w:bCs/>
      <w:sz w:val="20"/>
      <w:szCs w:val="20"/>
    </w:rPr>
  </w:style>
  <w:style w:type="character" w:customStyle="1" w:styleId="UnresolvedMention1">
    <w:name w:val="Unresolved Mention1"/>
    <w:basedOn w:val="DefaultParagraphFont"/>
    <w:uiPriority w:val="99"/>
    <w:semiHidden/>
    <w:unhideWhenUsed/>
    <w:rsid w:val="006E3654"/>
    <w:rPr>
      <w:color w:val="605E5C"/>
      <w:shd w:val="clear" w:color="auto" w:fill="E1DFDD"/>
    </w:rPr>
  </w:style>
  <w:style w:type="paragraph" w:styleId="BalloonText">
    <w:name w:val="Balloon Text"/>
    <w:basedOn w:val="Normal"/>
    <w:link w:val="BalloonTextChar"/>
    <w:uiPriority w:val="99"/>
    <w:semiHidden/>
    <w:unhideWhenUsed/>
    <w:rsid w:val="00880B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B54"/>
    <w:rPr>
      <w:rFonts w:ascii="Segoe UI" w:hAnsi="Segoe UI" w:cs="Segoe UI"/>
      <w:sz w:val="18"/>
      <w:szCs w:val="18"/>
    </w:rPr>
  </w:style>
  <w:style w:type="character" w:customStyle="1" w:styleId="UnresolvedMention2">
    <w:name w:val="Unresolved Mention2"/>
    <w:basedOn w:val="DefaultParagraphFont"/>
    <w:uiPriority w:val="99"/>
    <w:semiHidden/>
    <w:unhideWhenUsed/>
    <w:rsid w:val="00CF3639"/>
    <w:rPr>
      <w:color w:val="605E5C"/>
      <w:shd w:val="clear" w:color="auto" w:fill="E1DFDD"/>
    </w:rPr>
  </w:style>
  <w:style w:type="table" w:styleId="PlainTable5">
    <w:name w:val="Plain Table 5"/>
    <w:basedOn w:val="TableNormal"/>
    <w:uiPriority w:val="45"/>
    <w:rsid w:val="0084076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84076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3">
    <w:name w:val="Unresolved Mention3"/>
    <w:basedOn w:val="DefaultParagraphFont"/>
    <w:uiPriority w:val="99"/>
    <w:semiHidden/>
    <w:unhideWhenUsed/>
    <w:rsid w:val="00240C71"/>
    <w:rPr>
      <w:color w:val="605E5C"/>
      <w:shd w:val="clear" w:color="auto" w:fill="E1DFDD"/>
    </w:rPr>
  </w:style>
  <w:style w:type="character" w:styleId="FollowedHyperlink">
    <w:name w:val="FollowedHyperlink"/>
    <w:basedOn w:val="DefaultParagraphFont"/>
    <w:uiPriority w:val="99"/>
    <w:semiHidden/>
    <w:unhideWhenUsed/>
    <w:rsid w:val="00240C71"/>
    <w:rPr>
      <w:color w:val="919191" w:themeColor="followedHyperlink"/>
      <w:u w:val="single"/>
    </w:rPr>
  </w:style>
  <w:style w:type="paragraph" w:styleId="EndnoteText">
    <w:name w:val="endnote text"/>
    <w:basedOn w:val="Normal"/>
    <w:link w:val="EndnoteTextChar"/>
    <w:uiPriority w:val="99"/>
    <w:semiHidden/>
    <w:unhideWhenUsed/>
    <w:rsid w:val="001D7F52"/>
    <w:rPr>
      <w:sz w:val="20"/>
      <w:szCs w:val="20"/>
    </w:rPr>
  </w:style>
  <w:style w:type="character" w:customStyle="1" w:styleId="EndnoteTextChar">
    <w:name w:val="Endnote Text Char"/>
    <w:basedOn w:val="DefaultParagraphFont"/>
    <w:link w:val="EndnoteText"/>
    <w:uiPriority w:val="99"/>
    <w:semiHidden/>
    <w:rsid w:val="001D7F52"/>
    <w:rPr>
      <w:sz w:val="20"/>
      <w:szCs w:val="20"/>
    </w:rPr>
  </w:style>
  <w:style w:type="character" w:styleId="EndnoteReference">
    <w:name w:val="endnote reference"/>
    <w:basedOn w:val="DefaultParagraphFont"/>
    <w:uiPriority w:val="99"/>
    <w:semiHidden/>
    <w:unhideWhenUsed/>
    <w:rsid w:val="001D7F52"/>
    <w:rPr>
      <w:vertAlign w:val="superscript"/>
    </w:rPr>
  </w:style>
  <w:style w:type="character" w:customStyle="1" w:styleId="UnresolvedMention4">
    <w:name w:val="Unresolved Mention4"/>
    <w:basedOn w:val="DefaultParagraphFont"/>
    <w:uiPriority w:val="99"/>
    <w:semiHidden/>
    <w:unhideWhenUsed/>
    <w:rsid w:val="00037077"/>
    <w:rPr>
      <w:color w:val="605E5C"/>
      <w:shd w:val="clear" w:color="auto" w:fill="E1DFDD"/>
    </w:rPr>
  </w:style>
  <w:style w:type="paragraph" w:styleId="ListParagraph">
    <w:name w:val="List Paragraph"/>
    <w:basedOn w:val="Normal"/>
    <w:uiPriority w:val="34"/>
    <w:qFormat/>
    <w:rsid w:val="00481CF6"/>
    <w:pPr>
      <w:ind w:left="720"/>
      <w:contextualSpacing/>
    </w:pPr>
  </w:style>
  <w:style w:type="character" w:customStyle="1" w:styleId="contributors">
    <w:name w:val="contributors"/>
    <w:basedOn w:val="DefaultParagraphFont"/>
    <w:rsid w:val="00862334"/>
  </w:style>
  <w:style w:type="character" w:customStyle="1" w:styleId="apple-converted-space">
    <w:name w:val="apple-converted-space"/>
    <w:basedOn w:val="DefaultParagraphFont"/>
    <w:rsid w:val="00862334"/>
  </w:style>
  <w:style w:type="character" w:styleId="Emphasis">
    <w:name w:val="Emphasis"/>
    <w:basedOn w:val="DefaultParagraphFont"/>
    <w:uiPriority w:val="20"/>
    <w:qFormat/>
    <w:rsid w:val="00862334"/>
    <w:rPr>
      <w:i/>
      <w:iCs/>
    </w:rPr>
  </w:style>
  <w:style w:type="character" w:customStyle="1" w:styleId="publisher-location">
    <w:name w:val="publisher-location"/>
    <w:basedOn w:val="DefaultParagraphFont"/>
    <w:rsid w:val="00862334"/>
  </w:style>
  <w:style w:type="character" w:customStyle="1" w:styleId="print-publication-date">
    <w:name w:val="print-publication-date"/>
    <w:basedOn w:val="DefaultParagraphFont"/>
    <w:rsid w:val="00862334"/>
  </w:style>
  <w:style w:type="character" w:customStyle="1" w:styleId="online-edition">
    <w:name w:val="online-edition"/>
    <w:basedOn w:val="DefaultParagraphFont"/>
    <w:rsid w:val="00862334"/>
  </w:style>
  <w:style w:type="character" w:customStyle="1" w:styleId="containing-site">
    <w:name w:val="containing-site"/>
    <w:basedOn w:val="DefaultParagraphFont"/>
    <w:rsid w:val="00862334"/>
  </w:style>
  <w:style w:type="character" w:customStyle="1" w:styleId="UnresolvedMention5">
    <w:name w:val="Unresolved Mention5"/>
    <w:basedOn w:val="DefaultParagraphFont"/>
    <w:uiPriority w:val="99"/>
    <w:semiHidden/>
    <w:unhideWhenUsed/>
    <w:rsid w:val="00E7312A"/>
    <w:rPr>
      <w:color w:val="605E5C"/>
      <w:shd w:val="clear" w:color="auto" w:fill="E1DFDD"/>
    </w:rPr>
  </w:style>
  <w:style w:type="character" w:styleId="UnresolvedMention">
    <w:name w:val="Unresolved Mention"/>
    <w:basedOn w:val="DefaultParagraphFont"/>
    <w:uiPriority w:val="99"/>
    <w:semiHidden/>
    <w:unhideWhenUsed/>
    <w:rsid w:val="00FC011C"/>
    <w:rPr>
      <w:color w:val="605E5C"/>
      <w:shd w:val="clear" w:color="auto" w:fill="E1DFDD"/>
    </w:rPr>
  </w:style>
  <w:style w:type="character" w:customStyle="1" w:styleId="Heading1Char">
    <w:name w:val="Heading 1 Char"/>
    <w:basedOn w:val="DefaultParagraphFont"/>
    <w:link w:val="Heading1"/>
    <w:uiPriority w:val="9"/>
    <w:rsid w:val="00C73CD7"/>
    <w:rPr>
      <w:rFonts w:ascii="Times New Roman" w:eastAsiaTheme="majorEastAsia" w:hAnsi="Times New Roman" w:cstheme="majorBidi"/>
      <w:b/>
      <w:sz w:val="28"/>
      <w:szCs w:val="32"/>
    </w:rPr>
  </w:style>
  <w:style w:type="paragraph" w:styleId="Title">
    <w:name w:val="Title"/>
    <w:basedOn w:val="Normal"/>
    <w:next w:val="Normal"/>
    <w:link w:val="TitleChar"/>
    <w:uiPriority w:val="10"/>
    <w:qFormat/>
    <w:rsid w:val="00004765"/>
    <w:pPr>
      <w:spacing w:line="240" w:lineRule="auto"/>
      <w:contextualSpacing/>
      <w:jc w:val="center"/>
    </w:pPr>
    <w:rPr>
      <w:rFonts w:eastAsiaTheme="majorEastAsia" w:cstheme="majorBidi"/>
      <w:b/>
      <w:spacing w:val="-10"/>
      <w:kern w:val="28"/>
      <w:sz w:val="48"/>
      <w:szCs w:val="56"/>
    </w:rPr>
  </w:style>
  <w:style w:type="character" w:customStyle="1" w:styleId="TitleChar">
    <w:name w:val="Title Char"/>
    <w:basedOn w:val="DefaultParagraphFont"/>
    <w:link w:val="Title"/>
    <w:uiPriority w:val="10"/>
    <w:rsid w:val="00004765"/>
    <w:rPr>
      <w:rFonts w:ascii="Times New Roman" w:eastAsiaTheme="majorEastAsia" w:hAnsi="Times New Roman" w:cstheme="majorBidi"/>
      <w:b/>
      <w:spacing w:val="-10"/>
      <w:kern w:val="28"/>
      <w:sz w:val="48"/>
      <w:szCs w:val="56"/>
    </w:rPr>
  </w:style>
  <w:style w:type="character" w:customStyle="1" w:styleId="Heading2Char">
    <w:name w:val="Heading 2 Char"/>
    <w:basedOn w:val="DefaultParagraphFont"/>
    <w:link w:val="Heading2"/>
    <w:uiPriority w:val="9"/>
    <w:rsid w:val="004F2E2D"/>
    <w:rPr>
      <w:rFonts w:ascii="Times New Roman" w:eastAsiaTheme="majorEastAsia" w:hAnsi="Times New Roman" w:cstheme="majorBidi"/>
      <w:b/>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31717">
      <w:bodyDiv w:val="1"/>
      <w:marLeft w:val="0"/>
      <w:marRight w:val="0"/>
      <w:marTop w:val="0"/>
      <w:marBottom w:val="0"/>
      <w:divBdr>
        <w:top w:val="none" w:sz="0" w:space="0" w:color="auto"/>
        <w:left w:val="none" w:sz="0" w:space="0" w:color="auto"/>
        <w:bottom w:val="none" w:sz="0" w:space="0" w:color="auto"/>
        <w:right w:val="none" w:sz="0" w:space="0" w:color="auto"/>
      </w:divBdr>
      <w:divsChild>
        <w:div w:id="203638379">
          <w:marLeft w:val="0"/>
          <w:marRight w:val="0"/>
          <w:marTop w:val="0"/>
          <w:marBottom w:val="0"/>
          <w:divBdr>
            <w:top w:val="none" w:sz="0" w:space="0" w:color="auto"/>
            <w:left w:val="none" w:sz="0" w:space="0" w:color="auto"/>
            <w:bottom w:val="none" w:sz="0" w:space="0" w:color="auto"/>
            <w:right w:val="none" w:sz="0" w:space="0" w:color="auto"/>
          </w:divBdr>
          <w:divsChild>
            <w:div w:id="1023940153">
              <w:marLeft w:val="0"/>
              <w:marRight w:val="0"/>
              <w:marTop w:val="0"/>
              <w:marBottom w:val="0"/>
              <w:divBdr>
                <w:top w:val="none" w:sz="0" w:space="0" w:color="auto"/>
                <w:left w:val="none" w:sz="0" w:space="0" w:color="auto"/>
                <w:bottom w:val="none" w:sz="0" w:space="0" w:color="auto"/>
                <w:right w:val="none" w:sz="0" w:space="0" w:color="auto"/>
              </w:divBdr>
              <w:divsChild>
                <w:div w:id="1539584579">
                  <w:marLeft w:val="0"/>
                  <w:marRight w:val="0"/>
                  <w:marTop w:val="0"/>
                  <w:marBottom w:val="0"/>
                  <w:divBdr>
                    <w:top w:val="none" w:sz="0" w:space="0" w:color="auto"/>
                    <w:left w:val="none" w:sz="0" w:space="0" w:color="auto"/>
                    <w:bottom w:val="none" w:sz="0" w:space="0" w:color="auto"/>
                    <w:right w:val="none" w:sz="0" w:space="0" w:color="auto"/>
                  </w:divBdr>
                  <w:divsChild>
                    <w:div w:id="28115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11826">
      <w:bodyDiv w:val="1"/>
      <w:marLeft w:val="0"/>
      <w:marRight w:val="0"/>
      <w:marTop w:val="0"/>
      <w:marBottom w:val="0"/>
      <w:divBdr>
        <w:top w:val="none" w:sz="0" w:space="0" w:color="auto"/>
        <w:left w:val="none" w:sz="0" w:space="0" w:color="auto"/>
        <w:bottom w:val="none" w:sz="0" w:space="0" w:color="auto"/>
        <w:right w:val="none" w:sz="0" w:space="0" w:color="auto"/>
      </w:divBdr>
    </w:div>
    <w:div w:id="392704412">
      <w:bodyDiv w:val="1"/>
      <w:marLeft w:val="0"/>
      <w:marRight w:val="0"/>
      <w:marTop w:val="0"/>
      <w:marBottom w:val="0"/>
      <w:divBdr>
        <w:top w:val="none" w:sz="0" w:space="0" w:color="auto"/>
        <w:left w:val="none" w:sz="0" w:space="0" w:color="auto"/>
        <w:bottom w:val="none" w:sz="0" w:space="0" w:color="auto"/>
        <w:right w:val="none" w:sz="0" w:space="0" w:color="auto"/>
      </w:divBdr>
    </w:div>
    <w:div w:id="458299099">
      <w:bodyDiv w:val="1"/>
      <w:marLeft w:val="0"/>
      <w:marRight w:val="0"/>
      <w:marTop w:val="0"/>
      <w:marBottom w:val="0"/>
      <w:divBdr>
        <w:top w:val="none" w:sz="0" w:space="0" w:color="auto"/>
        <w:left w:val="none" w:sz="0" w:space="0" w:color="auto"/>
        <w:bottom w:val="none" w:sz="0" w:space="0" w:color="auto"/>
        <w:right w:val="none" w:sz="0" w:space="0" w:color="auto"/>
      </w:divBdr>
    </w:div>
    <w:div w:id="919752851">
      <w:bodyDiv w:val="1"/>
      <w:marLeft w:val="0"/>
      <w:marRight w:val="0"/>
      <w:marTop w:val="0"/>
      <w:marBottom w:val="0"/>
      <w:divBdr>
        <w:top w:val="none" w:sz="0" w:space="0" w:color="auto"/>
        <w:left w:val="none" w:sz="0" w:space="0" w:color="auto"/>
        <w:bottom w:val="none" w:sz="0" w:space="0" w:color="auto"/>
        <w:right w:val="none" w:sz="0" w:space="0" w:color="auto"/>
      </w:divBdr>
      <w:divsChild>
        <w:div w:id="481317164">
          <w:marLeft w:val="0"/>
          <w:marRight w:val="0"/>
          <w:marTop w:val="0"/>
          <w:marBottom w:val="0"/>
          <w:divBdr>
            <w:top w:val="none" w:sz="0" w:space="0" w:color="auto"/>
            <w:left w:val="none" w:sz="0" w:space="0" w:color="auto"/>
            <w:bottom w:val="none" w:sz="0" w:space="0" w:color="auto"/>
            <w:right w:val="none" w:sz="0" w:space="0" w:color="auto"/>
          </w:divBdr>
          <w:divsChild>
            <w:div w:id="822046652">
              <w:marLeft w:val="0"/>
              <w:marRight w:val="0"/>
              <w:marTop w:val="0"/>
              <w:marBottom w:val="0"/>
              <w:divBdr>
                <w:top w:val="none" w:sz="0" w:space="0" w:color="auto"/>
                <w:left w:val="none" w:sz="0" w:space="0" w:color="auto"/>
                <w:bottom w:val="none" w:sz="0" w:space="0" w:color="auto"/>
                <w:right w:val="none" w:sz="0" w:space="0" w:color="auto"/>
              </w:divBdr>
              <w:divsChild>
                <w:div w:id="300886907">
                  <w:marLeft w:val="0"/>
                  <w:marRight w:val="0"/>
                  <w:marTop w:val="0"/>
                  <w:marBottom w:val="0"/>
                  <w:divBdr>
                    <w:top w:val="none" w:sz="0" w:space="0" w:color="auto"/>
                    <w:left w:val="none" w:sz="0" w:space="0" w:color="auto"/>
                    <w:bottom w:val="none" w:sz="0" w:space="0" w:color="auto"/>
                    <w:right w:val="none" w:sz="0" w:space="0" w:color="auto"/>
                  </w:divBdr>
                  <w:divsChild>
                    <w:div w:id="21162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726721">
      <w:bodyDiv w:val="1"/>
      <w:marLeft w:val="0"/>
      <w:marRight w:val="0"/>
      <w:marTop w:val="0"/>
      <w:marBottom w:val="0"/>
      <w:divBdr>
        <w:top w:val="none" w:sz="0" w:space="0" w:color="auto"/>
        <w:left w:val="none" w:sz="0" w:space="0" w:color="auto"/>
        <w:bottom w:val="none" w:sz="0" w:space="0" w:color="auto"/>
        <w:right w:val="none" w:sz="0" w:space="0" w:color="auto"/>
      </w:divBdr>
      <w:divsChild>
        <w:div w:id="1327054904">
          <w:marLeft w:val="0"/>
          <w:marRight w:val="0"/>
          <w:marTop w:val="0"/>
          <w:marBottom w:val="0"/>
          <w:divBdr>
            <w:top w:val="none" w:sz="0" w:space="0" w:color="auto"/>
            <w:left w:val="none" w:sz="0" w:space="0" w:color="auto"/>
            <w:bottom w:val="none" w:sz="0" w:space="0" w:color="auto"/>
            <w:right w:val="none" w:sz="0" w:space="0" w:color="auto"/>
          </w:divBdr>
          <w:divsChild>
            <w:div w:id="1277447405">
              <w:marLeft w:val="0"/>
              <w:marRight w:val="0"/>
              <w:marTop w:val="0"/>
              <w:marBottom w:val="0"/>
              <w:divBdr>
                <w:top w:val="none" w:sz="0" w:space="0" w:color="auto"/>
                <w:left w:val="none" w:sz="0" w:space="0" w:color="auto"/>
                <w:bottom w:val="none" w:sz="0" w:space="0" w:color="auto"/>
                <w:right w:val="none" w:sz="0" w:space="0" w:color="auto"/>
              </w:divBdr>
              <w:divsChild>
                <w:div w:id="1302928695">
                  <w:marLeft w:val="0"/>
                  <w:marRight w:val="0"/>
                  <w:marTop w:val="0"/>
                  <w:marBottom w:val="0"/>
                  <w:divBdr>
                    <w:top w:val="none" w:sz="0" w:space="0" w:color="auto"/>
                    <w:left w:val="none" w:sz="0" w:space="0" w:color="auto"/>
                    <w:bottom w:val="none" w:sz="0" w:space="0" w:color="auto"/>
                    <w:right w:val="none" w:sz="0" w:space="0" w:color="auto"/>
                  </w:divBdr>
                  <w:divsChild>
                    <w:div w:id="169445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020929">
      <w:bodyDiv w:val="1"/>
      <w:marLeft w:val="0"/>
      <w:marRight w:val="0"/>
      <w:marTop w:val="0"/>
      <w:marBottom w:val="0"/>
      <w:divBdr>
        <w:top w:val="none" w:sz="0" w:space="0" w:color="auto"/>
        <w:left w:val="none" w:sz="0" w:space="0" w:color="auto"/>
        <w:bottom w:val="none" w:sz="0" w:space="0" w:color="auto"/>
        <w:right w:val="none" w:sz="0" w:space="0" w:color="auto"/>
      </w:divBdr>
      <w:divsChild>
        <w:div w:id="2113544366">
          <w:marLeft w:val="0"/>
          <w:marRight w:val="0"/>
          <w:marTop w:val="0"/>
          <w:marBottom w:val="0"/>
          <w:divBdr>
            <w:top w:val="none" w:sz="0" w:space="0" w:color="auto"/>
            <w:left w:val="none" w:sz="0" w:space="0" w:color="auto"/>
            <w:bottom w:val="none" w:sz="0" w:space="0" w:color="auto"/>
            <w:right w:val="none" w:sz="0" w:space="0" w:color="auto"/>
          </w:divBdr>
          <w:divsChild>
            <w:div w:id="2144426130">
              <w:marLeft w:val="0"/>
              <w:marRight w:val="0"/>
              <w:marTop w:val="0"/>
              <w:marBottom w:val="0"/>
              <w:divBdr>
                <w:top w:val="none" w:sz="0" w:space="0" w:color="auto"/>
                <w:left w:val="none" w:sz="0" w:space="0" w:color="auto"/>
                <w:bottom w:val="none" w:sz="0" w:space="0" w:color="auto"/>
                <w:right w:val="none" w:sz="0" w:space="0" w:color="auto"/>
              </w:divBdr>
              <w:divsChild>
                <w:div w:id="574358315">
                  <w:marLeft w:val="0"/>
                  <w:marRight w:val="0"/>
                  <w:marTop w:val="0"/>
                  <w:marBottom w:val="0"/>
                  <w:divBdr>
                    <w:top w:val="none" w:sz="0" w:space="0" w:color="auto"/>
                    <w:left w:val="none" w:sz="0" w:space="0" w:color="auto"/>
                    <w:bottom w:val="none" w:sz="0" w:space="0" w:color="auto"/>
                    <w:right w:val="none" w:sz="0" w:space="0" w:color="auto"/>
                  </w:divBdr>
                  <w:divsChild>
                    <w:div w:id="53346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817428">
      <w:bodyDiv w:val="1"/>
      <w:marLeft w:val="0"/>
      <w:marRight w:val="0"/>
      <w:marTop w:val="0"/>
      <w:marBottom w:val="0"/>
      <w:divBdr>
        <w:top w:val="none" w:sz="0" w:space="0" w:color="auto"/>
        <w:left w:val="none" w:sz="0" w:space="0" w:color="auto"/>
        <w:bottom w:val="none" w:sz="0" w:space="0" w:color="auto"/>
        <w:right w:val="none" w:sz="0" w:space="0" w:color="auto"/>
      </w:divBdr>
      <w:divsChild>
        <w:div w:id="258877255">
          <w:marLeft w:val="0"/>
          <w:marRight w:val="0"/>
          <w:marTop w:val="0"/>
          <w:marBottom w:val="0"/>
          <w:divBdr>
            <w:top w:val="none" w:sz="0" w:space="0" w:color="auto"/>
            <w:left w:val="none" w:sz="0" w:space="0" w:color="auto"/>
            <w:bottom w:val="none" w:sz="0" w:space="0" w:color="auto"/>
            <w:right w:val="none" w:sz="0" w:space="0" w:color="auto"/>
          </w:divBdr>
          <w:divsChild>
            <w:div w:id="617839725">
              <w:marLeft w:val="0"/>
              <w:marRight w:val="0"/>
              <w:marTop w:val="0"/>
              <w:marBottom w:val="0"/>
              <w:divBdr>
                <w:top w:val="none" w:sz="0" w:space="0" w:color="auto"/>
                <w:left w:val="none" w:sz="0" w:space="0" w:color="auto"/>
                <w:bottom w:val="none" w:sz="0" w:space="0" w:color="auto"/>
                <w:right w:val="none" w:sz="0" w:space="0" w:color="auto"/>
              </w:divBdr>
              <w:divsChild>
                <w:div w:id="418252311">
                  <w:marLeft w:val="0"/>
                  <w:marRight w:val="0"/>
                  <w:marTop w:val="0"/>
                  <w:marBottom w:val="0"/>
                  <w:divBdr>
                    <w:top w:val="none" w:sz="0" w:space="0" w:color="auto"/>
                    <w:left w:val="none" w:sz="0" w:space="0" w:color="auto"/>
                    <w:bottom w:val="none" w:sz="0" w:space="0" w:color="auto"/>
                    <w:right w:val="none" w:sz="0" w:space="0" w:color="auto"/>
                  </w:divBdr>
                  <w:divsChild>
                    <w:div w:id="128322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049866">
      <w:bodyDiv w:val="1"/>
      <w:marLeft w:val="0"/>
      <w:marRight w:val="0"/>
      <w:marTop w:val="0"/>
      <w:marBottom w:val="0"/>
      <w:divBdr>
        <w:top w:val="none" w:sz="0" w:space="0" w:color="auto"/>
        <w:left w:val="none" w:sz="0" w:space="0" w:color="auto"/>
        <w:bottom w:val="none" w:sz="0" w:space="0" w:color="auto"/>
        <w:right w:val="none" w:sz="0" w:space="0" w:color="auto"/>
      </w:divBdr>
    </w:div>
    <w:div w:id="1898274758">
      <w:bodyDiv w:val="1"/>
      <w:marLeft w:val="0"/>
      <w:marRight w:val="0"/>
      <w:marTop w:val="0"/>
      <w:marBottom w:val="0"/>
      <w:divBdr>
        <w:top w:val="none" w:sz="0" w:space="0" w:color="auto"/>
        <w:left w:val="none" w:sz="0" w:space="0" w:color="auto"/>
        <w:bottom w:val="none" w:sz="0" w:space="0" w:color="auto"/>
        <w:right w:val="none" w:sz="0" w:space="0" w:color="auto"/>
      </w:divBdr>
    </w:div>
    <w:div w:id="214461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questions-statements.parliament.uk/written-questions/detail/2021-09-10/47029" TargetMode="External"/><Relationship Id="rId13" Type="http://schemas.openxmlformats.org/officeDocument/2006/relationships/hyperlink" Target="https://ima-citizensrights.org.uk/outcomes/nhs-charging-for-successful-late-euss-applicants/" TargetMode="External"/><Relationship Id="rId18" Type="http://schemas.openxmlformats.org/officeDocument/2006/relationships/hyperlink" Target="https://www.gov.uk/government/publications/residence-rights-under-the-withdrawal-agreement/home-office-implementation-of-the-judgment-in-r-independent-monitoring-authority-for-the-citizens-rights-agreements-v-secretary-of-state-for-the-ho" TargetMode="External"/><Relationship Id="rId3" Type="http://schemas.openxmlformats.org/officeDocument/2006/relationships/hyperlink" Target="https://committees.parliament.uk/writtenevidence/84575/html/" TargetMode="External"/><Relationship Id="rId21" Type="http://schemas.openxmlformats.org/officeDocument/2006/relationships/hyperlink" Target="https://commission.europa.eu/document/download/dcff3b9d-f29f-4cec-b9ab-a489b8e33033_en?filename=13th-SCCR-draft-joint-statement.pdf" TargetMode="External"/><Relationship Id="rId7" Type="http://schemas.openxmlformats.org/officeDocument/2006/relationships/hyperlink" Target="https://www.gov.uk/government/news/temporary-protection-for-more-applicants-to-the-settlement-scheme" TargetMode="External"/><Relationship Id="rId12" Type="http://schemas.openxmlformats.org/officeDocument/2006/relationships/hyperlink" Target="https://www.theguardian.com/politics/2024/jan/15/french-woman-heartbroken-after-losing-job-in-uk-after-brexit-speaks-out" TargetMode="External"/><Relationship Id="rId17" Type="http://schemas.openxmlformats.org/officeDocument/2006/relationships/hyperlink" Target="https://www.gov.uk/government/consultations/consultation-on-reforms-to-social-housing-allocations/consultation-on-reforms-to-social-housing-allocations" TargetMode="External"/><Relationship Id="rId2" Type="http://schemas.openxmlformats.org/officeDocument/2006/relationships/hyperlink" Target="https://www.gov.uk/government/publications/citizens-rights-administrative-procedures-in-the-uk/39fda0af-aaa7-4c0d-b63d-134e87b66d08" TargetMode="External"/><Relationship Id="rId16" Type="http://schemas.openxmlformats.org/officeDocument/2006/relationships/hyperlink" Target="https://www.gov.uk/permanent-residence-document-eu-eea" TargetMode="External"/><Relationship Id="rId20" Type="http://schemas.openxmlformats.org/officeDocument/2006/relationships/hyperlink" Target="https://commission.europa.eu/document/download/311aae79-a4e3-4d24-9de2-81f2b3a0eb11_en?filename=9th_joint_statement_en.pdf" TargetMode="External"/><Relationship Id="rId1" Type="http://schemas.openxmlformats.org/officeDocument/2006/relationships/hyperlink" Target="https://www.gov.uk/government/publications/citizens-rights-administrative-procedures-in-the-uk/39fda0af-aaa7-4c0d-b63d-134e87b66d08" TargetMode="External"/><Relationship Id="rId6" Type="http://schemas.openxmlformats.org/officeDocument/2006/relationships/hyperlink" Target="https://commission.europa.eu/document/download/00db0299-23d1-4276-8eb8-7e47bd4db96b_en?filename=qa-eu-cit-in-uk_en.pdf" TargetMode="External"/><Relationship Id="rId11" Type="http://schemas.openxmlformats.org/officeDocument/2006/relationships/hyperlink" Target="https://www.theguardian.com/politics/2021/jul/23/thousand-aged-over-65-failed-apply-eu-settled-status-report" TargetMode="External"/><Relationship Id="rId5" Type="http://schemas.openxmlformats.org/officeDocument/2006/relationships/hyperlink" Target="https://commission.europa.eu/publications/joint-statement-following-fourteenth-meeting-specialised-committee-citizens-rights_en" TargetMode="External"/><Relationship Id="rId15" Type="http://schemas.openxmlformats.org/officeDocument/2006/relationships/hyperlink" Target="https://commission.europa.eu/publications/joint-statement-following-meeting-specialised-committee-citizens-rights-1_en" TargetMode="External"/><Relationship Id="rId10" Type="http://schemas.openxmlformats.org/officeDocument/2006/relationships/hyperlink" Target="https://www.eurightshub.york.ac.uk/blog/9da4glyi9saw0jsv7rv1agjugftgbm" TargetMode="External"/><Relationship Id="rId19" Type="http://schemas.openxmlformats.org/officeDocument/2006/relationships/hyperlink" Target="https://commission.europa.eu/document/download/1509ec4c-2dc7-42e2-9908-90ffc9140e2a_en?filename=15th-SCCR-joint-statement-en.pdf" TargetMode="External"/><Relationship Id="rId4" Type="http://schemas.openxmlformats.org/officeDocument/2006/relationships/hyperlink" Target="https://www.theguardian.com/politics/2018/apr/23/amber-rudd-online-eu-registration-system-lk-bennett" TargetMode="External"/><Relationship Id="rId9" Type="http://schemas.openxmlformats.org/officeDocument/2006/relationships/hyperlink" Target="https://www.eurightshub.york.ac.uk/blog/6jd0pjr5swh379fbjo97ffk4fd8ir6" TargetMode="External"/><Relationship Id="rId14" Type="http://schemas.openxmlformats.org/officeDocument/2006/relationships/hyperlink" Target="https://www.europarl.europa.eu/RegData/etudes/BRIE/2023/739351/EPRS_BRI(2023)739351_EN.pdf"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0F1C0-3E4A-4540-9FD7-2346AEF1A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8603</Words>
  <Characters>49038</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2025-08-16T00:10:00Z</dcterms:created>
  <dcterms:modified xsi:type="dcterms:W3CDTF">2025-09-12T10:20:00Z</dcterms:modified>
</cp:coreProperties>
</file>