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7E57F2" w14:textId="0D138E3B" w:rsidR="00457EC2" w:rsidRPr="00457EC2" w:rsidRDefault="00457EC2" w:rsidP="00457EC2">
      <w:pPr>
        <w:pStyle w:val="Title"/>
        <w:tabs>
          <w:tab w:val="left" w:pos="7797"/>
        </w:tabs>
      </w:pPr>
      <w:r w:rsidRPr="00AD13BD">
        <w:t xml:space="preserve">The utility of </w:t>
      </w:r>
      <w:r w:rsidR="00476402">
        <w:t xml:space="preserve">mangrove </w:t>
      </w:r>
      <w:r w:rsidR="00472476">
        <w:t>foraminifera, diatoms,</w:t>
      </w:r>
      <w:r w:rsidRPr="00AD13BD">
        <w:t xml:space="preserve"> and stable carbon isotope and C/N geochemistry </w:t>
      </w:r>
      <w:r w:rsidR="00472476">
        <w:t>in</w:t>
      </w:r>
      <w:r w:rsidRPr="00AD13BD">
        <w:t xml:space="preserve"> </w:t>
      </w:r>
      <w:r w:rsidR="003F7EA9">
        <w:t xml:space="preserve">relative </w:t>
      </w:r>
      <w:r w:rsidRPr="00AD13BD">
        <w:t>sea-level reconstruction in the Pearl River Delta</w:t>
      </w:r>
      <w:r w:rsidR="003F7EA9">
        <w:t>, China</w:t>
      </w:r>
    </w:p>
    <w:p w14:paraId="186976A9" w14:textId="2F54C17F" w:rsidR="00536FB1" w:rsidRPr="00536FB1" w:rsidRDefault="00A7313B" w:rsidP="00AA0B7F">
      <w:pPr>
        <w:tabs>
          <w:tab w:val="left" w:pos="7797"/>
        </w:tabs>
      </w:pPr>
      <w:r>
        <w:t xml:space="preserve"> </w:t>
      </w:r>
    </w:p>
    <w:p w14:paraId="119B5F01" w14:textId="00737484" w:rsidR="00B3447E" w:rsidRDefault="00780408" w:rsidP="00B3447E">
      <w:pPr>
        <w:tabs>
          <w:tab w:val="left" w:pos="7797"/>
        </w:tabs>
      </w:pPr>
      <w:r w:rsidRPr="003F7EA9">
        <w:t>Howard K.Y. Yu</w:t>
      </w:r>
      <w:r w:rsidR="003F7EA9">
        <w:rPr>
          <w:vertAlign w:val="superscript"/>
        </w:rPr>
        <w:t>1</w:t>
      </w:r>
      <w:r w:rsidR="003F7EA9">
        <w:t xml:space="preserve">, </w:t>
      </w:r>
      <w:r w:rsidRPr="003F7EA9">
        <w:t>Nicole S</w:t>
      </w:r>
      <w:r w:rsidR="00F636B0" w:rsidRPr="003F7EA9">
        <w:t>.</w:t>
      </w:r>
      <w:r w:rsidRPr="003F7EA9">
        <w:t xml:space="preserve"> Khan</w:t>
      </w:r>
      <w:r w:rsidR="003F7EA9">
        <w:rPr>
          <w:vertAlign w:val="superscript"/>
        </w:rPr>
        <w:t>1</w:t>
      </w:r>
      <w:r w:rsidR="003F7EA9">
        <w:t>, Nina Desianti</w:t>
      </w:r>
      <w:r w:rsidR="003F7EA9">
        <w:rPr>
          <w:vertAlign w:val="superscript"/>
        </w:rPr>
        <w:t>2</w:t>
      </w:r>
      <w:r w:rsidR="003F7EA9">
        <w:t>, Ed</w:t>
      </w:r>
      <w:r w:rsidR="00163A92">
        <w:t xml:space="preserve"> Garrett</w:t>
      </w:r>
      <w:r w:rsidR="003F7EA9">
        <w:rPr>
          <w:vertAlign w:val="superscript"/>
        </w:rPr>
        <w:t>3</w:t>
      </w:r>
      <w:r w:rsidR="00852382">
        <w:t xml:space="preserve">, </w:t>
      </w:r>
      <w:r w:rsidR="00852382" w:rsidRPr="00852382">
        <w:t>Noah J. Planavsky</w:t>
      </w:r>
      <w:r w:rsidR="00852382">
        <w:rPr>
          <w:vertAlign w:val="superscript"/>
        </w:rPr>
        <w:t>4</w:t>
      </w:r>
      <w:r w:rsidR="00B3447E">
        <w:t>,</w:t>
      </w:r>
      <w:r w:rsidR="00B3447E" w:rsidRPr="00B3447E">
        <w:t xml:space="preserve"> Ayesha Ahmed</w:t>
      </w:r>
      <w:r w:rsidR="00B3447E">
        <w:rPr>
          <w:vertAlign w:val="superscript"/>
        </w:rPr>
        <w:t>4</w:t>
      </w:r>
    </w:p>
    <w:p w14:paraId="7BF6C99E" w14:textId="77777777" w:rsidR="003F7EA9" w:rsidRDefault="003F7EA9" w:rsidP="00AA0B7F">
      <w:pPr>
        <w:tabs>
          <w:tab w:val="left" w:pos="7797"/>
        </w:tabs>
      </w:pPr>
    </w:p>
    <w:p w14:paraId="64C9CCDE" w14:textId="76B1B056" w:rsidR="003F7EA9" w:rsidRPr="008D3F36" w:rsidRDefault="003F7EA9" w:rsidP="00BB653E">
      <w:pPr>
        <w:rPr>
          <w:rStyle w:val="s8"/>
          <w:i/>
          <w:iCs/>
          <w:sz w:val="20"/>
          <w:szCs w:val="20"/>
        </w:rPr>
      </w:pPr>
      <w:r w:rsidRPr="008D3F36">
        <w:rPr>
          <w:rStyle w:val="s8"/>
          <w:i/>
          <w:iCs/>
          <w:color w:val="000000"/>
          <w:sz w:val="20"/>
          <w:szCs w:val="20"/>
          <w:vertAlign w:val="superscript"/>
        </w:rPr>
        <w:t>1</w:t>
      </w:r>
      <w:r w:rsidRPr="008D3F36">
        <w:rPr>
          <w:rStyle w:val="s8"/>
          <w:i/>
          <w:iCs/>
          <w:sz w:val="20"/>
          <w:szCs w:val="20"/>
        </w:rPr>
        <w:t>Department of Earth Sciences and the Swire Institute of Marine Science, The University of Hong Kong, Hong Kong</w:t>
      </w:r>
    </w:p>
    <w:p w14:paraId="30A748F7" w14:textId="2B9EFDB7" w:rsidR="003F7EA9" w:rsidRPr="00476402" w:rsidRDefault="008B1A3B" w:rsidP="003F7EA9">
      <w:pPr>
        <w:rPr>
          <w:vertAlign w:val="superscript"/>
        </w:rPr>
      </w:pPr>
      <w:r w:rsidRPr="008D3F36">
        <w:rPr>
          <w:rStyle w:val="s8"/>
          <w:i/>
          <w:iCs/>
          <w:color w:val="000000"/>
          <w:sz w:val="20"/>
          <w:szCs w:val="20"/>
          <w:vertAlign w:val="superscript"/>
        </w:rPr>
        <w:t>2</w:t>
      </w:r>
      <w:r w:rsidR="00471F7A" w:rsidRPr="008D3F36">
        <w:rPr>
          <w:rStyle w:val="s9"/>
          <w:i/>
          <w:iCs/>
          <w:color w:val="000000"/>
          <w:sz w:val="20"/>
          <w:szCs w:val="20"/>
        </w:rPr>
        <w:t xml:space="preserve"> </w:t>
      </w:r>
      <w:proofErr w:type="spellStart"/>
      <w:r w:rsidR="00D40B13" w:rsidRPr="00D40B13">
        <w:rPr>
          <w:i/>
          <w:iCs/>
          <w:color w:val="000000"/>
          <w:sz w:val="20"/>
          <w:szCs w:val="20"/>
        </w:rPr>
        <w:t>EcoAnalysts</w:t>
      </w:r>
      <w:proofErr w:type="spellEnd"/>
      <w:r w:rsidR="00D40B13">
        <w:rPr>
          <w:rStyle w:val="s9"/>
          <w:i/>
          <w:iCs/>
          <w:color w:val="000000"/>
          <w:sz w:val="20"/>
          <w:szCs w:val="20"/>
        </w:rPr>
        <w:t xml:space="preserve"> </w:t>
      </w:r>
      <w:r w:rsidR="00D40B13" w:rsidRPr="00D40B13">
        <w:rPr>
          <w:rStyle w:val="s9"/>
          <w:i/>
          <w:iCs/>
          <w:color w:val="000000"/>
          <w:sz w:val="20"/>
          <w:szCs w:val="20"/>
        </w:rPr>
        <w:t>Inc.</w:t>
      </w:r>
      <w:r w:rsidR="00163A92" w:rsidRPr="008D3F36">
        <w:rPr>
          <w:rStyle w:val="s9"/>
          <w:i/>
          <w:iCs/>
          <w:color w:val="000000"/>
          <w:sz w:val="20"/>
          <w:szCs w:val="20"/>
        </w:rPr>
        <w:t>, USA</w:t>
      </w:r>
    </w:p>
    <w:p w14:paraId="795715FB" w14:textId="2D672F8F" w:rsidR="003F7EA9" w:rsidRDefault="008B1A3B" w:rsidP="003A4897">
      <w:pPr>
        <w:rPr>
          <w:rStyle w:val="s9"/>
          <w:i/>
          <w:iCs/>
          <w:color w:val="000000"/>
          <w:sz w:val="20"/>
          <w:szCs w:val="20"/>
        </w:rPr>
      </w:pPr>
      <w:r w:rsidRPr="008D3F36">
        <w:rPr>
          <w:rStyle w:val="s8"/>
          <w:i/>
          <w:sz w:val="20"/>
          <w:vertAlign w:val="superscript"/>
        </w:rPr>
        <w:t>3</w:t>
      </w:r>
      <w:r w:rsidRPr="008D3F36">
        <w:rPr>
          <w:rStyle w:val="s9"/>
          <w:i/>
          <w:iCs/>
          <w:color w:val="000000"/>
          <w:sz w:val="20"/>
          <w:szCs w:val="20"/>
        </w:rPr>
        <w:t>Department of Environment and Geography, University of York</w:t>
      </w:r>
      <w:r w:rsidR="00163A92" w:rsidRPr="008D3F36">
        <w:rPr>
          <w:rStyle w:val="s9"/>
          <w:i/>
          <w:iCs/>
          <w:color w:val="000000"/>
          <w:sz w:val="20"/>
          <w:szCs w:val="20"/>
        </w:rPr>
        <w:t>, UK</w:t>
      </w:r>
    </w:p>
    <w:p w14:paraId="6D10249B" w14:textId="6A82B4EE" w:rsidR="00852382" w:rsidRPr="008D3F36" w:rsidRDefault="00852382" w:rsidP="003A4897">
      <w:pPr>
        <w:rPr>
          <w:rStyle w:val="s9"/>
          <w:i/>
          <w:iCs/>
          <w:color w:val="000000"/>
          <w:sz w:val="20"/>
          <w:szCs w:val="20"/>
        </w:rPr>
      </w:pPr>
      <w:r>
        <w:rPr>
          <w:rStyle w:val="s8"/>
          <w:i/>
          <w:sz w:val="20"/>
          <w:vertAlign w:val="superscript"/>
        </w:rPr>
        <w:t>4</w:t>
      </w:r>
      <w:r w:rsidRPr="00852382">
        <w:rPr>
          <w:i/>
          <w:iCs/>
          <w:color w:val="000000"/>
          <w:sz w:val="20"/>
          <w:szCs w:val="20"/>
        </w:rPr>
        <w:t>Department of Geology and Geophysics, Yale University</w:t>
      </w:r>
      <w:r>
        <w:rPr>
          <w:i/>
          <w:iCs/>
          <w:color w:val="000000"/>
          <w:sz w:val="20"/>
          <w:szCs w:val="20"/>
        </w:rPr>
        <w:t>, USA</w:t>
      </w:r>
    </w:p>
    <w:p w14:paraId="2FD4774D" w14:textId="77777777" w:rsidR="001B2703" w:rsidRPr="001B2703" w:rsidRDefault="001B2703" w:rsidP="006E20F0">
      <w:pPr>
        <w:rPr>
          <w:lang w:val="en-HK"/>
        </w:rPr>
      </w:pPr>
    </w:p>
    <w:p w14:paraId="352C25E0" w14:textId="7E5C3A43" w:rsidR="00246068" w:rsidRPr="00753416" w:rsidRDefault="00246068" w:rsidP="00246068">
      <w:pPr>
        <w:pStyle w:val="Heading1"/>
        <w:tabs>
          <w:tab w:val="left" w:pos="7797"/>
        </w:tabs>
      </w:pPr>
      <w:r w:rsidRPr="00753416">
        <w:t>Abstract</w:t>
      </w:r>
    </w:p>
    <w:p w14:paraId="1C83019F" w14:textId="2E320BC3" w:rsidR="00134C5B" w:rsidRPr="00753416" w:rsidRDefault="00DB63B0" w:rsidP="003A4897">
      <w:pPr>
        <w:rPr>
          <w:lang w:val="en-HK"/>
        </w:rPr>
      </w:pPr>
      <w:r w:rsidRPr="00753416">
        <w:rPr>
          <w:lang w:val="en-HK"/>
        </w:rPr>
        <w:t>We investigate</w:t>
      </w:r>
      <w:r w:rsidR="00476402" w:rsidRPr="00753416">
        <w:rPr>
          <w:lang w:val="en-HK"/>
        </w:rPr>
        <w:t>d</w:t>
      </w:r>
      <w:r w:rsidRPr="00753416">
        <w:rPr>
          <w:lang w:val="en-HK"/>
        </w:rPr>
        <w:t xml:space="preserve"> the utility of </w:t>
      </w:r>
      <w:r w:rsidR="003F5A8D" w:rsidRPr="00753416">
        <w:t>foraminifera, diatoms, and δ</w:t>
      </w:r>
      <w:r w:rsidR="003F5A8D" w:rsidRPr="00753416">
        <w:rPr>
          <w:vertAlign w:val="superscript"/>
        </w:rPr>
        <w:t>13</w:t>
      </w:r>
      <w:r w:rsidR="003F5A8D" w:rsidRPr="00753416">
        <w:t xml:space="preserve">C and C/N geochemistry as proxies for generating late Holocene </w:t>
      </w:r>
      <w:r w:rsidR="002F02F8">
        <w:t>relative sea-level (</w:t>
      </w:r>
      <w:r w:rsidR="003F5A8D" w:rsidRPr="00753416">
        <w:t>RSL</w:t>
      </w:r>
      <w:r w:rsidR="002F02F8">
        <w:t>)</w:t>
      </w:r>
      <w:r w:rsidR="003F5A8D" w:rsidRPr="00753416">
        <w:t xml:space="preserve"> records from Deep Bay</w:t>
      </w:r>
      <w:r w:rsidR="009F68F2">
        <w:t xml:space="preserve"> </w:t>
      </w:r>
      <w:r w:rsidR="00614E8F">
        <w:t xml:space="preserve">on </w:t>
      </w:r>
      <w:r w:rsidR="009F68F2">
        <w:t>the eastern side of the</w:t>
      </w:r>
      <w:r w:rsidR="00D96A5A" w:rsidRPr="00753416">
        <w:t xml:space="preserve"> P</w:t>
      </w:r>
      <w:r w:rsidR="009F68F2">
        <w:t xml:space="preserve">earl </w:t>
      </w:r>
      <w:r w:rsidR="00D96A5A" w:rsidRPr="00753416">
        <w:t>R</w:t>
      </w:r>
      <w:r w:rsidR="009F68F2">
        <w:t xml:space="preserve">iver </w:t>
      </w:r>
      <w:r w:rsidR="00D96A5A" w:rsidRPr="00753416">
        <w:t>D</w:t>
      </w:r>
      <w:r w:rsidR="009F68F2">
        <w:t>elta</w:t>
      </w:r>
      <w:r w:rsidR="003F5A8D" w:rsidRPr="00753416">
        <w:t>.</w:t>
      </w:r>
      <w:r w:rsidR="00C7270B" w:rsidRPr="00753416">
        <w:t xml:space="preserve"> </w:t>
      </w:r>
      <w:r w:rsidR="00C7270B" w:rsidRPr="00753416">
        <w:rPr>
          <w:lang w:val="en-HK"/>
        </w:rPr>
        <w:t xml:space="preserve">We described the contemporary distribution of these proxies from 66 samples across subtidal, intertidal (mudflat and mangrove), and upland environments from three transects. </w:t>
      </w:r>
      <w:r w:rsidR="00C7270B" w:rsidRPr="00753416">
        <w:t xml:space="preserve">Using Partitioning Around Medoids (PAM) </w:t>
      </w:r>
      <w:r w:rsidR="00870610">
        <w:t xml:space="preserve">cluster </w:t>
      </w:r>
      <w:r w:rsidR="00C7270B" w:rsidRPr="00753416">
        <w:t>analysis, we identified t</w:t>
      </w:r>
      <w:r w:rsidR="009B066A">
        <w:t>en</w:t>
      </w:r>
      <w:r w:rsidR="00C7270B" w:rsidRPr="00753416">
        <w:t xml:space="preserve"> distinct, </w:t>
      </w:r>
      <w:r w:rsidR="00A3465F" w:rsidRPr="00753416">
        <w:t>vertically</w:t>
      </w:r>
      <w:r w:rsidR="00870610">
        <w:t>-</w:t>
      </w:r>
      <w:r w:rsidR="00A3465F" w:rsidRPr="00753416">
        <w:t>zoned</w:t>
      </w:r>
      <w:r w:rsidR="00C7270B" w:rsidRPr="00753416">
        <w:t xml:space="preserve"> groups of foraminifera and </w:t>
      </w:r>
      <w:r w:rsidR="009B066A">
        <w:t xml:space="preserve">two groups of </w:t>
      </w:r>
      <w:r w:rsidR="00C7270B" w:rsidRPr="00753416">
        <w:t>diatoms.</w:t>
      </w:r>
      <w:r w:rsidR="00C7270B" w:rsidRPr="00753416">
        <w:rPr>
          <w:lang w:val="en-HK"/>
        </w:rPr>
        <w:t xml:space="preserve"> </w:t>
      </w:r>
      <w:r w:rsidR="00C7270B" w:rsidRPr="00753416">
        <w:t xml:space="preserve">Canonical Correspondence Analysis (CCA) revealed that tidal elevation was the primary environmental variable controlling foraminiferal assemblages, while salinity, </w:t>
      </w:r>
      <w:r w:rsidR="00870610">
        <w:t xml:space="preserve">which </w:t>
      </w:r>
      <w:r w:rsidR="00C7270B" w:rsidRPr="00753416">
        <w:t>covar</w:t>
      </w:r>
      <w:r w:rsidR="00870610">
        <w:t>ied</w:t>
      </w:r>
      <w:r w:rsidR="00C7270B" w:rsidRPr="00753416">
        <w:t xml:space="preserve"> with elevation, primarily influenced diatom assemblages. </w:t>
      </w:r>
      <w:r w:rsidR="002F02F8">
        <w:rPr>
          <w:lang w:val="en-HK"/>
        </w:rPr>
        <w:t>W</w:t>
      </w:r>
      <w:r w:rsidR="00134C5B" w:rsidRPr="00753416">
        <w:rPr>
          <w:lang w:val="en-HK"/>
        </w:rPr>
        <w:t xml:space="preserve">e </w:t>
      </w:r>
      <w:r w:rsidR="002F02F8">
        <w:rPr>
          <w:lang w:val="en-HK"/>
        </w:rPr>
        <w:t xml:space="preserve">also </w:t>
      </w:r>
      <w:r w:rsidR="00134C5B" w:rsidRPr="00753416">
        <w:rPr>
          <w:lang w:val="en-HK"/>
        </w:rPr>
        <w:t xml:space="preserve">identified 6 </w:t>
      </w:r>
      <w:r w:rsidR="00870610">
        <w:rPr>
          <w:lang w:val="en-HK"/>
        </w:rPr>
        <w:t xml:space="preserve">vertically-zoned, </w:t>
      </w:r>
      <w:r w:rsidR="00134C5B" w:rsidRPr="00753416">
        <w:rPr>
          <w:lang w:val="en-HK"/>
        </w:rPr>
        <w:t>environmental zones on the basis of δ</w:t>
      </w:r>
      <w:r w:rsidR="00134C5B" w:rsidRPr="00753416">
        <w:rPr>
          <w:vertAlign w:val="superscript"/>
          <w:lang w:val="en-HK"/>
        </w:rPr>
        <w:t>13</w:t>
      </w:r>
      <w:r w:rsidR="00134C5B" w:rsidRPr="00753416">
        <w:rPr>
          <w:lang w:val="en-HK"/>
        </w:rPr>
        <w:t>C and C/N geochemistry</w:t>
      </w:r>
      <w:r w:rsidR="002F02F8">
        <w:rPr>
          <w:lang w:val="en-HK"/>
        </w:rPr>
        <w:t xml:space="preserve"> </w:t>
      </w:r>
      <w:r w:rsidR="002F02F8" w:rsidRPr="00753416">
        <w:rPr>
          <w:lang w:val="en-HK"/>
        </w:rPr>
        <w:t xml:space="preserve">using </w:t>
      </w:r>
      <w:r w:rsidR="002F02F8">
        <w:t>l</w:t>
      </w:r>
      <w:r w:rsidR="002F02F8" w:rsidRPr="00753416">
        <w:t xml:space="preserve">inear </w:t>
      </w:r>
      <w:r w:rsidR="002F02F8">
        <w:t>d</w:t>
      </w:r>
      <w:r w:rsidR="002F02F8" w:rsidRPr="00753416">
        <w:t xml:space="preserve">iscriminant </w:t>
      </w:r>
      <w:r w:rsidR="002F02F8">
        <w:t>a</w:t>
      </w:r>
      <w:r w:rsidR="002F02F8" w:rsidRPr="00753416">
        <w:t>nalysis</w:t>
      </w:r>
      <w:r w:rsidR="002664B1">
        <w:t xml:space="preserve"> (LDA)</w:t>
      </w:r>
      <w:r w:rsidR="00134C5B" w:rsidRPr="00753416">
        <w:rPr>
          <w:lang w:val="en-HK"/>
        </w:rPr>
        <w:t xml:space="preserve">. </w:t>
      </w:r>
      <w:r w:rsidR="00134C5B" w:rsidRPr="00753416">
        <w:t>Bayesian transfer functions (BTFs)</w:t>
      </w:r>
      <w:r w:rsidR="00FF16CE">
        <w:t xml:space="preserve"> were developed</w:t>
      </w:r>
      <w:r w:rsidR="00134C5B" w:rsidRPr="00753416">
        <w:t xml:space="preserve"> </w:t>
      </w:r>
      <w:r w:rsidR="00870610">
        <w:t>from</w:t>
      </w:r>
      <w:r w:rsidR="00134C5B" w:rsidRPr="00753416">
        <w:t xml:space="preserve"> modern foraminifera and diatom training sets</w:t>
      </w:r>
      <w:r w:rsidR="006A1CBB">
        <w:t xml:space="preserve"> incorporat</w:t>
      </w:r>
      <w:r w:rsidR="00870610">
        <w:t>ing</w:t>
      </w:r>
      <w:r w:rsidR="006A1CBB">
        <w:t xml:space="preserve"> </w:t>
      </w:r>
      <w:r w:rsidR="00134C5B" w:rsidRPr="00753416">
        <w:t xml:space="preserve">priors from </w:t>
      </w:r>
      <w:r w:rsidR="006354AC">
        <w:t>geochemically-</w:t>
      </w:r>
      <w:r w:rsidR="00870610">
        <w:t>defined environmental zones</w:t>
      </w:r>
      <w:r w:rsidR="002B1E77">
        <w:t xml:space="preserve"> </w:t>
      </w:r>
      <w:r w:rsidR="00602E90">
        <w:t>and</w:t>
      </w:r>
      <w:r w:rsidR="002B1E77">
        <w:t xml:space="preserve"> </w:t>
      </w:r>
      <w:r w:rsidR="00602E90">
        <w:t>BTF prediction</w:t>
      </w:r>
      <w:r w:rsidR="00DE00D8">
        <w:t>s</w:t>
      </w:r>
      <w:r w:rsidR="00602E90">
        <w:t xml:space="preserve"> derived from</w:t>
      </w:r>
      <w:r w:rsidR="00957702">
        <w:t xml:space="preserve"> the </w:t>
      </w:r>
      <w:r w:rsidR="00DE00D8">
        <w:t>other</w:t>
      </w:r>
      <w:r w:rsidR="009B066A">
        <w:t xml:space="preserve"> microfossil group</w:t>
      </w:r>
      <w:r w:rsidR="00134C5B" w:rsidRPr="00753416">
        <w:t>. These BTFs were applied to a sediment core collected from contemporary mangroves, which began accumulating around 196</w:t>
      </w:r>
      <w:r w:rsidR="000E5DDF">
        <w:t>0</w:t>
      </w:r>
      <w:r w:rsidR="00134C5B" w:rsidRPr="00753416">
        <w:t xml:space="preserve"> CE. Comparison</w:t>
      </w:r>
      <w:r w:rsidR="006354AC">
        <w:t xml:space="preserve"> of our RSL reconstructions </w:t>
      </w:r>
      <w:r w:rsidR="00134C5B" w:rsidRPr="00753416">
        <w:t xml:space="preserve">with local tide gauge records demonstrated that incorporating </w:t>
      </w:r>
      <w:r w:rsidR="002B1E77">
        <w:t xml:space="preserve">informative </w:t>
      </w:r>
      <w:r w:rsidR="00134C5B" w:rsidRPr="00753416">
        <w:t>priors improved the accuracy and precision of RSL reconstructions</w:t>
      </w:r>
      <w:r w:rsidR="0079083F">
        <w:t>.</w:t>
      </w:r>
      <w:r w:rsidR="00D24F5F">
        <w:t xml:space="preserve"> </w:t>
      </w:r>
      <w:r w:rsidR="00C54546">
        <w:t xml:space="preserve">Among the approaches tested, BTF-derived priors yielded greater improvement, producing </w:t>
      </w:r>
      <w:r w:rsidR="00C54546">
        <w:lastRenderedPageBreak/>
        <w:t>lower prediction uncertainties compared to those based on geochemical priors</w:t>
      </w:r>
      <w:r w:rsidR="006354AC">
        <w:t xml:space="preserve">. </w:t>
      </w:r>
      <w:r w:rsidR="00D24605">
        <w:t>T</w:t>
      </w:r>
      <w:r w:rsidR="00502C74">
        <w:t xml:space="preserve">he foraminifera BTF captured all tide gauge observations within its 1σ uncertainty bounds </w:t>
      </w:r>
      <w:r w:rsidR="00D24605">
        <w:t>regardless of whether informed by priors</w:t>
      </w:r>
      <w:r w:rsidR="00614E8F">
        <w:t>,</w:t>
      </w:r>
      <w:r w:rsidR="00D24605">
        <w:t xml:space="preserve"> </w:t>
      </w:r>
      <w:r w:rsidR="001E59E0">
        <w:t xml:space="preserve">while </w:t>
      </w:r>
      <w:r w:rsidR="00D24605">
        <w:t xml:space="preserve">using </w:t>
      </w:r>
      <w:r w:rsidR="006B3E9B">
        <w:t>BTF</w:t>
      </w:r>
      <w:r w:rsidR="00A71784">
        <w:t xml:space="preserve"> </w:t>
      </w:r>
      <w:r w:rsidR="00D24605">
        <w:t>prior</w:t>
      </w:r>
      <w:r w:rsidR="00614E8F">
        <w:t>s</w:t>
      </w:r>
      <w:r w:rsidR="00D24605">
        <w:t xml:space="preserve"> led to a reduction in </w:t>
      </w:r>
      <w:r w:rsidR="00D24605" w:rsidRPr="00753416">
        <w:t xml:space="preserve">Mean Squared Error (MSE) by </w:t>
      </w:r>
      <w:r w:rsidR="002B1E77">
        <w:t>1</w:t>
      </w:r>
      <w:r w:rsidR="006B3E9B">
        <w:t>21</w:t>
      </w:r>
      <w:r w:rsidR="00D24605" w:rsidRPr="00753416">
        <w:t>% (MSE: 0.0</w:t>
      </w:r>
      <w:r w:rsidR="006B3E9B">
        <w:t>14</w:t>
      </w:r>
      <w:r w:rsidR="00D24605" w:rsidRPr="00753416">
        <w:t xml:space="preserve"> m</w:t>
      </w:r>
      <w:r w:rsidR="00D24605" w:rsidRPr="00753416">
        <w:rPr>
          <w:vertAlign w:val="superscript"/>
        </w:rPr>
        <w:t>2</w:t>
      </w:r>
      <w:r w:rsidR="00D24605" w:rsidRPr="00753416">
        <w:t>)</w:t>
      </w:r>
      <w:r w:rsidR="000364E4">
        <w:t xml:space="preserve">, and </w:t>
      </w:r>
      <w:r w:rsidR="00932819">
        <w:t>a</w:t>
      </w:r>
      <w:r w:rsidR="00932819" w:rsidRPr="00932819">
        <w:t xml:space="preserve">verage 1σ </w:t>
      </w:r>
      <w:r w:rsidR="000364E4">
        <w:t>uncertainty by 36%</w:t>
      </w:r>
      <w:r w:rsidR="00D24605">
        <w:t>. T</w:t>
      </w:r>
      <w:r w:rsidR="00502C74">
        <w:t xml:space="preserve">he incorporation of </w:t>
      </w:r>
      <w:r w:rsidR="002B1E77">
        <w:t xml:space="preserve">BTF </w:t>
      </w:r>
      <w:r w:rsidR="00502C74">
        <w:t xml:space="preserve">priors in the diatom BTF </w:t>
      </w:r>
      <w:r w:rsidR="0092461A">
        <w:t xml:space="preserve">did not </w:t>
      </w:r>
      <w:r w:rsidR="00502C74">
        <w:t xml:space="preserve">result in </w:t>
      </w:r>
      <w:r w:rsidR="00614E8F">
        <w:t xml:space="preserve">substantial </w:t>
      </w:r>
      <w:r w:rsidR="0003149A">
        <w:t>improvement</w:t>
      </w:r>
      <w:r w:rsidR="00614E8F">
        <w:t>s</w:t>
      </w:r>
      <w:r w:rsidR="0003149A">
        <w:t xml:space="preserve"> in </w:t>
      </w:r>
      <w:r w:rsidR="00FB77FC">
        <w:t>accuracy but</w:t>
      </w:r>
      <w:r w:rsidR="0092461A">
        <w:t xml:space="preserve"> </w:t>
      </w:r>
      <w:r w:rsidR="00B9464B">
        <w:t>reduc</w:t>
      </w:r>
      <w:r w:rsidR="00614E8F">
        <w:t>ed</w:t>
      </w:r>
      <w:r w:rsidR="00B9464B">
        <w:t xml:space="preserve"> </w:t>
      </w:r>
      <w:r w:rsidR="00D24605">
        <w:t xml:space="preserve">its </w:t>
      </w:r>
      <w:r w:rsidR="00B97021">
        <w:t>a</w:t>
      </w:r>
      <w:r w:rsidR="00B97021" w:rsidRPr="00B97021">
        <w:t>verage 1σ uncertainty</w:t>
      </w:r>
      <w:r w:rsidR="0092461A">
        <w:t xml:space="preserve"> </w:t>
      </w:r>
      <w:r w:rsidR="00D24605">
        <w:t>by</w:t>
      </w:r>
      <w:r w:rsidR="00134C5B" w:rsidRPr="00753416">
        <w:t xml:space="preserve"> </w:t>
      </w:r>
      <w:r w:rsidR="002B1E77">
        <w:t>4</w:t>
      </w:r>
      <w:r w:rsidR="0092461A">
        <w:t>3</w:t>
      </w:r>
      <w:r w:rsidR="00134C5B" w:rsidRPr="00753416">
        <w:t>%</w:t>
      </w:r>
      <w:r w:rsidR="0011275E">
        <w:t>.</w:t>
      </w:r>
      <w:r w:rsidR="00134C5B" w:rsidRPr="00753416">
        <w:t xml:space="preserve"> </w:t>
      </w:r>
      <w:r w:rsidR="00F6393B" w:rsidRPr="00753416">
        <w:t>O</w:t>
      </w:r>
      <w:r w:rsidR="00134C5B" w:rsidRPr="00753416">
        <w:t xml:space="preserve">ur results demonstrate that foraminifera, </w:t>
      </w:r>
      <w:r w:rsidR="008721BE">
        <w:t xml:space="preserve">diatoms, </w:t>
      </w:r>
      <w:r w:rsidR="00134C5B" w:rsidRPr="00753416">
        <w:t>and δ</w:t>
      </w:r>
      <w:r w:rsidR="00134C5B" w:rsidRPr="00753416">
        <w:rPr>
          <w:vertAlign w:val="superscript"/>
        </w:rPr>
        <w:t>13</w:t>
      </w:r>
      <w:r w:rsidR="00134C5B" w:rsidRPr="00753416">
        <w:t xml:space="preserve">C and C/N geochemistry together offer robust tools for reconstructing late Holocene RSL in the </w:t>
      </w:r>
      <w:r w:rsidR="00614E8F" w:rsidRPr="00753416">
        <w:t>P</w:t>
      </w:r>
      <w:r w:rsidR="00614E8F">
        <w:t>earl River Delta</w:t>
      </w:r>
      <w:r w:rsidR="002B1E77">
        <w:t xml:space="preserve">, </w:t>
      </w:r>
      <w:r w:rsidR="004A1350">
        <w:t>although their utility in isolation is limited by poor</w:t>
      </w:r>
      <w:r w:rsidR="00116D20">
        <w:t xml:space="preserve"> preservation of </w:t>
      </w:r>
      <w:r w:rsidR="00474799">
        <w:t>foraminifera</w:t>
      </w:r>
      <w:r w:rsidR="004A1350">
        <w:t>l</w:t>
      </w:r>
      <w:r w:rsidR="00116D20">
        <w:t xml:space="preserve"> tests and </w:t>
      </w:r>
      <w:r w:rsidR="00AB0175">
        <w:t xml:space="preserve">the </w:t>
      </w:r>
      <w:r w:rsidR="00116D20">
        <w:t>influence of planktonic diatom taxa</w:t>
      </w:r>
      <w:r w:rsidR="0020362E">
        <w:t xml:space="preserve"> in sediment archives</w:t>
      </w:r>
      <w:r w:rsidR="00134C5B" w:rsidRPr="00753416">
        <w:t>.</w:t>
      </w:r>
    </w:p>
    <w:p w14:paraId="02D4F7EF" w14:textId="77777777" w:rsidR="00536FB1" w:rsidRPr="00753416" w:rsidRDefault="00536FB1" w:rsidP="00AA0B7F">
      <w:pPr>
        <w:tabs>
          <w:tab w:val="left" w:pos="7797"/>
        </w:tabs>
        <w:rPr>
          <w:lang w:val="en-HK"/>
        </w:rPr>
      </w:pPr>
    </w:p>
    <w:p w14:paraId="416806C7" w14:textId="6C105665" w:rsidR="00780408" w:rsidRPr="00753416" w:rsidRDefault="007C303E" w:rsidP="00AA0B7F">
      <w:pPr>
        <w:pStyle w:val="Heading1"/>
        <w:tabs>
          <w:tab w:val="left" w:pos="7797"/>
        </w:tabs>
      </w:pPr>
      <w:r w:rsidRPr="00753416">
        <w:t xml:space="preserve">1. </w:t>
      </w:r>
      <w:r w:rsidR="00C32A56" w:rsidRPr="00753416">
        <w:t>Introduction</w:t>
      </w:r>
    </w:p>
    <w:p w14:paraId="63FC117D" w14:textId="179519F0" w:rsidR="008F3DB0" w:rsidRPr="00753416" w:rsidRDefault="00AD3896" w:rsidP="003F7EA9">
      <w:r w:rsidRPr="00753416">
        <w:t>Understanding the rate</w:t>
      </w:r>
      <w:r w:rsidR="00E2590D" w:rsidRPr="00753416">
        <w:t>s</w:t>
      </w:r>
      <w:r w:rsidRPr="00753416">
        <w:t xml:space="preserve"> and pattern</w:t>
      </w:r>
      <w:r w:rsidR="00E2590D" w:rsidRPr="00753416">
        <w:t>s</w:t>
      </w:r>
      <w:r w:rsidRPr="00753416">
        <w:t xml:space="preserve"> of late Holocene relative sea</w:t>
      </w:r>
      <w:r w:rsidR="002F02F8">
        <w:t>-</w:t>
      </w:r>
      <w:r w:rsidRPr="00753416">
        <w:t xml:space="preserve">level (RSL) change </w:t>
      </w:r>
      <w:r w:rsidR="00E2590D" w:rsidRPr="00753416">
        <w:t>can help decipher</w:t>
      </w:r>
      <w:r w:rsidRPr="00753416">
        <w:t xml:space="preserve"> the underlying processes</w:t>
      </w:r>
      <w:r w:rsidR="00476402" w:rsidRPr="00753416">
        <w:t xml:space="preserve"> </w:t>
      </w:r>
      <w:r w:rsidR="00A7313B">
        <w:t>driving</w:t>
      </w:r>
      <w:r w:rsidRPr="00753416">
        <w:t xml:space="preserve"> RSL change </w:t>
      </w:r>
      <w:r w:rsidR="003F7EA9" w:rsidRPr="00753416">
        <w:t xml:space="preserve">over a range of </w:t>
      </w:r>
      <w:proofErr w:type="spellStart"/>
      <w:r w:rsidR="003F7EA9" w:rsidRPr="00753416">
        <w:t>spatio</w:t>
      </w:r>
      <w:proofErr w:type="spellEnd"/>
      <w:r w:rsidR="003F7EA9" w:rsidRPr="00753416">
        <w:t xml:space="preserve">-temporal scales </w:t>
      </w:r>
      <w:r w:rsidRPr="00753416">
        <w:t>(e.g.</w:t>
      </w:r>
      <w:r w:rsidR="007A3CA6" w:rsidRPr="00753416">
        <w:t>,</w:t>
      </w:r>
      <w:r w:rsidRPr="00753416">
        <w:t xml:space="preserve"> </w:t>
      </w:r>
      <w:r w:rsidR="00AA735C" w:rsidRPr="00753416">
        <w:t>Khan</w:t>
      </w:r>
      <w:r w:rsidRPr="00753416">
        <w:t xml:space="preserve"> et al., 201</w:t>
      </w:r>
      <w:r w:rsidR="00AA735C" w:rsidRPr="00753416">
        <w:t>7</w:t>
      </w:r>
      <w:r w:rsidRPr="00753416">
        <w:t xml:space="preserve">; </w:t>
      </w:r>
      <w:proofErr w:type="spellStart"/>
      <w:r w:rsidR="00545656" w:rsidRPr="00753416">
        <w:t>Baranskaya</w:t>
      </w:r>
      <w:proofErr w:type="spellEnd"/>
      <w:r w:rsidR="00545656" w:rsidRPr="00753416">
        <w:t xml:space="preserve"> et al., 2018; </w:t>
      </w:r>
      <w:r w:rsidR="00AB43C7" w:rsidRPr="00753416">
        <w:t>Xiong</w:t>
      </w:r>
      <w:r w:rsidRPr="00753416">
        <w:t xml:space="preserve"> et al., 20</w:t>
      </w:r>
      <w:r w:rsidR="00AB43C7" w:rsidRPr="00753416">
        <w:t>20</w:t>
      </w:r>
      <w:r w:rsidRPr="00753416">
        <w:t xml:space="preserve">). </w:t>
      </w:r>
      <w:r w:rsidR="00E2590D" w:rsidRPr="00753416">
        <w:t xml:space="preserve">Such knowledge </w:t>
      </w:r>
      <w:r w:rsidRPr="00753416">
        <w:t xml:space="preserve">is crucial for </w:t>
      </w:r>
      <w:r w:rsidR="00A7313B">
        <w:t xml:space="preserve">improving </w:t>
      </w:r>
      <w:r w:rsidRPr="00753416">
        <w:t>pr</w:t>
      </w:r>
      <w:r w:rsidR="002F02F8">
        <w:t>oje</w:t>
      </w:r>
      <w:r w:rsidRPr="00753416">
        <w:t>ction</w:t>
      </w:r>
      <w:r w:rsidR="007A3CA6" w:rsidRPr="00753416">
        <w:t>s</w:t>
      </w:r>
      <w:r w:rsidRPr="00753416">
        <w:t xml:space="preserve"> of future </w:t>
      </w:r>
      <w:r w:rsidR="007A3CA6" w:rsidRPr="00753416">
        <w:t>RSL changes</w:t>
      </w:r>
      <w:r w:rsidRPr="00753416">
        <w:t>, especially in</w:t>
      </w:r>
      <w:r w:rsidR="003F7EA9" w:rsidRPr="00753416">
        <w:t xml:space="preserve"> the low-lying</w:t>
      </w:r>
      <w:r w:rsidRPr="00753416">
        <w:t xml:space="preserve"> </w:t>
      </w:r>
      <w:r w:rsidR="003F7EA9" w:rsidRPr="00753416">
        <w:t xml:space="preserve">Pearl River Delta (PRD) region </w:t>
      </w:r>
      <w:r w:rsidRPr="00753416">
        <w:t>where</w:t>
      </w:r>
      <w:r w:rsidR="009B066A">
        <w:t xml:space="preserve"> rising RSL could </w:t>
      </w:r>
      <w:r w:rsidR="00A7313B">
        <w:t xml:space="preserve">increase </w:t>
      </w:r>
      <w:r w:rsidR="00027BB5">
        <w:t xml:space="preserve">the </w:t>
      </w:r>
      <w:r w:rsidR="0058528C" w:rsidRPr="0058528C">
        <w:t xml:space="preserve">areal extent affected by </w:t>
      </w:r>
      <w:r w:rsidR="009B066A">
        <w:t>storm surge</w:t>
      </w:r>
      <w:r w:rsidR="00A7313B">
        <w:t>s</w:t>
      </w:r>
      <w:r w:rsidR="009B066A">
        <w:t xml:space="preserve"> </w:t>
      </w:r>
      <w:r w:rsidRPr="00753416">
        <w:t>(</w:t>
      </w:r>
      <w:r w:rsidR="007E3537" w:rsidRPr="00753416">
        <w:t xml:space="preserve">Yin et al., 2017; </w:t>
      </w:r>
      <w:r w:rsidRPr="00753416">
        <w:t xml:space="preserve">De Dominicis et al., 2020). Late Holocene RSL records generated from sedimentary archives </w:t>
      </w:r>
      <w:r w:rsidR="00A46ED1" w:rsidRPr="00753416">
        <w:t xml:space="preserve">can </w:t>
      </w:r>
      <w:r w:rsidRPr="00753416">
        <w:t xml:space="preserve">extend </w:t>
      </w:r>
      <w:r w:rsidR="003F7EA9" w:rsidRPr="00753416">
        <w:t>knowledge</w:t>
      </w:r>
      <w:r w:rsidRPr="00753416">
        <w:t xml:space="preserve"> of RSL </w:t>
      </w:r>
      <w:r w:rsidR="007A3CA6" w:rsidRPr="00753416">
        <w:t xml:space="preserve">changes </w:t>
      </w:r>
      <w:r w:rsidRPr="00753416">
        <w:t xml:space="preserve">beyond the short tide gauge record </w:t>
      </w:r>
      <w:r w:rsidRPr="00753416">
        <w:fldChar w:fldCharType="begin">
          <w:fldData xml:space="preserve">PEVuZE5vdGU+PENpdGU+PEF1dGhvcj5LZW1wPC9BdXRob3I+PFllYXI+MjAxNzwvWWVhcj48UmVj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</w:fldData>
        </w:fldChar>
      </w:r>
      <w:r w:rsidR="001E7E2B">
        <w:instrText xml:space="preserve"> ADDIN EN.CITE </w:instrText>
      </w:r>
      <w:r w:rsidR="001E7E2B">
        <w:fldChar w:fldCharType="begin">
          <w:fldData xml:space="preserve">PEVuZE5vdGU+PENpdGU+PEF1dGhvcj5LZW1wPC9BdXRob3I+PFllYXI+MjAxNzwvWWVhcj48UmVj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</w:fldData>
        </w:fldChar>
      </w:r>
      <w:r w:rsidR="001E7E2B">
        <w:instrText xml:space="preserve"> ADDIN EN.CITE.DATA </w:instrText>
      </w:r>
      <w:r w:rsidR="001E7E2B">
        <w:fldChar w:fldCharType="end"/>
      </w:r>
      <w:r w:rsidRPr="00753416">
        <w:fldChar w:fldCharType="separate"/>
      </w:r>
      <w:r w:rsidR="001E7E2B">
        <w:rPr>
          <w:noProof/>
        </w:rPr>
        <w:t>(</w:t>
      </w:r>
      <w:r w:rsidR="00105640" w:rsidRPr="00753416">
        <w:t xml:space="preserve">e.g., </w:t>
      </w:r>
      <w:r w:rsidR="001E7E2B">
        <w:rPr>
          <w:noProof/>
        </w:rPr>
        <w:t>Kemp et al., 2017; Majewski et al., 2022)</w:t>
      </w:r>
      <w:r w:rsidRPr="00753416">
        <w:fldChar w:fldCharType="end"/>
      </w:r>
      <w:r w:rsidR="00A46ED1" w:rsidRPr="00753416">
        <w:t>, which in the PRD only extends back to the early 1950s (Ding et al., 2001; Holgate et al., 2013)</w:t>
      </w:r>
      <w:r w:rsidR="006456E1">
        <w:t>,</w:t>
      </w:r>
      <w:r w:rsidR="002A79B7">
        <w:t xml:space="preserve"> and </w:t>
      </w:r>
      <w:r w:rsidRPr="00753416">
        <w:t>allow</w:t>
      </w:r>
      <w:r w:rsidR="002A79B7">
        <w:t>s</w:t>
      </w:r>
      <w:r w:rsidRPr="00753416">
        <w:t xml:space="preserve"> </w:t>
      </w:r>
      <w:r w:rsidR="007A3CA6" w:rsidRPr="00753416">
        <w:t xml:space="preserve">for the </w:t>
      </w:r>
      <w:r w:rsidRPr="00753416">
        <w:t xml:space="preserve">assessment of contributions from </w:t>
      </w:r>
      <w:r w:rsidR="00A46ED1" w:rsidRPr="00753416">
        <w:t xml:space="preserve">these </w:t>
      </w:r>
      <w:proofErr w:type="spellStart"/>
      <w:r w:rsidR="00A46ED1" w:rsidRPr="00753416">
        <w:t>spatio</w:t>
      </w:r>
      <w:proofErr w:type="spellEnd"/>
      <w:r w:rsidR="00A46ED1" w:rsidRPr="00753416">
        <w:t xml:space="preserve">-temporal </w:t>
      </w:r>
      <w:r w:rsidRPr="00753416">
        <w:t xml:space="preserve">processes by comparing and contrasting RSL </w:t>
      </w:r>
      <w:r w:rsidR="002F02F8">
        <w:t>evolution</w:t>
      </w:r>
      <w:r w:rsidR="002F02F8" w:rsidRPr="00753416">
        <w:t xml:space="preserve"> </w:t>
      </w:r>
      <w:r w:rsidRPr="00753416">
        <w:t xml:space="preserve">across a </w:t>
      </w:r>
      <w:r w:rsidR="006456E1">
        <w:t>network</w:t>
      </w:r>
      <w:r w:rsidR="006456E1" w:rsidRPr="00753416">
        <w:t xml:space="preserve"> </w:t>
      </w:r>
      <w:r w:rsidRPr="00753416">
        <w:t>of sites (e.g.</w:t>
      </w:r>
      <w:r w:rsidR="00476402" w:rsidRPr="00753416">
        <w:t>,</w:t>
      </w:r>
      <w:r w:rsidRPr="00753416">
        <w:t xml:space="preserve"> </w:t>
      </w:r>
      <w:r w:rsidR="006456E1">
        <w:t>Gehrels et al., 2020</w:t>
      </w:r>
      <w:r w:rsidR="00F303A3" w:rsidRPr="00753416">
        <w:t>; Khan et al., 2022</w:t>
      </w:r>
      <w:r w:rsidR="006456E1">
        <w:t>; Walker et al., 2022</w:t>
      </w:r>
      <w:r w:rsidRPr="00753416">
        <w:t xml:space="preserve">). However, </w:t>
      </w:r>
      <w:r w:rsidR="00A46ED1" w:rsidRPr="00753416">
        <w:t xml:space="preserve">such </w:t>
      </w:r>
      <w:r w:rsidRPr="00753416">
        <w:t xml:space="preserve">high-resolution </w:t>
      </w:r>
      <w:r w:rsidR="00476402" w:rsidRPr="00753416">
        <w:t>RSL</w:t>
      </w:r>
      <w:r w:rsidRPr="00753416">
        <w:t xml:space="preserve"> records are concentrated along North Atlantic coast</w:t>
      </w:r>
      <w:r w:rsidR="002A79B7">
        <w:t>lines</w:t>
      </w:r>
      <w:r w:rsidRPr="00753416">
        <w:t xml:space="preserve"> owing to the accommodation space resulting from </w:t>
      </w:r>
      <w:r w:rsidR="002A79B7">
        <w:t>glacio-isostatic adjustment (</w:t>
      </w:r>
      <w:r w:rsidR="003F7EA9" w:rsidRPr="00753416">
        <w:t>GIA</w:t>
      </w:r>
      <w:r w:rsidR="002A79B7">
        <w:t>)</w:t>
      </w:r>
      <w:r w:rsidR="003F7EA9" w:rsidRPr="00753416">
        <w:t xml:space="preserve"> subsidence that allows for the continuous accumulation </w:t>
      </w:r>
      <w:r w:rsidR="00A7313B">
        <w:t xml:space="preserve">of </w:t>
      </w:r>
      <w:r w:rsidR="003F7EA9" w:rsidRPr="00753416">
        <w:t xml:space="preserve">saltmarsh sediments through the late Holocene </w:t>
      </w:r>
      <w:r w:rsidRPr="00753416">
        <w:fldChar w:fldCharType="begin"/>
      </w:r>
      <w:r w:rsidR="00A14EB3">
        <w:instrText xml:space="preserve"> ADDIN EN.CITE &lt;EndNote&gt;&lt;Cite&gt;&lt;Author&gt;Engelhart&lt;/Author&gt;&lt;Year&gt;2011&lt;/Year&gt;&lt;RecNum&gt;580&lt;/RecNum&gt;&lt;DisplayText&gt;(Engelhart et al., 2011; Kopp et al., 2015)&lt;/DisplayText&gt;&lt;record&gt;&lt;rec-number&gt;580&lt;/rec-number&gt;&lt;foreign-keys&gt;&lt;key app="EN" db-id="955erfxp5wp9zve92x4xtw2k0aw0zas2zrvt" timestamp="1636961537" guid="1805ec0e-4098-40df-9d36-443d87645fe5"&gt;580&lt;/key&gt;&lt;/foreign-keys&gt;&lt;ref-type name="Journal Article"&gt;17&lt;/ref-type&gt;&lt;contributors&gt;&lt;authors&gt;&lt;author&gt;Engelhart, SE&lt;/author&gt;&lt;author&gt;Peltier, W Richard&lt;/author&gt;&lt;author&gt;Horton, Benjamin P&lt;/author&gt;&lt;/authors&gt;&lt;/contributors&gt;&lt;titles&gt;&lt;title&gt;Holocene relative sea-level changes and glacial isostatic adjustment of the US Atlantic coast&lt;/title&gt;&lt;secondary-title&gt;Geology&lt;/secondary-title&gt;&lt;/titles&gt;&lt;periodical&gt;&lt;full-title&gt;Geology&lt;/full-title&gt;&lt;/periodical&gt;&lt;pages&gt;751-754&lt;/pages&gt;&lt;volume&gt;39&lt;/volume&gt;&lt;number&gt;8&lt;/number&gt;&lt;dates&gt;&lt;year&gt;2011&lt;/year&gt;&lt;/dates&gt;&lt;isbn&gt;1943-2682&lt;/isbn&gt;&lt;urls&gt;&lt;/urls&gt;&lt;/record&gt;&lt;/Cite&gt;&lt;Cite&gt;&lt;Author&gt;Kopp&lt;/Author&gt;&lt;Year&gt;2015&lt;/Year&gt;&lt;RecNum&gt;912&lt;/RecNum&gt;&lt;record&gt;&lt;rec-number&gt;912&lt;/rec-number&gt;&lt;foreign-keys&gt;&lt;key app="EN" db-id="955erfxp5wp9zve92x4xtw2k0aw0zas2zrvt" timestamp="1701068911" guid="2d6b452c-bf92-4d44-becc-9b3ce4cd1185"&gt;912&lt;/key&gt;&lt;/foreign-keys&gt;&lt;ref-type name="Journal Article"&gt;17&lt;/ref-type&gt;&lt;contributors&gt;&lt;authors&gt;&lt;author&gt;Kopp, Robert E&lt;/author&gt;&lt;author&gt;Horton, Benjamin P&lt;/author&gt;&lt;author&gt;Kemp, Andrew C&lt;/author&gt;&lt;author&gt;Tebaldi, Claudia&lt;/author&gt;&lt;/authors&gt;&lt;/contributors&gt;&lt;titles&gt;&lt;title&gt;Past and future sea-level rise along the coast of North Carolina, USA&lt;/title&gt;&lt;secondary-title&gt;Climatic Change&lt;/secondary-title&gt;&lt;/titles&gt;&lt;periodical&gt;&lt;full-title&gt;Climatic Change&lt;/full-title&gt;&lt;/periodical&gt;&lt;pages&gt;693-707&lt;/pages&gt;&lt;volume&gt;132&lt;/volume&gt;&lt;dates&gt;&lt;year&gt;2015&lt;/year&gt;&lt;/dates&gt;&lt;isbn&gt;0165-0009&lt;/isbn&gt;&lt;urls&gt;&lt;/urls&gt;&lt;/record&gt;&lt;/Cite&gt;&lt;/EndNote&gt;</w:instrText>
      </w:r>
      <w:r w:rsidRPr="00753416">
        <w:fldChar w:fldCharType="separate"/>
      </w:r>
      <w:r w:rsidR="00A14EB3">
        <w:rPr>
          <w:noProof/>
        </w:rPr>
        <w:t xml:space="preserve">(Engelhart et al., 2011; </w:t>
      </w:r>
      <w:r w:rsidR="00C25DF9">
        <w:rPr>
          <w:noProof/>
        </w:rPr>
        <w:t>Barlow</w:t>
      </w:r>
      <w:r w:rsidR="00A14EB3">
        <w:rPr>
          <w:noProof/>
        </w:rPr>
        <w:t xml:space="preserve"> et al., 201</w:t>
      </w:r>
      <w:r w:rsidR="00C25DF9">
        <w:rPr>
          <w:noProof/>
        </w:rPr>
        <w:t>4</w:t>
      </w:r>
      <w:r w:rsidR="00A14EB3">
        <w:rPr>
          <w:noProof/>
        </w:rPr>
        <w:t>)</w:t>
      </w:r>
      <w:r w:rsidRPr="00753416">
        <w:fldChar w:fldCharType="end"/>
      </w:r>
      <w:r w:rsidR="003F7EA9" w:rsidRPr="00753416">
        <w:t>. In contrast, limited late Holocene accommodation space and the predominance of (sub)tropical mangrove environments occupying low-energy, intertidal niches in f</w:t>
      </w:r>
      <w:r w:rsidRPr="00753416">
        <w:t>ar-field regions</w:t>
      </w:r>
      <w:r w:rsidR="003F7EA9" w:rsidRPr="00753416">
        <w:t>,</w:t>
      </w:r>
      <w:r w:rsidRPr="00753416">
        <w:t xml:space="preserve"> </w:t>
      </w:r>
      <w:r w:rsidR="00826F8B" w:rsidRPr="00753416">
        <w:t>such as</w:t>
      </w:r>
      <w:r w:rsidRPr="00753416">
        <w:t xml:space="preserve"> the PRD</w:t>
      </w:r>
      <w:r w:rsidR="003633DE" w:rsidRPr="00753416">
        <w:t xml:space="preserve">, </w:t>
      </w:r>
      <w:r w:rsidR="003F7EA9" w:rsidRPr="00753416">
        <w:t xml:space="preserve">pose challenges to RSL reconstruction </w:t>
      </w:r>
      <w:r w:rsidR="00856B7B" w:rsidRPr="00753416">
        <w:t>(</w:t>
      </w:r>
      <w:r w:rsidR="003F7EA9" w:rsidRPr="00753416">
        <w:t xml:space="preserve">Woodroffe et al., 2015; Dura et al., 2016; </w:t>
      </w:r>
      <w:r w:rsidR="00856B7B" w:rsidRPr="00753416">
        <w:t>Khan et al., 2019</w:t>
      </w:r>
      <w:r w:rsidRPr="00753416">
        <w:t>)</w:t>
      </w:r>
      <w:r w:rsidR="00B227DC" w:rsidRPr="00753416">
        <w:t>.</w:t>
      </w:r>
    </w:p>
    <w:p w14:paraId="354530F8" w14:textId="77777777" w:rsidR="00487EF4" w:rsidRPr="00753416" w:rsidRDefault="00487EF4" w:rsidP="009E482E"/>
    <w:p w14:paraId="7CD2FA5E" w14:textId="15E842E9" w:rsidR="001C42B6" w:rsidRPr="00753416" w:rsidRDefault="002D7EF0" w:rsidP="003710A9">
      <w:r w:rsidRPr="00753416">
        <w:lastRenderedPageBreak/>
        <w:t>M</w:t>
      </w:r>
      <w:r w:rsidR="007B0649" w:rsidRPr="00753416">
        <w:t>icrofossils</w:t>
      </w:r>
      <w:r w:rsidRPr="00753416">
        <w:t xml:space="preserve"> (foraminifera, diatoms) from low-energy intertidal environments (e.g., saltmarshes</w:t>
      </w:r>
      <w:r w:rsidR="00D97DFB" w:rsidRPr="00753416">
        <w:t>, mangrove</w:t>
      </w:r>
      <w:r w:rsidR="00874EED">
        <w:t>s</w:t>
      </w:r>
      <w:r w:rsidRPr="00753416">
        <w:t xml:space="preserve">) </w:t>
      </w:r>
      <w:r w:rsidR="007B0649" w:rsidRPr="00753416">
        <w:t xml:space="preserve">have widely </w:t>
      </w:r>
      <w:r w:rsidR="00AD13BD" w:rsidRPr="00753416">
        <w:t xml:space="preserve">been </w:t>
      </w:r>
      <w:r w:rsidR="007B0649" w:rsidRPr="00753416">
        <w:t xml:space="preserve">used in </w:t>
      </w:r>
      <w:r w:rsidR="00D54960" w:rsidRPr="00753416">
        <w:t>late Holocene RSL</w:t>
      </w:r>
      <w:r w:rsidR="007B0649" w:rsidRPr="00753416">
        <w:t xml:space="preserve"> reconstruction</w:t>
      </w:r>
      <w:r w:rsidR="001F6730" w:rsidRPr="00753416">
        <w:t xml:space="preserve"> (</w:t>
      </w:r>
      <w:r w:rsidR="00105640" w:rsidRPr="00753416">
        <w:t xml:space="preserve">e.g., </w:t>
      </w:r>
      <w:r w:rsidR="00771106" w:rsidRPr="00753416">
        <w:t xml:space="preserve">Kemp et al., 2012; </w:t>
      </w:r>
      <w:r w:rsidR="007E3537" w:rsidRPr="00753416">
        <w:t>Tam</w:t>
      </w:r>
      <w:r w:rsidR="00771106" w:rsidRPr="00753416">
        <w:t xml:space="preserve"> et al.</w:t>
      </w:r>
      <w:r w:rsidR="007E3537" w:rsidRPr="00753416">
        <w:t>, 2018</w:t>
      </w:r>
      <w:r w:rsidR="001F6730" w:rsidRPr="00753416">
        <w:t>)</w:t>
      </w:r>
      <w:r w:rsidR="007B0649" w:rsidRPr="00753416">
        <w:t xml:space="preserve">. </w:t>
      </w:r>
      <w:r w:rsidR="003A1FC0" w:rsidRPr="00753416">
        <w:t>Microfossil</w:t>
      </w:r>
      <w:r w:rsidR="003A1FC0" w:rsidRPr="00753416" w:rsidDel="003A1FC0">
        <w:t xml:space="preserve"> </w:t>
      </w:r>
      <w:r w:rsidR="00BD1069" w:rsidRPr="00753416">
        <w:t xml:space="preserve">assemblages vary in response to the elevation and environmental gradient </w:t>
      </w:r>
      <w:r w:rsidR="003A1FC0" w:rsidRPr="00753416">
        <w:t>across</w:t>
      </w:r>
      <w:r w:rsidR="00BD1069" w:rsidRPr="00753416">
        <w:t xml:space="preserve"> </w:t>
      </w:r>
      <w:r w:rsidR="003A1FC0" w:rsidRPr="00753416">
        <w:t xml:space="preserve">sub-, </w:t>
      </w:r>
      <w:r w:rsidR="00BD1069" w:rsidRPr="00753416">
        <w:t>inter</w:t>
      </w:r>
      <w:r w:rsidR="003A1FC0" w:rsidRPr="00753416">
        <w:t>-, and supra</w:t>
      </w:r>
      <w:r w:rsidR="00BD1069" w:rsidRPr="00753416">
        <w:t>tidal zone</w:t>
      </w:r>
      <w:r w:rsidR="003A1FC0" w:rsidRPr="00753416">
        <w:t>s</w:t>
      </w:r>
      <w:r w:rsidR="00BD1069" w:rsidRPr="00753416">
        <w:t xml:space="preserve"> </w:t>
      </w:r>
      <w:r w:rsidR="00BD1069" w:rsidRPr="00753416">
        <w:fldChar w:fldCharType="begin">
          <w:fldData xml:space="preserve">PEVuZE5vdGU+PENpdGU+PEF1dGhvcj5Wb3M8L0F1dGhvcj48WWVhcj4xOTkzPC9ZZWFyPjxSZWNO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</w:fldData>
        </w:fldChar>
      </w:r>
      <w:r w:rsidR="009E18AA" w:rsidRPr="00753416">
        <w:instrText xml:space="preserve"> ADDIN EN.CITE </w:instrText>
      </w:r>
      <w:r w:rsidR="009E18AA" w:rsidRPr="00753416">
        <w:fldChar w:fldCharType="begin">
          <w:fldData xml:space="preserve">PEVuZE5vdGU+PENpdGU+PEF1dGhvcj5Wb3M8L0F1dGhvcj48WWVhcj4xOTkzPC9ZZWFyPjxSZWNO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</w:fldData>
        </w:fldChar>
      </w:r>
      <w:r w:rsidR="009E18AA" w:rsidRPr="00753416">
        <w:instrText xml:space="preserve"> ADDIN EN.CITE.DATA </w:instrText>
      </w:r>
      <w:r w:rsidR="009E18AA" w:rsidRPr="00753416">
        <w:fldChar w:fldCharType="end"/>
      </w:r>
      <w:r w:rsidR="00BD1069" w:rsidRPr="00753416">
        <w:fldChar w:fldCharType="separate"/>
      </w:r>
      <w:r w:rsidR="009E18AA" w:rsidRPr="00753416">
        <w:rPr>
          <w:noProof/>
        </w:rPr>
        <w:t>(</w:t>
      </w:r>
      <w:r w:rsidR="00105640" w:rsidRPr="00105640">
        <w:t xml:space="preserve"> </w:t>
      </w:r>
      <w:r w:rsidR="00105640" w:rsidRPr="00753416">
        <w:t>e.g.,</w:t>
      </w:r>
      <w:r w:rsidR="009E18AA" w:rsidRPr="00753416">
        <w:rPr>
          <w:noProof/>
        </w:rPr>
        <w:t xml:space="preserve"> Horton et al., 2006; Kemp et al., 2009; Kemp et al., 2018; Vos &amp; De Wolf, 1993)</w:t>
      </w:r>
      <w:r w:rsidR="00BD1069" w:rsidRPr="00753416">
        <w:fldChar w:fldCharType="end"/>
      </w:r>
      <w:r w:rsidR="003A1FC0" w:rsidRPr="00753416">
        <w:t>.</w:t>
      </w:r>
      <w:r w:rsidR="00BD1069" w:rsidRPr="00753416">
        <w:t xml:space="preserve"> </w:t>
      </w:r>
      <w:r w:rsidR="003A1FC0" w:rsidRPr="00753416">
        <w:t>T</w:t>
      </w:r>
      <w:r w:rsidR="00BD1069" w:rsidRPr="00753416">
        <w:t xml:space="preserve">he distribution of contemporary microfossils </w:t>
      </w:r>
      <w:r w:rsidR="0066039A" w:rsidRPr="00753416">
        <w:t>can be</w:t>
      </w:r>
      <w:r w:rsidR="00BD1069" w:rsidRPr="00753416">
        <w:t xml:space="preserve"> </w:t>
      </w:r>
      <w:r w:rsidR="00373412" w:rsidRPr="00753416">
        <w:t>related</w:t>
      </w:r>
      <w:r w:rsidR="00BD1069" w:rsidRPr="00753416">
        <w:t xml:space="preserve"> to their fossil counterparts in sedimentary archives</w:t>
      </w:r>
      <w:r w:rsidRPr="00753416">
        <w:t xml:space="preserve"> </w:t>
      </w:r>
      <w:r w:rsidR="00BD1069" w:rsidRPr="00753416">
        <w:t xml:space="preserve">to </w:t>
      </w:r>
      <w:r w:rsidRPr="00753416">
        <w:t xml:space="preserve">reconstruct </w:t>
      </w:r>
      <w:r w:rsidR="00BD1069" w:rsidRPr="00753416">
        <w:t xml:space="preserve">the </w:t>
      </w:r>
      <w:r w:rsidR="003A1FC0" w:rsidRPr="00753416">
        <w:t xml:space="preserve">past </w:t>
      </w:r>
      <w:r w:rsidR="00BD1069" w:rsidRPr="00753416">
        <w:t xml:space="preserve">elevation at which they formed, and thus past RSL </w:t>
      </w:r>
      <w:r w:rsidR="00BD1069" w:rsidRPr="00753416">
        <w:fldChar w:fldCharType="begin"/>
      </w:r>
      <w:r w:rsidR="00EA121C">
        <w:instrText xml:space="preserve"> ADDIN EN.CITE &lt;EndNote&gt;&lt;Cite&gt;&lt;Author&gt;Scott&lt;/Author&gt;&lt;Year&gt;1980&lt;/Year&gt;&lt;RecNum&gt;751&lt;/RecNum&gt;&lt;DisplayText&gt;(Scott &amp;amp; Medioli, 1980)&lt;/DisplayText&gt;&lt;record&gt;&lt;rec-number&gt;751&lt;/rec-number&gt;&lt;foreign-keys&gt;&lt;key app="EN" db-id="955erfxp5wp9zve92x4xtw2k0aw0zas2zrvt" timestamp="1677489524" guid="dc4a95af-db26-4513-a60f-dba0dcee2fe9"&gt;751&lt;/key&gt;&lt;/foreign-keys&gt;&lt;ref-type name="Journal Article"&gt;17&lt;/ref-type&gt;&lt;contributors&gt;&lt;authors&gt;&lt;author&gt;Scott, David Bruce&lt;/author&gt;&lt;author&gt;Medioli, Franco S&lt;/author&gt;&lt;/authors&gt;&lt;/contributors&gt;&lt;titles&gt;&lt;title&gt;Quantitative studies of marsh foraminiferal distributions in Nova Scotia: implications for sea level studies&lt;/title&gt;&lt;/titles&gt;&lt;dates&gt;&lt;year&gt;1980&lt;/year&gt;&lt;/dates&gt;&lt;urls&gt;&lt;/urls&gt;&lt;/record&gt;&lt;/Cite&gt;&lt;/EndNote&gt;</w:instrText>
      </w:r>
      <w:r w:rsidR="00BD1069" w:rsidRPr="00753416">
        <w:fldChar w:fldCharType="separate"/>
      </w:r>
      <w:r w:rsidR="00EA121C">
        <w:rPr>
          <w:noProof/>
        </w:rPr>
        <w:t>(Scott &amp; Medioli, 1980)</w:t>
      </w:r>
      <w:r w:rsidR="00BD1069" w:rsidRPr="00753416">
        <w:fldChar w:fldCharType="end"/>
      </w:r>
      <w:r w:rsidR="00BD1069" w:rsidRPr="00753416">
        <w:t xml:space="preserve">. </w:t>
      </w:r>
      <w:r w:rsidR="00D60111" w:rsidRPr="00753416">
        <w:t>Although fossil foraminifera and diatoms have been used to reconstruct RSL</w:t>
      </w:r>
      <w:r w:rsidRPr="00753416">
        <w:t xml:space="preserve"> </w:t>
      </w:r>
      <w:r w:rsidR="00D60111" w:rsidRPr="00753416">
        <w:t xml:space="preserve">in the PRD and </w:t>
      </w:r>
      <w:r w:rsidR="00CD3CC7" w:rsidRPr="00753416">
        <w:t xml:space="preserve">the </w:t>
      </w:r>
      <w:r w:rsidR="00D60111" w:rsidRPr="00753416">
        <w:t xml:space="preserve">China </w:t>
      </w:r>
      <w:r w:rsidR="00CD3CC7" w:rsidRPr="00753416">
        <w:t>coast</w:t>
      </w:r>
      <w:r w:rsidR="00D60111" w:rsidRPr="00753416">
        <w:t xml:space="preserve"> </w:t>
      </w:r>
      <w:r w:rsidRPr="00753416">
        <w:t>(</w:t>
      </w:r>
      <w:r w:rsidR="00105640" w:rsidRPr="00753416">
        <w:t xml:space="preserve">e.g., </w:t>
      </w:r>
      <w:r w:rsidR="00CD3CC7" w:rsidRPr="00753416">
        <w:t xml:space="preserve">Wang et al., 2012; </w:t>
      </w:r>
      <w:r w:rsidRPr="00753416">
        <w:t>Xiong et al., 2018</w:t>
      </w:r>
      <w:r w:rsidR="00B54F08" w:rsidRPr="00753416">
        <w:t>)</w:t>
      </w:r>
      <w:r w:rsidR="00D60111" w:rsidRPr="00753416">
        <w:t>, local modern training sets have rarely been used to interpret fossil assemblages</w:t>
      </w:r>
      <w:r w:rsidR="00A06480" w:rsidRPr="00753416">
        <w:t xml:space="preserve"> </w:t>
      </w:r>
      <w:r w:rsidR="00CB3F11" w:rsidRPr="00753416">
        <w:fldChar w:fldCharType="begin"/>
      </w:r>
      <w:r w:rsidR="00CB3F11" w:rsidRPr="00753416">
        <w:instrText xml:space="preserve"> ADDIN EN.CITE &lt;EndNote&gt;&lt;Cite&gt;&lt;Author&gt;Xiong&lt;/Author&gt;&lt;Year&gt;2020&lt;/Year&gt;&lt;RecNum&gt;315&lt;/RecNum&gt;&lt;DisplayText&gt;(Xiong et al., 2020)&lt;/DisplayText&gt;&lt;record&gt;&lt;rec-number&gt;315&lt;/rec-number&gt;&lt;foreign-keys&gt;&lt;key app="EN" db-id="955erfxp5wp9zve92x4xtw2k0aw0zas2zrvt" timestamp="1629698819" guid="a20a160e-1ae2-44a2-8600-2000fa818dec"&gt;315&lt;/key&gt;&lt;/foreign-keys&gt;&lt;ref-type name="Journal Article"&gt;17&lt;/ref-type&gt;&lt;contributors&gt;&lt;authors&gt;&lt;author&gt;Xiong, Haixian&lt;/author&gt;&lt;author&gt;Zong, Yongqiang&lt;/author&gt;&lt;author&gt;Li, Tanghua&lt;/author&gt;&lt;author&gt;Long, Tengwen&lt;/author&gt;&lt;author&gt;Huang, Guangqing&lt;/author&gt;&lt;author&gt;Fu, Shuqing&lt;/author&gt;&lt;/authors&gt;&lt;/contributors&gt;&lt;titles&gt;&lt;title&gt;Coastal GIA processes revealed by the early to middle Holocene sea-level history of east China&lt;/title&gt;&lt;secondary-title&gt;Quaternary Science Reviews&lt;/secondary-title&gt;&lt;/titles&gt;&lt;periodical&gt;&lt;full-title&gt;Quaternary science reviews&lt;/full-title&gt;&lt;/periodical&gt;&lt;pages&gt;106249&lt;/pages&gt;&lt;volume&gt;233&lt;/volume&gt;&lt;keywords&gt;&lt;keyword&gt;Holocene&lt;/keyword&gt;&lt;keyword&gt;Sea-level changes&lt;/keyword&gt;&lt;keyword&gt;China&lt;/keyword&gt;&lt;keyword&gt;Diatoms&lt;/keyword&gt;&lt;keyword&gt;GIA&lt;/keyword&gt;&lt;/keywords&gt;&lt;dates&gt;&lt;year&gt;2020&lt;/year&gt;&lt;pub-dates&gt;&lt;date&gt;2020/04/01/&lt;/date&gt;&lt;/pub-dates&gt;&lt;/dates&gt;&lt;isbn&gt;0277-3791&lt;/isbn&gt;&lt;urls&gt;&lt;related-urls&gt;&lt;url&gt;https://www.sciencedirect.com/science/article/pii/S027737911931128X&lt;/url&gt;&lt;/related-urls&gt;&lt;/urls&gt;&lt;electronic-resource-num&gt;https://doi.org/10.1016/j.quascirev.2020.106249&lt;/electronic-resource-num&gt;&lt;/record&gt;&lt;/Cite&gt;&lt;/EndNote&gt;</w:instrText>
      </w:r>
      <w:r w:rsidR="00CB3F11" w:rsidRPr="00753416">
        <w:fldChar w:fldCharType="separate"/>
      </w:r>
      <w:r w:rsidR="00CB3F11" w:rsidRPr="00753416">
        <w:rPr>
          <w:noProof/>
        </w:rPr>
        <w:t>(Xiong et al., 2020)</w:t>
      </w:r>
      <w:r w:rsidR="00CB3F11" w:rsidRPr="00753416">
        <w:fldChar w:fldCharType="end"/>
      </w:r>
      <w:r w:rsidR="00D60111" w:rsidRPr="00753416">
        <w:t>.</w:t>
      </w:r>
      <w:r w:rsidRPr="00753416">
        <w:t xml:space="preserve"> </w:t>
      </w:r>
      <w:r w:rsidR="003710A9" w:rsidRPr="00753416">
        <w:t>Ecological preferences of microfossils can vary depending on local environmental conditions (</w:t>
      </w:r>
      <w:proofErr w:type="spellStart"/>
      <w:r w:rsidR="0024794B" w:rsidRPr="00753416">
        <w:t>Verleyen</w:t>
      </w:r>
      <w:proofErr w:type="spellEnd"/>
      <w:r w:rsidR="0024794B" w:rsidRPr="00753416">
        <w:t xml:space="preserve"> et al., 2009; </w:t>
      </w:r>
      <w:r w:rsidR="003710A9" w:rsidRPr="00753416">
        <w:t>Plante et al., 202</w:t>
      </w:r>
      <w:r w:rsidR="00AD606A" w:rsidRPr="00753416">
        <w:t>1</w:t>
      </w:r>
      <w:r w:rsidR="003710A9" w:rsidRPr="00753416">
        <w:t xml:space="preserve">). Therefore, site-specific sampling is necessary to determine the ecological preferences that control the vertical distribution of microfossils (Horton and Edwards, 2005; </w:t>
      </w:r>
      <w:proofErr w:type="spellStart"/>
      <w:r w:rsidR="003710A9" w:rsidRPr="00753416">
        <w:t>Watcham</w:t>
      </w:r>
      <w:proofErr w:type="spellEnd"/>
      <w:r w:rsidR="003710A9" w:rsidRPr="00753416">
        <w:t xml:space="preserve"> et al., 2013).</w:t>
      </w:r>
      <w:r w:rsidR="00906211" w:rsidRPr="00753416">
        <w:t xml:space="preserve"> </w:t>
      </w:r>
      <w:r w:rsidR="003B5F7A" w:rsidRPr="00753416">
        <w:t xml:space="preserve"> </w:t>
      </w:r>
    </w:p>
    <w:p w14:paraId="2C220493" w14:textId="77777777" w:rsidR="003B5F7A" w:rsidRPr="00753416" w:rsidRDefault="003B5F7A" w:rsidP="003710A9"/>
    <w:p w14:paraId="08022455" w14:textId="4E089E9C" w:rsidR="00BE7622" w:rsidRPr="00753416" w:rsidRDefault="00AB5784" w:rsidP="009E482E">
      <w:r w:rsidRPr="00753416">
        <w:t xml:space="preserve">Bulk sediment </w:t>
      </w:r>
      <w:r w:rsidR="00154109" w:rsidRPr="00753416">
        <w:t>δ</w:t>
      </w:r>
      <w:r w:rsidR="00154109" w:rsidRPr="00753416">
        <w:rPr>
          <w:vertAlign w:val="superscript"/>
        </w:rPr>
        <w:t>13</w:t>
      </w:r>
      <w:r w:rsidR="00154109" w:rsidRPr="00753416">
        <w:t>C</w:t>
      </w:r>
      <w:r w:rsidR="006654C1" w:rsidRPr="00753416">
        <w:t xml:space="preserve"> and C/N geochemistry</w:t>
      </w:r>
      <w:r w:rsidR="003B5F7A" w:rsidRPr="00753416">
        <w:t xml:space="preserve"> has recently been used in RSL reconstruction because</w:t>
      </w:r>
      <w:r w:rsidR="006654C1" w:rsidRPr="00753416">
        <w:t xml:space="preserve"> </w:t>
      </w:r>
      <w:r w:rsidR="003B5F7A" w:rsidRPr="00753416">
        <w:t xml:space="preserve">it is able to </w:t>
      </w:r>
      <w:r w:rsidR="006654C1" w:rsidRPr="00753416">
        <w:t>distinguish between C</w:t>
      </w:r>
      <w:r w:rsidR="006654C1" w:rsidRPr="00753416">
        <w:rPr>
          <w:vertAlign w:val="subscript"/>
        </w:rPr>
        <w:t>3</w:t>
      </w:r>
      <w:r w:rsidR="006654C1" w:rsidRPr="00753416">
        <w:t xml:space="preserve"> and C</w:t>
      </w:r>
      <w:r w:rsidR="006654C1" w:rsidRPr="00753416">
        <w:rPr>
          <w:vertAlign w:val="subscript"/>
        </w:rPr>
        <w:t>4</w:t>
      </w:r>
      <w:r w:rsidR="006654C1" w:rsidRPr="00753416">
        <w:t xml:space="preserve"> land plant sources, as well as terrestrial and marine source</w:t>
      </w:r>
      <w:r w:rsidR="003B5F7A" w:rsidRPr="00753416">
        <w:t xml:space="preserve">s </w:t>
      </w:r>
      <w:r w:rsidR="006654C1" w:rsidRPr="00753416">
        <w:t xml:space="preserve">(e.g., Khan et al., 2015). </w:t>
      </w:r>
      <w:r w:rsidR="00162366" w:rsidRPr="00753416">
        <w:t xml:space="preserve">On the US Atlantic coast, low and high marsh zones differentiated </w:t>
      </w:r>
      <w:r w:rsidR="00B33F2F" w:rsidRPr="00753416">
        <w:t>using</w:t>
      </w:r>
      <w:r w:rsidR="00162366" w:rsidRPr="00753416">
        <w:t xml:space="preserve"> δ</w:t>
      </w:r>
      <w:r w:rsidR="00162366" w:rsidRPr="00753416">
        <w:rPr>
          <w:vertAlign w:val="superscript"/>
        </w:rPr>
        <w:t>13</w:t>
      </w:r>
      <w:r w:rsidR="00162366" w:rsidRPr="00753416">
        <w:t xml:space="preserve">C values have been used in multi-proxy approaches alongside foraminifera to </w:t>
      </w:r>
      <w:r w:rsidR="00B16E21" w:rsidRPr="00753416">
        <w:t xml:space="preserve">reconstruct RSL change </w:t>
      </w:r>
      <w:r w:rsidR="00162366" w:rsidRPr="00753416">
        <w:t>(Kemp et al., 2013; Cahill et al. 201</w:t>
      </w:r>
      <w:r w:rsidR="00DD63B3" w:rsidRPr="00753416">
        <w:t xml:space="preserve">6; </w:t>
      </w:r>
      <w:r w:rsidR="00162366" w:rsidRPr="00753416">
        <w:t xml:space="preserve">Stearns et al., 2023). </w:t>
      </w:r>
      <w:r w:rsidRPr="00753416">
        <w:t xml:space="preserve">In the PRD, </w:t>
      </w:r>
      <w:r w:rsidR="00162366" w:rsidRPr="00753416">
        <w:t>δ</w:t>
      </w:r>
      <w:r w:rsidR="00162366" w:rsidRPr="00753416">
        <w:rPr>
          <w:vertAlign w:val="superscript"/>
        </w:rPr>
        <w:t>13</w:t>
      </w:r>
      <w:r w:rsidR="00162366" w:rsidRPr="00753416">
        <w:t xml:space="preserve">C and C/N </w:t>
      </w:r>
      <w:r w:rsidR="00B33F2F" w:rsidRPr="00753416">
        <w:t>can</w:t>
      </w:r>
      <w:r w:rsidR="00162366" w:rsidRPr="00753416">
        <w:t xml:space="preserve"> differentiate elevation-dependent mudflat, mangrove, and terrestrial environmental zones (Sun et al., 2021), suggesting they have potential to be used as sea-level indicators. However, n</w:t>
      </w:r>
      <w:r w:rsidR="008E2EEE" w:rsidRPr="00753416">
        <w:t xml:space="preserve">o prior research has </w:t>
      </w:r>
      <w:r w:rsidR="00162366" w:rsidRPr="00753416">
        <w:t xml:space="preserve">attempted to </w:t>
      </w:r>
      <w:r w:rsidR="008E2EEE" w:rsidRPr="00753416">
        <w:t>integrate</w:t>
      </w:r>
      <w:r w:rsidR="00162366" w:rsidRPr="00753416">
        <w:t xml:space="preserve"> </w:t>
      </w:r>
      <w:r w:rsidR="008E2EEE" w:rsidRPr="00753416">
        <w:t>δ</w:t>
      </w:r>
      <w:r w:rsidR="008E2EEE" w:rsidRPr="00753416">
        <w:rPr>
          <w:vertAlign w:val="superscript"/>
        </w:rPr>
        <w:t>13</w:t>
      </w:r>
      <w:r w:rsidR="008E2EEE" w:rsidRPr="00753416">
        <w:t xml:space="preserve">C and C/N geochemistry into </w:t>
      </w:r>
      <w:r w:rsidR="00162366" w:rsidRPr="00753416">
        <w:t xml:space="preserve">quantitative RSL reconstruction </w:t>
      </w:r>
      <w:r w:rsidR="008E2EEE" w:rsidRPr="00753416">
        <w:t xml:space="preserve">in </w:t>
      </w:r>
      <w:r w:rsidR="00503B39">
        <w:t>China</w:t>
      </w:r>
      <w:r w:rsidR="008E2EEE" w:rsidRPr="00753416">
        <w:t xml:space="preserve">.  </w:t>
      </w:r>
    </w:p>
    <w:p w14:paraId="79F1E020" w14:textId="77777777" w:rsidR="00DE7498" w:rsidRPr="00753416" w:rsidRDefault="00DE7498" w:rsidP="009E482E"/>
    <w:p w14:paraId="4C76EAB3" w14:textId="5BA5CF61" w:rsidR="004D3E23" w:rsidRPr="00753416" w:rsidRDefault="00154109" w:rsidP="00AD13BD">
      <w:r w:rsidRPr="00753416">
        <w:t xml:space="preserve">Here, we investigate the utility of microfossils </w:t>
      </w:r>
      <w:r w:rsidR="00D54960" w:rsidRPr="00753416">
        <w:t>and δ</w:t>
      </w:r>
      <w:r w:rsidR="00D54960" w:rsidRPr="00753416">
        <w:rPr>
          <w:vertAlign w:val="superscript"/>
        </w:rPr>
        <w:t>13</w:t>
      </w:r>
      <w:r w:rsidR="00D54960" w:rsidRPr="00753416">
        <w:t xml:space="preserve">C and C/N geochemistry </w:t>
      </w:r>
      <w:r w:rsidRPr="00753416">
        <w:t xml:space="preserve">to generate a high-resolution late Holocene RSL reconstruction from sediments in Deep Bay, PRD. We describe the contemporary distribution of </w:t>
      </w:r>
      <w:r w:rsidR="00D54960" w:rsidRPr="00753416">
        <w:t>these indicators</w:t>
      </w:r>
      <w:r w:rsidRPr="00753416">
        <w:t xml:space="preserve"> from three transects that cover subtidal, intertidal (mudflat and mangrove) to upland environments. </w:t>
      </w:r>
      <w:r w:rsidR="00545E7B" w:rsidRPr="00753416">
        <w:t xml:space="preserve">We use </w:t>
      </w:r>
      <w:r w:rsidRPr="00753416">
        <w:t xml:space="preserve">partitioning around medoid </w:t>
      </w:r>
      <w:r w:rsidR="007A3CA6" w:rsidRPr="00753416">
        <w:t xml:space="preserve">(PAM) </w:t>
      </w:r>
      <w:r w:rsidRPr="00753416">
        <w:t xml:space="preserve">analysis </w:t>
      </w:r>
      <w:r w:rsidR="00545E7B" w:rsidRPr="00753416">
        <w:t>to define microfossil communities in different biozones</w:t>
      </w:r>
      <w:r w:rsidR="00874EED">
        <w:t xml:space="preserve"> and</w:t>
      </w:r>
      <w:r w:rsidR="00C96840" w:rsidRPr="00753416">
        <w:t xml:space="preserve"> examine the association between contemporary diatom and foraminifera communities and environmental factors </w:t>
      </w:r>
      <w:r w:rsidR="00476402" w:rsidRPr="00753416">
        <w:t xml:space="preserve">across </w:t>
      </w:r>
      <w:r w:rsidR="00C96840" w:rsidRPr="00753416">
        <w:t xml:space="preserve">all transects using </w:t>
      </w:r>
      <w:r w:rsidR="00C96840" w:rsidRPr="00753416">
        <w:rPr>
          <w:shd w:val="clear" w:color="auto" w:fill="FFFFFF"/>
        </w:rPr>
        <w:t>canonical</w:t>
      </w:r>
      <w:r w:rsidR="00C96840" w:rsidRPr="00753416">
        <w:rPr>
          <w:color w:val="222222"/>
        </w:rPr>
        <w:t xml:space="preserve"> </w:t>
      </w:r>
      <w:r w:rsidR="00C96840" w:rsidRPr="00753416">
        <w:rPr>
          <w:shd w:val="clear" w:color="auto" w:fill="FFFFFF"/>
        </w:rPr>
        <w:t>correspondence</w:t>
      </w:r>
      <w:r w:rsidR="00C96840" w:rsidRPr="00753416">
        <w:rPr>
          <w:color w:val="222222"/>
          <w:shd w:val="clear" w:color="auto" w:fill="FFFFFF"/>
        </w:rPr>
        <w:t> </w:t>
      </w:r>
      <w:r w:rsidR="00C96840" w:rsidRPr="00753416">
        <w:rPr>
          <w:shd w:val="clear" w:color="auto" w:fill="FFFFFF"/>
        </w:rPr>
        <w:t>a</w:t>
      </w:r>
      <w:r w:rsidR="00C96840" w:rsidRPr="00753416">
        <w:t>nalysis (CCA)</w:t>
      </w:r>
      <w:r w:rsidR="00B33F2F" w:rsidRPr="00753416">
        <w:t xml:space="preserve">. </w:t>
      </w:r>
      <w:r w:rsidRPr="00753416">
        <w:t xml:space="preserve">We </w:t>
      </w:r>
      <w:r w:rsidR="00553869" w:rsidRPr="00753416">
        <w:t>develop Bayesian</w:t>
      </w:r>
      <w:r w:rsidR="007E3537" w:rsidRPr="00753416">
        <w:t xml:space="preserve"> transfer function</w:t>
      </w:r>
      <w:r w:rsidR="00BD4B1A" w:rsidRPr="00753416">
        <w:t>s</w:t>
      </w:r>
      <w:r w:rsidRPr="00753416">
        <w:t xml:space="preserve"> (</w:t>
      </w:r>
      <w:r w:rsidR="007E3537" w:rsidRPr="00753416">
        <w:t>BTF</w:t>
      </w:r>
      <w:r w:rsidRPr="00753416">
        <w:t xml:space="preserve">) from </w:t>
      </w:r>
      <w:r w:rsidR="00B33F2F" w:rsidRPr="00753416">
        <w:t xml:space="preserve">modern </w:t>
      </w:r>
      <w:r w:rsidRPr="00753416">
        <w:t xml:space="preserve">foraminifera and diatom assemblages </w:t>
      </w:r>
      <w:r w:rsidR="00124FA7" w:rsidRPr="00753416">
        <w:lastRenderedPageBreak/>
        <w:t>with priors derived from δ</w:t>
      </w:r>
      <w:r w:rsidR="00124FA7" w:rsidRPr="00753416">
        <w:rPr>
          <w:vertAlign w:val="superscript"/>
        </w:rPr>
        <w:t>13</w:t>
      </w:r>
      <w:r w:rsidR="00124FA7" w:rsidRPr="00753416">
        <w:t xml:space="preserve">C and C/N geochemistry </w:t>
      </w:r>
      <w:r w:rsidR="008D181E">
        <w:t xml:space="preserve">and </w:t>
      </w:r>
      <w:proofErr w:type="gramStart"/>
      <w:r w:rsidR="009B066A">
        <w:t>microfossils</w:t>
      </w:r>
      <w:r w:rsidR="008D181E">
        <w:t xml:space="preserve">, </w:t>
      </w:r>
      <w:r w:rsidRPr="00753416">
        <w:t>and</w:t>
      </w:r>
      <w:proofErr w:type="gramEnd"/>
      <w:r w:rsidRPr="00753416">
        <w:t xml:space="preserve"> appl</w:t>
      </w:r>
      <w:r w:rsidR="003F7EA9" w:rsidRPr="00753416">
        <w:t>y</w:t>
      </w:r>
      <w:r w:rsidR="00635A99" w:rsidRPr="00753416">
        <w:t xml:space="preserve"> </w:t>
      </w:r>
      <w:r w:rsidR="00B33F2F" w:rsidRPr="00753416">
        <w:t xml:space="preserve">the BTFs </w:t>
      </w:r>
      <w:r w:rsidRPr="00753416">
        <w:t xml:space="preserve">to a core collected from </w:t>
      </w:r>
      <w:r w:rsidR="007A3CA6" w:rsidRPr="00753416">
        <w:t xml:space="preserve">a contemporary </w:t>
      </w:r>
      <w:r w:rsidRPr="00753416">
        <w:t xml:space="preserve">mangrove </w:t>
      </w:r>
      <w:r w:rsidR="007A3CA6" w:rsidRPr="00753416">
        <w:t xml:space="preserve">environment </w:t>
      </w:r>
      <w:r w:rsidRPr="00753416">
        <w:t>in Mai Po, Deep Bay</w:t>
      </w:r>
      <w:r w:rsidR="00BD4B1A" w:rsidRPr="00753416">
        <w:t xml:space="preserve"> to test the</w:t>
      </w:r>
      <w:r w:rsidR="00B33F2F" w:rsidRPr="00753416">
        <w:t>ir</w:t>
      </w:r>
      <w:r w:rsidR="00BD4B1A" w:rsidRPr="00753416">
        <w:t xml:space="preserve"> performance</w:t>
      </w:r>
      <w:r w:rsidRPr="00753416">
        <w:t>.</w:t>
      </w:r>
      <w:r w:rsidR="00BD4B1A" w:rsidRPr="00753416">
        <w:t xml:space="preserve"> </w:t>
      </w:r>
      <w:r w:rsidR="00B33F2F" w:rsidRPr="00753416">
        <w:t xml:space="preserve">Finally, we </w:t>
      </w:r>
      <w:r w:rsidR="00476402" w:rsidRPr="00753416">
        <w:t>validate reconstructions against</w:t>
      </w:r>
      <w:r w:rsidR="00795549" w:rsidRPr="00753416">
        <w:t xml:space="preserve"> local tide gauge data</w:t>
      </w:r>
      <w:r w:rsidR="00476402" w:rsidRPr="00753416">
        <w:t xml:space="preserve"> </w:t>
      </w:r>
      <w:r w:rsidR="00B33F2F" w:rsidRPr="00753416">
        <w:t>to assess the relative utility of foraminifera and diatom microfossil groups</w:t>
      </w:r>
      <w:r w:rsidR="00BD4B1A" w:rsidRPr="00753416">
        <w:t>.</w:t>
      </w:r>
      <w:r w:rsidRPr="00753416">
        <w:t xml:space="preserve"> Our approach </w:t>
      </w:r>
      <w:r w:rsidR="00D54960" w:rsidRPr="00753416">
        <w:t xml:space="preserve">may be used to </w:t>
      </w:r>
      <w:r w:rsidRPr="00753416">
        <w:t>generate new late Holocene RSL records and improve our understanding of the rates and mechanisms of RSL change in the region.</w:t>
      </w:r>
    </w:p>
    <w:p w14:paraId="00084CD7" w14:textId="77777777" w:rsidR="00545E7B" w:rsidRPr="00753416" w:rsidRDefault="00545E7B" w:rsidP="00B55B22"/>
    <w:p w14:paraId="0C0E86A9" w14:textId="33601F0A" w:rsidR="008F29E9" w:rsidRPr="00753416" w:rsidRDefault="00E14946" w:rsidP="00420CDB">
      <w:pPr>
        <w:pStyle w:val="Heading1"/>
        <w:tabs>
          <w:tab w:val="left" w:pos="7797"/>
        </w:tabs>
      </w:pPr>
      <w:r w:rsidRPr="00753416">
        <w:t>2</w:t>
      </w:r>
      <w:r w:rsidR="004D3E23" w:rsidRPr="00753416">
        <w:t>. Study area</w:t>
      </w:r>
    </w:p>
    <w:p w14:paraId="41D9D596" w14:textId="2AA0EB6C" w:rsidR="00715BFD" w:rsidRPr="00753416" w:rsidRDefault="004D3E23" w:rsidP="00051367">
      <w:r w:rsidRPr="00753416">
        <w:t>The</w:t>
      </w:r>
      <w:r w:rsidR="008F29E9" w:rsidRPr="00753416">
        <w:t xml:space="preserve"> </w:t>
      </w:r>
      <w:r w:rsidR="00F26D4D" w:rsidRPr="00753416">
        <w:t xml:space="preserve">receiving basin of the </w:t>
      </w:r>
      <w:r w:rsidRPr="00753416">
        <w:t>PRD</w:t>
      </w:r>
      <w:r w:rsidR="000C1001" w:rsidRPr="00753416">
        <w:t xml:space="preserve"> </w:t>
      </w:r>
      <w:r w:rsidR="00E2590D" w:rsidRPr="00753416">
        <w:t>encompasses an area of 9750 km</w:t>
      </w:r>
      <w:r w:rsidR="00E2590D" w:rsidRPr="00753416">
        <w:rPr>
          <w:vertAlign w:val="superscript"/>
        </w:rPr>
        <w:t>2</w:t>
      </w:r>
      <w:r w:rsidR="00E2590D" w:rsidRPr="00753416">
        <w:t xml:space="preserve"> </w:t>
      </w:r>
      <w:r w:rsidR="000C1001" w:rsidRPr="00753416">
        <w:t>(Fig</w:t>
      </w:r>
      <w:r w:rsidR="00833AD7" w:rsidRPr="00753416">
        <w:t>ure</w:t>
      </w:r>
      <w:r w:rsidR="000C1001" w:rsidRPr="00753416">
        <w:t xml:space="preserve"> 1</w:t>
      </w:r>
      <w:r w:rsidR="00A355E8" w:rsidRPr="00753416">
        <w:t>B</w:t>
      </w:r>
      <w:r w:rsidR="000C1001" w:rsidRPr="00753416">
        <w:t>)</w:t>
      </w:r>
      <w:r w:rsidR="00B33F2F" w:rsidRPr="00753416">
        <w:t xml:space="preserve"> and </w:t>
      </w:r>
      <w:r w:rsidR="008F29E9" w:rsidRPr="00753416">
        <w:t xml:space="preserve">is fed by three primary tributaries – the East, North, and West branches of the Pearl River – which collectively produce the second largest </w:t>
      </w:r>
      <w:r w:rsidR="00266E35" w:rsidRPr="00753416">
        <w:t>water</w:t>
      </w:r>
      <w:r w:rsidR="00E2590D" w:rsidRPr="00753416">
        <w:t xml:space="preserve"> </w:t>
      </w:r>
      <w:r w:rsidR="008F29E9" w:rsidRPr="00753416">
        <w:t>discharge in China</w:t>
      </w:r>
      <w:r w:rsidR="00E2590D" w:rsidRPr="00753416">
        <w:t xml:space="preserve"> (</w:t>
      </w:r>
      <w:r w:rsidR="008F29E9" w:rsidRPr="00753416">
        <w:t>330 x 10</w:t>
      </w:r>
      <w:r w:rsidR="008F29E9" w:rsidRPr="00753416">
        <w:rPr>
          <w:color w:val="000000" w:themeColor="text1"/>
        </w:rPr>
        <w:t>9</w:t>
      </w:r>
      <w:r w:rsidR="008F29E9" w:rsidRPr="00753416">
        <w:t xml:space="preserve"> m</w:t>
      </w:r>
      <w:r w:rsidR="008F29E9" w:rsidRPr="00753416">
        <w:rPr>
          <w:vertAlign w:val="superscript"/>
        </w:rPr>
        <w:t>3</w:t>
      </w:r>
      <w:r w:rsidR="00B83E21" w:rsidRPr="00753416">
        <w:t xml:space="preserve"> yr</w:t>
      </w:r>
      <w:r w:rsidR="00B83E21" w:rsidRPr="00753416">
        <w:rPr>
          <w:vertAlign w:val="superscript"/>
        </w:rPr>
        <w:t>-1</w:t>
      </w:r>
      <w:r w:rsidR="00E2590D" w:rsidRPr="00753416">
        <w:t>)</w:t>
      </w:r>
      <w:r w:rsidR="008F29E9" w:rsidRPr="00753416">
        <w:t xml:space="preserve"> with an average annual suspended sediment load of 30.64 x 10</w:t>
      </w:r>
      <w:r w:rsidR="008F29E9" w:rsidRPr="000B4766">
        <w:rPr>
          <w:vertAlign w:val="superscript"/>
        </w:rPr>
        <w:t>6</w:t>
      </w:r>
      <w:r w:rsidR="008F29E9" w:rsidRPr="00753416">
        <w:t xml:space="preserve"> </w:t>
      </w:r>
      <w:r w:rsidR="00B83E21" w:rsidRPr="00753416">
        <w:t>t yr</w:t>
      </w:r>
      <w:r w:rsidR="00B83E21" w:rsidRPr="00753416">
        <w:rPr>
          <w:vertAlign w:val="superscript"/>
        </w:rPr>
        <w:t>-1</w:t>
      </w:r>
      <w:r w:rsidR="008F29E9" w:rsidRPr="00753416">
        <w:t xml:space="preserve"> (Hu et al., 2006; Wai et al., 2004). </w:t>
      </w:r>
      <w:r w:rsidR="00B33F2F" w:rsidRPr="00753416">
        <w:t>~</w:t>
      </w:r>
      <w:r w:rsidR="008F29E9" w:rsidRPr="00753416">
        <w:t>80% of this sediment load is deposited within the Pearl River estuary (Yu et al., 2010).</w:t>
      </w:r>
      <w:r w:rsidR="00582360" w:rsidRPr="00753416">
        <w:t xml:space="preserve"> </w:t>
      </w:r>
      <w:r w:rsidR="00715BFD" w:rsidRPr="00753416">
        <w:t xml:space="preserve">The PRD </w:t>
      </w:r>
      <w:r w:rsidR="00A05F5B" w:rsidRPr="00753416">
        <w:t>is characterised by a humid subtropical climate</w:t>
      </w:r>
      <w:r w:rsidR="00B42C57" w:rsidRPr="00753416">
        <w:t>.</w:t>
      </w:r>
      <w:r w:rsidR="00715BFD" w:rsidRPr="00753416">
        <w:t xml:space="preserve"> </w:t>
      </w:r>
      <w:r w:rsidR="00B33F2F" w:rsidRPr="00753416">
        <w:t>Our</w:t>
      </w:r>
      <w:r w:rsidR="0094621B" w:rsidRPr="00753416">
        <w:t xml:space="preserve"> study site</w:t>
      </w:r>
      <w:r w:rsidR="00154042" w:rsidRPr="00753416">
        <w:t>s</w:t>
      </w:r>
      <w:r w:rsidR="00CF01C8" w:rsidRPr="00753416">
        <w:t xml:space="preserve"> </w:t>
      </w:r>
      <w:r w:rsidR="0094621B" w:rsidRPr="00753416">
        <w:t>li</w:t>
      </w:r>
      <w:r w:rsidR="00CF01C8" w:rsidRPr="00753416">
        <w:t>e</w:t>
      </w:r>
      <w:r w:rsidR="0094621B" w:rsidRPr="00753416">
        <w:t xml:space="preserve"> within the Humid Subtropical with Dry Winter climate zone</w:t>
      </w:r>
      <w:r w:rsidR="007A3CA6" w:rsidRPr="00753416">
        <w:t>,</w:t>
      </w:r>
      <w:r w:rsidR="0094621B" w:rsidRPr="00753416">
        <w:t xml:space="preserve"> </w:t>
      </w:r>
      <w:r w:rsidR="007A3CA6" w:rsidRPr="00753416">
        <w:t>with</w:t>
      </w:r>
      <w:r w:rsidR="0094621B" w:rsidRPr="00753416">
        <w:t xml:space="preserve"> mean annual temperatures </w:t>
      </w:r>
      <w:r w:rsidR="00715BFD" w:rsidRPr="00753416">
        <w:t>from 1</w:t>
      </w:r>
      <w:r w:rsidR="0094621B" w:rsidRPr="00753416">
        <w:t>6</w:t>
      </w:r>
      <w:r w:rsidR="00715BFD" w:rsidRPr="00753416">
        <w:t xml:space="preserve"> to 2</w:t>
      </w:r>
      <w:r w:rsidR="0094621B" w:rsidRPr="00753416">
        <w:t>6</w:t>
      </w:r>
      <w:r w:rsidR="00715BFD" w:rsidRPr="00753416">
        <w:t>°C and annual precipitation</w:t>
      </w:r>
      <w:r w:rsidR="00B33F2F" w:rsidRPr="00753416">
        <w:t xml:space="preserve"> </w:t>
      </w:r>
      <w:r w:rsidR="00715BFD" w:rsidRPr="00753416">
        <w:t>of 1</w:t>
      </w:r>
      <w:r w:rsidR="00F21946" w:rsidRPr="00753416">
        <w:t>4</w:t>
      </w:r>
      <w:r w:rsidR="00715BFD" w:rsidRPr="00753416">
        <w:t xml:space="preserve">00 to </w:t>
      </w:r>
      <w:r w:rsidR="00F21946" w:rsidRPr="00753416">
        <w:t>30</w:t>
      </w:r>
      <w:r w:rsidR="00715BFD" w:rsidRPr="00753416">
        <w:t>00 mm (</w:t>
      </w:r>
      <w:r w:rsidR="00F21946" w:rsidRPr="00753416">
        <w:t>Hong Kong Observatory, 2020</w:t>
      </w:r>
      <w:r w:rsidR="00715BFD" w:rsidRPr="00753416">
        <w:t xml:space="preserve">).  </w:t>
      </w:r>
    </w:p>
    <w:p w14:paraId="531BFC98" w14:textId="77777777" w:rsidR="00582360" w:rsidRPr="00753416" w:rsidRDefault="00582360" w:rsidP="00051367"/>
    <w:p w14:paraId="158BE9E2" w14:textId="63C1B95C" w:rsidR="00051367" w:rsidRPr="00753416" w:rsidRDefault="0051224E" w:rsidP="007B2CDA">
      <w:pPr>
        <w:tabs>
          <w:tab w:val="left" w:pos="1418"/>
        </w:tabs>
      </w:pPr>
      <w:r w:rsidRPr="00753416">
        <w:t>The study sites</w:t>
      </w:r>
      <w:r w:rsidR="009B779C" w:rsidRPr="00753416">
        <w:t xml:space="preserve"> </w:t>
      </w:r>
      <w:r w:rsidR="007A3CA6" w:rsidRPr="00753416">
        <w:t>are located on the southwestern margin of</w:t>
      </w:r>
      <w:r w:rsidR="009B779C" w:rsidRPr="00753416">
        <w:t xml:space="preserve"> Deep Bay</w:t>
      </w:r>
      <w:r w:rsidR="007A3CA6" w:rsidRPr="00753416">
        <w:t xml:space="preserve"> (Fig</w:t>
      </w:r>
      <w:r w:rsidR="00833AD7" w:rsidRPr="00753416">
        <w:t>ure</w:t>
      </w:r>
      <w:r w:rsidR="00635A99" w:rsidRPr="00753416">
        <w:t xml:space="preserve"> 1</w:t>
      </w:r>
      <w:r w:rsidR="00A355E8" w:rsidRPr="00753416">
        <w:t>B</w:t>
      </w:r>
      <w:r w:rsidR="007A3CA6" w:rsidRPr="00753416">
        <w:t>)</w:t>
      </w:r>
      <w:r w:rsidR="009B779C" w:rsidRPr="00753416">
        <w:t xml:space="preserve">, </w:t>
      </w:r>
      <w:r w:rsidR="007A3CA6" w:rsidRPr="00753416">
        <w:t>which has an</w:t>
      </w:r>
      <w:r w:rsidR="004D3E23" w:rsidRPr="00753416">
        <w:t xml:space="preserve"> average water depth</w:t>
      </w:r>
      <w:r w:rsidR="009B779C" w:rsidRPr="00753416">
        <w:t xml:space="preserve"> </w:t>
      </w:r>
      <w:r w:rsidR="007A3CA6" w:rsidRPr="00753416">
        <w:t>of</w:t>
      </w:r>
      <w:r w:rsidR="004D3E23" w:rsidRPr="00753416">
        <w:t xml:space="preserve"> </w:t>
      </w:r>
      <w:r w:rsidR="003F7EA9" w:rsidRPr="00753416">
        <w:t>~</w:t>
      </w:r>
      <w:r w:rsidR="004D3E23" w:rsidRPr="00753416">
        <w:t>2.9</w:t>
      </w:r>
      <w:r w:rsidR="00A72F2F" w:rsidRPr="00753416">
        <w:t xml:space="preserve"> </w:t>
      </w:r>
      <w:r w:rsidR="004D3E23" w:rsidRPr="00753416">
        <w:t xml:space="preserve">m </w:t>
      </w:r>
      <w:r w:rsidR="004D3E23" w:rsidRPr="00753416">
        <w:fldChar w:fldCharType="begin"/>
      </w:r>
      <w:r w:rsidR="004D3E23" w:rsidRPr="00753416">
        <w:instrText xml:space="preserve"> ADDIN EN.CITE &lt;EndNote&gt;&lt;Cite&gt;&lt;Author&gt;Lee&lt;/Author&gt;&lt;Year&gt;2000&lt;/Year&gt;&lt;RecNum&gt;666&lt;/RecNum&gt;&lt;DisplayText&gt;(Lee, 2000)&lt;/DisplayText&gt;&lt;record&gt;&lt;rec-number&gt;666&lt;/rec-number&gt;&lt;foreign-keys&gt;&lt;key app="EN" db-id="955erfxp5wp9zve92x4xtw2k0aw0zas2zrvt" timestamp="1668332433" guid="d596c6a1-48b8-4b00-b0b0-f37770e73ee9"&gt;666&lt;/key&gt;&lt;/foreign-keys&gt;&lt;ref-type name="Journal Article"&gt;17&lt;/ref-type&gt;&lt;contributors&gt;&lt;authors&gt;&lt;author&gt;Lee, SY&lt;/author&gt;&lt;/authors&gt;&lt;/contributors&gt;&lt;titles&gt;&lt;title&gt;Carbon dynamics of Deep Bay, eastern Pearl River estuary, China. II: Trophic relationship based on carbon-and nitrogen-stable isotopes&lt;/title&gt;&lt;secondary-title&gt;Marine Ecology Progress Series&lt;/secondary-title&gt;&lt;/titles&gt;&lt;pages&gt;1-10&lt;/pages&gt;&lt;volume&gt;205&lt;/volume&gt;&lt;dates&gt;&lt;year&gt;2000&lt;/year&gt;&lt;/dates&gt;&lt;isbn&gt;0171-8630&lt;/isbn&gt;&lt;urls&gt;&lt;/urls&gt;&lt;/record&gt;&lt;/Cite&gt;&lt;/EndNote&gt;</w:instrText>
      </w:r>
      <w:r w:rsidR="004D3E23" w:rsidRPr="00753416">
        <w:fldChar w:fldCharType="separate"/>
      </w:r>
      <w:r w:rsidR="004D3E23" w:rsidRPr="00753416">
        <w:t>(Lee, 2000)</w:t>
      </w:r>
      <w:r w:rsidR="004D3E23" w:rsidRPr="00753416">
        <w:fldChar w:fldCharType="end"/>
      </w:r>
      <w:r w:rsidR="004D3E23" w:rsidRPr="00753416">
        <w:t xml:space="preserve">. </w:t>
      </w:r>
      <w:r w:rsidR="007A3CA6" w:rsidRPr="00753416">
        <w:t>Deep Bay</w:t>
      </w:r>
      <w:r w:rsidR="004D3E23" w:rsidRPr="00753416">
        <w:t xml:space="preserve"> </w:t>
      </w:r>
      <w:r w:rsidR="00B83E21" w:rsidRPr="00753416">
        <w:t xml:space="preserve">exhibits </w:t>
      </w:r>
      <w:r w:rsidR="009B779C" w:rsidRPr="00753416">
        <w:t>mixed semidiurnal</w:t>
      </w:r>
      <w:r w:rsidR="00B83E21" w:rsidRPr="00753416">
        <w:t xml:space="preserve"> characteristics </w:t>
      </w:r>
      <w:r w:rsidR="009B779C" w:rsidRPr="00753416">
        <w:t xml:space="preserve">with a </w:t>
      </w:r>
      <w:r w:rsidR="00803510" w:rsidRPr="00753416">
        <w:t>great diurnal</w:t>
      </w:r>
      <w:r w:rsidR="00B83E21" w:rsidRPr="00753416">
        <w:t xml:space="preserve"> range</w:t>
      </w:r>
      <w:r w:rsidR="007A3CA6" w:rsidRPr="00753416">
        <w:t xml:space="preserve"> (MHHW-MLLW)</w:t>
      </w:r>
      <w:r w:rsidR="00B83E21" w:rsidRPr="00753416">
        <w:t xml:space="preserve"> </w:t>
      </w:r>
      <w:r w:rsidR="00803510" w:rsidRPr="00753416">
        <w:t>of</w:t>
      </w:r>
      <w:r w:rsidR="00B83E21" w:rsidRPr="00753416">
        <w:t xml:space="preserve"> 1.9</w:t>
      </w:r>
      <w:r w:rsidR="008C7E5D" w:rsidRPr="00753416">
        <w:t>6</w:t>
      </w:r>
      <w:r w:rsidR="00B83E21" w:rsidRPr="00753416">
        <w:t xml:space="preserve"> </w:t>
      </w:r>
      <w:r w:rsidR="00775BD0" w:rsidRPr="00753416">
        <w:t>m</w:t>
      </w:r>
      <w:r w:rsidR="00245B0C" w:rsidRPr="00753416">
        <w:t>,</w:t>
      </w:r>
      <w:r w:rsidR="00B83E21" w:rsidRPr="00753416">
        <w:t xml:space="preserve"> based on measurements from the nearest tide gauge at </w:t>
      </w:r>
      <w:r w:rsidR="00051367" w:rsidRPr="00753416">
        <w:t>Tsim Bei Tsui</w:t>
      </w:r>
      <w:r w:rsidR="007A3CA6" w:rsidRPr="00753416">
        <w:t xml:space="preserve"> (Fig</w:t>
      </w:r>
      <w:r w:rsidR="003F7EA9" w:rsidRPr="00753416">
        <w:t>ure</w:t>
      </w:r>
      <w:r w:rsidR="007A3CA6" w:rsidRPr="00753416">
        <w:t xml:space="preserve"> </w:t>
      </w:r>
      <w:r w:rsidR="000C1001" w:rsidRPr="00753416">
        <w:t>1</w:t>
      </w:r>
      <w:r w:rsidR="00A355E8" w:rsidRPr="00753416">
        <w:t>C</w:t>
      </w:r>
      <w:r w:rsidR="007A3CA6" w:rsidRPr="00753416">
        <w:t>)</w:t>
      </w:r>
      <w:r w:rsidR="007679DC" w:rsidRPr="00753416">
        <w:t xml:space="preserve">. </w:t>
      </w:r>
      <w:r w:rsidR="002D6185" w:rsidRPr="00753416">
        <w:t>Extensive mudflats and mangroves fringe Deep Bay</w:t>
      </w:r>
      <w:r w:rsidR="006F704F" w:rsidRPr="00753416">
        <w:t>,</w:t>
      </w:r>
      <w:r w:rsidR="002D6185" w:rsidRPr="00753416">
        <w:t xml:space="preserve"> where s</w:t>
      </w:r>
      <w:r w:rsidR="001E5687" w:rsidRPr="00753416">
        <w:t>ediments are supplied by the Pearl River, with notable contributions also coming from the Shenzhen and Shan Pui Rivers</w:t>
      </w:r>
      <w:r w:rsidR="00051367" w:rsidRPr="00753416">
        <w:t xml:space="preserve"> (exceedi</w:t>
      </w:r>
      <w:r w:rsidR="001E5687" w:rsidRPr="00753416">
        <w:t>ng 30</w:t>
      </w:r>
      <w:r w:rsidR="006F704F" w:rsidRPr="00753416">
        <w:t>,</w:t>
      </w:r>
      <w:r w:rsidR="001E5687" w:rsidRPr="00753416">
        <w:t>000</w:t>
      </w:r>
      <w:r w:rsidR="00803510" w:rsidRPr="00753416">
        <w:t xml:space="preserve"> </w:t>
      </w:r>
      <w:r w:rsidR="00051367" w:rsidRPr="00753416">
        <w:t>t yr</w:t>
      </w:r>
      <w:r w:rsidR="00B16E21" w:rsidRPr="00753416">
        <w:rPr>
          <w:vertAlign w:val="superscript"/>
        </w:rPr>
        <w:t>-</w:t>
      </w:r>
      <w:r w:rsidR="00051367" w:rsidRPr="00753416">
        <w:rPr>
          <w:vertAlign w:val="superscript"/>
        </w:rPr>
        <w:t>1</w:t>
      </w:r>
      <w:r w:rsidR="00051367" w:rsidRPr="00753416">
        <w:t>), particularly during the flood seasons</w:t>
      </w:r>
      <w:r w:rsidR="005428C7" w:rsidRPr="00753416">
        <w:t xml:space="preserve"> under the influence of summer monsoon</w:t>
      </w:r>
      <w:r w:rsidR="00051367" w:rsidRPr="00753416">
        <w:t xml:space="preserve"> (Li </w:t>
      </w:r>
      <w:r w:rsidR="0022164F" w:rsidRPr="00753416">
        <w:t>and</w:t>
      </w:r>
      <w:r w:rsidR="00051367" w:rsidRPr="00753416">
        <w:t xml:space="preserve"> Lee, 1998).</w:t>
      </w:r>
      <w:r w:rsidR="000C1001" w:rsidRPr="00753416">
        <w:t xml:space="preserve"> Mangroves in the study region </w:t>
      </w:r>
      <w:r w:rsidR="00D518B9">
        <w:t>occupy elevations from</w:t>
      </w:r>
      <w:r w:rsidR="000C1001" w:rsidRPr="00753416">
        <w:t xml:space="preserve"> MSL to HAT</w:t>
      </w:r>
      <w:r w:rsidR="006B54A6" w:rsidRPr="00753416">
        <w:t>, as denoted by LiDAR data provide</w:t>
      </w:r>
      <w:r w:rsidR="00A7313B">
        <w:t>d</w:t>
      </w:r>
      <w:r w:rsidR="006B54A6" w:rsidRPr="00753416">
        <w:t xml:space="preserve"> by the Hong Kong S.A.R government</w:t>
      </w:r>
      <w:r w:rsidR="000C1001" w:rsidRPr="00753416">
        <w:t xml:space="preserve"> (Fig</w:t>
      </w:r>
      <w:r w:rsidR="006F704F" w:rsidRPr="00753416">
        <w:t>ure</w:t>
      </w:r>
      <w:r w:rsidR="000C1001" w:rsidRPr="00753416">
        <w:t xml:space="preserve"> 1</w:t>
      </w:r>
      <w:r w:rsidR="00FF24D0">
        <w:t>D</w:t>
      </w:r>
      <w:r w:rsidR="000C1001" w:rsidRPr="00753416">
        <w:t>).</w:t>
      </w:r>
    </w:p>
    <w:p w14:paraId="760EDCEC" w14:textId="77777777" w:rsidR="009978A9" w:rsidRPr="00753416" w:rsidRDefault="009978A9" w:rsidP="004D3E23">
      <w:pPr>
        <w:tabs>
          <w:tab w:val="left" w:pos="7797"/>
        </w:tabs>
      </w:pPr>
    </w:p>
    <w:p w14:paraId="37D276C4" w14:textId="5EE1AA69" w:rsidR="00234D40" w:rsidRPr="00753416" w:rsidRDefault="003F7EA9" w:rsidP="004D3E23">
      <w:pPr>
        <w:tabs>
          <w:tab w:val="left" w:pos="7797"/>
        </w:tabs>
      </w:pPr>
      <w:r w:rsidRPr="00753416">
        <w:t>T</w:t>
      </w:r>
      <w:r w:rsidR="00F1356D" w:rsidRPr="00753416">
        <w:t xml:space="preserve">wo </w:t>
      </w:r>
      <w:r w:rsidR="00304D4A" w:rsidRPr="00753416">
        <w:t xml:space="preserve">sites, </w:t>
      </w:r>
      <w:r w:rsidR="0051224E" w:rsidRPr="00753416">
        <w:t>Mai Po and Sha Kiu</w:t>
      </w:r>
      <w:r w:rsidR="00304D4A" w:rsidRPr="00753416">
        <w:t xml:space="preserve">, </w:t>
      </w:r>
      <w:r w:rsidR="00E2590D" w:rsidRPr="00753416">
        <w:t>were selected for</w:t>
      </w:r>
      <w:r w:rsidR="00304D4A" w:rsidRPr="00753416">
        <w:t xml:space="preserve"> study</w:t>
      </w:r>
      <w:r w:rsidR="007A3CA6" w:rsidRPr="00753416">
        <w:t xml:space="preserve"> (Fig</w:t>
      </w:r>
      <w:r w:rsidR="00833AD7" w:rsidRPr="00753416">
        <w:t>ure</w:t>
      </w:r>
      <w:r w:rsidR="000C1001" w:rsidRPr="00753416">
        <w:t xml:space="preserve"> 1</w:t>
      </w:r>
      <w:r w:rsidR="00A355E8" w:rsidRPr="00753416">
        <w:t>C</w:t>
      </w:r>
      <w:r w:rsidR="007A3CA6" w:rsidRPr="00753416">
        <w:t>)</w:t>
      </w:r>
      <w:r w:rsidR="00E2590D" w:rsidRPr="00753416">
        <w:t xml:space="preserve"> </w:t>
      </w:r>
      <w:r w:rsidR="00D518B9">
        <w:t>due to their</w:t>
      </w:r>
      <w:r w:rsidRPr="00753416">
        <w:t xml:space="preserve"> locat</w:t>
      </w:r>
      <w:r w:rsidR="00D518B9">
        <w:t>ion</w:t>
      </w:r>
      <w:r w:rsidRPr="00753416">
        <w:t xml:space="preserve"> in</w:t>
      </w:r>
      <w:r w:rsidR="00304D4A" w:rsidRPr="00753416">
        <w:t xml:space="preserve"> </w:t>
      </w:r>
      <w:r w:rsidR="00D5173D" w:rsidRPr="00753416">
        <w:t xml:space="preserve">nature reserves and </w:t>
      </w:r>
      <w:r w:rsidR="00304D4A" w:rsidRPr="00753416">
        <w:t xml:space="preserve">areas </w:t>
      </w:r>
      <w:r w:rsidR="00D5173D" w:rsidRPr="00753416">
        <w:t xml:space="preserve">where </w:t>
      </w:r>
      <w:r w:rsidR="00013BD0" w:rsidRPr="00753416">
        <w:t xml:space="preserve">we deemed </w:t>
      </w:r>
      <w:r w:rsidR="00D5173D" w:rsidRPr="00753416">
        <w:t xml:space="preserve">the natural progression from mudflat to mangrove vegetation </w:t>
      </w:r>
      <w:r w:rsidR="00013BD0" w:rsidRPr="00753416">
        <w:t xml:space="preserve">to be </w:t>
      </w:r>
      <w:r w:rsidR="00D5173D" w:rsidRPr="00753416">
        <w:t>less disturbed</w:t>
      </w:r>
      <w:r w:rsidR="00E2590D" w:rsidRPr="00753416">
        <w:t xml:space="preserve"> by anthropogenic influence</w:t>
      </w:r>
      <w:r w:rsidR="00013BD0" w:rsidRPr="00753416">
        <w:t xml:space="preserve">. </w:t>
      </w:r>
      <w:r w:rsidR="00D5173D" w:rsidRPr="00753416">
        <w:t xml:space="preserve">Mai Po Nature Reserve was selected due to its management by the </w:t>
      </w:r>
      <w:proofErr w:type="gramStart"/>
      <w:r w:rsidR="00565EFE" w:rsidRPr="00753416">
        <w:t>World Wide</w:t>
      </w:r>
      <w:proofErr w:type="gramEnd"/>
      <w:r w:rsidR="00D5173D" w:rsidRPr="00753416">
        <w:t xml:space="preserve"> Fund for Nature (WWF) and its relative isolation from direct human interference since 1975</w:t>
      </w:r>
      <w:r w:rsidR="00B33E3D" w:rsidRPr="00753416">
        <w:t>.</w:t>
      </w:r>
      <w:r w:rsidR="00D5173D" w:rsidRPr="00753416">
        <w:t xml:space="preserve"> </w:t>
      </w:r>
      <w:r w:rsidR="00B33E3D" w:rsidRPr="00753416">
        <w:t xml:space="preserve">The WWF has been responsible for </w:t>
      </w:r>
      <w:r w:rsidR="00B33E3D" w:rsidRPr="00753416">
        <w:lastRenderedPageBreak/>
        <w:t xml:space="preserve">managing a section of intertidal mudflat since 1986 to preserve an open space conducive to waterbirds' roosting and feeding activities. The management scheme </w:t>
      </w:r>
      <w:r w:rsidR="00A14EA5">
        <w:t>include</w:t>
      </w:r>
      <w:r w:rsidR="00A14EA5" w:rsidRPr="00753416">
        <w:t xml:space="preserve">s </w:t>
      </w:r>
      <w:r w:rsidR="00B33E3D" w:rsidRPr="00753416">
        <w:t xml:space="preserve">the manual removal of mangrove tree seedlings and the control of encroaching grasses, such as </w:t>
      </w:r>
      <w:r w:rsidR="00B33E3D" w:rsidRPr="00753416">
        <w:rPr>
          <w:i/>
          <w:iCs/>
        </w:rPr>
        <w:t xml:space="preserve">Paspalum </w:t>
      </w:r>
      <w:r w:rsidR="00B33E3D" w:rsidRPr="00753416">
        <w:t xml:space="preserve">spp. and </w:t>
      </w:r>
      <w:proofErr w:type="spellStart"/>
      <w:r w:rsidR="00B33E3D" w:rsidRPr="00753416">
        <w:rPr>
          <w:i/>
          <w:iCs/>
        </w:rPr>
        <w:t>Schoenoplectus</w:t>
      </w:r>
      <w:proofErr w:type="spellEnd"/>
      <w:r w:rsidR="00B33E3D" w:rsidRPr="00753416">
        <w:rPr>
          <w:i/>
          <w:iCs/>
        </w:rPr>
        <w:t xml:space="preserve"> </w:t>
      </w:r>
      <w:r w:rsidR="00B33E3D" w:rsidRPr="00753416">
        <w:t xml:space="preserve">spp. </w:t>
      </w:r>
      <w:r w:rsidR="00D5173D" w:rsidRPr="00753416">
        <w:t xml:space="preserve">The surrounding coastal plain near the Reserve remains predominantly rural, </w:t>
      </w:r>
      <w:r w:rsidR="00587605" w:rsidRPr="00753416">
        <w:t xml:space="preserve">where </w:t>
      </w:r>
      <w:r w:rsidR="000B57E4" w:rsidRPr="00753416">
        <w:t xml:space="preserve">in </w:t>
      </w:r>
      <w:r w:rsidR="00FD790B" w:rsidRPr="00753416">
        <w:t>some</w:t>
      </w:r>
      <w:r w:rsidR="00D5173D" w:rsidRPr="00753416">
        <w:t xml:space="preserve"> sections</w:t>
      </w:r>
      <w:r w:rsidR="007A3CA6" w:rsidRPr="00753416">
        <w:t>,</w:t>
      </w:r>
      <w:r w:rsidR="00D5173D" w:rsidRPr="00753416">
        <w:t xml:space="preserve"> ponds </w:t>
      </w:r>
      <w:r w:rsidR="00FD790B" w:rsidRPr="00753416">
        <w:t>f</w:t>
      </w:r>
      <w:r w:rsidR="00F1356D" w:rsidRPr="00753416">
        <w:t>or</w:t>
      </w:r>
      <w:r w:rsidR="00FD790B" w:rsidRPr="00753416">
        <w:t xml:space="preserve"> fish or shrimp farming </w:t>
      </w:r>
      <w:r w:rsidR="000B57E4" w:rsidRPr="00753416">
        <w:t xml:space="preserve">have been developed </w:t>
      </w:r>
      <w:r w:rsidR="00D5173D" w:rsidRPr="00753416">
        <w:t xml:space="preserve">(Sun et al., 2017). Sha Kiu was chosen as a study site because it exhibits a transition from mudflat </w:t>
      </w:r>
      <w:r w:rsidR="00F1356D" w:rsidRPr="00753416">
        <w:t xml:space="preserve">to mangrove </w:t>
      </w:r>
      <w:r w:rsidR="00D5173D" w:rsidRPr="00753416">
        <w:t>environment with comparatively fewer human activities observed</w:t>
      </w:r>
      <w:r w:rsidR="0051224E" w:rsidRPr="00753416">
        <w:t xml:space="preserve"> than the remaining coast along Deep Bay</w:t>
      </w:r>
      <w:r w:rsidR="00D5173D" w:rsidRPr="00753416">
        <w:t>.</w:t>
      </w:r>
      <w:r w:rsidR="00C91119" w:rsidRPr="00753416">
        <w:t xml:space="preserve"> </w:t>
      </w:r>
    </w:p>
    <w:p w14:paraId="3603B325" w14:textId="77777777" w:rsidR="00234D40" w:rsidRPr="00753416" w:rsidRDefault="00234D40" w:rsidP="00F43B6B">
      <w:pPr>
        <w:tabs>
          <w:tab w:val="left" w:pos="7797"/>
        </w:tabs>
      </w:pPr>
    </w:p>
    <w:p w14:paraId="77B692ED" w14:textId="0A5BB1E6" w:rsidR="00234D40" w:rsidRPr="00753416" w:rsidRDefault="006F704F" w:rsidP="00F43B6B">
      <w:pPr>
        <w:tabs>
          <w:tab w:val="left" w:pos="7797"/>
        </w:tabs>
      </w:pPr>
      <w:r w:rsidRPr="00753416">
        <w:t xml:space="preserve">A total of 66 samples were collected </w:t>
      </w:r>
      <w:r w:rsidR="00234D40" w:rsidRPr="00753416">
        <w:t xml:space="preserve">along two transects </w:t>
      </w:r>
      <w:r w:rsidR="00E2590D" w:rsidRPr="00753416">
        <w:t>(</w:t>
      </w:r>
      <w:r w:rsidR="007B2CDA" w:rsidRPr="00753416">
        <w:t xml:space="preserve">MP_A </w:t>
      </w:r>
      <w:r w:rsidR="00234D40" w:rsidRPr="00753416">
        <w:t xml:space="preserve">and </w:t>
      </w:r>
      <w:r w:rsidR="007B2CDA" w:rsidRPr="00753416">
        <w:t>MP_B</w:t>
      </w:r>
      <w:r w:rsidR="00E2590D" w:rsidRPr="00753416">
        <w:t>)</w:t>
      </w:r>
      <w:r w:rsidR="00234D40" w:rsidRPr="00753416">
        <w:t xml:space="preserve"> within the Mai Po Nature Reserve and one transect </w:t>
      </w:r>
      <w:r w:rsidR="00E2590D" w:rsidRPr="00753416">
        <w:t xml:space="preserve">(SK) </w:t>
      </w:r>
      <w:r w:rsidR="00234D40" w:rsidRPr="00753416">
        <w:t>at Sha Kiu</w:t>
      </w:r>
      <w:r w:rsidR="007A3CA6" w:rsidRPr="00753416">
        <w:t xml:space="preserve"> (Fig</w:t>
      </w:r>
      <w:r w:rsidR="00833AD7" w:rsidRPr="00753416">
        <w:t>ure</w:t>
      </w:r>
      <w:r w:rsidR="007A3CA6" w:rsidRPr="00753416">
        <w:t xml:space="preserve"> </w:t>
      </w:r>
      <w:r w:rsidR="000C1001" w:rsidRPr="00753416">
        <w:t>1</w:t>
      </w:r>
      <w:r w:rsidR="00A355E8" w:rsidRPr="00753416">
        <w:t>C</w:t>
      </w:r>
      <w:r w:rsidR="007A3CA6" w:rsidRPr="00753416">
        <w:t>)</w:t>
      </w:r>
      <w:r w:rsidR="00234D40" w:rsidRPr="00753416">
        <w:t xml:space="preserve">. Transect </w:t>
      </w:r>
      <w:r w:rsidR="007B2CDA" w:rsidRPr="00753416">
        <w:t xml:space="preserve">MP_A </w:t>
      </w:r>
      <w:r w:rsidR="00234D40" w:rsidRPr="00753416">
        <w:t xml:space="preserve">encompassed 25 </w:t>
      </w:r>
      <w:r w:rsidR="00E2590D" w:rsidRPr="00753416">
        <w:t xml:space="preserve">sampling </w:t>
      </w:r>
      <w:r w:rsidR="00234D40" w:rsidRPr="00753416">
        <w:t>stations from subtidal, intertidal mudflat, to mangrove environments</w:t>
      </w:r>
      <w:r w:rsidR="00833AD7" w:rsidRPr="00753416">
        <w:t xml:space="preserve"> (Figure 2</w:t>
      </w:r>
      <w:r w:rsidR="00A355E8" w:rsidRPr="00753416">
        <w:t>A</w:t>
      </w:r>
      <w:r w:rsidR="00833AD7" w:rsidRPr="00753416">
        <w:t>)</w:t>
      </w:r>
      <w:r w:rsidR="00234D40" w:rsidRPr="00753416">
        <w:t xml:space="preserve">. The mangrove zone was occupied by </w:t>
      </w:r>
      <w:proofErr w:type="spellStart"/>
      <w:r w:rsidR="00234D40" w:rsidRPr="00753416">
        <w:rPr>
          <w:i/>
          <w:iCs/>
        </w:rPr>
        <w:t>Kandelia</w:t>
      </w:r>
      <w:proofErr w:type="spellEnd"/>
      <w:r w:rsidR="00234D40" w:rsidRPr="00753416">
        <w:rPr>
          <w:i/>
          <w:iCs/>
        </w:rPr>
        <w:t xml:space="preserve"> </w:t>
      </w:r>
      <w:proofErr w:type="spellStart"/>
      <w:r w:rsidR="00234D40" w:rsidRPr="00753416">
        <w:rPr>
          <w:i/>
          <w:iCs/>
        </w:rPr>
        <w:t>obovata</w:t>
      </w:r>
      <w:proofErr w:type="spellEnd"/>
      <w:r w:rsidR="00234D40" w:rsidRPr="00753416">
        <w:rPr>
          <w:i/>
          <w:iCs/>
        </w:rPr>
        <w:t xml:space="preserve">, Acanthus </w:t>
      </w:r>
      <w:proofErr w:type="spellStart"/>
      <w:r w:rsidR="002046F8" w:rsidRPr="00753416">
        <w:rPr>
          <w:i/>
          <w:iCs/>
        </w:rPr>
        <w:t>ilicifolius</w:t>
      </w:r>
      <w:proofErr w:type="spellEnd"/>
      <w:r w:rsidR="00234D40" w:rsidRPr="00753416">
        <w:rPr>
          <w:i/>
          <w:iCs/>
        </w:rPr>
        <w:t xml:space="preserve">, </w:t>
      </w:r>
      <w:proofErr w:type="spellStart"/>
      <w:r w:rsidR="00234D40" w:rsidRPr="00753416">
        <w:rPr>
          <w:i/>
          <w:iCs/>
        </w:rPr>
        <w:t>Aegiceras</w:t>
      </w:r>
      <w:proofErr w:type="spellEnd"/>
      <w:r w:rsidR="00234D40" w:rsidRPr="00753416">
        <w:rPr>
          <w:i/>
          <w:iCs/>
        </w:rPr>
        <w:t xml:space="preserve"> </w:t>
      </w:r>
      <w:proofErr w:type="spellStart"/>
      <w:r w:rsidR="00234D40" w:rsidRPr="00753416">
        <w:rPr>
          <w:i/>
          <w:iCs/>
        </w:rPr>
        <w:t>corniculatum</w:t>
      </w:r>
      <w:proofErr w:type="spellEnd"/>
      <w:r w:rsidR="00234D40" w:rsidRPr="00753416">
        <w:rPr>
          <w:i/>
          <w:iCs/>
        </w:rPr>
        <w:t xml:space="preserve">, Avicennia </w:t>
      </w:r>
      <w:r w:rsidR="00234D40" w:rsidRPr="00A51408">
        <w:rPr>
          <w:i/>
          <w:iCs/>
        </w:rPr>
        <w:t>marina</w:t>
      </w:r>
      <w:r w:rsidR="00234D40" w:rsidRPr="00753416">
        <w:t xml:space="preserve"> and </w:t>
      </w:r>
      <w:proofErr w:type="spellStart"/>
      <w:r w:rsidR="00234D40" w:rsidRPr="00753416">
        <w:rPr>
          <w:i/>
          <w:iCs/>
        </w:rPr>
        <w:t>Sonneratia</w:t>
      </w:r>
      <w:proofErr w:type="spellEnd"/>
      <w:r w:rsidR="00234D40" w:rsidRPr="00753416">
        <w:rPr>
          <w:i/>
          <w:iCs/>
        </w:rPr>
        <w:t xml:space="preserve"> apetala</w:t>
      </w:r>
      <w:r w:rsidR="00E2590D" w:rsidRPr="00753416">
        <w:t>, with</w:t>
      </w:r>
      <w:r w:rsidR="00211C34" w:rsidRPr="00753416">
        <w:t xml:space="preserve"> </w:t>
      </w:r>
      <w:r w:rsidR="007A3CA6" w:rsidRPr="00753416">
        <w:rPr>
          <w:i/>
          <w:iCs/>
        </w:rPr>
        <w:t xml:space="preserve">K. </w:t>
      </w:r>
      <w:proofErr w:type="spellStart"/>
      <w:r w:rsidR="00211C34" w:rsidRPr="00753416">
        <w:rPr>
          <w:i/>
          <w:iCs/>
        </w:rPr>
        <w:t>obovat</w:t>
      </w:r>
      <w:r w:rsidR="007A3CA6" w:rsidRPr="00753416">
        <w:rPr>
          <w:i/>
          <w:iCs/>
        </w:rPr>
        <w:t>a</w:t>
      </w:r>
      <w:proofErr w:type="spellEnd"/>
      <w:r w:rsidR="005238E0" w:rsidRPr="00753416">
        <w:rPr>
          <w:i/>
          <w:iCs/>
        </w:rPr>
        <w:t xml:space="preserve"> </w:t>
      </w:r>
      <w:r w:rsidR="00E2590D" w:rsidRPr="00753416">
        <w:t xml:space="preserve">dominant at </w:t>
      </w:r>
      <w:r w:rsidR="00211C34" w:rsidRPr="00753416">
        <w:t>landward and seaward side</w:t>
      </w:r>
      <w:r w:rsidR="00E2590D" w:rsidRPr="00753416">
        <w:t>s</w:t>
      </w:r>
      <w:r w:rsidR="00211C34" w:rsidRPr="00753416">
        <w:t xml:space="preserve"> of the mangrove</w:t>
      </w:r>
      <w:r w:rsidR="00E2590D" w:rsidRPr="00753416">
        <w:t xml:space="preserve"> and</w:t>
      </w:r>
      <w:r w:rsidR="00211C34" w:rsidRPr="00753416">
        <w:rPr>
          <w:i/>
          <w:iCs/>
        </w:rPr>
        <w:t xml:space="preserve"> </w:t>
      </w:r>
      <w:r w:rsidR="007A3CA6" w:rsidRPr="00753416">
        <w:rPr>
          <w:i/>
          <w:iCs/>
        </w:rPr>
        <w:t xml:space="preserve">A. </w:t>
      </w:r>
      <w:r w:rsidR="00211C34" w:rsidRPr="00753416">
        <w:rPr>
          <w:i/>
          <w:iCs/>
        </w:rPr>
        <w:t>marina</w:t>
      </w:r>
      <w:r w:rsidR="00F03144" w:rsidRPr="00753416">
        <w:rPr>
          <w:i/>
          <w:iCs/>
        </w:rPr>
        <w:t xml:space="preserve"> </w:t>
      </w:r>
      <w:r w:rsidR="00E2590D" w:rsidRPr="00753416">
        <w:t xml:space="preserve">dominant </w:t>
      </w:r>
      <w:r w:rsidR="00F03144" w:rsidRPr="00753416">
        <w:t>in the middle of the mangrove</w:t>
      </w:r>
      <w:r w:rsidR="00671E05" w:rsidRPr="00753416">
        <w:t xml:space="preserve"> (Li et al., 2019). </w:t>
      </w:r>
      <w:r w:rsidR="00211C34" w:rsidRPr="00753416">
        <w:t xml:space="preserve">The exotic species </w:t>
      </w:r>
      <w:r w:rsidR="007A3CA6" w:rsidRPr="00753416">
        <w:rPr>
          <w:i/>
          <w:iCs/>
        </w:rPr>
        <w:t xml:space="preserve">S. </w:t>
      </w:r>
      <w:r w:rsidR="00211C34" w:rsidRPr="00753416">
        <w:rPr>
          <w:i/>
          <w:iCs/>
        </w:rPr>
        <w:t>apetala</w:t>
      </w:r>
      <w:r w:rsidR="00211C34" w:rsidRPr="00753416">
        <w:t xml:space="preserve"> was sporadically identified</w:t>
      </w:r>
      <w:r w:rsidR="004A68B5" w:rsidRPr="00753416">
        <w:t xml:space="preserve"> at </w:t>
      </w:r>
      <w:r w:rsidR="007A3CA6" w:rsidRPr="00753416">
        <w:t>the mudflat</w:t>
      </w:r>
      <w:r w:rsidR="004A68B5" w:rsidRPr="00753416">
        <w:t>–</w:t>
      </w:r>
      <w:r w:rsidR="007A3CA6" w:rsidRPr="00753416">
        <w:t xml:space="preserve">mangrove </w:t>
      </w:r>
      <w:r w:rsidR="004A68B5" w:rsidRPr="00753416">
        <w:t>transition</w:t>
      </w:r>
      <w:r w:rsidR="00234D40" w:rsidRPr="00753416">
        <w:t>.</w:t>
      </w:r>
      <w:r w:rsidR="009852F2" w:rsidRPr="00753416">
        <w:t xml:space="preserve"> </w:t>
      </w:r>
      <w:r w:rsidR="00234D40" w:rsidRPr="00753416">
        <w:t xml:space="preserve">Transect </w:t>
      </w:r>
      <w:r w:rsidR="007B2CDA" w:rsidRPr="00753416">
        <w:t>MP_B</w:t>
      </w:r>
      <w:r w:rsidR="00234D40" w:rsidRPr="00753416">
        <w:t xml:space="preserve"> </w:t>
      </w:r>
      <w:r w:rsidR="007A3CA6" w:rsidRPr="00753416">
        <w:t xml:space="preserve">consisted of </w:t>
      </w:r>
      <w:r w:rsidR="006953C1" w:rsidRPr="00753416">
        <w:t>14</w:t>
      </w:r>
      <w:r w:rsidR="00234D40" w:rsidRPr="00753416">
        <w:t xml:space="preserve"> </w:t>
      </w:r>
      <w:r w:rsidR="00E2590D" w:rsidRPr="00753416">
        <w:t xml:space="preserve">sampling </w:t>
      </w:r>
      <w:r w:rsidR="00234D40" w:rsidRPr="00753416">
        <w:t>stations that extend</w:t>
      </w:r>
      <w:r w:rsidR="007A3CA6" w:rsidRPr="00753416">
        <w:t>ed</w:t>
      </w:r>
      <w:r w:rsidR="00234D40" w:rsidRPr="00753416">
        <w:t xml:space="preserve"> from a mangrove zone</w:t>
      </w:r>
      <w:r w:rsidR="007A3CA6" w:rsidRPr="00753416">
        <w:t>,</w:t>
      </w:r>
      <w:r w:rsidR="00234D40" w:rsidRPr="00753416">
        <w:t xml:space="preserve"> mainly </w:t>
      </w:r>
      <w:r w:rsidR="00E2590D" w:rsidRPr="00753416">
        <w:t>occupied by</w:t>
      </w:r>
      <w:r w:rsidR="00234D40" w:rsidRPr="00753416">
        <w:t xml:space="preserve"> </w:t>
      </w:r>
      <w:r w:rsidR="007A3CA6" w:rsidRPr="00753416">
        <w:rPr>
          <w:i/>
          <w:iCs/>
        </w:rPr>
        <w:t xml:space="preserve">A. </w:t>
      </w:r>
      <w:proofErr w:type="spellStart"/>
      <w:r w:rsidR="009F0546" w:rsidRPr="00753416">
        <w:rPr>
          <w:i/>
          <w:iCs/>
        </w:rPr>
        <w:t>ilicifolius</w:t>
      </w:r>
      <w:proofErr w:type="spellEnd"/>
      <w:r w:rsidR="009F0546" w:rsidRPr="00753416" w:rsidDel="002046F8">
        <w:rPr>
          <w:i/>
          <w:iCs/>
        </w:rPr>
        <w:t xml:space="preserve"> </w:t>
      </w:r>
      <w:r w:rsidR="009F0546" w:rsidRPr="00753416">
        <w:rPr>
          <w:i/>
          <w:iCs/>
        </w:rPr>
        <w:t>and</w:t>
      </w:r>
      <w:r w:rsidR="00234D40" w:rsidRPr="00753416">
        <w:t xml:space="preserve"> </w:t>
      </w:r>
      <w:r w:rsidR="007A3CA6" w:rsidRPr="00753416">
        <w:rPr>
          <w:i/>
          <w:iCs/>
        </w:rPr>
        <w:t xml:space="preserve">S. </w:t>
      </w:r>
      <w:r w:rsidR="00234D40" w:rsidRPr="00753416">
        <w:rPr>
          <w:i/>
          <w:iCs/>
        </w:rPr>
        <w:t>apetala</w:t>
      </w:r>
      <w:r w:rsidR="007A3CA6" w:rsidRPr="00753416">
        <w:rPr>
          <w:i/>
          <w:iCs/>
        </w:rPr>
        <w:t>,</w:t>
      </w:r>
      <w:r w:rsidR="00234D40" w:rsidRPr="00753416">
        <w:rPr>
          <w:i/>
          <w:iCs/>
        </w:rPr>
        <w:t xml:space="preserve"> </w:t>
      </w:r>
      <w:r w:rsidR="00234D40" w:rsidRPr="00753416">
        <w:t xml:space="preserve">to </w:t>
      </w:r>
      <w:r w:rsidR="007A3CA6" w:rsidRPr="00753416">
        <w:t xml:space="preserve">a </w:t>
      </w:r>
      <w:r w:rsidR="005238E0" w:rsidRPr="00753416">
        <w:t xml:space="preserve">terrestrial </w:t>
      </w:r>
      <w:r w:rsidR="00234D40" w:rsidRPr="00753416">
        <w:t xml:space="preserve">environment </w:t>
      </w:r>
      <w:r w:rsidR="007A3CA6" w:rsidRPr="00753416">
        <w:t>occupied by trees</w:t>
      </w:r>
      <w:r w:rsidR="0075223D" w:rsidRPr="00753416">
        <w:t xml:space="preserve"> and shrubs</w:t>
      </w:r>
      <w:r w:rsidR="007A3CA6" w:rsidRPr="00753416">
        <w:t xml:space="preserve"> </w:t>
      </w:r>
      <w:r w:rsidR="00127FFD" w:rsidRPr="00753416">
        <w:t>(e.g.</w:t>
      </w:r>
      <w:r w:rsidR="00E15975">
        <w:t>,</w:t>
      </w:r>
      <w:r w:rsidR="00127FFD" w:rsidRPr="00753416">
        <w:t xml:space="preserve"> </w:t>
      </w:r>
      <w:r w:rsidR="00234D40" w:rsidRPr="00753416">
        <w:rPr>
          <w:i/>
          <w:iCs/>
        </w:rPr>
        <w:t>Macaranga </w:t>
      </w:r>
      <w:proofErr w:type="spellStart"/>
      <w:r w:rsidR="00234D40" w:rsidRPr="00753416">
        <w:rPr>
          <w:i/>
          <w:iCs/>
        </w:rPr>
        <w:t>tanarius</w:t>
      </w:r>
      <w:proofErr w:type="spellEnd"/>
      <w:r w:rsidR="00671E05" w:rsidRPr="00753416">
        <w:t>,</w:t>
      </w:r>
      <w:r w:rsidR="00234D40" w:rsidRPr="00753416">
        <w:t xml:space="preserve"> </w:t>
      </w:r>
      <w:proofErr w:type="spellStart"/>
      <w:r w:rsidR="00234D40" w:rsidRPr="00753416">
        <w:rPr>
          <w:i/>
          <w:iCs/>
        </w:rPr>
        <w:t>Sapium</w:t>
      </w:r>
      <w:proofErr w:type="spellEnd"/>
      <w:r w:rsidR="00234D40" w:rsidRPr="00753416">
        <w:rPr>
          <w:i/>
          <w:iCs/>
        </w:rPr>
        <w:t xml:space="preserve"> spp</w:t>
      </w:r>
      <w:r w:rsidR="00234D40" w:rsidRPr="00753416">
        <w:t>.</w:t>
      </w:r>
      <w:r w:rsidR="00E2590D" w:rsidRPr="00753416">
        <w:t>,</w:t>
      </w:r>
      <w:r w:rsidR="00671E05" w:rsidRPr="00753416">
        <w:t xml:space="preserve"> and </w:t>
      </w:r>
      <w:proofErr w:type="spellStart"/>
      <w:r w:rsidR="00671E05" w:rsidRPr="00753416">
        <w:rPr>
          <w:i/>
          <w:iCs/>
        </w:rPr>
        <w:t>Bridelia</w:t>
      </w:r>
      <w:proofErr w:type="spellEnd"/>
      <w:r w:rsidR="00671E05" w:rsidRPr="00753416">
        <w:rPr>
          <w:i/>
          <w:iCs/>
        </w:rPr>
        <w:t xml:space="preserve"> tomentosa</w:t>
      </w:r>
      <w:r w:rsidR="00127FFD" w:rsidRPr="00753416">
        <w:t>)</w:t>
      </w:r>
      <w:r w:rsidR="0075223D" w:rsidRPr="00753416">
        <w:t xml:space="preserve"> </w:t>
      </w:r>
      <w:r w:rsidRPr="00753416">
        <w:t xml:space="preserve">accompanied by </w:t>
      </w:r>
      <w:r w:rsidR="00127FFD" w:rsidRPr="00753416">
        <w:t>grass</w:t>
      </w:r>
      <w:r w:rsidRPr="00753416">
        <w:t>es</w:t>
      </w:r>
      <w:r w:rsidR="00127FFD" w:rsidRPr="00753416">
        <w:t xml:space="preserve"> (e.g.</w:t>
      </w:r>
      <w:r w:rsidR="002E4106">
        <w:t>,</w:t>
      </w:r>
      <w:r w:rsidR="00127FFD" w:rsidRPr="00753416">
        <w:t xml:space="preserve"> </w:t>
      </w:r>
      <w:proofErr w:type="spellStart"/>
      <w:r w:rsidR="00127FFD" w:rsidRPr="00753416">
        <w:rPr>
          <w:i/>
          <w:iCs/>
        </w:rPr>
        <w:t>Brachiaria</w:t>
      </w:r>
      <w:proofErr w:type="spellEnd"/>
      <w:r w:rsidR="00127FFD" w:rsidRPr="00753416">
        <w:rPr>
          <w:i/>
          <w:iCs/>
        </w:rPr>
        <w:t xml:space="preserve"> mutica, Cyperus sp</w:t>
      </w:r>
      <w:r w:rsidR="001E7E2B">
        <w:rPr>
          <w:i/>
          <w:iCs/>
        </w:rPr>
        <w:t>p.</w:t>
      </w:r>
      <w:r w:rsidR="00127FFD" w:rsidRPr="00753416">
        <w:rPr>
          <w:i/>
          <w:iCs/>
        </w:rPr>
        <w:t xml:space="preserve">., </w:t>
      </w:r>
      <w:proofErr w:type="spellStart"/>
      <w:r w:rsidR="00127FFD" w:rsidRPr="00753416">
        <w:rPr>
          <w:i/>
          <w:iCs/>
        </w:rPr>
        <w:t>Digitaria</w:t>
      </w:r>
      <w:proofErr w:type="spellEnd"/>
      <w:r w:rsidR="00127FFD" w:rsidRPr="00753416">
        <w:rPr>
          <w:i/>
          <w:iCs/>
        </w:rPr>
        <w:t xml:space="preserve"> </w:t>
      </w:r>
      <w:proofErr w:type="spellStart"/>
      <w:r w:rsidR="00127FFD" w:rsidRPr="00753416">
        <w:rPr>
          <w:i/>
          <w:iCs/>
        </w:rPr>
        <w:t>microbachne</w:t>
      </w:r>
      <w:proofErr w:type="spellEnd"/>
      <w:r w:rsidR="00127FFD" w:rsidRPr="00753416">
        <w:t xml:space="preserve">) </w:t>
      </w:r>
      <w:r w:rsidR="0075223D" w:rsidRPr="00753416">
        <w:t>(</w:t>
      </w:r>
      <w:r w:rsidR="006D0690" w:rsidRPr="00753416">
        <w:t>Wills et al.</w:t>
      </w:r>
      <w:r w:rsidR="0075223D" w:rsidRPr="00753416">
        <w:t>, 2006)</w:t>
      </w:r>
      <w:r w:rsidR="00833AD7" w:rsidRPr="00753416">
        <w:t xml:space="preserve"> (Figure 2</w:t>
      </w:r>
      <w:r w:rsidR="00A355E8" w:rsidRPr="00753416">
        <w:t>B</w:t>
      </w:r>
      <w:r w:rsidR="00833AD7" w:rsidRPr="00753416">
        <w:t>)</w:t>
      </w:r>
      <w:r w:rsidR="00234D40" w:rsidRPr="00753416">
        <w:rPr>
          <w:i/>
          <w:iCs/>
        </w:rPr>
        <w:t xml:space="preserve">. </w:t>
      </w:r>
      <w:r w:rsidR="00234D40" w:rsidRPr="00753416">
        <w:t xml:space="preserve">The final surface transect </w:t>
      </w:r>
      <w:r w:rsidR="007B2CDA" w:rsidRPr="00753416">
        <w:t>SK</w:t>
      </w:r>
      <w:r w:rsidR="00234D40" w:rsidRPr="00753416">
        <w:t xml:space="preserve"> </w:t>
      </w:r>
      <w:r w:rsidR="00E2590D" w:rsidRPr="00753416">
        <w:t>included</w:t>
      </w:r>
      <w:r w:rsidR="00234D40" w:rsidRPr="00753416">
        <w:t xml:space="preserve"> 26 </w:t>
      </w:r>
      <w:r w:rsidR="00E2590D" w:rsidRPr="00753416">
        <w:t xml:space="preserve">sampling </w:t>
      </w:r>
      <w:r w:rsidR="00234D40" w:rsidRPr="00753416">
        <w:t>stations from subtidal, mudflat</w:t>
      </w:r>
      <w:r w:rsidR="007A3CA6" w:rsidRPr="00753416">
        <w:t>,</w:t>
      </w:r>
      <w:r w:rsidR="00234D40" w:rsidRPr="00753416">
        <w:t xml:space="preserve"> and </w:t>
      </w:r>
      <w:r w:rsidR="007A3CA6" w:rsidRPr="00753416">
        <w:rPr>
          <w:i/>
          <w:iCs/>
        </w:rPr>
        <w:t xml:space="preserve">A. </w:t>
      </w:r>
      <w:proofErr w:type="spellStart"/>
      <w:r w:rsidR="00234D40" w:rsidRPr="00753416">
        <w:rPr>
          <w:i/>
          <w:iCs/>
        </w:rPr>
        <w:t>corniculatum</w:t>
      </w:r>
      <w:proofErr w:type="spellEnd"/>
      <w:r w:rsidR="00234D40" w:rsidRPr="00753416">
        <w:t xml:space="preserve"> and </w:t>
      </w:r>
      <w:r w:rsidR="007A3CA6" w:rsidRPr="00753416">
        <w:rPr>
          <w:i/>
          <w:iCs/>
        </w:rPr>
        <w:t xml:space="preserve">S. </w:t>
      </w:r>
      <w:r w:rsidR="00234D40" w:rsidRPr="00753416">
        <w:rPr>
          <w:i/>
          <w:iCs/>
        </w:rPr>
        <w:t>apetala</w:t>
      </w:r>
      <w:r w:rsidR="00234D40" w:rsidRPr="00753416">
        <w:t>-dominated mangrove environments</w:t>
      </w:r>
      <w:r w:rsidR="00833AD7" w:rsidRPr="00753416">
        <w:t xml:space="preserve"> (Figure 2</w:t>
      </w:r>
      <w:r w:rsidR="00A355E8" w:rsidRPr="00753416">
        <w:t>C</w:t>
      </w:r>
      <w:r w:rsidR="00833AD7" w:rsidRPr="00753416">
        <w:t>)</w:t>
      </w:r>
      <w:r w:rsidR="00234D40" w:rsidRPr="00753416">
        <w:t>.</w:t>
      </w:r>
    </w:p>
    <w:p w14:paraId="2590E795" w14:textId="77777777" w:rsidR="00234D40" w:rsidRPr="00753416" w:rsidRDefault="00234D40" w:rsidP="00F43B6B">
      <w:pPr>
        <w:tabs>
          <w:tab w:val="left" w:pos="7797"/>
        </w:tabs>
      </w:pPr>
    </w:p>
    <w:p w14:paraId="2B7CAFA6" w14:textId="02B6C75F" w:rsidR="000A6BF5" w:rsidRPr="00753416" w:rsidRDefault="000A6BF5" w:rsidP="004D3E23">
      <w:pPr>
        <w:tabs>
          <w:tab w:val="left" w:pos="7797"/>
        </w:tabs>
      </w:pPr>
      <w:r w:rsidRPr="00753416">
        <w:t xml:space="preserve">A </w:t>
      </w:r>
      <w:r w:rsidR="00D878D6">
        <w:t>0.6</w:t>
      </w:r>
      <w:r w:rsidR="00E15975">
        <w:t>-</w:t>
      </w:r>
      <w:r w:rsidR="00353DBF" w:rsidRPr="00753416">
        <w:t xml:space="preserve">metre </w:t>
      </w:r>
      <w:r w:rsidRPr="00753416">
        <w:t xml:space="preserve">core </w:t>
      </w:r>
      <w:r w:rsidR="00353DBF" w:rsidRPr="00753416">
        <w:t>(MPSC01)</w:t>
      </w:r>
      <w:r w:rsidR="006B54A6" w:rsidRPr="00753416">
        <w:t xml:space="preserve"> </w:t>
      </w:r>
      <w:r w:rsidRPr="00753416">
        <w:t>was collected at Mai Po</w:t>
      </w:r>
      <w:r w:rsidR="005D32F9" w:rsidRPr="00753416">
        <w:t xml:space="preserve"> </w:t>
      </w:r>
      <w:r w:rsidRPr="00753416">
        <w:t xml:space="preserve">to </w:t>
      </w:r>
      <w:r w:rsidR="006F704F" w:rsidRPr="00753416">
        <w:t>reconstruct paleoenvironmental and RSL change</w:t>
      </w:r>
      <w:r w:rsidR="007A3CA6" w:rsidRPr="00753416">
        <w:t xml:space="preserve"> (Fig</w:t>
      </w:r>
      <w:r w:rsidR="00833AD7" w:rsidRPr="00753416">
        <w:t>ure</w:t>
      </w:r>
      <w:r w:rsidR="007A3CA6" w:rsidRPr="00753416">
        <w:t xml:space="preserve"> </w:t>
      </w:r>
      <w:r w:rsidR="000C1001" w:rsidRPr="00753416">
        <w:t>1</w:t>
      </w:r>
      <w:r w:rsidR="00A355E8" w:rsidRPr="00753416">
        <w:t>C</w:t>
      </w:r>
      <w:r w:rsidR="007A3CA6" w:rsidRPr="00753416">
        <w:t>)</w:t>
      </w:r>
      <w:r w:rsidRPr="00753416">
        <w:t>. The selection of this site was guided by an analysis of aerial photography and stratigraphic investigations reported in Sun et al. (2021)</w:t>
      </w:r>
      <w:r w:rsidR="00D649D9" w:rsidRPr="00753416">
        <w:t xml:space="preserve"> (Figure 1</w:t>
      </w:r>
      <w:r w:rsidR="00FF24D0">
        <w:t>D; Supplementary figure 1</w:t>
      </w:r>
      <w:r w:rsidR="00D649D9" w:rsidRPr="00753416">
        <w:t>)</w:t>
      </w:r>
      <w:r w:rsidRPr="00753416">
        <w:t xml:space="preserve">, which suggested that this location </w:t>
      </w:r>
      <w:r w:rsidR="00C91119" w:rsidRPr="00753416">
        <w:t>had the</w:t>
      </w:r>
      <w:r w:rsidRPr="00753416">
        <w:t xml:space="preserve"> </w:t>
      </w:r>
      <w:r w:rsidR="00C91119" w:rsidRPr="00753416">
        <w:t xml:space="preserve">longest occupation of </w:t>
      </w:r>
      <w:r w:rsidRPr="00753416">
        <w:t>mangrove</w:t>
      </w:r>
      <w:r w:rsidR="00C91119" w:rsidRPr="00753416">
        <w:t>s</w:t>
      </w:r>
      <w:r w:rsidRPr="00753416">
        <w:t xml:space="preserve"> since </w:t>
      </w:r>
      <w:r w:rsidR="00E2590D" w:rsidRPr="00753416">
        <w:t xml:space="preserve">at least </w:t>
      </w:r>
      <w:r w:rsidRPr="00753416">
        <w:t xml:space="preserve">the </w:t>
      </w:r>
      <w:r w:rsidR="00E2590D" w:rsidRPr="00753416">
        <w:t>mid</w:t>
      </w:r>
      <w:r w:rsidRPr="00753416">
        <w:t xml:space="preserve"> 20th century.</w:t>
      </w:r>
    </w:p>
    <w:p w14:paraId="3CF00842" w14:textId="6417992F" w:rsidR="004D3E23" w:rsidRPr="00753416" w:rsidRDefault="004D3E23" w:rsidP="004D3E23">
      <w:pPr>
        <w:tabs>
          <w:tab w:val="left" w:pos="7797"/>
        </w:tabs>
      </w:pPr>
    </w:p>
    <w:p w14:paraId="5F799BD9" w14:textId="19362CD1" w:rsidR="004D3E23" w:rsidRPr="00753416" w:rsidRDefault="00E14946" w:rsidP="004D3E23">
      <w:pPr>
        <w:pStyle w:val="Heading1"/>
        <w:tabs>
          <w:tab w:val="left" w:pos="7797"/>
        </w:tabs>
      </w:pPr>
      <w:r w:rsidRPr="00753416">
        <w:t>3</w:t>
      </w:r>
      <w:r w:rsidR="004D3E23" w:rsidRPr="00753416">
        <w:t>. Methods</w:t>
      </w:r>
    </w:p>
    <w:p w14:paraId="1DCB8B6E" w14:textId="3D13151F" w:rsidR="001238B1" w:rsidRPr="00753416" w:rsidRDefault="00E14946" w:rsidP="000B0D3E">
      <w:pPr>
        <w:pStyle w:val="Heading2"/>
        <w:tabs>
          <w:tab w:val="left" w:pos="7797"/>
        </w:tabs>
      </w:pPr>
      <w:r w:rsidRPr="00753416">
        <w:t>3</w:t>
      </w:r>
      <w:r w:rsidR="004D3E23" w:rsidRPr="00753416">
        <w:t>.1 Sample collection</w:t>
      </w:r>
    </w:p>
    <w:p w14:paraId="4F35FC4A" w14:textId="6D5861D5" w:rsidR="00F7532E" w:rsidRPr="00753416" w:rsidRDefault="00AA3833" w:rsidP="00E14946">
      <w:pPr>
        <w:tabs>
          <w:tab w:val="left" w:pos="7797"/>
        </w:tabs>
      </w:pPr>
      <w:r w:rsidRPr="00753416">
        <w:lastRenderedPageBreak/>
        <w:t xml:space="preserve">We conducted sampling on the mudflat at </w:t>
      </w:r>
      <w:r w:rsidR="00E2590D" w:rsidRPr="00753416">
        <w:t>~</w:t>
      </w:r>
      <w:r w:rsidRPr="00753416">
        <w:t xml:space="preserve">10 cm </w:t>
      </w:r>
      <w:r w:rsidR="00E2590D" w:rsidRPr="00753416">
        <w:t>elevation intervals</w:t>
      </w:r>
      <w:r w:rsidRPr="00753416">
        <w:t xml:space="preserve">. </w:t>
      </w:r>
      <w:r w:rsidR="00234D40" w:rsidRPr="00753416">
        <w:t xml:space="preserve">Due </w:t>
      </w:r>
      <w:r w:rsidR="00DB4FC7" w:rsidRPr="00753416">
        <w:t xml:space="preserve">to the </w:t>
      </w:r>
      <w:r w:rsidR="00234D40" w:rsidRPr="00753416">
        <w:t xml:space="preserve">relatively flat </w:t>
      </w:r>
      <w:r w:rsidR="00DB4FC7" w:rsidRPr="00753416">
        <w:t>topography i</w:t>
      </w:r>
      <w:r w:rsidRPr="00753416">
        <w:t xml:space="preserve">n the mangrove </w:t>
      </w:r>
      <w:r w:rsidR="00234D40" w:rsidRPr="00753416">
        <w:t>environment</w:t>
      </w:r>
      <w:r w:rsidRPr="00753416">
        <w:t xml:space="preserve">, sampling was carried out every </w:t>
      </w:r>
      <w:r w:rsidR="00E2590D" w:rsidRPr="00753416">
        <w:t>~</w:t>
      </w:r>
      <w:r w:rsidRPr="00753416">
        <w:t>50 m horizontally.</w:t>
      </w:r>
      <w:r w:rsidR="002E2789" w:rsidRPr="00753416">
        <w:t xml:space="preserve"> </w:t>
      </w:r>
      <w:r w:rsidR="00234D40" w:rsidRPr="00753416">
        <w:t>Our approach was designed to evenly sample sediments across an elevation gradient spanning from below lowest astronomical tide (LAT) to above highest astronomical tide (HAT)</w:t>
      </w:r>
      <w:r w:rsidR="00E15975">
        <w:t xml:space="preserve"> (Kemp and Telford, 2015)</w:t>
      </w:r>
      <w:r w:rsidR="00234D40" w:rsidRPr="00753416">
        <w:t xml:space="preserve">. This strategy was employed to capture the range of environments we anticipated finding in core samples. </w:t>
      </w:r>
      <w:r w:rsidR="00A85CFD" w:rsidRPr="00753416">
        <w:t xml:space="preserve">At each sampling location, we collected </w:t>
      </w:r>
      <w:r w:rsidR="009F5436" w:rsidRPr="00753416">
        <w:t>three</w:t>
      </w:r>
      <w:r w:rsidR="002E2789" w:rsidRPr="00753416">
        <w:t xml:space="preserve"> </w:t>
      </w:r>
      <w:r w:rsidR="00234D40" w:rsidRPr="00753416">
        <w:t xml:space="preserve">replicate </w:t>
      </w:r>
      <w:r w:rsidR="002E2789" w:rsidRPr="00753416">
        <w:t>samples</w:t>
      </w:r>
      <w:r w:rsidR="00F7532E" w:rsidRPr="00753416">
        <w:t xml:space="preserve"> of the top 1 cm of the sediment surface</w:t>
      </w:r>
      <w:r w:rsidR="00234D40" w:rsidRPr="00753416">
        <w:t>:</w:t>
      </w:r>
      <w:r w:rsidR="001238B1" w:rsidRPr="00753416">
        <w:t xml:space="preserve"> 20 </w:t>
      </w:r>
      <w:r w:rsidR="00E2590D" w:rsidRPr="00753416">
        <w:t>cm</w:t>
      </w:r>
      <w:r w:rsidR="00E2590D" w:rsidRPr="00753416">
        <w:rPr>
          <w:vertAlign w:val="superscript"/>
        </w:rPr>
        <w:t>3</w:t>
      </w:r>
      <w:r w:rsidR="00E2590D" w:rsidRPr="00753416">
        <w:t xml:space="preserve"> </w:t>
      </w:r>
      <w:r w:rsidRPr="00753416">
        <w:t xml:space="preserve">of </w:t>
      </w:r>
      <w:r w:rsidR="001238B1" w:rsidRPr="00753416">
        <w:t>sample</w:t>
      </w:r>
      <w:r w:rsidRPr="00753416">
        <w:t xml:space="preserve"> for foraminifera analysis</w:t>
      </w:r>
      <w:r w:rsidR="009F5436" w:rsidRPr="00753416">
        <w:t>,</w:t>
      </w:r>
      <w:r w:rsidR="001238B1" w:rsidRPr="00753416">
        <w:t xml:space="preserve"> 5 </w:t>
      </w:r>
      <w:r w:rsidR="00E2590D" w:rsidRPr="00753416">
        <w:t>cm</w:t>
      </w:r>
      <w:r w:rsidR="00E2590D" w:rsidRPr="00753416">
        <w:rPr>
          <w:vertAlign w:val="superscript"/>
        </w:rPr>
        <w:t>3</w:t>
      </w:r>
      <w:r w:rsidR="00E2590D" w:rsidRPr="00753416">
        <w:t xml:space="preserve"> </w:t>
      </w:r>
      <w:r w:rsidR="001238B1" w:rsidRPr="00753416">
        <w:t>of</w:t>
      </w:r>
      <w:r w:rsidRPr="00753416">
        <w:t xml:space="preserve"> sample for </w:t>
      </w:r>
      <w:r w:rsidR="001238B1" w:rsidRPr="00753416">
        <w:t xml:space="preserve">diatom </w:t>
      </w:r>
      <w:r w:rsidRPr="00753416">
        <w:t>analysis</w:t>
      </w:r>
      <w:r w:rsidR="009F5436" w:rsidRPr="00753416">
        <w:t>, and</w:t>
      </w:r>
      <w:r w:rsidR="001F1CDA" w:rsidRPr="00753416">
        <w:t xml:space="preserve"> 20 </w:t>
      </w:r>
      <w:r w:rsidR="00E2590D" w:rsidRPr="00753416">
        <w:t>cm</w:t>
      </w:r>
      <w:r w:rsidR="00E2590D" w:rsidRPr="00753416">
        <w:rPr>
          <w:vertAlign w:val="superscript"/>
        </w:rPr>
        <w:t>3</w:t>
      </w:r>
      <w:r w:rsidR="00E2590D" w:rsidRPr="00753416">
        <w:t xml:space="preserve"> </w:t>
      </w:r>
      <w:r w:rsidR="009F5436" w:rsidRPr="00753416">
        <w:t>of sample for analysis</w:t>
      </w:r>
      <w:r w:rsidR="00234D40" w:rsidRPr="00753416">
        <w:t xml:space="preserve"> of stable isotope geochemistry and other environmental variables</w:t>
      </w:r>
      <w:r w:rsidR="00F7532E" w:rsidRPr="00753416">
        <w:t xml:space="preserve"> (Zong, 1997; Culver and Horton, 2005)</w:t>
      </w:r>
      <w:r w:rsidR="009F5436" w:rsidRPr="00753416">
        <w:t xml:space="preserve">. </w:t>
      </w:r>
      <w:r w:rsidR="00E14946" w:rsidRPr="00753416">
        <w:t xml:space="preserve"> </w:t>
      </w:r>
    </w:p>
    <w:p w14:paraId="079F38A1" w14:textId="77777777" w:rsidR="00E14946" w:rsidRPr="00753416" w:rsidRDefault="00E14946" w:rsidP="00E14946">
      <w:pPr>
        <w:tabs>
          <w:tab w:val="left" w:pos="7797"/>
        </w:tabs>
      </w:pPr>
    </w:p>
    <w:p w14:paraId="1953F148" w14:textId="7DA45AA7" w:rsidR="00F7532E" w:rsidRPr="00753416" w:rsidRDefault="00E2590D" w:rsidP="00234D40">
      <w:pPr>
        <w:tabs>
          <w:tab w:val="left" w:pos="7797"/>
        </w:tabs>
      </w:pPr>
      <w:r w:rsidRPr="00753416">
        <w:t xml:space="preserve">Core MPSC01 was collected in overlapping 0.5-m intervals using an </w:t>
      </w:r>
      <w:proofErr w:type="spellStart"/>
      <w:r w:rsidRPr="00753416">
        <w:t>Eijkelkamp</w:t>
      </w:r>
      <w:proofErr w:type="spellEnd"/>
      <w:r w:rsidRPr="00753416">
        <w:t xml:space="preserve"> peat sampler to prevent compaction and contamination during sampling. Core sections</w:t>
      </w:r>
      <w:r w:rsidR="00A479B1" w:rsidRPr="00753416">
        <w:t xml:space="preserve"> </w:t>
      </w:r>
      <w:r w:rsidR="007A3CA6" w:rsidRPr="00753416">
        <w:t xml:space="preserve">were placed in split PVC pipe, wrapped in plastic, and refrigerated prior to analysis to minimize moisture loss and microbial activity. </w:t>
      </w:r>
      <w:r w:rsidRPr="00753416">
        <w:t>On</w:t>
      </w:r>
      <w:r w:rsidR="00064312" w:rsidRPr="00753416">
        <w:t>e</w:t>
      </w:r>
      <w:r w:rsidR="007A3CA6" w:rsidRPr="00753416">
        <w:t xml:space="preserve"> core replicate </w:t>
      </w:r>
      <w:r w:rsidRPr="00753416">
        <w:t>was sampled for</w:t>
      </w:r>
      <w:r w:rsidR="007A3CA6" w:rsidRPr="00753416">
        <w:t xml:space="preserve"> foraminiferal analysis </w:t>
      </w:r>
      <w:r w:rsidR="00E61CB0" w:rsidRPr="00753416">
        <w:t>within three hours after</w:t>
      </w:r>
      <w:r w:rsidR="00064312" w:rsidRPr="00753416">
        <w:t xml:space="preserve"> fieldwork</w:t>
      </w:r>
      <w:r w:rsidR="00064312" w:rsidRPr="00753416" w:rsidDel="00064312">
        <w:t xml:space="preserve"> </w:t>
      </w:r>
      <w:r w:rsidR="007A3CA6" w:rsidRPr="00753416">
        <w:t xml:space="preserve">by placing </w:t>
      </w:r>
      <w:r w:rsidR="00064312" w:rsidRPr="00753416">
        <w:t xml:space="preserve">20 </w:t>
      </w:r>
      <w:r w:rsidRPr="00753416">
        <w:t>cm</w:t>
      </w:r>
      <w:r w:rsidRPr="00753416">
        <w:rPr>
          <w:vertAlign w:val="superscript"/>
        </w:rPr>
        <w:t>3</w:t>
      </w:r>
      <w:r w:rsidR="00064312" w:rsidRPr="00753416">
        <w:t xml:space="preserve"> </w:t>
      </w:r>
      <w:r w:rsidRPr="00753416">
        <w:t>of sample from a 1-cm thick interval</w:t>
      </w:r>
      <w:r w:rsidR="007A3CA6" w:rsidRPr="00753416">
        <w:t xml:space="preserve"> into vials of </w:t>
      </w:r>
      <w:r w:rsidR="00064312" w:rsidRPr="00753416">
        <w:t>buffer</w:t>
      </w:r>
      <w:r w:rsidRPr="00753416">
        <w:t>ed ethanol</w:t>
      </w:r>
      <w:r w:rsidR="00064312" w:rsidRPr="00753416">
        <w:t xml:space="preserve"> solution</w:t>
      </w:r>
      <w:r w:rsidR="00AC135E" w:rsidRPr="00753416">
        <w:t xml:space="preserve"> </w:t>
      </w:r>
      <w:r w:rsidR="00503B39" w:rsidRPr="00753416">
        <w:t xml:space="preserve">and stained with </w:t>
      </w:r>
      <w:r w:rsidR="00E15975">
        <w:t>r</w:t>
      </w:r>
      <w:r w:rsidR="00503B39" w:rsidRPr="00753416">
        <w:t xml:space="preserve">ose Bengal </w:t>
      </w:r>
      <w:r w:rsidR="00AC135E" w:rsidRPr="00753416">
        <w:t>(e.g.</w:t>
      </w:r>
      <w:r w:rsidR="00936ADA">
        <w:t>,</w:t>
      </w:r>
      <w:r w:rsidR="008B11F8" w:rsidRPr="00753416">
        <w:t xml:space="preserve"> </w:t>
      </w:r>
      <w:r w:rsidR="00E61CB0" w:rsidRPr="00753416">
        <w:t xml:space="preserve">Scott and </w:t>
      </w:r>
      <w:proofErr w:type="spellStart"/>
      <w:r w:rsidR="00E61CB0" w:rsidRPr="00753416">
        <w:t>Medioli</w:t>
      </w:r>
      <w:proofErr w:type="spellEnd"/>
      <w:r w:rsidR="00E61CB0" w:rsidRPr="00753416">
        <w:t>, 1980</w:t>
      </w:r>
      <w:r w:rsidR="00117454">
        <w:t>b</w:t>
      </w:r>
      <w:r w:rsidR="00AC135E" w:rsidRPr="00753416">
        <w:t>)</w:t>
      </w:r>
      <w:r w:rsidR="007A3CA6" w:rsidRPr="00753416">
        <w:t>.</w:t>
      </w:r>
    </w:p>
    <w:p w14:paraId="3CFF2DC3" w14:textId="77777777" w:rsidR="00F7532E" w:rsidRPr="00753416" w:rsidRDefault="00F7532E" w:rsidP="00234D40">
      <w:pPr>
        <w:tabs>
          <w:tab w:val="left" w:pos="7797"/>
        </w:tabs>
      </w:pPr>
    </w:p>
    <w:p w14:paraId="40360178" w14:textId="2D1C88E7" w:rsidR="00A85CFD" w:rsidRPr="00753416" w:rsidRDefault="00F7532E" w:rsidP="00004B83">
      <w:pPr>
        <w:tabs>
          <w:tab w:val="left" w:pos="7797"/>
        </w:tabs>
      </w:pPr>
      <w:r w:rsidRPr="00753416">
        <w:t>E</w:t>
      </w:r>
      <w:r w:rsidR="00A85CFD" w:rsidRPr="00753416">
        <w:t xml:space="preserve">levation </w:t>
      </w:r>
      <w:r w:rsidRPr="00753416">
        <w:t xml:space="preserve">of </w:t>
      </w:r>
      <w:r w:rsidR="00A479B1" w:rsidRPr="00753416">
        <w:t>sampling sites</w:t>
      </w:r>
      <w:r w:rsidR="00F96743" w:rsidRPr="00753416">
        <w:t xml:space="preserve"> </w:t>
      </w:r>
      <w:r w:rsidR="007A3CA6" w:rsidRPr="00753416">
        <w:t xml:space="preserve">and core top locations </w:t>
      </w:r>
      <w:r w:rsidR="00F96743" w:rsidRPr="00753416">
        <w:t>w</w:t>
      </w:r>
      <w:r w:rsidR="007A3CA6" w:rsidRPr="00753416">
        <w:t>as</w:t>
      </w:r>
      <w:r w:rsidR="00F96743" w:rsidRPr="00753416">
        <w:t xml:space="preserve"> measured </w:t>
      </w:r>
      <w:r w:rsidR="009E4104" w:rsidRPr="00753416">
        <w:t xml:space="preserve">by </w:t>
      </w:r>
      <w:r w:rsidR="007A3CA6" w:rsidRPr="00753416">
        <w:t>an auto</w:t>
      </w:r>
      <w:r w:rsidR="00476402" w:rsidRPr="00753416">
        <w:t xml:space="preserve"> </w:t>
      </w:r>
      <w:r w:rsidR="007A3CA6" w:rsidRPr="00753416">
        <w:t xml:space="preserve">level </w:t>
      </w:r>
      <w:r w:rsidR="00A479B1" w:rsidRPr="00753416">
        <w:t>and</w:t>
      </w:r>
      <w:r w:rsidR="009E4104" w:rsidRPr="00753416">
        <w:t xml:space="preserve"> reference</w:t>
      </w:r>
      <w:r w:rsidR="00A479B1" w:rsidRPr="00753416">
        <w:t>d</w:t>
      </w:r>
      <w:r w:rsidR="009E4104" w:rsidRPr="00753416">
        <w:t xml:space="preserve"> to a temporary benchmark. The elevation of the benchmark was survey</w:t>
      </w:r>
      <w:r w:rsidR="00F02C83" w:rsidRPr="00753416">
        <w:t>ed</w:t>
      </w:r>
      <w:r w:rsidR="009E4104" w:rsidRPr="00753416">
        <w:t xml:space="preserve"> </w:t>
      </w:r>
      <w:r w:rsidR="007A3CA6" w:rsidRPr="00753416">
        <w:t>using</w:t>
      </w:r>
      <w:r w:rsidR="00E2590D" w:rsidRPr="00753416">
        <w:t xml:space="preserve"> a</w:t>
      </w:r>
      <w:r w:rsidR="009E4104" w:rsidRPr="00753416">
        <w:t xml:space="preserve"> </w:t>
      </w:r>
      <w:r w:rsidR="00F02C83" w:rsidRPr="00753416">
        <w:t xml:space="preserve">Leica GS18 GNSS system and </w:t>
      </w:r>
      <w:r w:rsidR="009E4104" w:rsidRPr="00753416">
        <w:t>referenced</w:t>
      </w:r>
      <w:r w:rsidR="00F96743" w:rsidRPr="00753416">
        <w:t xml:space="preserve"> to th</w:t>
      </w:r>
      <w:r w:rsidR="00A85CFD" w:rsidRPr="00753416">
        <w:t>e Hong Kong Principal Datum</w:t>
      </w:r>
      <w:r w:rsidR="003F7EA9" w:rsidRPr="00753416">
        <w:t xml:space="preserve"> (PD)</w:t>
      </w:r>
      <w:r w:rsidR="00A85CFD" w:rsidRPr="00753416">
        <w:t>.</w:t>
      </w:r>
      <w:r w:rsidR="00356542" w:rsidRPr="00753416">
        <w:t xml:space="preserve"> </w:t>
      </w:r>
      <w:r w:rsidR="002376A4" w:rsidRPr="00753416">
        <w:t xml:space="preserve">A </w:t>
      </w:r>
      <w:proofErr w:type="spellStart"/>
      <w:r w:rsidR="002376A4" w:rsidRPr="00753416">
        <w:t>Solinst</w:t>
      </w:r>
      <w:proofErr w:type="spellEnd"/>
      <w:r w:rsidR="002376A4" w:rsidRPr="00753416">
        <w:t xml:space="preserve"> </w:t>
      </w:r>
      <w:proofErr w:type="spellStart"/>
      <w:r w:rsidR="002376A4" w:rsidRPr="00753416">
        <w:t>Levelogger</w:t>
      </w:r>
      <w:proofErr w:type="spellEnd"/>
      <w:r w:rsidR="002376A4" w:rsidRPr="00753416">
        <w:t xml:space="preserve">® 5 </w:t>
      </w:r>
      <w:r w:rsidR="00356542" w:rsidRPr="00753416">
        <w:t>w</w:t>
      </w:r>
      <w:r w:rsidR="002376A4" w:rsidRPr="00753416">
        <w:t>as</w:t>
      </w:r>
      <w:r w:rsidR="00356542" w:rsidRPr="00753416">
        <w:t xml:space="preserve"> deployed to </w:t>
      </w:r>
      <w:r w:rsidR="00E2590D" w:rsidRPr="00753416">
        <w:t>measure tidal levels</w:t>
      </w:r>
      <w:r w:rsidR="00356542" w:rsidRPr="00753416">
        <w:t xml:space="preserve"> </w:t>
      </w:r>
      <w:r w:rsidR="006C0AB6" w:rsidRPr="00753416">
        <w:t>in</w:t>
      </w:r>
      <w:r w:rsidR="00356542" w:rsidRPr="00753416">
        <w:t xml:space="preserve"> the Mai Po mangrove</w:t>
      </w:r>
      <w:r w:rsidR="005464F5" w:rsidRPr="00753416">
        <w:t xml:space="preserve"> (Figure 1</w:t>
      </w:r>
      <w:r w:rsidR="004A0FB6" w:rsidRPr="00753416">
        <w:t>C</w:t>
      </w:r>
      <w:r w:rsidR="005464F5" w:rsidRPr="00753416">
        <w:t>)</w:t>
      </w:r>
      <w:r w:rsidR="00356542" w:rsidRPr="00753416">
        <w:t>. The</w:t>
      </w:r>
      <w:r w:rsidR="00E2590D" w:rsidRPr="00753416">
        <w:t>se</w:t>
      </w:r>
      <w:r w:rsidR="00356542" w:rsidRPr="00753416">
        <w:t xml:space="preserve"> data were </w:t>
      </w:r>
      <w:r w:rsidR="009B066A">
        <w:t xml:space="preserve">corrected </w:t>
      </w:r>
      <w:r w:rsidR="009B066A" w:rsidRPr="001B2703">
        <w:rPr>
          <w:rFonts w:cs="Segoe UI"/>
          <w:color w:val="000000" w:themeColor="text1"/>
          <w:szCs w:val="22"/>
        </w:rPr>
        <w:t>for atmospheric pressure using the nearest (&lt;3 km) observation station operated by the Hong Kong Observatory</w:t>
      </w:r>
      <w:r w:rsidR="009B066A" w:rsidRPr="001B2703">
        <w:rPr>
          <w:color w:val="000000" w:themeColor="text1"/>
        </w:rPr>
        <w:t xml:space="preserve"> </w:t>
      </w:r>
      <w:r w:rsidR="009B066A">
        <w:t xml:space="preserve">and </w:t>
      </w:r>
      <w:r w:rsidR="00356542" w:rsidRPr="00753416">
        <w:t>compared to observations recorded at the Tsim Bei Tsui tide gauge</w:t>
      </w:r>
      <w:r w:rsidR="00E2590D" w:rsidRPr="00753416">
        <w:t xml:space="preserve"> to assess if tides were dampened further inland. Because tidal amplitude </w:t>
      </w:r>
      <w:r w:rsidR="00200679" w:rsidRPr="00753416">
        <w:t>at transect M</w:t>
      </w:r>
      <w:r w:rsidR="00606579">
        <w:t>P</w:t>
      </w:r>
      <w:r w:rsidR="00200679" w:rsidRPr="00753416">
        <w:t xml:space="preserve">_B </w:t>
      </w:r>
      <w:r w:rsidR="00E2590D" w:rsidRPr="00753416">
        <w:t>was</w:t>
      </w:r>
      <w:r w:rsidR="009C420B" w:rsidRPr="00753416">
        <w:t xml:space="preserve"> 18% less than </w:t>
      </w:r>
      <w:r w:rsidR="00E2590D" w:rsidRPr="00753416">
        <w:t>at Tsim Bei Tsui</w:t>
      </w:r>
      <w:r w:rsidR="009C420B" w:rsidRPr="00753416">
        <w:t>,</w:t>
      </w:r>
      <w:r w:rsidR="00356542" w:rsidRPr="00753416">
        <w:t xml:space="preserve"> </w:t>
      </w:r>
      <w:r w:rsidR="007A3CA6" w:rsidRPr="00753416">
        <w:t>the elevation of modern surface samples was expressed relative to</w:t>
      </w:r>
      <w:r w:rsidR="00BC4F83" w:rsidRPr="00753416">
        <w:t xml:space="preserve"> standardized water level index (SWLI) </w:t>
      </w:r>
      <w:r w:rsidR="007A3CA6" w:rsidRPr="00753416">
        <w:t>units (Horton et al., 1999),</w:t>
      </w:r>
      <w:r w:rsidR="00BC4F83" w:rsidRPr="00753416">
        <w:t xml:space="preserve"> </w:t>
      </w:r>
      <w:r w:rsidR="007A3CA6" w:rsidRPr="00753416">
        <w:t xml:space="preserve">where a value of </w:t>
      </w:r>
      <w:r w:rsidR="004272E7" w:rsidRPr="00753416">
        <w:t>100</w:t>
      </w:r>
      <w:r w:rsidR="007A3CA6" w:rsidRPr="00753416">
        <w:t xml:space="preserve"> corresponds to MTL and a value of </w:t>
      </w:r>
      <w:r w:rsidR="004272E7" w:rsidRPr="00753416">
        <w:t>2</w:t>
      </w:r>
      <w:r w:rsidR="007A3CA6" w:rsidRPr="00753416">
        <w:t>00 corresponds to MHHW</w:t>
      </w:r>
      <w:r w:rsidR="00BC4F83" w:rsidRPr="00753416">
        <w:t xml:space="preserve">. </w:t>
      </w:r>
    </w:p>
    <w:p w14:paraId="7DB615B6" w14:textId="77777777" w:rsidR="004D3E23" w:rsidRPr="00753416" w:rsidRDefault="004D3E23" w:rsidP="004D3E23">
      <w:pPr>
        <w:tabs>
          <w:tab w:val="left" w:pos="7797"/>
        </w:tabs>
      </w:pPr>
    </w:p>
    <w:p w14:paraId="59EE7D7A" w14:textId="3334918B" w:rsidR="00314402" w:rsidRPr="00753416" w:rsidRDefault="00E14946" w:rsidP="000B0D3E">
      <w:pPr>
        <w:pStyle w:val="Heading2"/>
        <w:tabs>
          <w:tab w:val="left" w:pos="7797"/>
        </w:tabs>
      </w:pPr>
      <w:r w:rsidRPr="00753416">
        <w:t>3</w:t>
      </w:r>
      <w:r w:rsidR="004D3E23" w:rsidRPr="00753416">
        <w:t>.2 Foraminiferal and diatom analysis</w:t>
      </w:r>
    </w:p>
    <w:p w14:paraId="6840E128" w14:textId="43611E58" w:rsidR="00AC3A7B" w:rsidRPr="00753416" w:rsidRDefault="00314402" w:rsidP="00AC3A7B">
      <w:pPr>
        <w:rPr>
          <w:rStyle w:val="Hyperlink"/>
          <w:color w:val="auto"/>
          <w:u w:val="none"/>
        </w:rPr>
      </w:pPr>
      <w:r w:rsidRPr="00753416">
        <w:t>Foraminiferal samples were preserved</w:t>
      </w:r>
      <w:r w:rsidR="004E7960" w:rsidRPr="00753416">
        <w:t xml:space="preserve"> </w:t>
      </w:r>
      <w:r w:rsidRPr="00753416">
        <w:t>using a buffer</w:t>
      </w:r>
      <w:r w:rsidR="003F7EA9" w:rsidRPr="00753416">
        <w:t>ed ethanol</w:t>
      </w:r>
      <w:r w:rsidRPr="00753416">
        <w:t xml:space="preserve"> solution</w:t>
      </w:r>
      <w:r w:rsidR="003F7EA9" w:rsidRPr="00753416">
        <w:t xml:space="preserve"> and </w:t>
      </w:r>
      <w:r w:rsidR="00E15975">
        <w:t>treat</w:t>
      </w:r>
      <w:r w:rsidR="00E15975" w:rsidRPr="00753416">
        <w:t xml:space="preserve">ed </w:t>
      </w:r>
      <w:r w:rsidR="003F7EA9" w:rsidRPr="00753416">
        <w:t xml:space="preserve">with </w:t>
      </w:r>
      <w:r w:rsidR="00E15975">
        <w:t>r</w:t>
      </w:r>
      <w:r w:rsidR="003F7EA9" w:rsidRPr="00753416">
        <w:t>ose Bengal,</w:t>
      </w:r>
      <w:r w:rsidR="003812CA" w:rsidRPr="00753416">
        <w:t xml:space="preserve"> which stains proteins to distinguish living foraminifera from dead assemblages</w:t>
      </w:r>
      <w:r w:rsidRPr="00753416">
        <w:t xml:space="preserve"> (</w:t>
      </w:r>
      <w:r w:rsidR="002376A4" w:rsidRPr="00753416">
        <w:t>Walto</w:t>
      </w:r>
      <w:r w:rsidR="00437888" w:rsidRPr="00753416">
        <w:t>n,</w:t>
      </w:r>
      <w:r w:rsidR="002376A4" w:rsidRPr="00753416">
        <w:t xml:space="preserve"> 1952</w:t>
      </w:r>
      <w:r w:rsidR="00E15975">
        <w:t>; Murray and Bowser, 2000</w:t>
      </w:r>
      <w:r w:rsidRPr="00753416">
        <w:t xml:space="preserve">). </w:t>
      </w:r>
      <w:r w:rsidR="00502DA9" w:rsidRPr="00753416">
        <w:t xml:space="preserve">Dead assemblages were used </w:t>
      </w:r>
      <w:r w:rsidR="006C0AB6" w:rsidRPr="00753416">
        <w:t xml:space="preserve">in all analyses </w:t>
      </w:r>
      <w:r w:rsidR="00502DA9" w:rsidRPr="00753416">
        <w:t xml:space="preserve">because </w:t>
      </w:r>
      <w:r w:rsidR="00502DA9" w:rsidRPr="00753416">
        <w:lastRenderedPageBreak/>
        <w:t xml:space="preserve">of their reduced sensitivity to seasonal variations (Horton and Edwards, 2003; Culver and Horton, 2005). </w:t>
      </w:r>
      <w:r w:rsidRPr="00753416">
        <w:t>S</w:t>
      </w:r>
      <w:r w:rsidR="004D3E23" w:rsidRPr="00753416">
        <w:t>ample preparation</w:t>
      </w:r>
      <w:r w:rsidRPr="00753416">
        <w:t xml:space="preserve"> followed </w:t>
      </w:r>
      <w:r w:rsidR="004D3E23" w:rsidRPr="00753416">
        <w:fldChar w:fldCharType="begin"/>
      </w:r>
      <w:r w:rsidR="004D3E23" w:rsidRPr="00753416">
        <w:instrText xml:space="preserve"> ADDIN EN.CITE &lt;EndNote&gt;&lt;Cite AuthorYear="1"&gt;&lt;Author&gt;Horton&lt;/Author&gt;&lt;Year&gt;2006&lt;/Year&gt;&lt;RecNum&gt;510&lt;/RecNum&gt;&lt;DisplayText&gt;Horton and Edwards (2006)&lt;/DisplayText&gt;&lt;record&gt;&lt;rec-number&gt;510&lt;/rec-number&gt;&lt;foreign-keys&gt;&lt;key app="EN" db-id="955erfxp5wp9zve92x4xtw2k0aw0zas2zrvt" timestamp="1635141265" guid="584cd37e-f75c-40df-a981-b768ecc66fca"&gt;510&lt;/key&gt;&lt;/foreign-keys&gt;&lt;ref-type name="Journal Article"&gt;17&lt;/ref-type&gt;&lt;contributors&gt;&lt;authors&gt;&lt;author&gt;Horton, Benjamin P&lt;/author&gt;&lt;author&gt;Edwards, Robin J&lt;/author&gt;&lt;/authors&gt;&lt;/contributors&gt;&lt;titles&gt;&lt;title&gt;Quantifying Holocene sea level change using intertidal foraminifera: lessons from the British Isles&lt;/title&gt;&lt;secondary-title&gt;Departmental Papers (EES)&lt;/secondary-title&gt;&lt;/titles&gt;&lt;periodical&gt;&lt;full-title&gt;Departmental Papers (EES)&lt;/full-title&gt;&lt;/periodical&gt;&lt;pages&gt;50&lt;/pages&gt;&lt;dates&gt;&lt;year&gt;2006&lt;/year&gt;&lt;/dates&gt;&lt;urls&gt;&lt;/urls&gt;&lt;/record&gt;&lt;/Cite&gt;&lt;/EndNote&gt;</w:instrText>
      </w:r>
      <w:r w:rsidR="004D3E23" w:rsidRPr="00753416">
        <w:fldChar w:fldCharType="separate"/>
      </w:r>
      <w:r w:rsidR="004D3E23" w:rsidRPr="00753416">
        <w:t>Horton and Edwards (2006)</w:t>
      </w:r>
      <w:r w:rsidR="004D3E23" w:rsidRPr="00753416">
        <w:fldChar w:fldCharType="end"/>
      </w:r>
      <w:r w:rsidR="00F26104" w:rsidRPr="00753416">
        <w:t xml:space="preserve">. </w:t>
      </w:r>
      <w:r w:rsidR="00DB4FC7" w:rsidRPr="00753416">
        <w:t>S</w:t>
      </w:r>
      <w:r w:rsidR="00F26104" w:rsidRPr="00753416">
        <w:t xml:space="preserve">amples were sieved to isolate the 63 to 500 </w:t>
      </w:r>
      <w:proofErr w:type="spellStart"/>
      <w:r w:rsidR="00F26104" w:rsidRPr="00753416">
        <w:t>μm</w:t>
      </w:r>
      <w:proofErr w:type="spellEnd"/>
      <w:r w:rsidRPr="00753416">
        <w:t xml:space="preserve"> fraction</w:t>
      </w:r>
      <w:r w:rsidR="00F26104" w:rsidRPr="00753416">
        <w:t xml:space="preserve">. </w:t>
      </w:r>
      <w:r w:rsidR="00DE0836" w:rsidRPr="00753416">
        <w:t>Foraminifera</w:t>
      </w:r>
      <w:r w:rsidRPr="00753416">
        <w:t>l</w:t>
      </w:r>
      <w:r w:rsidR="00DE0836" w:rsidRPr="00753416">
        <w:t xml:space="preserve"> tests </w:t>
      </w:r>
      <w:r w:rsidR="00CE34B6" w:rsidRPr="00753416">
        <w:t xml:space="preserve">in this fraction </w:t>
      </w:r>
      <w:r w:rsidRPr="00753416">
        <w:t>were wet-</w:t>
      </w:r>
      <w:r w:rsidR="00DE0836" w:rsidRPr="00753416">
        <w:t xml:space="preserve">picked under a binocular microscope until at least 100 individuals </w:t>
      </w:r>
      <w:r w:rsidRPr="00753416">
        <w:t>were enumerated</w:t>
      </w:r>
      <w:r w:rsidR="0057354D" w:rsidRPr="00753416">
        <w:t xml:space="preserve"> (</w:t>
      </w:r>
      <w:r w:rsidR="00DE0836" w:rsidRPr="00753416">
        <w:t>Kemp et al.</w:t>
      </w:r>
      <w:r w:rsidR="0057354D" w:rsidRPr="00753416">
        <w:t xml:space="preserve">, </w:t>
      </w:r>
      <w:r w:rsidR="00DE0836" w:rsidRPr="00753416">
        <w:t>2020</w:t>
      </w:r>
      <w:r w:rsidR="006C0AB6" w:rsidRPr="00753416">
        <w:t>; Walker and Cahill, 2024</w:t>
      </w:r>
      <w:r w:rsidR="0057354D" w:rsidRPr="00753416">
        <w:t>)</w:t>
      </w:r>
      <w:r w:rsidR="00DE0836" w:rsidRPr="00753416">
        <w:t>.</w:t>
      </w:r>
      <w:r w:rsidR="0057354D" w:rsidRPr="00753416">
        <w:t xml:space="preserve"> </w:t>
      </w:r>
      <w:r w:rsidR="004E7960" w:rsidRPr="00753416">
        <w:t>F</w:t>
      </w:r>
      <w:r w:rsidRPr="00753416">
        <w:t>oraminifera were identified following the taxonomy of studies</w:t>
      </w:r>
      <w:r w:rsidR="0057354D" w:rsidRPr="00753416">
        <w:t xml:space="preserve"> from </w:t>
      </w:r>
      <w:r w:rsidR="003812CA" w:rsidRPr="00753416">
        <w:t>estuaries and intertidal zone</w:t>
      </w:r>
      <w:r w:rsidR="007A3CA6" w:rsidRPr="00753416">
        <w:t>s</w:t>
      </w:r>
      <w:r w:rsidR="003812CA" w:rsidRPr="00753416">
        <w:t xml:space="preserve"> along </w:t>
      </w:r>
      <w:r w:rsidR="0057354D" w:rsidRPr="00753416">
        <w:t>the China coast (Chen et al., 2020; Garrett, 2010; Lei et al., 2017)</w:t>
      </w:r>
      <w:r w:rsidR="00F930AA">
        <w:t>,</w:t>
      </w:r>
      <w:r w:rsidRPr="00753416">
        <w:t xml:space="preserve"> </w:t>
      </w:r>
      <w:r w:rsidR="0057354D" w:rsidRPr="00753416">
        <w:t>mangroves in Southeast Asia (</w:t>
      </w:r>
      <w:r w:rsidR="002376A4" w:rsidRPr="00753416">
        <w:t xml:space="preserve">Culver et al., 2012; </w:t>
      </w:r>
      <w:r w:rsidR="0057354D" w:rsidRPr="00753416">
        <w:t>Culver et al., 2015</w:t>
      </w:r>
      <w:r w:rsidR="00F930AA">
        <w:t xml:space="preserve">), and a global analysis of the genus </w:t>
      </w:r>
      <w:r w:rsidR="00F930AA">
        <w:rPr>
          <w:i/>
          <w:iCs/>
        </w:rPr>
        <w:t>Ammonia</w:t>
      </w:r>
      <w:r w:rsidR="00F930AA">
        <w:t xml:space="preserve"> (</w:t>
      </w:r>
      <w:r w:rsidR="00B94FEE">
        <w:t>Hayward et al., 2021</w:t>
      </w:r>
      <w:r w:rsidR="0057354D" w:rsidRPr="00753416">
        <w:t>).</w:t>
      </w:r>
      <w:r w:rsidR="000644A8" w:rsidRPr="00753416">
        <w:t xml:space="preserve"> </w:t>
      </w:r>
      <w:r w:rsidR="002C6574" w:rsidRPr="00753416">
        <w:t xml:space="preserve">Due to the challenges in identifying broken specimens, all species within </w:t>
      </w:r>
      <w:r w:rsidR="007A3CA6" w:rsidRPr="00753416">
        <w:t xml:space="preserve">the genera </w:t>
      </w:r>
      <w:proofErr w:type="spellStart"/>
      <w:r w:rsidR="002C6574" w:rsidRPr="00753416">
        <w:rPr>
          <w:i/>
          <w:iCs/>
        </w:rPr>
        <w:t>Ammobaculites</w:t>
      </w:r>
      <w:proofErr w:type="spellEnd"/>
      <w:r w:rsidR="007A3CA6" w:rsidRPr="00753416">
        <w:rPr>
          <w:i/>
          <w:iCs/>
        </w:rPr>
        <w:t xml:space="preserve"> </w:t>
      </w:r>
      <w:r w:rsidR="007A3CA6" w:rsidRPr="00753416">
        <w:t xml:space="preserve">(including </w:t>
      </w:r>
      <w:proofErr w:type="spellStart"/>
      <w:r w:rsidR="00965339" w:rsidRPr="00753416">
        <w:rPr>
          <w:i/>
          <w:iCs/>
        </w:rPr>
        <w:t>Ammobaculites</w:t>
      </w:r>
      <w:proofErr w:type="spellEnd"/>
      <w:r w:rsidR="00965339" w:rsidRPr="00753416">
        <w:rPr>
          <w:i/>
          <w:iCs/>
        </w:rPr>
        <w:t xml:space="preserve"> exiguous</w:t>
      </w:r>
      <w:r w:rsidR="00965339" w:rsidRPr="00753416">
        <w:t xml:space="preserve"> </w:t>
      </w:r>
      <w:r w:rsidR="00965339" w:rsidRPr="00753416">
        <w:rPr>
          <w:i/>
          <w:iCs/>
        </w:rPr>
        <w:t xml:space="preserve">and </w:t>
      </w:r>
      <w:proofErr w:type="spellStart"/>
      <w:r w:rsidR="000F1E5B" w:rsidRPr="00753416">
        <w:rPr>
          <w:i/>
          <w:iCs/>
        </w:rPr>
        <w:t>Ammobaculites</w:t>
      </w:r>
      <w:proofErr w:type="spellEnd"/>
      <w:r w:rsidR="000F1E5B" w:rsidRPr="00753416">
        <w:rPr>
          <w:i/>
          <w:iCs/>
        </w:rPr>
        <w:t xml:space="preserve"> </w:t>
      </w:r>
      <w:proofErr w:type="spellStart"/>
      <w:r w:rsidR="000F1E5B" w:rsidRPr="00753416">
        <w:rPr>
          <w:i/>
          <w:iCs/>
        </w:rPr>
        <w:t>agglutinans</w:t>
      </w:r>
      <w:proofErr w:type="spellEnd"/>
      <w:r w:rsidR="007A3CA6" w:rsidRPr="00753416">
        <w:t>)</w:t>
      </w:r>
      <w:r w:rsidR="006058E0" w:rsidRPr="00753416">
        <w:t xml:space="preserve"> and </w:t>
      </w:r>
      <w:r w:rsidR="00A14EA5">
        <w:t>two</w:t>
      </w:r>
      <w:r w:rsidR="00A02BBE">
        <w:t xml:space="preserve"> out of </w:t>
      </w:r>
      <w:r w:rsidR="004B3D5A">
        <w:t>six</w:t>
      </w:r>
      <w:r w:rsidR="00A14EA5">
        <w:t xml:space="preserve"> </w:t>
      </w:r>
      <w:r w:rsidR="002C6574" w:rsidRPr="00753416">
        <w:rPr>
          <w:i/>
          <w:iCs/>
        </w:rPr>
        <w:t>Ammonia</w:t>
      </w:r>
      <w:r w:rsidR="002C6574" w:rsidRPr="00753416">
        <w:t xml:space="preserve"> </w:t>
      </w:r>
      <w:r w:rsidR="00A14EA5">
        <w:t xml:space="preserve">species </w:t>
      </w:r>
      <w:r w:rsidR="007A3CA6" w:rsidRPr="00753416">
        <w:t>(</w:t>
      </w:r>
      <w:r w:rsidR="00486645" w:rsidRPr="00753416">
        <w:rPr>
          <w:i/>
          <w:iCs/>
        </w:rPr>
        <w:t xml:space="preserve">Ammonia </w:t>
      </w:r>
      <w:proofErr w:type="spellStart"/>
      <w:r w:rsidR="00486645" w:rsidRPr="00753416">
        <w:rPr>
          <w:i/>
          <w:iCs/>
        </w:rPr>
        <w:t>beccarii</w:t>
      </w:r>
      <w:proofErr w:type="spellEnd"/>
      <w:r w:rsidR="00486645" w:rsidRPr="00753416">
        <w:t xml:space="preserve">, </w:t>
      </w:r>
      <w:r w:rsidR="00486645" w:rsidRPr="00753416">
        <w:rPr>
          <w:i/>
          <w:iCs/>
        </w:rPr>
        <w:t xml:space="preserve">Ammonia </w:t>
      </w:r>
      <w:proofErr w:type="spellStart"/>
      <w:r w:rsidR="00013508" w:rsidRPr="005A65D2">
        <w:rPr>
          <w:i/>
          <w:iCs/>
        </w:rPr>
        <w:t>confertitesta</w:t>
      </w:r>
      <w:proofErr w:type="spellEnd"/>
      <w:r w:rsidR="007A3CA6" w:rsidRPr="00753416">
        <w:t>)</w:t>
      </w:r>
      <w:r w:rsidR="00AC3A7B" w:rsidRPr="00753416">
        <w:t xml:space="preserve"> </w:t>
      </w:r>
      <w:r w:rsidR="007A3CA6" w:rsidRPr="00753416">
        <w:t xml:space="preserve">were grouped </w:t>
      </w:r>
      <w:r w:rsidR="002C6574" w:rsidRPr="00753416">
        <w:t xml:space="preserve">into </w:t>
      </w:r>
      <w:r w:rsidR="007A3CA6" w:rsidRPr="00753416">
        <w:t xml:space="preserve">a single taxon, </w:t>
      </w:r>
      <w:r w:rsidR="002C6574" w:rsidRPr="00753416">
        <w:t xml:space="preserve">referred to as </w:t>
      </w:r>
      <w:proofErr w:type="spellStart"/>
      <w:r w:rsidR="00486645" w:rsidRPr="00753416">
        <w:rPr>
          <w:i/>
          <w:iCs/>
        </w:rPr>
        <w:t>Ammobaculites</w:t>
      </w:r>
      <w:proofErr w:type="spellEnd"/>
      <w:r w:rsidR="002C6574" w:rsidRPr="00753416">
        <w:rPr>
          <w:i/>
          <w:iCs/>
        </w:rPr>
        <w:t xml:space="preserve"> </w:t>
      </w:r>
      <w:r w:rsidR="002C6574" w:rsidRPr="00753416">
        <w:t>spp</w:t>
      </w:r>
      <w:r w:rsidR="007A3CA6" w:rsidRPr="00753416">
        <w:rPr>
          <w:i/>
          <w:iCs/>
        </w:rPr>
        <w:t>.</w:t>
      </w:r>
      <w:r w:rsidR="00E2590D" w:rsidRPr="00753416">
        <w:rPr>
          <w:i/>
          <w:iCs/>
        </w:rPr>
        <w:t xml:space="preserve"> </w:t>
      </w:r>
      <w:r w:rsidR="003F7EA9" w:rsidRPr="00753416">
        <w:t>a</w:t>
      </w:r>
      <w:r w:rsidR="00E2590D" w:rsidRPr="00753416">
        <w:t>nd</w:t>
      </w:r>
      <w:r w:rsidR="00486645" w:rsidRPr="00753416">
        <w:rPr>
          <w:i/>
          <w:iCs/>
        </w:rPr>
        <w:t xml:space="preserve"> Ammonia </w:t>
      </w:r>
      <w:r w:rsidR="00486645" w:rsidRPr="00753416">
        <w:t>spp</w:t>
      </w:r>
      <w:r w:rsidR="00486645" w:rsidRPr="00753416">
        <w:rPr>
          <w:i/>
          <w:iCs/>
        </w:rPr>
        <w:t>.</w:t>
      </w:r>
      <w:r w:rsidR="00E2590D" w:rsidRPr="00753416">
        <w:rPr>
          <w:i/>
          <w:iCs/>
        </w:rPr>
        <w:t>,</w:t>
      </w:r>
      <w:r w:rsidR="007A3CA6" w:rsidRPr="00753416">
        <w:t xml:space="preserve"> respectively</w:t>
      </w:r>
      <w:r w:rsidR="007A3CA6" w:rsidRPr="00753416">
        <w:rPr>
          <w:i/>
          <w:iCs/>
        </w:rPr>
        <w:t xml:space="preserve"> </w:t>
      </w:r>
      <w:r w:rsidR="007A3CA6" w:rsidRPr="00753416">
        <w:t>(Culver and Horton, 2005; Kemp et al. 2009; Khan et al., 2019)</w:t>
      </w:r>
      <w:r w:rsidR="00E718CD" w:rsidRPr="00753416">
        <w:t>.</w:t>
      </w:r>
      <w:r w:rsidR="006058E0" w:rsidRPr="00753416">
        <w:t xml:space="preserve"> </w:t>
      </w:r>
      <w:r w:rsidR="001A5764" w:rsidRPr="00753416">
        <w:t xml:space="preserve">We also grouped the genus </w:t>
      </w:r>
      <w:proofErr w:type="spellStart"/>
      <w:r w:rsidR="001A5764" w:rsidRPr="00753416">
        <w:rPr>
          <w:i/>
          <w:iCs/>
        </w:rPr>
        <w:t>Miliammina</w:t>
      </w:r>
      <w:proofErr w:type="spellEnd"/>
      <w:r w:rsidR="001A5764" w:rsidRPr="00753416">
        <w:rPr>
          <w:i/>
          <w:iCs/>
        </w:rPr>
        <w:t xml:space="preserve"> </w:t>
      </w:r>
      <w:r w:rsidR="001A5764" w:rsidRPr="00753416">
        <w:t xml:space="preserve">(including </w:t>
      </w:r>
      <w:proofErr w:type="spellStart"/>
      <w:r w:rsidR="001A5764" w:rsidRPr="00753416">
        <w:rPr>
          <w:i/>
          <w:iCs/>
        </w:rPr>
        <w:t>Miliammina</w:t>
      </w:r>
      <w:proofErr w:type="spellEnd"/>
      <w:r w:rsidR="001A5764" w:rsidRPr="00753416">
        <w:rPr>
          <w:i/>
          <w:iCs/>
        </w:rPr>
        <w:t xml:space="preserve"> </w:t>
      </w:r>
      <w:proofErr w:type="spellStart"/>
      <w:r w:rsidR="001A5764" w:rsidRPr="00753416">
        <w:rPr>
          <w:i/>
          <w:iCs/>
        </w:rPr>
        <w:t>fusca</w:t>
      </w:r>
      <w:proofErr w:type="spellEnd"/>
      <w:r w:rsidR="00831F14" w:rsidRPr="00753416">
        <w:rPr>
          <w:i/>
          <w:iCs/>
        </w:rPr>
        <w:t xml:space="preserve">, </w:t>
      </w:r>
      <w:proofErr w:type="spellStart"/>
      <w:r w:rsidR="00831F14" w:rsidRPr="00753416">
        <w:rPr>
          <w:i/>
          <w:iCs/>
        </w:rPr>
        <w:t>Miliammina</w:t>
      </w:r>
      <w:proofErr w:type="spellEnd"/>
      <w:r w:rsidR="00596A71" w:rsidRPr="00753416">
        <w:rPr>
          <w:i/>
          <w:iCs/>
        </w:rPr>
        <w:t xml:space="preserve"> </w:t>
      </w:r>
      <w:proofErr w:type="spellStart"/>
      <w:r w:rsidR="00596A71" w:rsidRPr="00753416">
        <w:rPr>
          <w:i/>
          <w:iCs/>
        </w:rPr>
        <w:t>obliqua</w:t>
      </w:r>
      <w:proofErr w:type="spellEnd"/>
      <w:r w:rsidR="00831F14" w:rsidRPr="00753416">
        <w:rPr>
          <w:i/>
          <w:iCs/>
        </w:rPr>
        <w:t xml:space="preserve"> </w:t>
      </w:r>
      <w:r w:rsidR="001A5764" w:rsidRPr="00753416">
        <w:t xml:space="preserve">and </w:t>
      </w:r>
      <w:proofErr w:type="spellStart"/>
      <w:r w:rsidR="001A5764" w:rsidRPr="00753416">
        <w:rPr>
          <w:i/>
          <w:iCs/>
        </w:rPr>
        <w:t>Miliammina</w:t>
      </w:r>
      <w:proofErr w:type="spellEnd"/>
      <w:r w:rsidR="001A5764" w:rsidRPr="00753416">
        <w:rPr>
          <w:i/>
          <w:iCs/>
        </w:rPr>
        <w:t xml:space="preserve"> </w:t>
      </w:r>
      <w:proofErr w:type="spellStart"/>
      <w:r w:rsidR="001A5764" w:rsidRPr="00753416">
        <w:rPr>
          <w:i/>
          <w:iCs/>
        </w:rPr>
        <w:t>petila</w:t>
      </w:r>
      <w:proofErr w:type="spellEnd"/>
      <w:r w:rsidR="001A5764" w:rsidRPr="00753416">
        <w:t xml:space="preserve">) as </w:t>
      </w:r>
      <w:proofErr w:type="spellStart"/>
      <w:r w:rsidR="001A5764" w:rsidRPr="00753416">
        <w:rPr>
          <w:i/>
          <w:iCs/>
        </w:rPr>
        <w:t>Miliammina</w:t>
      </w:r>
      <w:proofErr w:type="spellEnd"/>
      <w:r w:rsidR="001A5764" w:rsidRPr="00753416">
        <w:rPr>
          <w:i/>
          <w:iCs/>
        </w:rPr>
        <w:t xml:space="preserve"> </w:t>
      </w:r>
      <w:r w:rsidR="001A5764" w:rsidRPr="00753416">
        <w:t>spp</w:t>
      </w:r>
      <w:r w:rsidR="001A5764" w:rsidRPr="00753416">
        <w:rPr>
          <w:i/>
          <w:iCs/>
        </w:rPr>
        <w:t>.</w:t>
      </w:r>
      <w:r w:rsidR="00596A71" w:rsidRPr="00753416">
        <w:t xml:space="preserve"> because</w:t>
      </w:r>
      <w:r w:rsidR="001A5764" w:rsidRPr="00753416">
        <w:t xml:space="preserve"> the toot</w:t>
      </w:r>
      <w:r w:rsidR="00596A71" w:rsidRPr="00753416">
        <w:t>h that</w:t>
      </w:r>
      <w:r w:rsidR="001A5764" w:rsidRPr="00753416">
        <w:t xml:space="preserve"> is the crucial feature for distinguishing these species w</w:t>
      </w:r>
      <w:r w:rsidR="00596A71" w:rsidRPr="00753416">
        <w:t>as</w:t>
      </w:r>
      <w:r w:rsidR="001A5764" w:rsidRPr="00753416">
        <w:t xml:space="preserve"> rarely preserved</w:t>
      </w:r>
      <w:r w:rsidR="00596A71" w:rsidRPr="00753416">
        <w:t>,</w:t>
      </w:r>
      <w:r w:rsidR="001A5764" w:rsidRPr="00753416">
        <w:t xml:space="preserve"> </w:t>
      </w:r>
      <w:r w:rsidR="00596A71" w:rsidRPr="00753416">
        <w:t>and their outer chambers were often incomplete, which made the estimation of their width difficult (Saunders, 1958).</w:t>
      </w:r>
      <w:r w:rsidR="00F930AA">
        <w:t xml:space="preserve"> </w:t>
      </w:r>
      <w:r w:rsidR="00AC3A7B" w:rsidRPr="00753416">
        <w:fldChar w:fldCharType="begin"/>
      </w:r>
      <w:r w:rsidR="00AC3A7B" w:rsidRPr="00753416">
        <w:instrText>HYPERLINK "https://depts.washington.edu/forams/order-milioida/genus-miliammina/"</w:instrText>
      </w:r>
      <w:r w:rsidR="00AC3A7B" w:rsidRPr="00753416">
        <w:fldChar w:fldCharType="separate"/>
      </w:r>
    </w:p>
    <w:p w14:paraId="67683FC2" w14:textId="6177FC7C" w:rsidR="0057354D" w:rsidRPr="00753416" w:rsidRDefault="00AC3A7B" w:rsidP="00AC3A7B">
      <w:pPr>
        <w:tabs>
          <w:tab w:val="left" w:pos="7797"/>
        </w:tabs>
      </w:pPr>
      <w:r w:rsidRPr="00753416">
        <w:fldChar w:fldCharType="end"/>
      </w:r>
    </w:p>
    <w:p w14:paraId="10ACBC0A" w14:textId="5FCD2A9A" w:rsidR="0057354D" w:rsidRDefault="0057354D" w:rsidP="003B0372">
      <w:pPr>
        <w:tabs>
          <w:tab w:val="left" w:pos="7797"/>
        </w:tabs>
      </w:pPr>
      <w:r w:rsidRPr="00753416">
        <w:t xml:space="preserve">Diatom analysis was conducted following the methodology described by </w:t>
      </w:r>
      <w:r w:rsidR="00437888" w:rsidRPr="00753416">
        <w:t>Khan et al.</w:t>
      </w:r>
      <w:r w:rsidR="007A3CA6" w:rsidRPr="00753416">
        <w:t xml:space="preserve"> </w:t>
      </w:r>
      <w:r w:rsidR="00437888" w:rsidRPr="00753416">
        <w:t>(2015</w:t>
      </w:r>
      <w:r w:rsidRPr="00753416">
        <w:t xml:space="preserve">). Sediment samples were </w:t>
      </w:r>
      <w:r w:rsidR="004E7960" w:rsidRPr="00753416">
        <w:t>digested</w:t>
      </w:r>
      <w:r w:rsidRPr="00753416">
        <w:t xml:space="preserve"> using a 20% H</w:t>
      </w:r>
      <w:r w:rsidRPr="00753416">
        <w:rPr>
          <w:vertAlign w:val="subscript"/>
        </w:rPr>
        <w:t>2</w:t>
      </w:r>
      <w:r w:rsidRPr="00753416">
        <w:t>O</w:t>
      </w:r>
      <w:r w:rsidRPr="00753416">
        <w:rPr>
          <w:vertAlign w:val="subscript"/>
        </w:rPr>
        <w:t>2</w:t>
      </w:r>
      <w:r w:rsidRPr="00753416">
        <w:t xml:space="preserve"> solution</w:t>
      </w:r>
      <w:r w:rsidR="004E7960" w:rsidRPr="00753416">
        <w:t xml:space="preserve"> </w:t>
      </w:r>
      <w:r w:rsidR="00F96743" w:rsidRPr="00753416">
        <w:t xml:space="preserve">at </w:t>
      </w:r>
      <w:r w:rsidR="003812CA" w:rsidRPr="00753416">
        <w:t>50</w:t>
      </w:r>
      <w:r w:rsidR="006C0AB6" w:rsidRPr="00753416">
        <w:rPr>
          <w:vertAlign w:val="superscript"/>
        </w:rPr>
        <w:t>o</w:t>
      </w:r>
      <w:r w:rsidR="006C0AB6" w:rsidRPr="00753416">
        <w:t xml:space="preserve">C </w:t>
      </w:r>
      <w:r w:rsidRPr="00753416">
        <w:t>to remov</w:t>
      </w:r>
      <w:r w:rsidR="004E7960" w:rsidRPr="00753416">
        <w:t>e</w:t>
      </w:r>
      <w:r w:rsidRPr="00753416">
        <w:t xml:space="preserve"> organic matter. </w:t>
      </w:r>
      <w:r w:rsidR="00907BA7" w:rsidRPr="00753416">
        <w:t xml:space="preserve"> </w:t>
      </w:r>
      <w:r w:rsidR="003F7EA9" w:rsidRPr="00753416">
        <w:t xml:space="preserve">Digested </w:t>
      </w:r>
      <w:r w:rsidR="00907BA7" w:rsidRPr="00753416">
        <w:t xml:space="preserve">samples were </w:t>
      </w:r>
      <w:r w:rsidR="003F7EA9" w:rsidRPr="00753416">
        <w:t xml:space="preserve">then </w:t>
      </w:r>
      <w:r w:rsidR="00907BA7" w:rsidRPr="00753416">
        <w:t xml:space="preserve">cleaned by three cycles of dilution </w:t>
      </w:r>
      <w:r w:rsidR="009923C8" w:rsidRPr="00753416">
        <w:t xml:space="preserve">by </w:t>
      </w:r>
      <w:proofErr w:type="spellStart"/>
      <w:r w:rsidR="00907BA7" w:rsidRPr="00753416">
        <w:t>Mi</w:t>
      </w:r>
      <w:r w:rsidR="007A3CA6" w:rsidRPr="00753416">
        <w:t>l</w:t>
      </w:r>
      <w:r w:rsidR="00907BA7" w:rsidRPr="00753416">
        <w:t>liQ</w:t>
      </w:r>
      <w:proofErr w:type="spellEnd"/>
      <w:r w:rsidR="00907BA7" w:rsidRPr="00753416">
        <w:t xml:space="preserve"> water and</w:t>
      </w:r>
      <w:r w:rsidR="009923C8" w:rsidRPr="00753416">
        <w:t xml:space="preserve"> 4 minutes of</w:t>
      </w:r>
      <w:r w:rsidR="00907BA7" w:rsidRPr="00753416">
        <w:t xml:space="preserve"> centrifugation</w:t>
      </w:r>
      <w:r w:rsidR="009923C8" w:rsidRPr="00753416">
        <w:t xml:space="preserve"> at 1200 rpm</w:t>
      </w:r>
      <w:r w:rsidR="00907BA7" w:rsidRPr="00753416">
        <w:t xml:space="preserve">. </w:t>
      </w:r>
      <w:r w:rsidR="003631A1" w:rsidRPr="00753416">
        <w:t>The</w:t>
      </w:r>
      <w:r w:rsidRPr="00753416">
        <w:t xml:space="preserve"> cleaned</w:t>
      </w:r>
      <w:r w:rsidR="00907BA7" w:rsidRPr="00753416">
        <w:t xml:space="preserve"> </w:t>
      </w:r>
      <w:r w:rsidRPr="00753416">
        <w:t xml:space="preserve">samples were mounted on glass slides using </w:t>
      </w:r>
      <w:proofErr w:type="spellStart"/>
      <w:r w:rsidRPr="00753416">
        <w:t>Naphrax</w:t>
      </w:r>
      <w:proofErr w:type="spellEnd"/>
      <w:r w:rsidRPr="00753416">
        <w:t xml:space="preserve">® </w:t>
      </w:r>
      <w:proofErr w:type="spellStart"/>
      <w:r w:rsidRPr="00753416">
        <w:t>mountant</w:t>
      </w:r>
      <w:proofErr w:type="spellEnd"/>
      <w:r w:rsidRPr="00753416">
        <w:t xml:space="preserve">. </w:t>
      </w:r>
      <w:r w:rsidR="00A25273" w:rsidRPr="00753416">
        <w:t>D</w:t>
      </w:r>
      <w:r w:rsidRPr="00753416">
        <w:t>iatom</w:t>
      </w:r>
      <w:r w:rsidR="00A25273" w:rsidRPr="00753416">
        <w:t xml:space="preserve"> counts</w:t>
      </w:r>
      <w:r w:rsidRPr="00753416">
        <w:t xml:space="preserve"> w</w:t>
      </w:r>
      <w:r w:rsidR="00A25273" w:rsidRPr="00753416">
        <w:t>ere</w:t>
      </w:r>
      <w:r w:rsidRPr="00753416">
        <w:t xml:space="preserve"> performed under </w:t>
      </w:r>
      <w:r w:rsidR="00D229A8" w:rsidRPr="00753416">
        <w:t>an optical microscope at 100</w:t>
      </w:r>
      <w:r w:rsidR="00907BA7" w:rsidRPr="00753416">
        <w:t>0</w:t>
      </w:r>
      <w:r w:rsidR="00D229A8" w:rsidRPr="00753416">
        <w:t>x magnification</w:t>
      </w:r>
      <w:r w:rsidR="003F7EA9" w:rsidRPr="00753416">
        <w:t xml:space="preserve"> using oil immersion</w:t>
      </w:r>
      <w:r w:rsidR="00D229A8" w:rsidRPr="00753416">
        <w:t xml:space="preserve">. </w:t>
      </w:r>
      <w:r w:rsidRPr="00753416">
        <w:t xml:space="preserve">For each sample, we counted more than 300 diatom valves. The identification of diatom species </w:t>
      </w:r>
      <w:r w:rsidR="00A25273" w:rsidRPr="00753416">
        <w:t>followed</w:t>
      </w:r>
      <w:r w:rsidRPr="00753416">
        <w:t xml:space="preserve"> taxonomic keys </w:t>
      </w:r>
      <w:r w:rsidR="003B0372" w:rsidRPr="00753416">
        <w:t>from</w:t>
      </w:r>
      <w:r w:rsidR="00C5718F" w:rsidRPr="00753416">
        <w:t xml:space="preserve"> </w:t>
      </w:r>
      <w:r w:rsidR="00787652" w:rsidRPr="00753416">
        <w:t xml:space="preserve">van der Werff and Huls (1958), Simonsen (1987), </w:t>
      </w:r>
      <w:r w:rsidR="002162CF" w:rsidRPr="00753416">
        <w:t xml:space="preserve">Denys (1991), </w:t>
      </w:r>
      <w:r w:rsidR="00B74156" w:rsidRPr="00753416">
        <w:t xml:space="preserve">Ettl et al. (1999), </w:t>
      </w:r>
      <w:r w:rsidR="003B0372" w:rsidRPr="00753416">
        <w:t xml:space="preserve">Lange-Bertalot (1995), </w:t>
      </w:r>
      <w:r w:rsidR="00C5718F" w:rsidRPr="00753416">
        <w:t xml:space="preserve">Witkowski et al. (2000) </w:t>
      </w:r>
      <w:r w:rsidR="003B0372" w:rsidRPr="00753416">
        <w:t>and studies from East Asian coast</w:t>
      </w:r>
      <w:r w:rsidR="00476402" w:rsidRPr="00753416">
        <w:t>s</w:t>
      </w:r>
      <w:r w:rsidR="003B0372" w:rsidRPr="00753416">
        <w:t xml:space="preserve"> (</w:t>
      </w:r>
      <w:r w:rsidR="00105640" w:rsidRPr="00753416">
        <w:t xml:space="preserve">e.g., </w:t>
      </w:r>
      <w:r w:rsidR="00FB19B4" w:rsidRPr="00753416">
        <w:t>Chin and Cheng, 1979</w:t>
      </w:r>
      <w:r w:rsidR="003B0372" w:rsidRPr="00753416">
        <w:t>).</w:t>
      </w:r>
      <w:r w:rsidR="00994406">
        <w:t xml:space="preserve"> </w:t>
      </w:r>
    </w:p>
    <w:p w14:paraId="7072A228" w14:textId="77777777" w:rsidR="004D3E23" w:rsidRPr="00753416" w:rsidRDefault="004D3E23" w:rsidP="004D3E23">
      <w:pPr>
        <w:tabs>
          <w:tab w:val="left" w:pos="7797"/>
        </w:tabs>
      </w:pPr>
    </w:p>
    <w:p w14:paraId="74CF2755" w14:textId="066F409A" w:rsidR="00C86794" w:rsidRPr="00753416" w:rsidRDefault="00E14946" w:rsidP="0096280F">
      <w:pPr>
        <w:pStyle w:val="Heading2"/>
      </w:pPr>
      <w:r w:rsidRPr="00753416">
        <w:t>3</w:t>
      </w:r>
      <w:r w:rsidR="004D3E23" w:rsidRPr="00753416">
        <w:t xml:space="preserve">.3 </w:t>
      </w:r>
      <w:r w:rsidR="000B57E4" w:rsidRPr="00753416">
        <w:t>δ</w:t>
      </w:r>
      <w:r w:rsidR="000B57E4" w:rsidRPr="00753416">
        <w:rPr>
          <w:vertAlign w:val="superscript"/>
        </w:rPr>
        <w:t>13</w:t>
      </w:r>
      <w:r w:rsidR="000B57E4" w:rsidRPr="00753416">
        <w:t>C and C/N geochemistry and e</w:t>
      </w:r>
      <w:r w:rsidR="004D3E23" w:rsidRPr="00753416">
        <w:t xml:space="preserve">nvironmental variables </w:t>
      </w:r>
    </w:p>
    <w:p w14:paraId="7759F414" w14:textId="24B0A0BF" w:rsidR="00C86794" w:rsidRPr="00753416" w:rsidRDefault="00C86794" w:rsidP="00C86794">
      <w:r w:rsidRPr="00753416">
        <w:t>Samples for the measurement</w:t>
      </w:r>
      <w:r w:rsidR="00E2590D" w:rsidRPr="00753416">
        <w:t xml:space="preserve"> of</w:t>
      </w:r>
      <w:r w:rsidRPr="00753416">
        <w:t xml:space="preserve"> δ</w:t>
      </w:r>
      <w:r w:rsidRPr="00753416">
        <w:rPr>
          <w:vertAlign w:val="superscript"/>
        </w:rPr>
        <w:t>13</w:t>
      </w:r>
      <w:r w:rsidRPr="00753416">
        <w:t xml:space="preserve">C, total organic carbon content (TOC), and C/N ratio were treated with 5% HCl overnight to </w:t>
      </w:r>
      <w:r w:rsidR="00907BA7" w:rsidRPr="00753416">
        <w:t>remove inorganic carbon</w:t>
      </w:r>
      <w:r w:rsidRPr="00753416">
        <w:t xml:space="preserve"> and were subsequently rinsed with 1500 mL of </w:t>
      </w:r>
      <w:proofErr w:type="spellStart"/>
      <w:r w:rsidRPr="00753416">
        <w:t>Mi</w:t>
      </w:r>
      <w:r w:rsidR="007A3CA6" w:rsidRPr="00753416">
        <w:t>l</w:t>
      </w:r>
      <w:r w:rsidRPr="00753416">
        <w:t>liQ</w:t>
      </w:r>
      <w:proofErr w:type="spellEnd"/>
      <w:r w:rsidRPr="00753416">
        <w:t xml:space="preserve"> water before analysis. Analysis of δ</w:t>
      </w:r>
      <w:r w:rsidRPr="00753416">
        <w:rPr>
          <w:vertAlign w:val="superscript"/>
        </w:rPr>
        <w:t>13</w:t>
      </w:r>
      <w:r w:rsidRPr="00753416">
        <w:t xml:space="preserve">C, TOC, and total nitrogen content was performed on a </w:t>
      </w:r>
      <w:proofErr w:type="spellStart"/>
      <w:r w:rsidR="00355469" w:rsidRPr="00753416">
        <w:t>EuroVector</w:t>
      </w:r>
      <w:proofErr w:type="spellEnd"/>
      <w:r w:rsidR="00355469" w:rsidRPr="00753416">
        <w:t xml:space="preserve"> EA3028 Nu Horizon isotope-ratio mass spectrometer (IRMS)</w:t>
      </w:r>
      <w:r w:rsidR="00355469" w:rsidRPr="00753416" w:rsidDel="00355469">
        <w:t xml:space="preserve"> </w:t>
      </w:r>
      <w:r w:rsidRPr="00753416">
        <w:t xml:space="preserve">at the </w:t>
      </w:r>
      <w:r w:rsidRPr="00753416">
        <w:lastRenderedPageBreak/>
        <w:t xml:space="preserve">Stable Isotope Laboratory of the University of Hong Kong. </w:t>
      </w:r>
      <w:r w:rsidR="0031398B" w:rsidRPr="00753416">
        <w:t>The measured values were standardized to the Vienna Pee Dee Belemnite (VPDB) scale by referencing them to the average values obtained through triplicate analysis of certified reference materials provided by the United States Geological Survey,</w:t>
      </w:r>
      <w:r w:rsidR="0031398B" w:rsidRPr="00753416" w:rsidDel="0031398B">
        <w:t xml:space="preserve"> </w:t>
      </w:r>
      <w:r w:rsidR="0031398B" w:rsidRPr="00753416">
        <w:t xml:space="preserve">namely </w:t>
      </w:r>
      <w:r w:rsidR="00CF617D" w:rsidRPr="00753416">
        <w:t>USGS40 (average </w:t>
      </w:r>
      <w:r w:rsidR="00CF617D" w:rsidRPr="00753416">
        <w:rPr>
          <w:vertAlign w:val="superscript"/>
        </w:rPr>
        <w:t>15</w:t>
      </w:r>
      <w:r w:rsidR="00CF617D" w:rsidRPr="00753416">
        <w:t>N = -4.52 and </w:t>
      </w:r>
      <w:r w:rsidR="00CF617D" w:rsidRPr="00753416">
        <w:rPr>
          <w:vertAlign w:val="superscript"/>
        </w:rPr>
        <w:t>13</w:t>
      </w:r>
      <w:r w:rsidR="00CF617D" w:rsidRPr="00753416">
        <w:t>C = −26.39) and USGS41a (average </w:t>
      </w:r>
      <w:r w:rsidR="00CF617D" w:rsidRPr="00753416">
        <w:rPr>
          <w:vertAlign w:val="superscript"/>
        </w:rPr>
        <w:t>15</w:t>
      </w:r>
      <w:r w:rsidR="00CF617D" w:rsidRPr="00753416">
        <w:t>N = 47.55 and </w:t>
      </w:r>
      <w:r w:rsidR="00CF617D" w:rsidRPr="00753416">
        <w:rPr>
          <w:vertAlign w:val="superscript"/>
        </w:rPr>
        <w:t>13</w:t>
      </w:r>
      <w:r w:rsidR="00CF617D" w:rsidRPr="00753416">
        <w:t>C = 36.55)</w:t>
      </w:r>
      <w:r w:rsidR="0031398B" w:rsidRPr="00753416">
        <w:t xml:space="preserve">. </w:t>
      </w:r>
      <w:r w:rsidR="00476402" w:rsidRPr="00753416">
        <w:t>The root mean square of the standard deviation of t</w:t>
      </w:r>
      <w:r w:rsidRPr="00753416">
        <w:t>h</w:t>
      </w:r>
      <w:r w:rsidR="00F4247B" w:rsidRPr="00753416">
        <w:t>ree sample replicates from each environment type were individually pretreated for δ</w:t>
      </w:r>
      <w:r w:rsidR="00F4247B" w:rsidRPr="00753416">
        <w:rPr>
          <w:vertAlign w:val="superscript"/>
        </w:rPr>
        <w:t>13</w:t>
      </w:r>
      <w:r w:rsidR="00F4247B" w:rsidRPr="00753416">
        <w:t>C</w:t>
      </w:r>
      <w:r w:rsidR="000A34C4" w:rsidRPr="00753416">
        <w:t xml:space="preserve"> </w:t>
      </w:r>
      <w:r w:rsidR="00F4247B" w:rsidRPr="00753416">
        <w:t>and C/N analysis for estimation of analytical error</w:t>
      </w:r>
      <w:r w:rsidR="000A34C4" w:rsidRPr="00753416">
        <w:t xml:space="preserve"> </w:t>
      </w:r>
      <w:r w:rsidR="00476402" w:rsidRPr="00753416">
        <w:t>(</w:t>
      </w:r>
      <w:r w:rsidR="000A34C4" w:rsidRPr="00753416">
        <w:t>Fig</w:t>
      </w:r>
      <w:r w:rsidR="00384055">
        <w:t>ure</w:t>
      </w:r>
      <w:r w:rsidR="000A34C4" w:rsidRPr="00753416">
        <w:t xml:space="preserve"> </w:t>
      </w:r>
      <w:r w:rsidR="000771E3" w:rsidRPr="00753416">
        <w:t>2</w:t>
      </w:r>
      <w:r w:rsidR="00476402" w:rsidRPr="00753416">
        <w:t>)</w:t>
      </w:r>
      <w:r w:rsidR="001F63FF" w:rsidRPr="00753416">
        <w:t>.</w:t>
      </w:r>
      <w:r w:rsidR="00AA4DB7">
        <w:t xml:space="preserve"> We also compiled the range of </w:t>
      </w:r>
      <w:r w:rsidR="00AA4DB7" w:rsidRPr="00A9754F">
        <w:rPr>
          <w:color w:val="000000" w:themeColor="text1"/>
        </w:rPr>
        <w:t>δ</w:t>
      </w:r>
      <w:r w:rsidR="00AA4DB7" w:rsidRPr="00A9754F">
        <w:rPr>
          <w:color w:val="000000" w:themeColor="text1"/>
          <w:vertAlign w:val="superscript"/>
        </w:rPr>
        <w:t>13</w:t>
      </w:r>
      <w:r w:rsidR="00AA4DB7" w:rsidRPr="00A9754F">
        <w:rPr>
          <w:color w:val="000000" w:themeColor="text1"/>
        </w:rPr>
        <w:t xml:space="preserve">C and C/N </w:t>
      </w:r>
      <w:r w:rsidR="00AA4DB7">
        <w:rPr>
          <w:color w:val="000000" w:themeColor="text1"/>
        </w:rPr>
        <w:t xml:space="preserve">values from </w:t>
      </w:r>
      <w:r w:rsidR="00AA4DB7" w:rsidRPr="00A9754F">
        <w:rPr>
          <w:color w:val="000000" w:themeColor="text1"/>
        </w:rPr>
        <w:t xml:space="preserve">vegetation collected </w:t>
      </w:r>
      <w:r w:rsidR="00AA4DB7">
        <w:rPr>
          <w:color w:val="000000" w:themeColor="text1"/>
        </w:rPr>
        <w:t>from</w:t>
      </w:r>
      <w:r w:rsidR="00AA4DB7" w:rsidRPr="00A9754F">
        <w:rPr>
          <w:color w:val="000000" w:themeColor="text1"/>
        </w:rPr>
        <w:t xml:space="preserve"> </w:t>
      </w:r>
      <w:r w:rsidR="00AA4DB7">
        <w:rPr>
          <w:color w:val="000000" w:themeColor="text1"/>
        </w:rPr>
        <w:t xml:space="preserve">marine to terrestrial environments from </w:t>
      </w:r>
      <w:r w:rsidR="00AA4DB7" w:rsidRPr="00A9754F">
        <w:rPr>
          <w:color w:val="000000" w:themeColor="text1"/>
        </w:rPr>
        <w:t>Hong Kong (Xiong et al., 2018; Sun et al., 2021) and the PRD (Yu et al., 2010; Wu et al., 2017)</w:t>
      </w:r>
      <w:r w:rsidR="00AA4DB7">
        <w:rPr>
          <w:color w:val="000000" w:themeColor="text1"/>
        </w:rPr>
        <w:t xml:space="preserve"> to assess the source of organic matter to o</w:t>
      </w:r>
      <w:r w:rsidR="00AA4DB7" w:rsidRPr="00A9754F">
        <w:rPr>
          <w:color w:val="000000" w:themeColor="text1"/>
        </w:rPr>
        <w:t>ur surface sediment samples</w:t>
      </w:r>
      <w:r w:rsidR="00AA4DB7" w:rsidRPr="00AA4DB7">
        <w:t xml:space="preserve"> </w:t>
      </w:r>
      <w:r w:rsidR="00AA4DB7">
        <w:t>(Figure 4A,</w:t>
      </w:r>
      <w:r w:rsidR="00696F74">
        <w:t xml:space="preserve"> </w:t>
      </w:r>
      <w:r w:rsidR="00AA4DB7">
        <w:t>B)</w:t>
      </w:r>
      <w:r w:rsidR="00AA4DB7">
        <w:rPr>
          <w:color w:val="000000" w:themeColor="text1"/>
        </w:rPr>
        <w:t>.</w:t>
      </w:r>
    </w:p>
    <w:p w14:paraId="27403FC6" w14:textId="77777777" w:rsidR="00C86794" w:rsidRPr="00753416" w:rsidRDefault="00C86794" w:rsidP="00C86794"/>
    <w:p w14:paraId="423F3400" w14:textId="5F084545" w:rsidR="00825B16" w:rsidRPr="00753416" w:rsidRDefault="00061527" w:rsidP="00061527">
      <w:r w:rsidRPr="00753416">
        <w:t xml:space="preserve">To examine the </w:t>
      </w:r>
      <w:r w:rsidR="00C86794" w:rsidRPr="00753416">
        <w:t xml:space="preserve">relationship </w:t>
      </w:r>
      <w:r w:rsidRPr="00753416">
        <w:t xml:space="preserve">between microfossil assemblages and environmental factors, we conducted measurements of grain size, pH, </w:t>
      </w:r>
      <w:r w:rsidR="00C86794" w:rsidRPr="00753416">
        <w:t xml:space="preserve">and </w:t>
      </w:r>
      <w:r w:rsidRPr="00753416">
        <w:t>salinity</w:t>
      </w:r>
      <w:r w:rsidR="00C86794" w:rsidRPr="00753416">
        <w:t>.</w:t>
      </w:r>
      <w:r w:rsidR="001C6CDB" w:rsidRPr="00753416">
        <w:t xml:space="preserve"> </w:t>
      </w:r>
      <w:r w:rsidRPr="00753416">
        <w:t xml:space="preserve">Samples for grain-size analysis were </w:t>
      </w:r>
      <w:r w:rsidR="00825B16" w:rsidRPr="00753416">
        <w:t xml:space="preserve">treated with 30% </w:t>
      </w:r>
      <w:r w:rsidR="003A16CD" w:rsidRPr="00753416">
        <w:t>H</w:t>
      </w:r>
      <w:r w:rsidR="003A16CD" w:rsidRPr="00753416">
        <w:rPr>
          <w:vertAlign w:val="subscript"/>
        </w:rPr>
        <w:t>2</w:t>
      </w:r>
      <w:r w:rsidR="003A16CD" w:rsidRPr="00753416">
        <w:t>O</w:t>
      </w:r>
      <w:r w:rsidR="003A16CD" w:rsidRPr="00753416">
        <w:rPr>
          <w:vertAlign w:val="subscript"/>
        </w:rPr>
        <w:t>2</w:t>
      </w:r>
      <w:r w:rsidR="00825B16" w:rsidRPr="00753416">
        <w:rPr>
          <w:vertAlign w:val="superscript"/>
        </w:rPr>
        <w:t xml:space="preserve"> </w:t>
      </w:r>
      <w:r w:rsidR="00825B16" w:rsidRPr="00753416">
        <w:t>solution to remove organic</w:t>
      </w:r>
      <w:r w:rsidR="00DB4FC7" w:rsidRPr="00753416">
        <w:t xml:space="preserve"> matter</w:t>
      </w:r>
      <w:r w:rsidR="00825B16" w:rsidRPr="00753416">
        <w:t>. The grain</w:t>
      </w:r>
      <w:r w:rsidR="007A3CA6" w:rsidRPr="00753416">
        <w:t>-</w:t>
      </w:r>
      <w:r w:rsidR="00825B16" w:rsidRPr="00753416">
        <w:t xml:space="preserve">size </w:t>
      </w:r>
      <w:r w:rsidR="006878CF" w:rsidRPr="00753416">
        <w:t>composition</w:t>
      </w:r>
      <w:r w:rsidR="00F503B7" w:rsidRPr="00753416">
        <w:t xml:space="preserve"> </w:t>
      </w:r>
      <w:r w:rsidR="00825B16" w:rsidRPr="00753416">
        <w:t xml:space="preserve">of these digested sediment samples was subsequently determined using a Beckman Coulter LS 13 320 Particle Size Analyzer. </w:t>
      </w:r>
      <w:r w:rsidR="00DF7F50" w:rsidRPr="00753416">
        <w:t>We class</w:t>
      </w:r>
      <w:r w:rsidR="006A359A" w:rsidRPr="00753416">
        <w:t>if</w:t>
      </w:r>
      <w:r w:rsidR="00FF6704" w:rsidRPr="00753416">
        <w:t>ied</w:t>
      </w:r>
      <w:r w:rsidR="006A359A" w:rsidRPr="00753416">
        <w:t xml:space="preserve"> sediment base</w:t>
      </w:r>
      <w:r w:rsidR="00FF6704" w:rsidRPr="00753416">
        <w:t>d</w:t>
      </w:r>
      <w:r w:rsidR="006A359A" w:rsidRPr="00753416">
        <w:t xml:space="preserve"> on the method of Wentworth (1922)</w:t>
      </w:r>
      <w:r w:rsidR="00FF6704" w:rsidRPr="00753416">
        <w:t xml:space="preserve"> and adopted the statistical description of Folk and Ward (1957)</w:t>
      </w:r>
      <w:r w:rsidR="006A359A" w:rsidRPr="00753416">
        <w:t xml:space="preserve">. </w:t>
      </w:r>
      <w:r w:rsidR="00825B16" w:rsidRPr="00753416">
        <w:t xml:space="preserve">We used a </w:t>
      </w:r>
      <w:proofErr w:type="spellStart"/>
      <w:r w:rsidR="00825B16" w:rsidRPr="00753416">
        <w:t>Thermo</w:t>
      </w:r>
      <w:proofErr w:type="spellEnd"/>
      <w:r w:rsidR="00825B16" w:rsidRPr="00753416">
        <w:t xml:space="preserve"> Scientific™ A3255 pH/conductivity </w:t>
      </w:r>
      <w:proofErr w:type="spellStart"/>
      <w:r w:rsidR="00825B16" w:rsidRPr="00753416">
        <w:t>multimeter</w:t>
      </w:r>
      <w:proofErr w:type="spellEnd"/>
      <w:r w:rsidR="00825B16" w:rsidRPr="00753416">
        <w:t xml:space="preserve"> to measure pH and salinity </w:t>
      </w:r>
      <w:r w:rsidR="00E2590D" w:rsidRPr="00753416">
        <w:t>of</w:t>
      </w:r>
      <w:r w:rsidR="00825B16" w:rsidRPr="00753416">
        <w:t xml:space="preserve"> porewater samples. To extract the porewater, samples were centrifug</w:t>
      </w:r>
      <w:r w:rsidR="00C86794" w:rsidRPr="00753416">
        <w:t>ed</w:t>
      </w:r>
      <w:r w:rsidR="005E1B99" w:rsidRPr="00753416">
        <w:t xml:space="preserve"> under 3000 rpm for 30 minutes</w:t>
      </w:r>
      <w:r w:rsidR="00825B16" w:rsidRPr="00753416">
        <w:t>. I</w:t>
      </w:r>
      <w:r w:rsidR="00C86794" w:rsidRPr="00753416">
        <w:t xml:space="preserve">f this procedure did not yield any </w:t>
      </w:r>
      <w:r w:rsidR="004A1B0F" w:rsidRPr="00753416">
        <w:t>porewater</w:t>
      </w:r>
      <w:r w:rsidR="00825B16" w:rsidRPr="00753416">
        <w:t xml:space="preserve">, 5 mL of </w:t>
      </w:r>
      <w:proofErr w:type="spellStart"/>
      <w:r w:rsidR="00825B16" w:rsidRPr="00753416">
        <w:t>Mi</w:t>
      </w:r>
      <w:r w:rsidR="007A3CA6" w:rsidRPr="00753416">
        <w:t>l</w:t>
      </w:r>
      <w:r w:rsidR="00825B16" w:rsidRPr="00753416">
        <w:t>liQ</w:t>
      </w:r>
      <w:proofErr w:type="spellEnd"/>
      <w:r w:rsidR="00825B16" w:rsidRPr="00753416">
        <w:t xml:space="preserve"> water w</w:t>
      </w:r>
      <w:r w:rsidR="00762BFE">
        <w:t>ere</w:t>
      </w:r>
      <w:r w:rsidR="00825B16" w:rsidRPr="00753416">
        <w:t xml:space="preserve"> added to the sample before </w:t>
      </w:r>
      <w:r w:rsidR="00C86794" w:rsidRPr="00753416">
        <w:t xml:space="preserve">completing the </w:t>
      </w:r>
      <w:r w:rsidR="00825B16" w:rsidRPr="00753416">
        <w:t xml:space="preserve">centrifugation process </w:t>
      </w:r>
      <w:r w:rsidR="00C86794" w:rsidRPr="00753416">
        <w:t xml:space="preserve">again </w:t>
      </w:r>
      <w:r w:rsidR="00825B16" w:rsidRPr="00753416">
        <w:t xml:space="preserve">(e.g., </w:t>
      </w:r>
      <w:r w:rsidR="00787652" w:rsidRPr="00753416">
        <w:t xml:space="preserve">Sawai et al., 2016; </w:t>
      </w:r>
      <w:r w:rsidR="00825B16" w:rsidRPr="00753416">
        <w:t xml:space="preserve">Hong et al., 2021). </w:t>
      </w:r>
    </w:p>
    <w:p w14:paraId="645A2E15" w14:textId="302A0ADC" w:rsidR="00A06480" w:rsidRPr="00753416" w:rsidRDefault="00A06480" w:rsidP="00457EC2">
      <w:pPr>
        <w:pStyle w:val="EndNoteBibliography"/>
        <w:ind w:left="720" w:hanging="720"/>
        <w:rPr>
          <w:b/>
          <w:bCs/>
          <w:u w:val="single"/>
        </w:rPr>
      </w:pPr>
    </w:p>
    <w:p w14:paraId="75FACA20" w14:textId="1E26C4B9" w:rsidR="008B5326" w:rsidRPr="00753416" w:rsidRDefault="00E14946" w:rsidP="0096280F">
      <w:pPr>
        <w:pStyle w:val="Heading2"/>
      </w:pPr>
      <w:r w:rsidRPr="00753416">
        <w:t>3</w:t>
      </w:r>
      <w:r w:rsidR="00314402" w:rsidRPr="00753416">
        <w:t>.</w:t>
      </w:r>
      <w:r w:rsidR="0096280F" w:rsidRPr="00753416">
        <w:t>4</w:t>
      </w:r>
      <w:r w:rsidR="00314402" w:rsidRPr="00753416">
        <w:t xml:space="preserve"> Statistical analysis</w:t>
      </w:r>
    </w:p>
    <w:p w14:paraId="3BD4C6F1" w14:textId="19515343" w:rsidR="008B5326" w:rsidRPr="00753416" w:rsidRDefault="00E14946" w:rsidP="009A2B20">
      <w:pPr>
        <w:pStyle w:val="Heading3"/>
      </w:pPr>
      <w:r w:rsidRPr="00753416">
        <w:t>3</w:t>
      </w:r>
      <w:r w:rsidR="00E528BA" w:rsidRPr="00753416">
        <w:t>.</w:t>
      </w:r>
      <w:r w:rsidR="0096280F" w:rsidRPr="00753416">
        <w:t>4</w:t>
      </w:r>
      <w:r w:rsidR="000B0D3E" w:rsidRPr="00753416">
        <w:t>.</w:t>
      </w:r>
      <w:r w:rsidR="00E528BA" w:rsidRPr="00753416">
        <w:t xml:space="preserve">1 </w:t>
      </w:r>
      <w:r w:rsidR="0094326E" w:rsidRPr="00753416">
        <w:t>Cluster analysis</w:t>
      </w:r>
    </w:p>
    <w:p w14:paraId="7E12FC64" w14:textId="5CE83208" w:rsidR="00122827" w:rsidRPr="00753416" w:rsidRDefault="00122827" w:rsidP="00122827">
      <w:r w:rsidRPr="00753416">
        <w:t>We employed Partitioning Around Medoids (PAM) cluster</w:t>
      </w:r>
      <w:r w:rsidR="00E2590D" w:rsidRPr="00753416">
        <w:t xml:space="preserve"> analysis</w:t>
      </w:r>
      <w:r w:rsidRPr="00753416">
        <w:t xml:space="preserve"> </w:t>
      </w:r>
      <w:r w:rsidR="00126D51" w:rsidRPr="00753416">
        <w:t>using the ‘CLUSTER’ package (</w:t>
      </w:r>
      <w:proofErr w:type="spellStart"/>
      <w:r w:rsidR="00126D51" w:rsidRPr="00753416">
        <w:t>Maechler</w:t>
      </w:r>
      <w:proofErr w:type="spellEnd"/>
      <w:r w:rsidR="00126D51" w:rsidRPr="00753416">
        <w:t xml:space="preserve"> et al., 2012) in the statistical programme R </w:t>
      </w:r>
      <w:r w:rsidRPr="00753416">
        <w:t xml:space="preserve">to </w:t>
      </w:r>
      <w:r w:rsidR="00E2590D" w:rsidRPr="00753416">
        <w:t>identify distinct</w:t>
      </w:r>
      <w:r w:rsidRPr="00753416">
        <w:t xml:space="preserve"> microfossil groups across three transects (</w:t>
      </w:r>
      <w:r w:rsidR="00105640" w:rsidRPr="00753416">
        <w:t xml:space="preserve">e.g., </w:t>
      </w:r>
      <w:r w:rsidRPr="00753416">
        <w:t xml:space="preserve">Kemp et al., 2012; 2017; Williams et al., 2021). </w:t>
      </w:r>
      <w:r w:rsidR="007A3CA6" w:rsidRPr="00753416">
        <w:t>PAM analysis reduce</w:t>
      </w:r>
      <w:r w:rsidR="00E2590D" w:rsidRPr="00753416">
        <w:t>s</w:t>
      </w:r>
      <w:r w:rsidR="007A3CA6" w:rsidRPr="00753416">
        <w:t xml:space="preserve"> variance within clusters while enhancing the </w:t>
      </w:r>
      <w:r w:rsidR="007A3CA6" w:rsidRPr="00296C82">
        <w:t xml:space="preserve">differentiation </w:t>
      </w:r>
      <w:r w:rsidR="00B952D9" w:rsidRPr="00296C82">
        <w:t xml:space="preserve">among </w:t>
      </w:r>
      <w:r w:rsidR="007A3CA6" w:rsidRPr="00296C82">
        <w:t>them</w:t>
      </w:r>
      <w:r w:rsidR="00E2590D" w:rsidRPr="00296C82">
        <w:t xml:space="preserve"> (</w:t>
      </w:r>
      <w:proofErr w:type="spellStart"/>
      <w:r w:rsidR="000E6DBF" w:rsidRPr="00C71EA2">
        <w:t>Rdusseeun</w:t>
      </w:r>
      <w:proofErr w:type="spellEnd"/>
      <w:r w:rsidR="000E6DBF" w:rsidRPr="00753416">
        <w:t xml:space="preserve"> </w:t>
      </w:r>
      <w:r w:rsidR="000E6DBF">
        <w:t xml:space="preserve">and </w:t>
      </w:r>
      <w:r w:rsidR="00E2590D" w:rsidRPr="00753416">
        <w:t>Kaufman, 19</w:t>
      </w:r>
      <w:r w:rsidR="0028511A" w:rsidRPr="00753416">
        <w:t>87</w:t>
      </w:r>
      <w:r w:rsidR="00E2590D" w:rsidRPr="00753416">
        <w:t>)</w:t>
      </w:r>
      <w:r w:rsidR="007A3CA6" w:rsidRPr="00753416">
        <w:t xml:space="preserve">. </w:t>
      </w:r>
      <w:r w:rsidRPr="00753416">
        <w:t xml:space="preserve">We determined the number of distinct </w:t>
      </w:r>
      <w:r w:rsidR="007A3CA6" w:rsidRPr="00753416">
        <w:t xml:space="preserve">foraminifera and diatom </w:t>
      </w:r>
      <w:r w:rsidRPr="00753416">
        <w:t xml:space="preserve">assemblages by calculating the maximum average silhouette width for group numbers ranging </w:t>
      </w:r>
      <w:r w:rsidRPr="00753416">
        <w:lastRenderedPageBreak/>
        <w:t xml:space="preserve">from 2 to 10. </w:t>
      </w:r>
      <w:r w:rsidR="00781BE3" w:rsidRPr="00753416">
        <w:t xml:space="preserve">Silhouette widths close to </w:t>
      </w:r>
      <w:r w:rsidR="00B952D9">
        <w:t>1</w:t>
      </w:r>
      <w:r w:rsidR="00781BE3" w:rsidRPr="00753416">
        <w:t xml:space="preserve"> represent a sample that was accurately classified, whereas values close to </w:t>
      </w:r>
      <w:r w:rsidR="00B952D9">
        <w:t>-1</w:t>
      </w:r>
      <w:r w:rsidR="00781BE3" w:rsidRPr="00753416">
        <w:t xml:space="preserve"> indicate poor classification (</w:t>
      </w:r>
      <w:proofErr w:type="spellStart"/>
      <w:r w:rsidR="00781BE3" w:rsidRPr="00753416">
        <w:t>Rousseeuw</w:t>
      </w:r>
      <w:proofErr w:type="spellEnd"/>
      <w:r w:rsidR="00781BE3" w:rsidRPr="00753416">
        <w:t>, 19</w:t>
      </w:r>
      <w:r w:rsidR="0028511A" w:rsidRPr="00753416">
        <w:t>87</w:t>
      </w:r>
      <w:r w:rsidR="00781BE3" w:rsidRPr="00753416">
        <w:t xml:space="preserve">). </w:t>
      </w:r>
    </w:p>
    <w:p w14:paraId="44CBBE46" w14:textId="77777777" w:rsidR="00912026" w:rsidRPr="00753416" w:rsidRDefault="00912026" w:rsidP="00122827"/>
    <w:p w14:paraId="1E5D7AF9" w14:textId="4E99F4E5" w:rsidR="00BA074B" w:rsidRPr="00753416" w:rsidRDefault="00912026" w:rsidP="00912026">
      <w:pPr>
        <w:pStyle w:val="Heading3"/>
      </w:pPr>
      <w:r w:rsidRPr="00753416">
        <w:t xml:space="preserve">3.4.2 </w:t>
      </w:r>
      <w:r w:rsidR="00E2590D" w:rsidRPr="00753416">
        <w:t>Ordination</w:t>
      </w:r>
      <w:r w:rsidR="00E03F11" w:rsidRPr="00753416">
        <w:t xml:space="preserve"> analysis</w:t>
      </w:r>
    </w:p>
    <w:p w14:paraId="0BB0E5DC" w14:textId="52D43FD0" w:rsidR="0036472E" w:rsidRPr="00753416" w:rsidRDefault="00E82FF5" w:rsidP="0036472E">
      <w:pPr>
        <w:rPr>
          <w:shd w:val="clear" w:color="auto" w:fill="FFFFFF"/>
        </w:rPr>
      </w:pPr>
      <w:r w:rsidRPr="00753416">
        <w:rPr>
          <w:shd w:val="clear" w:color="auto" w:fill="FFFFFF"/>
        </w:rPr>
        <w:t>To elucidate the relationship between foraminiferal and diatom assemblage</w:t>
      </w:r>
      <w:r w:rsidR="00762BFE">
        <w:rPr>
          <w:shd w:val="clear" w:color="auto" w:fill="FFFFFF"/>
        </w:rPr>
        <w:t>s</w:t>
      </w:r>
      <w:r w:rsidRPr="00753416">
        <w:rPr>
          <w:shd w:val="clear" w:color="auto" w:fill="FFFFFF"/>
        </w:rPr>
        <w:t xml:space="preserve"> and their respective environment, </w:t>
      </w:r>
      <w:r w:rsidRPr="00753416">
        <w:t>w</w:t>
      </w:r>
      <w:r w:rsidR="0036472E" w:rsidRPr="00753416">
        <w:t xml:space="preserve">e conducted </w:t>
      </w:r>
      <w:r w:rsidR="0036472E" w:rsidRPr="00753416">
        <w:rPr>
          <w:shd w:val="clear" w:color="auto" w:fill="FFFFFF"/>
        </w:rPr>
        <w:t>canonical</w:t>
      </w:r>
      <w:r w:rsidR="0036472E" w:rsidRPr="00753416">
        <w:rPr>
          <w:color w:val="222222"/>
        </w:rPr>
        <w:t xml:space="preserve"> </w:t>
      </w:r>
      <w:r w:rsidR="0036472E" w:rsidRPr="00753416">
        <w:rPr>
          <w:shd w:val="clear" w:color="auto" w:fill="FFFFFF"/>
        </w:rPr>
        <w:t>correspondence</w:t>
      </w:r>
      <w:r w:rsidR="0036472E" w:rsidRPr="00753416">
        <w:rPr>
          <w:color w:val="222222"/>
          <w:shd w:val="clear" w:color="auto" w:fill="FFFFFF"/>
        </w:rPr>
        <w:t> </w:t>
      </w:r>
      <w:r w:rsidR="0036472E" w:rsidRPr="00753416">
        <w:rPr>
          <w:shd w:val="clear" w:color="auto" w:fill="FFFFFF"/>
        </w:rPr>
        <w:t>analysis (CCA) (Ter Braak, 198</w:t>
      </w:r>
      <w:r w:rsidR="0028511A" w:rsidRPr="00753416">
        <w:rPr>
          <w:rFonts w:hint="eastAsia"/>
          <w:shd w:val="clear" w:color="auto" w:fill="FFFFFF"/>
        </w:rPr>
        <w:t>6</w:t>
      </w:r>
      <w:r w:rsidR="0036472E" w:rsidRPr="00753416">
        <w:rPr>
          <w:shd w:val="clear" w:color="auto" w:fill="FFFFFF"/>
        </w:rPr>
        <w:t>, Horton et al., 1999; Horton et al</w:t>
      </w:r>
      <w:r w:rsidR="005A12F4">
        <w:rPr>
          <w:shd w:val="clear" w:color="auto" w:fill="FFFFFF"/>
        </w:rPr>
        <w:t>.</w:t>
      </w:r>
      <w:r w:rsidR="0036472E" w:rsidRPr="00753416">
        <w:rPr>
          <w:shd w:val="clear" w:color="auto" w:fill="FFFFFF"/>
        </w:rPr>
        <w:t>, 2008)</w:t>
      </w:r>
      <w:r w:rsidR="00B271A8">
        <w:rPr>
          <w:shd w:val="clear" w:color="auto" w:fill="FFFFFF"/>
        </w:rPr>
        <w:t xml:space="preserve"> on taxa t</w:t>
      </w:r>
      <w:r w:rsidR="00B271A8" w:rsidRPr="00753416">
        <w:t xml:space="preserve">hat had an abundance </w:t>
      </w:r>
      <w:r w:rsidR="00B271A8">
        <w:t>&gt;</w:t>
      </w:r>
      <w:r w:rsidR="00B271A8" w:rsidRPr="00753416">
        <w:t>5%</w:t>
      </w:r>
      <w:r w:rsidR="00FF2834">
        <w:t xml:space="preserve"> in any one sample</w:t>
      </w:r>
      <w:r w:rsidR="00B271A8">
        <w:rPr>
          <w:shd w:val="clear" w:color="auto" w:fill="FFFFFF"/>
        </w:rPr>
        <w:t>. CCA</w:t>
      </w:r>
      <w:r w:rsidRPr="00753416">
        <w:rPr>
          <w:shd w:val="clear" w:color="auto" w:fill="FFFFFF"/>
        </w:rPr>
        <w:t xml:space="preserve"> </w:t>
      </w:r>
      <w:r w:rsidR="0036472E" w:rsidRPr="00753416">
        <w:rPr>
          <w:shd w:val="clear" w:color="auto" w:fill="FFFFFF"/>
        </w:rPr>
        <w:t>relate</w:t>
      </w:r>
      <w:r w:rsidRPr="00753416">
        <w:rPr>
          <w:shd w:val="clear" w:color="auto" w:fill="FFFFFF"/>
        </w:rPr>
        <w:t>d</w:t>
      </w:r>
      <w:r w:rsidR="0036472E" w:rsidRPr="00753416">
        <w:rPr>
          <w:shd w:val="clear" w:color="auto" w:fill="FFFFFF"/>
        </w:rPr>
        <w:t xml:space="preserve"> community composition to known variations in the environment. </w:t>
      </w:r>
      <w:r w:rsidR="00B20ACF" w:rsidRPr="00753416">
        <w:t>In a CCA biplot, diatom or foraminifera samples located in closer proximity to each other indicate greater similarity in their characteristics, reflecting that these samples shared</w:t>
      </w:r>
      <w:r w:rsidR="0036314D">
        <w:t xml:space="preserve"> a</w:t>
      </w:r>
      <w:r w:rsidR="00B20ACF" w:rsidRPr="00753416">
        <w:t xml:space="preserve"> similar environment that correspond</w:t>
      </w:r>
      <w:r w:rsidR="0036314D">
        <w:t>s</w:t>
      </w:r>
      <w:r w:rsidR="00B20ACF" w:rsidRPr="00753416">
        <w:t xml:space="preserve"> to underlying environmental variables in the data set</w:t>
      </w:r>
      <w:r w:rsidR="00776BEB" w:rsidRPr="00753416">
        <w:t xml:space="preserve"> (Figure 3</w:t>
      </w:r>
      <w:r w:rsidR="004A0FB6" w:rsidRPr="00753416">
        <w:t>E and J</w:t>
      </w:r>
      <w:r w:rsidR="00776BEB" w:rsidRPr="00753416">
        <w:t>)</w:t>
      </w:r>
      <w:r w:rsidR="00B20ACF" w:rsidRPr="00753416">
        <w:t>. Additionally, the direction of environmental vectors revealed their correlation with the principal axes and interrelations with other environmental variables (</w:t>
      </w:r>
      <w:r w:rsidR="00497B33" w:rsidRPr="00753416">
        <w:t>T</w:t>
      </w:r>
      <w:r w:rsidR="00B20ACF" w:rsidRPr="00753416">
        <w:t>er Braak, 1986).</w:t>
      </w:r>
      <w:r w:rsidR="00B20ACF" w:rsidRPr="00753416">
        <w:rPr>
          <w:shd w:val="clear" w:color="auto" w:fill="FFFFFF"/>
        </w:rPr>
        <w:t xml:space="preserve"> </w:t>
      </w:r>
      <w:r w:rsidR="0036472E" w:rsidRPr="00753416">
        <w:rPr>
          <w:shd w:val="clear" w:color="auto" w:fill="FFFFFF"/>
        </w:rPr>
        <w:t>The canonical eigenvalues were used as the measures of the amount of variation accounted for by each environmental variable and were transformed to percentages of total variation of species data (Horton et al</w:t>
      </w:r>
      <w:r w:rsidR="005A12F4">
        <w:rPr>
          <w:shd w:val="clear" w:color="auto" w:fill="FFFFFF"/>
        </w:rPr>
        <w:t>.</w:t>
      </w:r>
      <w:r w:rsidR="0036472E" w:rsidRPr="00753416">
        <w:rPr>
          <w:shd w:val="clear" w:color="auto" w:fill="FFFFFF"/>
        </w:rPr>
        <w:t xml:space="preserve">, 2008). </w:t>
      </w:r>
      <w:r w:rsidR="00F930AA">
        <w:rPr>
          <w:rFonts w:cs="Segoe UI"/>
          <w:color w:val="0D0D0D"/>
          <w:shd w:val="clear" w:color="auto" w:fill="FFFFFF"/>
        </w:rPr>
        <w:t>In</w:t>
      </w:r>
      <w:r w:rsidR="00F930AA" w:rsidRPr="00753416">
        <w:rPr>
          <w:rFonts w:cs="Segoe UI"/>
          <w:color w:val="0D0D0D"/>
          <w:shd w:val="clear" w:color="auto" w:fill="FFFFFF"/>
        </w:rPr>
        <w:t xml:space="preserve"> </w:t>
      </w:r>
      <w:r w:rsidR="00CB775E" w:rsidRPr="00753416">
        <w:rPr>
          <w:rFonts w:cs="Segoe UI"/>
          <w:color w:val="0D0D0D"/>
          <w:shd w:val="clear" w:color="auto" w:fill="FFFFFF"/>
        </w:rPr>
        <w:t>CCA and partial CCA, canonical eigenvalues are measures of the amount of variation accounted for by environmental variables (</w:t>
      </w:r>
      <w:r w:rsidR="00105640" w:rsidRPr="00753416">
        <w:t xml:space="preserve">e.g., </w:t>
      </w:r>
      <w:r w:rsidR="00CB775E" w:rsidRPr="00753416">
        <w:rPr>
          <w:rFonts w:cs="Segoe UI"/>
          <w:color w:val="0D0D0D"/>
          <w:shd w:val="clear" w:color="auto" w:fill="FFFFFF"/>
        </w:rPr>
        <w:t>Sawai et al., 2004; Horton and Culver, 2008).</w:t>
      </w:r>
      <w:r w:rsidR="0036314D">
        <w:rPr>
          <w:rFonts w:cs="Segoe UI"/>
          <w:color w:val="0D0D0D"/>
          <w:shd w:val="clear" w:color="auto" w:fill="FFFFFF"/>
        </w:rPr>
        <w:t xml:space="preserve"> </w:t>
      </w:r>
      <w:r w:rsidR="0036314D">
        <w:rPr>
          <w:shd w:val="clear" w:color="auto" w:fill="FFFFFF"/>
        </w:rPr>
        <w:t>This analysis was performed using the</w:t>
      </w:r>
      <w:r w:rsidR="0036314D" w:rsidRPr="00753416">
        <w:rPr>
          <w:shd w:val="clear" w:color="auto" w:fill="FFFFFF"/>
        </w:rPr>
        <w:t xml:space="preserve"> ‘vegan’ package in R (Okasanen et al., 2007).</w:t>
      </w:r>
    </w:p>
    <w:p w14:paraId="00FAF3E5" w14:textId="77777777" w:rsidR="002A2F39" w:rsidRPr="00753416" w:rsidRDefault="002A2F39" w:rsidP="00122827"/>
    <w:p w14:paraId="2FF5FDAC" w14:textId="5F10D714" w:rsidR="002A2F39" w:rsidRPr="00753416" w:rsidRDefault="00E14946" w:rsidP="009A2B20">
      <w:pPr>
        <w:pStyle w:val="Heading3"/>
      </w:pPr>
      <w:bookmarkStart w:id="0" w:name="OLE_LINK1"/>
      <w:bookmarkStart w:id="1" w:name="OLE_LINK2"/>
      <w:r w:rsidRPr="00753416">
        <w:t>3</w:t>
      </w:r>
      <w:r w:rsidR="009A2B20" w:rsidRPr="00753416">
        <w:t>.</w:t>
      </w:r>
      <w:r w:rsidR="0096280F" w:rsidRPr="00753416">
        <w:t>4</w:t>
      </w:r>
      <w:r w:rsidR="002A2F39" w:rsidRPr="00753416">
        <w:t>.</w:t>
      </w:r>
      <w:r w:rsidR="00337689" w:rsidRPr="00753416">
        <w:t>3</w:t>
      </w:r>
      <w:r w:rsidR="002A2F39" w:rsidRPr="00753416">
        <w:t xml:space="preserve"> </w:t>
      </w:r>
      <w:r w:rsidR="00571184" w:rsidRPr="00753416">
        <w:t>Linear discriminant analysis</w:t>
      </w:r>
    </w:p>
    <w:p w14:paraId="04F63958" w14:textId="33A0DF69" w:rsidR="007A3CA6" w:rsidRPr="00753416" w:rsidRDefault="00E2590D" w:rsidP="007A3CA6">
      <w:r w:rsidRPr="00753416">
        <w:t>W</w:t>
      </w:r>
      <w:r w:rsidR="002A2F39" w:rsidRPr="00753416">
        <w:t xml:space="preserve">e </w:t>
      </w:r>
      <w:r w:rsidRPr="00753416">
        <w:t xml:space="preserve">applied </w:t>
      </w:r>
      <w:r w:rsidR="007A3CA6" w:rsidRPr="00753416">
        <w:t>l</w:t>
      </w:r>
      <w:r w:rsidR="002A2F39" w:rsidRPr="00753416">
        <w:t xml:space="preserve">inear discriminant analysis (LDA) to </w:t>
      </w:r>
      <w:r w:rsidRPr="00753416">
        <w:t>the δ</w:t>
      </w:r>
      <w:r w:rsidRPr="00753416">
        <w:rPr>
          <w:vertAlign w:val="superscript"/>
        </w:rPr>
        <w:t>13</w:t>
      </w:r>
      <w:r w:rsidRPr="00753416">
        <w:t xml:space="preserve">C, TOC, and C/N dataset to </w:t>
      </w:r>
      <w:r w:rsidR="002A2F39" w:rsidRPr="00753416">
        <w:t xml:space="preserve">detect </w:t>
      </w:r>
      <w:r w:rsidR="00571184" w:rsidRPr="00753416">
        <w:t xml:space="preserve">paleoenvironmental shifts </w:t>
      </w:r>
      <w:r w:rsidR="002A2F39" w:rsidRPr="00753416">
        <w:t xml:space="preserve">within </w:t>
      </w:r>
      <w:r w:rsidR="007A3CA6" w:rsidRPr="00753416">
        <w:t xml:space="preserve">core </w:t>
      </w:r>
      <w:r w:rsidR="00353DBF" w:rsidRPr="00753416">
        <w:t>MPSC01</w:t>
      </w:r>
      <w:r w:rsidR="00B40E57" w:rsidRPr="00753416">
        <w:t xml:space="preserve"> (</w:t>
      </w:r>
      <w:r w:rsidR="00105640" w:rsidRPr="00753416">
        <w:t xml:space="preserve">e.g., </w:t>
      </w:r>
      <w:r w:rsidR="004F0B11" w:rsidRPr="00753416">
        <w:t xml:space="preserve">Kemp et al., 2012; </w:t>
      </w:r>
      <w:r w:rsidR="00B40E57" w:rsidRPr="00753416">
        <w:t>Khan et al., 201</w:t>
      </w:r>
      <w:r w:rsidR="0050374A" w:rsidRPr="00753416">
        <w:t>9</w:t>
      </w:r>
      <w:r w:rsidR="00B40E57" w:rsidRPr="00753416">
        <w:t>)</w:t>
      </w:r>
      <w:r w:rsidR="002A2F39" w:rsidRPr="00753416">
        <w:t>. LDA assigns observations into one of several predefined categories (Venables and Ripley, 2002).</w:t>
      </w:r>
      <w:r w:rsidR="00420CDB" w:rsidRPr="00753416">
        <w:t xml:space="preserve"> The </w:t>
      </w:r>
      <w:r w:rsidR="007A3CA6" w:rsidRPr="00753416">
        <w:t xml:space="preserve">categories </w:t>
      </w:r>
      <w:r w:rsidR="00420CDB" w:rsidRPr="00753416">
        <w:t xml:space="preserve">applied in the analysis corresponded to </w:t>
      </w:r>
      <w:r w:rsidR="007A3CA6" w:rsidRPr="00753416">
        <w:t>contemporary</w:t>
      </w:r>
      <w:r w:rsidR="00420CDB" w:rsidRPr="00753416">
        <w:t xml:space="preserve"> environment</w:t>
      </w:r>
      <w:r w:rsidRPr="00753416">
        <w:t>al</w:t>
      </w:r>
      <w:r w:rsidR="00420CDB" w:rsidRPr="00753416">
        <w:t xml:space="preserve"> </w:t>
      </w:r>
      <w:r w:rsidR="007A3CA6" w:rsidRPr="00753416">
        <w:t xml:space="preserve">zones observed at our study sites </w:t>
      </w:r>
      <w:r w:rsidR="004929AA" w:rsidRPr="00753416">
        <w:t xml:space="preserve">reported </w:t>
      </w:r>
      <w:r w:rsidR="00420CDB" w:rsidRPr="00753416">
        <w:t xml:space="preserve">in Section </w:t>
      </w:r>
      <w:r w:rsidR="002A605E" w:rsidRPr="00753416">
        <w:t>2</w:t>
      </w:r>
      <w:r w:rsidR="00420CDB" w:rsidRPr="00753416">
        <w:t xml:space="preserve">, which include </w:t>
      </w:r>
      <w:r w:rsidR="007A3CA6" w:rsidRPr="00753416">
        <w:t xml:space="preserve">subtidal, </w:t>
      </w:r>
      <w:r w:rsidR="005C2F8C" w:rsidRPr="00753416">
        <w:t>mud</w:t>
      </w:r>
      <w:r w:rsidR="00420CDB" w:rsidRPr="00753416">
        <w:t>flat, mangrove</w:t>
      </w:r>
      <w:r w:rsidR="005C2F8C" w:rsidRPr="00753416">
        <w:t xml:space="preserve"> fringe</w:t>
      </w:r>
      <w:r w:rsidR="00420CDB" w:rsidRPr="00753416">
        <w:t>,</w:t>
      </w:r>
      <w:r w:rsidR="005C2F8C" w:rsidRPr="00753416">
        <w:t xml:space="preserve"> mangrove, terrestrial</w:t>
      </w:r>
      <w:r w:rsidR="00420CDB" w:rsidRPr="00753416">
        <w:t xml:space="preserve"> transition,</w:t>
      </w:r>
      <w:r w:rsidR="004C5629" w:rsidRPr="00753416">
        <w:t xml:space="preserve"> </w:t>
      </w:r>
      <w:r w:rsidR="007A3CA6" w:rsidRPr="00753416">
        <w:t xml:space="preserve">and </w:t>
      </w:r>
      <w:r w:rsidR="004C5629" w:rsidRPr="00753416">
        <w:t>terrestrial</w:t>
      </w:r>
      <w:r w:rsidR="00420CDB" w:rsidRPr="00753416">
        <w:t xml:space="preserve"> environments</w:t>
      </w:r>
      <w:r w:rsidR="00776BEB" w:rsidRPr="00753416">
        <w:t xml:space="preserve"> (Figure 4)</w:t>
      </w:r>
      <w:r w:rsidR="00420CDB" w:rsidRPr="00753416">
        <w:t>.</w:t>
      </w:r>
      <w:r w:rsidR="002A2F39" w:rsidRPr="00753416">
        <w:t xml:space="preserve"> </w:t>
      </w:r>
      <w:r w:rsidR="007A3CA6" w:rsidRPr="00753416">
        <w:rPr>
          <w:rFonts w:cs="Segoe UI"/>
          <w:color w:val="0D0D0D"/>
          <w:shd w:val="clear" w:color="auto" w:fill="FFFFFF"/>
        </w:rPr>
        <w:t>To estimate how well LDA was able to correctly assign samples to their respective environments in the modern training set, we estimated the frequency of sample misclassification by cross</w:t>
      </w:r>
      <w:r w:rsidR="00231590" w:rsidRPr="00753416">
        <w:rPr>
          <w:rFonts w:cs="Segoe UI"/>
          <w:color w:val="0D0D0D"/>
          <w:shd w:val="clear" w:color="auto" w:fill="FFFFFF"/>
        </w:rPr>
        <w:t>-</w:t>
      </w:r>
      <w:r w:rsidR="007A3CA6" w:rsidRPr="00753416">
        <w:rPr>
          <w:rFonts w:cs="Segoe UI"/>
          <w:color w:val="0D0D0D"/>
          <w:shd w:val="clear" w:color="auto" w:fill="FFFFFF"/>
        </w:rPr>
        <w:t>validation (leave one out) (Kemp et al., 2012</w:t>
      </w:r>
      <w:r w:rsidR="007A3CA6" w:rsidRPr="00753416">
        <w:t xml:space="preserve">). </w:t>
      </w:r>
    </w:p>
    <w:p w14:paraId="0A0A707B" w14:textId="77777777" w:rsidR="007A3CA6" w:rsidRPr="00753416" w:rsidRDefault="007A3CA6" w:rsidP="007A3CA6"/>
    <w:p w14:paraId="1FB5867D" w14:textId="0311B374" w:rsidR="00E14946" w:rsidRPr="00753416" w:rsidRDefault="009101EB" w:rsidP="00A83830">
      <w:r w:rsidRPr="001B2703">
        <w:lastRenderedPageBreak/>
        <w:t xml:space="preserve">The subsequent linear discriminant functions from LDA </w:t>
      </w:r>
      <w:proofErr w:type="gramStart"/>
      <w:r w:rsidR="002A2F39" w:rsidRPr="00753416">
        <w:t>was</w:t>
      </w:r>
      <w:proofErr w:type="gramEnd"/>
      <w:r w:rsidR="002A2F39" w:rsidRPr="00753416">
        <w:t xml:space="preserve"> applied to the core samples to calculate the likelihood of each sample belonging to </w:t>
      </w:r>
      <w:r w:rsidR="007A3CA6" w:rsidRPr="00753416">
        <w:t xml:space="preserve">the </w:t>
      </w:r>
      <w:r w:rsidR="002A2F39" w:rsidRPr="00753416">
        <w:t>predefined environmental zo</w:t>
      </w:r>
      <w:r w:rsidR="002A2F39" w:rsidRPr="00753416">
        <w:rPr>
          <w:rFonts w:cs="Segoe UI"/>
        </w:rPr>
        <w:t>ne</w:t>
      </w:r>
      <w:r w:rsidR="002A2F39" w:rsidRPr="00753416">
        <w:t>s</w:t>
      </w:r>
      <w:r w:rsidR="00970E3F" w:rsidRPr="00753416">
        <w:t>.</w:t>
      </w:r>
      <w:r w:rsidR="00365896" w:rsidRPr="00753416">
        <w:t xml:space="preserve"> </w:t>
      </w:r>
      <w:r w:rsidR="00970E3F" w:rsidRPr="00753416">
        <w:rPr>
          <w:rFonts w:cs="Segoe UI"/>
          <w:color w:val="0D0D0D"/>
          <w:shd w:val="clear" w:color="auto" w:fill="FFFFFF"/>
        </w:rPr>
        <w:t>A</w:t>
      </w:r>
      <w:r w:rsidR="007A3CA6" w:rsidRPr="00753416">
        <w:rPr>
          <w:rFonts w:cs="Segoe UI"/>
          <w:color w:val="0D0D0D"/>
          <w:shd w:val="clear" w:color="auto" w:fill="FFFFFF"/>
        </w:rPr>
        <w:t xml:space="preserve"> </w:t>
      </w:r>
      <w:r w:rsidR="00A83830" w:rsidRPr="00753416">
        <w:rPr>
          <w:rFonts w:cs="Segoe UI"/>
          <w:color w:val="0D0D0D"/>
          <w:shd w:val="clear" w:color="auto" w:fill="FFFFFF"/>
        </w:rPr>
        <w:t>sample w</w:t>
      </w:r>
      <w:r w:rsidR="007A3CA6" w:rsidRPr="00753416">
        <w:rPr>
          <w:rFonts w:cs="Segoe UI"/>
          <w:color w:val="0D0D0D"/>
          <w:shd w:val="clear" w:color="auto" w:fill="FFFFFF"/>
        </w:rPr>
        <w:t>as</w:t>
      </w:r>
      <w:r w:rsidR="00A83830" w:rsidRPr="00753416">
        <w:rPr>
          <w:rFonts w:cs="Segoe UI"/>
          <w:color w:val="0D0D0D"/>
          <w:shd w:val="clear" w:color="auto" w:fill="FFFFFF"/>
        </w:rPr>
        <w:t xml:space="preserve"> categorized into </w:t>
      </w:r>
      <w:r w:rsidR="007A3CA6" w:rsidRPr="00753416">
        <w:rPr>
          <w:rFonts w:cs="Segoe UI"/>
          <w:color w:val="0D0D0D"/>
          <w:shd w:val="clear" w:color="auto" w:fill="FFFFFF"/>
        </w:rPr>
        <w:t xml:space="preserve">a </w:t>
      </w:r>
      <w:r w:rsidR="00A83830" w:rsidRPr="00753416">
        <w:rPr>
          <w:rFonts w:cs="Segoe UI"/>
          <w:color w:val="0D0D0D"/>
          <w:shd w:val="clear" w:color="auto" w:fill="FFFFFF"/>
        </w:rPr>
        <w:t xml:space="preserve">distinct environmental </w:t>
      </w:r>
      <w:r w:rsidR="007A3CA6" w:rsidRPr="00753416">
        <w:rPr>
          <w:rFonts w:cs="Segoe UI"/>
          <w:color w:val="0D0D0D"/>
          <w:shd w:val="clear" w:color="auto" w:fill="FFFFFF"/>
        </w:rPr>
        <w:t>zone</w:t>
      </w:r>
      <w:r w:rsidR="00A83830" w:rsidRPr="00753416">
        <w:rPr>
          <w:rFonts w:cs="Segoe UI"/>
          <w:color w:val="0D0D0D"/>
          <w:shd w:val="clear" w:color="auto" w:fill="FFFFFF"/>
        </w:rPr>
        <w:t xml:space="preserve"> </w:t>
      </w:r>
      <w:r w:rsidR="007A3CA6" w:rsidRPr="00753416">
        <w:rPr>
          <w:rFonts w:cs="Segoe UI"/>
          <w:color w:val="0D0D0D"/>
          <w:shd w:val="clear" w:color="auto" w:fill="FFFFFF"/>
        </w:rPr>
        <w:t>if the probability of its affiliation to that zone</w:t>
      </w:r>
      <w:r w:rsidR="00A83830" w:rsidRPr="00753416">
        <w:rPr>
          <w:rFonts w:cs="Segoe UI"/>
          <w:color w:val="0D0D0D"/>
          <w:shd w:val="clear" w:color="auto" w:fill="FFFFFF"/>
        </w:rPr>
        <w:t xml:space="preserve"> </w:t>
      </w:r>
      <w:r w:rsidR="007A3CA6" w:rsidRPr="00753416">
        <w:rPr>
          <w:rFonts w:cs="Segoe UI"/>
          <w:color w:val="0D0D0D"/>
          <w:shd w:val="clear" w:color="auto" w:fill="FFFFFF"/>
        </w:rPr>
        <w:t xml:space="preserve">exceeded a </w:t>
      </w:r>
      <w:r w:rsidR="00A83830" w:rsidRPr="00753416">
        <w:rPr>
          <w:rFonts w:cs="Segoe UI"/>
          <w:color w:val="0D0D0D"/>
          <w:shd w:val="clear" w:color="auto" w:fill="FFFFFF"/>
        </w:rPr>
        <w:t xml:space="preserve">threshold </w:t>
      </w:r>
      <w:r w:rsidR="00B952D9">
        <w:rPr>
          <w:rFonts w:cs="Segoe UI"/>
          <w:color w:val="0D0D0D"/>
          <w:shd w:val="clear" w:color="auto" w:fill="FFFFFF"/>
        </w:rPr>
        <w:t>&gt;</w:t>
      </w:r>
      <w:r w:rsidR="00A83830" w:rsidRPr="00753416">
        <w:rPr>
          <w:rFonts w:cs="Segoe UI"/>
          <w:color w:val="0D0D0D"/>
          <w:shd w:val="clear" w:color="auto" w:fill="FFFFFF"/>
        </w:rPr>
        <w:t>0.9</w:t>
      </w:r>
      <w:r w:rsidR="00C674F5" w:rsidRPr="00753416">
        <w:rPr>
          <w:rFonts w:cs="Segoe UI"/>
          <w:color w:val="0D0D0D"/>
          <w:shd w:val="clear" w:color="auto" w:fill="FFFFFF"/>
        </w:rPr>
        <w:t>.</w:t>
      </w:r>
      <w:r w:rsidR="00102A77" w:rsidRPr="00753416">
        <w:rPr>
          <w:rFonts w:cs="Segoe UI"/>
          <w:color w:val="0D0D0D"/>
          <w:shd w:val="clear" w:color="auto" w:fill="FFFFFF"/>
        </w:rPr>
        <w:t xml:space="preserve"> </w:t>
      </w:r>
      <w:r w:rsidR="003A1D6A" w:rsidRPr="00753416">
        <w:t xml:space="preserve">We considered samples could be from more than one environmental zone when the probability was &lt;0.9. </w:t>
      </w:r>
      <w:r w:rsidR="007A3CA6" w:rsidRPr="00753416">
        <w:rPr>
          <w:rFonts w:cs="Segoe UI"/>
          <w:color w:val="0D0D0D"/>
          <w:shd w:val="clear" w:color="auto" w:fill="FFFFFF"/>
        </w:rPr>
        <w:t>The elevation range of each respective environment was used as prior information in a Bayesian transfer function (BTF) (see Section 3.5).</w:t>
      </w:r>
      <w:r w:rsidR="00571184" w:rsidRPr="00753416">
        <w:rPr>
          <w:rFonts w:cs="Segoe UI"/>
          <w:color w:val="0D0D0D"/>
          <w:shd w:val="clear" w:color="auto" w:fill="FFFFFF"/>
        </w:rPr>
        <w:t xml:space="preserve"> </w:t>
      </w:r>
      <w:r w:rsidR="007A3CA6" w:rsidRPr="00753416">
        <w:rPr>
          <w:rFonts w:cs="Segoe UI"/>
          <w:color w:val="0D0D0D"/>
          <w:shd w:val="clear" w:color="auto" w:fill="FFFFFF"/>
        </w:rPr>
        <w:t>In cases where samples were assigned to multiple environmental zones</w:t>
      </w:r>
      <w:r w:rsidR="00CC1F34" w:rsidRPr="00753416">
        <w:rPr>
          <w:rFonts w:cs="Segoe UI"/>
          <w:color w:val="0D0D0D"/>
          <w:shd w:val="clear" w:color="auto" w:fill="FFFFFF"/>
        </w:rPr>
        <w:t xml:space="preserve">, we </w:t>
      </w:r>
      <w:r w:rsidR="007A3CA6" w:rsidRPr="00753416">
        <w:rPr>
          <w:rFonts w:cs="Segoe UI"/>
          <w:color w:val="0D0D0D"/>
          <w:shd w:val="clear" w:color="auto" w:fill="FFFFFF"/>
        </w:rPr>
        <w:t xml:space="preserve">combined </w:t>
      </w:r>
      <w:r w:rsidR="00CC1F34" w:rsidRPr="00753416">
        <w:rPr>
          <w:rFonts w:cs="Segoe UI"/>
          <w:color w:val="0D0D0D"/>
          <w:shd w:val="clear" w:color="auto" w:fill="FFFFFF"/>
        </w:rPr>
        <w:t xml:space="preserve">the </w:t>
      </w:r>
      <w:r w:rsidR="007A3CA6" w:rsidRPr="00753416">
        <w:rPr>
          <w:rFonts w:cs="Segoe UI"/>
          <w:color w:val="0D0D0D"/>
          <w:shd w:val="clear" w:color="auto" w:fill="FFFFFF"/>
        </w:rPr>
        <w:t xml:space="preserve">elevation </w:t>
      </w:r>
      <w:r w:rsidR="00CC1F34" w:rsidRPr="00753416">
        <w:rPr>
          <w:rFonts w:cs="Segoe UI"/>
          <w:color w:val="0D0D0D"/>
          <w:shd w:val="clear" w:color="auto" w:fill="FFFFFF"/>
        </w:rPr>
        <w:t xml:space="preserve">ranges of </w:t>
      </w:r>
      <w:r w:rsidR="007A3CA6" w:rsidRPr="00753416">
        <w:rPr>
          <w:rFonts w:cs="Segoe UI"/>
          <w:color w:val="0D0D0D"/>
          <w:shd w:val="clear" w:color="auto" w:fill="FFFFFF"/>
        </w:rPr>
        <w:t xml:space="preserve">those </w:t>
      </w:r>
      <w:r w:rsidR="00CC1F34" w:rsidRPr="00753416">
        <w:rPr>
          <w:rFonts w:cs="Segoe UI"/>
          <w:color w:val="0D0D0D"/>
          <w:shd w:val="clear" w:color="auto" w:fill="FFFFFF"/>
        </w:rPr>
        <w:t xml:space="preserve">zones as prior information </w:t>
      </w:r>
      <w:r w:rsidR="0036314D">
        <w:rPr>
          <w:rFonts w:cs="Segoe UI"/>
          <w:color w:val="0D0D0D"/>
          <w:shd w:val="clear" w:color="auto" w:fill="FFFFFF"/>
        </w:rPr>
        <w:t>in</w:t>
      </w:r>
      <w:r w:rsidR="0036314D" w:rsidRPr="00753416">
        <w:rPr>
          <w:rFonts w:cs="Segoe UI"/>
          <w:color w:val="0D0D0D"/>
          <w:shd w:val="clear" w:color="auto" w:fill="FFFFFF"/>
        </w:rPr>
        <w:t xml:space="preserve"> </w:t>
      </w:r>
      <w:r w:rsidR="00CC1F34" w:rsidRPr="00753416">
        <w:rPr>
          <w:rFonts w:cs="Segoe UI"/>
          <w:color w:val="0D0D0D"/>
          <w:shd w:val="clear" w:color="auto" w:fill="FFFFFF"/>
        </w:rPr>
        <w:t>the</w:t>
      </w:r>
      <w:r w:rsidR="00FD7403" w:rsidRPr="00753416">
        <w:rPr>
          <w:rFonts w:cs="Segoe UI"/>
          <w:color w:val="0D0D0D"/>
          <w:shd w:val="clear" w:color="auto" w:fill="FFFFFF"/>
        </w:rPr>
        <w:t xml:space="preserve"> </w:t>
      </w:r>
      <w:r w:rsidR="00CC1F34" w:rsidRPr="00753416">
        <w:rPr>
          <w:rFonts w:cs="Segoe UI"/>
          <w:color w:val="0D0D0D"/>
          <w:shd w:val="clear" w:color="auto" w:fill="FFFFFF"/>
        </w:rPr>
        <w:t xml:space="preserve">BTF. </w:t>
      </w:r>
    </w:p>
    <w:bookmarkEnd w:id="0"/>
    <w:bookmarkEnd w:id="1"/>
    <w:p w14:paraId="1BC3EFEC" w14:textId="77777777" w:rsidR="002A2F39" w:rsidRPr="00753416" w:rsidRDefault="002A2F39">
      <w:pPr>
        <w:spacing w:line="240" w:lineRule="auto"/>
        <w:jc w:val="left"/>
        <w:rPr>
          <w:i/>
          <w:iCs/>
          <w:u w:val="single"/>
        </w:rPr>
      </w:pPr>
    </w:p>
    <w:p w14:paraId="5040295D" w14:textId="42D0C132" w:rsidR="00CB775E" w:rsidRPr="00753416" w:rsidRDefault="00E14946" w:rsidP="003A4897">
      <w:pPr>
        <w:pStyle w:val="Heading2"/>
      </w:pPr>
      <w:r w:rsidRPr="00753416">
        <w:t>3</w:t>
      </w:r>
      <w:r w:rsidR="009A2B20" w:rsidRPr="00753416">
        <w:t>.</w:t>
      </w:r>
      <w:r w:rsidR="0032286E" w:rsidRPr="00753416">
        <w:t>5</w:t>
      </w:r>
      <w:r w:rsidR="009A2B20" w:rsidRPr="00753416">
        <w:t xml:space="preserve"> </w:t>
      </w:r>
      <w:r w:rsidR="0096280F" w:rsidRPr="00753416">
        <w:t xml:space="preserve">Development of </w:t>
      </w:r>
      <w:r w:rsidR="00CB775E" w:rsidRPr="00753416">
        <w:t>Bayesian transfer function</w:t>
      </w:r>
      <w:r w:rsidR="00D90712" w:rsidRPr="00753416">
        <w:t>s</w:t>
      </w:r>
    </w:p>
    <w:p w14:paraId="45CF3059" w14:textId="3F50DBE7" w:rsidR="00BA266C" w:rsidRDefault="0036314D" w:rsidP="00BA266C">
      <w:pPr>
        <w:tabs>
          <w:tab w:val="left" w:pos="7797"/>
        </w:tabs>
      </w:pPr>
      <w:r>
        <w:t xml:space="preserve">We </w:t>
      </w:r>
      <w:r w:rsidR="009A4C57" w:rsidRPr="00753416">
        <w:t>develop</w:t>
      </w:r>
      <w:r>
        <w:t>ed</w:t>
      </w:r>
      <w:r w:rsidR="0074067B" w:rsidRPr="00753416">
        <w:t xml:space="preserve"> </w:t>
      </w:r>
      <w:r w:rsidR="00D76037" w:rsidRPr="00753416">
        <w:t>Bayesian Transfer Function</w:t>
      </w:r>
      <w:r w:rsidR="0074067B" w:rsidRPr="00753416">
        <w:t>s</w:t>
      </w:r>
      <w:r w:rsidR="00D76037" w:rsidRPr="00753416">
        <w:t xml:space="preserve"> (BTF), which allow </w:t>
      </w:r>
      <w:r w:rsidR="007A3CA6" w:rsidRPr="00753416">
        <w:t xml:space="preserve">for </w:t>
      </w:r>
      <w:r w:rsidR="00D76037" w:rsidRPr="00753416">
        <w:t>non-</w:t>
      </w:r>
      <w:r w:rsidR="007A3CA6" w:rsidRPr="00753416">
        <w:t xml:space="preserve">parametric species </w:t>
      </w:r>
      <w:r w:rsidR="00D76037" w:rsidRPr="00753416">
        <w:t>response curve</w:t>
      </w:r>
      <w:r w:rsidR="007A3CA6" w:rsidRPr="00753416">
        <w:t>s</w:t>
      </w:r>
      <w:r w:rsidR="00D76037" w:rsidRPr="00753416">
        <w:t xml:space="preserve"> </w:t>
      </w:r>
      <w:r w:rsidR="007A3CA6" w:rsidRPr="00753416">
        <w:t>using</w:t>
      </w:r>
      <w:r w:rsidR="00D76037" w:rsidRPr="00753416">
        <w:t xml:space="preserve"> penalised spline </w:t>
      </w:r>
      <w:r w:rsidR="007A3CA6" w:rsidRPr="00753416">
        <w:t xml:space="preserve">functions </w:t>
      </w:r>
      <w:r w:rsidR="00D76037" w:rsidRPr="00753416">
        <w:t xml:space="preserve">to describe the relationship between tidal elevation and foraminifera </w:t>
      </w:r>
      <w:r w:rsidR="00970E3F" w:rsidRPr="00753416">
        <w:t xml:space="preserve">or diatom </w:t>
      </w:r>
      <w:r w:rsidR="007A3CA6" w:rsidRPr="00753416">
        <w:t>abundance</w:t>
      </w:r>
      <w:r>
        <w:t xml:space="preserve"> (</w:t>
      </w:r>
      <w:r w:rsidRPr="00753416">
        <w:t>Cahill et al.</w:t>
      </w:r>
      <w:r>
        <w:t>, 2</w:t>
      </w:r>
      <w:r w:rsidRPr="00753416">
        <w:t>016)</w:t>
      </w:r>
      <w:r w:rsidR="007C4A3C" w:rsidRPr="00753416">
        <w:t xml:space="preserve">. This approach </w:t>
      </w:r>
      <w:r w:rsidR="00B952D9">
        <w:t xml:space="preserve">used </w:t>
      </w:r>
      <w:r w:rsidR="007C4A3C" w:rsidRPr="00753416">
        <w:t>t</w:t>
      </w:r>
      <w:r w:rsidR="00444DBA" w:rsidRPr="00753416">
        <w:t>axa abundance</w:t>
      </w:r>
      <w:r w:rsidR="00EF1979">
        <w:t xml:space="preserve">s (&gt;5% of the assemblage in any sample, as in the CCA) </w:t>
      </w:r>
      <w:r w:rsidR="00B952D9" w:rsidRPr="00753416">
        <w:t>expressed</w:t>
      </w:r>
      <w:r w:rsidR="00B952D9">
        <w:t xml:space="preserve"> as</w:t>
      </w:r>
      <w:r w:rsidR="00444DBA" w:rsidRPr="00753416">
        <w:t xml:space="preserve"> counts, </w:t>
      </w:r>
      <w:r w:rsidR="00B952D9">
        <w:t xml:space="preserve">which </w:t>
      </w:r>
      <w:r w:rsidR="00444DBA" w:rsidRPr="00753416">
        <w:t>allow</w:t>
      </w:r>
      <w:r w:rsidR="00B952D9">
        <w:t>s</w:t>
      </w:r>
      <w:r w:rsidR="00444DBA" w:rsidRPr="00753416">
        <w:t xml:space="preserve"> the model to account for the decreased uncertainty inherent in larger count sizes and to provide flexibility in depicting multi-modal and non-Gaussian responses of species to environmental variables (Cahill et al., 2016)</w:t>
      </w:r>
      <w:r w:rsidR="00D76037" w:rsidRPr="00753416">
        <w:rPr>
          <w:color w:val="FF0000"/>
        </w:rPr>
        <w:t>.</w:t>
      </w:r>
      <w:r w:rsidR="0032286E" w:rsidRPr="00753416">
        <w:rPr>
          <w:color w:val="FF0000"/>
        </w:rPr>
        <w:t xml:space="preserve"> </w:t>
      </w:r>
      <w:r w:rsidR="00723EF9" w:rsidRPr="00753416">
        <w:t xml:space="preserve">Bayesian transfer functions provided two distinct advantages over conventional regression-based (e.g., weighted average partial least squares) methods, including 1) the ability to model species response curves flexibly using spline functions (i.e., not assume parametric unimodal or linear functional forms) and 2) the potential to include informative priors from independent evidence, which in this study was provided by elevation-dependent zones identified by stable carbon isotope geochemistry. </w:t>
      </w:r>
      <w:r w:rsidR="007A3CA6" w:rsidRPr="00753416">
        <w:t xml:space="preserve">Following </w:t>
      </w:r>
      <w:proofErr w:type="spellStart"/>
      <w:r w:rsidR="007A3CA6" w:rsidRPr="00753416">
        <w:rPr>
          <w:color w:val="000000" w:themeColor="text1"/>
        </w:rPr>
        <w:t>Juggins</w:t>
      </w:r>
      <w:proofErr w:type="spellEnd"/>
      <w:r w:rsidR="007A3CA6" w:rsidRPr="00753416">
        <w:rPr>
          <w:color w:val="000000" w:themeColor="text1"/>
        </w:rPr>
        <w:t xml:space="preserve"> and Birks (2012),</w:t>
      </w:r>
      <w:r w:rsidR="007A3CA6" w:rsidRPr="00753416">
        <w:t xml:space="preserve"> we </w:t>
      </w:r>
      <w:r w:rsidR="00D90B66" w:rsidRPr="00753416">
        <w:t xml:space="preserve">used the single pass approach </w:t>
      </w:r>
      <w:r w:rsidR="00476402" w:rsidRPr="00753416">
        <w:t>(i.e., screening was performed once, rather than iteratively)</w:t>
      </w:r>
      <w:r w:rsidR="00200679" w:rsidRPr="00753416">
        <w:t xml:space="preserve"> (Williams et al., 2021) </w:t>
      </w:r>
      <w:r w:rsidR="00D90B66" w:rsidRPr="00753416">
        <w:t xml:space="preserve">to </w:t>
      </w:r>
      <w:r w:rsidR="00E2590D" w:rsidRPr="00753416">
        <w:t>screen out</w:t>
      </w:r>
      <w:r w:rsidR="007A3CA6" w:rsidRPr="00753416">
        <w:t xml:space="preserve"> samples </w:t>
      </w:r>
      <w:r w:rsidR="007A3CA6" w:rsidRPr="00753416">
        <w:rPr>
          <w:color w:val="000000" w:themeColor="text1"/>
        </w:rPr>
        <w:t>that had residuals exceeding two standard deviations from the mean</w:t>
      </w:r>
      <w:r w:rsidR="000E6834" w:rsidRPr="00753416">
        <w:rPr>
          <w:color w:val="000000" w:themeColor="text1"/>
        </w:rPr>
        <w:t xml:space="preserve"> of the residual</w:t>
      </w:r>
      <w:r w:rsidR="00FD676C" w:rsidRPr="00753416">
        <w:rPr>
          <w:color w:val="000000" w:themeColor="text1"/>
        </w:rPr>
        <w:t>s in cross</w:t>
      </w:r>
      <w:r w:rsidR="00231590" w:rsidRPr="00753416">
        <w:rPr>
          <w:color w:val="000000" w:themeColor="text1"/>
        </w:rPr>
        <w:t>-</w:t>
      </w:r>
      <w:r w:rsidR="00FD676C" w:rsidRPr="00753416">
        <w:rPr>
          <w:color w:val="000000" w:themeColor="text1"/>
        </w:rPr>
        <w:t>validation</w:t>
      </w:r>
      <w:r w:rsidR="000E6834" w:rsidRPr="00753416">
        <w:rPr>
          <w:color w:val="000000" w:themeColor="text1"/>
        </w:rPr>
        <w:t xml:space="preserve"> (</w:t>
      </w:r>
      <w:r w:rsidR="00105640" w:rsidRPr="00753416">
        <w:t xml:space="preserve">e.g., </w:t>
      </w:r>
      <w:r w:rsidR="000E6834" w:rsidRPr="00753416">
        <w:rPr>
          <w:color w:val="000000" w:themeColor="text1"/>
        </w:rPr>
        <w:t>Kemp and Telford, 2015; Williams et al., 2021)</w:t>
      </w:r>
      <w:r w:rsidR="00FF4D83">
        <w:rPr>
          <w:color w:val="000000" w:themeColor="text1"/>
        </w:rPr>
        <w:t xml:space="preserve"> for </w:t>
      </w:r>
      <w:r w:rsidR="007C4A3C" w:rsidRPr="00753416">
        <w:rPr>
          <w:color w:val="000000" w:themeColor="text1"/>
        </w:rPr>
        <w:t xml:space="preserve">both foraminifera- </w:t>
      </w:r>
      <w:r w:rsidR="00B952D9">
        <w:rPr>
          <w:color w:val="000000" w:themeColor="text1"/>
        </w:rPr>
        <w:t xml:space="preserve">(F-BTF) </w:t>
      </w:r>
      <w:r w:rsidR="007C4A3C" w:rsidRPr="00753416">
        <w:rPr>
          <w:color w:val="000000" w:themeColor="text1"/>
        </w:rPr>
        <w:t>and diatom-BTF</w:t>
      </w:r>
      <w:r w:rsidR="00EF1979">
        <w:rPr>
          <w:color w:val="000000" w:themeColor="text1"/>
        </w:rPr>
        <w:t>s</w:t>
      </w:r>
      <w:r w:rsidR="00B952D9">
        <w:rPr>
          <w:color w:val="000000" w:themeColor="text1"/>
        </w:rPr>
        <w:t xml:space="preserve"> (D-BTF)</w:t>
      </w:r>
      <w:r w:rsidR="007A3CA6" w:rsidRPr="00753416">
        <w:rPr>
          <w:color w:val="000000" w:themeColor="text1"/>
        </w:rPr>
        <w:t>.</w:t>
      </w:r>
      <w:r w:rsidR="0000132A">
        <w:rPr>
          <w:color w:val="000000" w:themeColor="text1"/>
        </w:rPr>
        <w:t xml:space="preserve"> </w:t>
      </w:r>
      <w:r w:rsidR="009B066A">
        <w:rPr>
          <w:color w:val="000000" w:themeColor="text1"/>
        </w:rPr>
        <w:t xml:space="preserve">We conducted a series of sensitivity tests to examine how the composition of training sets influenced BTF </w:t>
      </w:r>
      <w:r w:rsidR="009B066A" w:rsidRPr="00FF6FD8">
        <w:rPr>
          <w:color w:val="000000" w:themeColor="text1"/>
        </w:rPr>
        <w:t xml:space="preserve">performance (Supplemental </w:t>
      </w:r>
      <w:r w:rsidR="0019054D" w:rsidRPr="001B2703">
        <w:rPr>
          <w:color w:val="000000" w:themeColor="text1"/>
        </w:rPr>
        <w:t>t</w:t>
      </w:r>
      <w:r w:rsidR="009B066A" w:rsidRPr="00FF6FD8">
        <w:rPr>
          <w:color w:val="000000" w:themeColor="text1"/>
        </w:rPr>
        <w:t xml:space="preserve">able </w:t>
      </w:r>
      <w:r w:rsidR="0019054D" w:rsidRPr="001B2703">
        <w:rPr>
          <w:color w:val="000000" w:themeColor="text1"/>
        </w:rPr>
        <w:t>1</w:t>
      </w:r>
      <w:r w:rsidR="009B066A" w:rsidRPr="00FF6FD8">
        <w:rPr>
          <w:color w:val="000000" w:themeColor="text1"/>
        </w:rPr>
        <w:t xml:space="preserve">) given that the </w:t>
      </w:r>
      <w:r w:rsidR="009B066A">
        <w:rPr>
          <w:color w:val="000000" w:themeColor="text1"/>
        </w:rPr>
        <w:t xml:space="preserve">modern dataset, which includes </w:t>
      </w:r>
      <w:r w:rsidR="009B066A" w:rsidRPr="009D321F">
        <w:t>subtidal, intertidal and supratidal</w:t>
      </w:r>
      <w:r w:rsidR="009B066A">
        <w:t xml:space="preserve"> samples, may not reflect a single environmental gradient (</w:t>
      </w:r>
      <w:r w:rsidR="00105640" w:rsidRPr="00753416">
        <w:t xml:space="preserve">e.g., </w:t>
      </w:r>
      <w:r w:rsidR="003E057E" w:rsidRPr="00132246">
        <w:t>Gehrels</w:t>
      </w:r>
      <w:r w:rsidR="003E057E" w:rsidRPr="003E057E">
        <w:rPr>
          <w:color w:val="000000" w:themeColor="text1"/>
        </w:rPr>
        <w:t xml:space="preserve"> </w:t>
      </w:r>
      <w:r w:rsidR="003E057E">
        <w:rPr>
          <w:color w:val="000000" w:themeColor="text1"/>
        </w:rPr>
        <w:t xml:space="preserve">et al., 2001; </w:t>
      </w:r>
      <w:r w:rsidR="003E057E" w:rsidRPr="001B2703">
        <w:rPr>
          <w:color w:val="000000" w:themeColor="text1"/>
        </w:rPr>
        <w:t>Kemp et al., 2009</w:t>
      </w:r>
      <w:r w:rsidR="009B066A">
        <w:t>)</w:t>
      </w:r>
      <w:r w:rsidR="009B066A">
        <w:rPr>
          <w:color w:val="000000" w:themeColor="text1"/>
        </w:rPr>
        <w:t xml:space="preserve">. </w:t>
      </w:r>
      <w:r w:rsidR="009B066A" w:rsidRPr="009B066A">
        <w:rPr>
          <w:color w:val="000000" w:themeColor="text1"/>
        </w:rPr>
        <w:t xml:space="preserve">These tests included: 1) exclusion of subtidal and supratidal samples, 2) exclusion of mudflat samples, 3) exclusion of samples from </w:t>
      </w:r>
      <w:r w:rsidR="009B066A">
        <w:rPr>
          <w:color w:val="000000" w:themeColor="text1"/>
        </w:rPr>
        <w:t xml:space="preserve">site </w:t>
      </w:r>
      <w:r w:rsidR="009B066A" w:rsidRPr="009B066A">
        <w:rPr>
          <w:color w:val="000000" w:themeColor="text1"/>
        </w:rPr>
        <w:t xml:space="preserve">SK due to site specific differences observed in foraminiferal assemblages, and 4) grouping </w:t>
      </w:r>
      <w:r w:rsidR="009B066A" w:rsidRPr="009B066A">
        <w:rPr>
          <w:color w:val="000000" w:themeColor="text1"/>
        </w:rPr>
        <w:lastRenderedPageBreak/>
        <w:t xml:space="preserve">of all planktonic diatom taxa into a </w:t>
      </w:r>
      <w:proofErr w:type="spellStart"/>
      <w:r w:rsidR="009B066A" w:rsidRPr="009B066A">
        <w:rPr>
          <w:color w:val="000000" w:themeColor="text1"/>
        </w:rPr>
        <w:t>pseudotaxon</w:t>
      </w:r>
      <w:proofErr w:type="spellEnd"/>
      <w:r w:rsidR="009B066A" w:rsidRPr="009B066A">
        <w:rPr>
          <w:color w:val="000000" w:themeColor="text1"/>
        </w:rPr>
        <w:t xml:space="preserve">. </w:t>
      </w:r>
      <w:r w:rsidR="009B066A">
        <w:rPr>
          <w:color w:val="000000" w:themeColor="text1"/>
        </w:rPr>
        <w:t>Based on these tests, s</w:t>
      </w:r>
      <w:r w:rsidR="0000132A">
        <w:rPr>
          <w:color w:val="000000" w:themeColor="text1"/>
        </w:rPr>
        <w:t xml:space="preserve">ubtidal </w:t>
      </w:r>
      <w:r w:rsidR="00971FE8">
        <w:rPr>
          <w:color w:val="000000" w:themeColor="text1"/>
        </w:rPr>
        <w:t xml:space="preserve">that </w:t>
      </w:r>
      <w:r w:rsidR="00F7295D">
        <w:rPr>
          <w:color w:val="000000" w:themeColor="text1"/>
        </w:rPr>
        <w:t>do</w:t>
      </w:r>
      <w:r w:rsidR="00736526" w:rsidRPr="00736526">
        <w:rPr>
          <w:color w:val="000000" w:themeColor="text1"/>
        </w:rPr>
        <w:t xml:space="preserve"> </w:t>
      </w:r>
      <w:r w:rsidR="00971FE8">
        <w:rPr>
          <w:color w:val="000000" w:themeColor="text1"/>
        </w:rPr>
        <w:t>not carry</w:t>
      </w:r>
      <w:r w:rsidR="00736526" w:rsidRPr="00736526">
        <w:rPr>
          <w:color w:val="000000" w:themeColor="text1"/>
        </w:rPr>
        <w:t xml:space="preserve"> elevation signal</w:t>
      </w:r>
      <w:r w:rsidR="0000132A">
        <w:rPr>
          <w:color w:val="000000" w:themeColor="text1"/>
        </w:rPr>
        <w:t>s</w:t>
      </w:r>
      <w:r w:rsidR="00736526" w:rsidRPr="00736526">
        <w:rPr>
          <w:color w:val="000000" w:themeColor="text1"/>
        </w:rPr>
        <w:t xml:space="preserve"> </w:t>
      </w:r>
      <w:r w:rsidR="00971FE8">
        <w:rPr>
          <w:color w:val="000000" w:themeColor="text1"/>
        </w:rPr>
        <w:t xml:space="preserve">were excluded </w:t>
      </w:r>
      <w:r w:rsidR="009B066A">
        <w:rPr>
          <w:color w:val="000000" w:themeColor="text1"/>
        </w:rPr>
        <w:t>from</w:t>
      </w:r>
      <w:r w:rsidR="00736526" w:rsidRPr="00736526">
        <w:rPr>
          <w:color w:val="000000" w:themeColor="text1"/>
        </w:rPr>
        <w:t xml:space="preserve"> </w:t>
      </w:r>
      <w:r w:rsidR="00A71784">
        <w:rPr>
          <w:color w:val="000000" w:themeColor="text1"/>
        </w:rPr>
        <w:t xml:space="preserve">both </w:t>
      </w:r>
      <w:r w:rsidR="00736526" w:rsidRPr="00736526">
        <w:rPr>
          <w:color w:val="000000" w:themeColor="text1"/>
        </w:rPr>
        <w:t>training set</w:t>
      </w:r>
      <w:r w:rsidR="00971FE8">
        <w:rPr>
          <w:color w:val="000000" w:themeColor="text1"/>
        </w:rPr>
        <w:t>s</w:t>
      </w:r>
      <w:r w:rsidR="00BA266C">
        <w:t xml:space="preserve">, and we used a site-specific training set comprising only samples from MP_A and MP_B to develop the D-BTF. </w:t>
      </w:r>
      <w:r w:rsidR="008309E7" w:rsidRPr="00753416">
        <w:t>W</w:t>
      </w:r>
      <w:r w:rsidR="009A4C57" w:rsidRPr="00753416">
        <w:t xml:space="preserve">e </w:t>
      </w:r>
      <w:r w:rsidR="009B066A">
        <w:t>also tested whether prior information from</w:t>
      </w:r>
      <w:r w:rsidR="009A4C57" w:rsidRPr="00753416">
        <w:t xml:space="preserve"> </w:t>
      </w:r>
      <w:r w:rsidR="001B15D2">
        <w:t xml:space="preserve">1) </w:t>
      </w:r>
      <w:r w:rsidR="007A3CA6" w:rsidRPr="00753416">
        <w:t xml:space="preserve">the elevation </w:t>
      </w:r>
      <w:r w:rsidR="009A4C57" w:rsidRPr="00753416">
        <w:t>range of environment</w:t>
      </w:r>
      <w:r w:rsidR="007A3CA6" w:rsidRPr="00753416">
        <w:t>al zones</w:t>
      </w:r>
      <w:r w:rsidR="009A4C57" w:rsidRPr="00753416">
        <w:t xml:space="preserve"> </w:t>
      </w:r>
      <w:r w:rsidR="007A3CA6" w:rsidRPr="00753416">
        <w:t xml:space="preserve">independently </w:t>
      </w:r>
      <w:r w:rsidR="009A4C57" w:rsidRPr="00753416">
        <w:t xml:space="preserve">inferred by </w:t>
      </w:r>
      <w:r w:rsidR="000D2E76" w:rsidRPr="00753416">
        <w:t>δ</w:t>
      </w:r>
      <w:r w:rsidR="000D2E76" w:rsidRPr="00753416">
        <w:rPr>
          <w:vertAlign w:val="superscript"/>
        </w:rPr>
        <w:t>13</w:t>
      </w:r>
      <w:r w:rsidR="000D2E76" w:rsidRPr="00753416">
        <w:t>C</w:t>
      </w:r>
      <w:r w:rsidR="000D2E76" w:rsidRPr="00753416" w:rsidDel="000D2E76">
        <w:t xml:space="preserve"> </w:t>
      </w:r>
      <w:r w:rsidR="009A4C57" w:rsidRPr="00753416">
        <w:t xml:space="preserve">and C/N geochemistry </w:t>
      </w:r>
      <w:r w:rsidR="007C4A3C" w:rsidRPr="00753416">
        <w:t>in</w:t>
      </w:r>
      <w:r w:rsidR="00476402" w:rsidRPr="00753416">
        <w:t xml:space="preserve"> the</w:t>
      </w:r>
      <w:r w:rsidR="007C4A3C" w:rsidRPr="00753416">
        <w:t xml:space="preserve"> LDA </w:t>
      </w:r>
      <w:r w:rsidR="009A4C57" w:rsidRPr="00753416">
        <w:t>(Cahill et al., 2016</w:t>
      </w:r>
      <w:r w:rsidR="00EF1979">
        <w:t>; Hong, 2019</w:t>
      </w:r>
      <w:r w:rsidR="009A4C57" w:rsidRPr="00753416">
        <w:t>)</w:t>
      </w:r>
      <w:r w:rsidR="00EA79D5" w:rsidRPr="00753416">
        <w:t xml:space="preserve"> and </w:t>
      </w:r>
      <w:r w:rsidR="001B15D2">
        <w:t>2) elevation range</w:t>
      </w:r>
      <w:r w:rsidR="009B066A">
        <w:t>s</w:t>
      </w:r>
      <w:r w:rsidR="001B15D2">
        <w:t xml:space="preserve"> predicted by</w:t>
      </w:r>
      <w:r w:rsidR="009B066A">
        <w:t xml:space="preserve"> the</w:t>
      </w:r>
      <w:r w:rsidR="001B15D2">
        <w:t xml:space="preserve"> F-BTF and D-BTF </w:t>
      </w:r>
      <w:r w:rsidR="009B066A">
        <w:t>improved BTF performance.</w:t>
      </w:r>
      <w:r w:rsidR="00D76037" w:rsidRPr="00753416">
        <w:t xml:space="preserve"> </w:t>
      </w:r>
    </w:p>
    <w:p w14:paraId="159CE525" w14:textId="77777777" w:rsidR="00B57305" w:rsidRPr="00753416" w:rsidRDefault="00B57305" w:rsidP="000A3795"/>
    <w:p w14:paraId="7D9ACBE6" w14:textId="1A8CD3CD" w:rsidR="000A3795" w:rsidRPr="00753416" w:rsidRDefault="00EF1979" w:rsidP="000A3795">
      <w:r>
        <w:t>The</w:t>
      </w:r>
      <w:r w:rsidR="00CF1CB8">
        <w:t xml:space="preserve"> BTFs were applied to core MPSC01 to predict changes in paleo-mangrove elevation (PME). The performance of the BTF models was evaluated using </w:t>
      </w:r>
      <w:r>
        <w:t>the following</w:t>
      </w:r>
      <w:r w:rsidR="00CF1CB8">
        <w:t xml:space="preserve"> metrics: 1) the </w:t>
      </w:r>
      <w:r w:rsidR="00F32139">
        <w:t>average 1σ uncertainty</w:t>
      </w:r>
      <w:r w:rsidR="007152D0">
        <w:t>,</w:t>
      </w:r>
      <w:r w:rsidR="00F32139">
        <w:t xml:space="preserve"> </w:t>
      </w:r>
      <w:r w:rsidR="00CF1CB8">
        <w:t>average bias (mean difference) and average absolute bias (mean absolute difference) between predicted and observed values of surface samples based on 10-fold cross-validation</w:t>
      </w:r>
      <w:r w:rsidR="009B066A">
        <w:t xml:space="preserve"> of the modern training sets</w:t>
      </w:r>
      <w:r w:rsidR="00EB52D7">
        <w:t>;</w:t>
      </w:r>
      <w:r w:rsidR="00CF1CB8">
        <w:t xml:space="preserve"> 2)</w:t>
      </w:r>
      <w:r w:rsidR="00CF1CB8" w:rsidRPr="00753416">
        <w:t xml:space="preserve"> the</w:t>
      </w:r>
      <w:r w:rsidR="00CF1CB8">
        <w:t xml:space="preserve"> 1σ uncertainty derived from the core prediction results</w:t>
      </w:r>
      <w:r w:rsidR="00EB52D7">
        <w:t>; and</w:t>
      </w:r>
      <w:r w:rsidR="005D1D99" w:rsidRPr="00753416">
        <w:t xml:space="preserve"> </w:t>
      </w:r>
      <w:r w:rsidR="00EB52D7">
        <w:t>3)</w:t>
      </w:r>
      <w:r w:rsidR="00970E3F" w:rsidRPr="00753416">
        <w:t xml:space="preserve"> </w:t>
      </w:r>
      <w:r w:rsidR="00626DAA" w:rsidRPr="00753416">
        <w:t xml:space="preserve">thresholds </w:t>
      </w:r>
      <w:r w:rsidR="00EB52D7">
        <w:t>of</w:t>
      </w:r>
      <w:r w:rsidR="00EB52D7" w:rsidRPr="00753416">
        <w:t xml:space="preserve"> </w:t>
      </w:r>
      <w:r w:rsidR="00626DAA" w:rsidRPr="00753416">
        <w:t xml:space="preserve">dissimilarity and goodness of fit between modern and fossil assemblages </w:t>
      </w:r>
      <w:r w:rsidR="00D90712" w:rsidRPr="00753416">
        <w:t xml:space="preserve">and their elevation </w:t>
      </w:r>
      <w:r w:rsidR="00626DAA" w:rsidRPr="00753416">
        <w:t>(Kemp and Telford, 2015).</w:t>
      </w:r>
      <w:r w:rsidR="00970E3F" w:rsidRPr="00753416">
        <w:t xml:space="preserve"> </w:t>
      </w:r>
      <w:r w:rsidR="00626DAA" w:rsidRPr="00753416">
        <w:t>The dissimilarity between the assemblages of foraminifera and diatom in surface sediment and their closest fossil counterpart was investigated by the Bray Curtis and Chi-square</w:t>
      </w:r>
      <w:r w:rsidR="000D2E76">
        <w:t>d</w:t>
      </w:r>
      <w:r w:rsidR="00626DAA" w:rsidRPr="00753416">
        <w:t xml:space="preserve"> metrics</w:t>
      </w:r>
      <w:r w:rsidR="00776BEB" w:rsidRPr="00753416">
        <w:t xml:space="preserve"> </w:t>
      </w:r>
      <w:r w:rsidR="00626DAA" w:rsidRPr="00753416">
        <w:t xml:space="preserve">(Kemp et al., 2013; Kemp et al., 2013b). </w:t>
      </w:r>
      <w:r w:rsidR="00626DAA" w:rsidRPr="00753416">
        <w:rPr>
          <w:rFonts w:cs="Segoe UI"/>
          <w:color w:val="0D0D0D"/>
          <w:shd w:val="clear" w:color="auto" w:fill="FFFFFF"/>
        </w:rPr>
        <w:t xml:space="preserve">Thresholds for evaluating the degree of analogy were established through pairwise analysis within the modern dataset. </w:t>
      </w:r>
      <w:r w:rsidR="001A02AF" w:rsidRPr="001A02AF">
        <w:rPr>
          <w:rFonts w:cs="Segoe UI"/>
          <w:color w:val="0D0D0D"/>
          <w:shd w:val="clear" w:color="auto" w:fill="FFFFFF"/>
        </w:rPr>
        <w:t>The threshold for determining whether a sample possesses a good modern analogue was defined as the 20th percentile of dissimilarity scores calculated among all possible modern foraminiferal sample pairs, and the 10th percentile for diatom sample pairs, due to the greater taxonomic diversity within diatom assemblages (</w:t>
      </w:r>
      <w:r w:rsidR="001A02AF">
        <w:rPr>
          <w:rFonts w:cs="Segoe UI"/>
          <w:color w:val="0D0D0D"/>
          <w:shd w:val="clear" w:color="auto" w:fill="FFFFFF"/>
        </w:rPr>
        <w:t xml:space="preserve">Kemp et al., 2009; </w:t>
      </w:r>
      <w:r w:rsidR="001A02AF" w:rsidRPr="001A02AF">
        <w:rPr>
          <w:rFonts w:cs="Segoe UI"/>
          <w:color w:val="0D0D0D"/>
          <w:shd w:val="clear" w:color="auto" w:fill="FFFFFF"/>
        </w:rPr>
        <w:t>Kemp et al., 2013a; Stearns et al., 2023).</w:t>
      </w:r>
      <w:r w:rsidR="001A02AF">
        <w:rPr>
          <w:rFonts w:cs="Segoe UI"/>
          <w:color w:val="0D0D0D"/>
          <w:shd w:val="clear" w:color="auto" w:fill="FFFFFF"/>
        </w:rPr>
        <w:t xml:space="preserve"> </w:t>
      </w:r>
      <w:r w:rsidR="00626DAA" w:rsidRPr="00753416">
        <w:rPr>
          <w:rFonts w:cs="Segoe UI"/>
          <w:color w:val="0D0D0D"/>
          <w:shd w:val="clear" w:color="auto" w:fill="FFFFFF"/>
        </w:rPr>
        <w:t xml:space="preserve">As the absolute threshold values can differ between foraminifera and diatom training sets, the dissimilarity </w:t>
      </w:r>
      <w:r w:rsidR="009B066A">
        <w:rPr>
          <w:rFonts w:cs="Segoe UI"/>
          <w:color w:val="0D0D0D"/>
          <w:shd w:val="clear" w:color="auto" w:fill="FFFFFF"/>
        </w:rPr>
        <w:t>wa</w:t>
      </w:r>
      <w:r w:rsidR="00626DAA" w:rsidRPr="00753416">
        <w:rPr>
          <w:rFonts w:cs="Segoe UI"/>
          <w:color w:val="0D0D0D"/>
          <w:shd w:val="clear" w:color="auto" w:fill="FFFFFF"/>
        </w:rPr>
        <w:t>s normalized such that a value of 1 corresponds to the established</w:t>
      </w:r>
      <w:r w:rsidR="00EB52D7">
        <w:rPr>
          <w:rFonts w:cs="Segoe UI"/>
          <w:color w:val="0D0D0D"/>
          <w:shd w:val="clear" w:color="auto" w:fill="FFFFFF"/>
        </w:rPr>
        <w:t xml:space="preserve"> </w:t>
      </w:r>
      <w:r w:rsidR="00626DAA" w:rsidRPr="00753416">
        <w:rPr>
          <w:rFonts w:cs="Segoe UI"/>
          <w:color w:val="0D0D0D"/>
          <w:shd w:val="clear" w:color="auto" w:fill="FFFFFF"/>
        </w:rPr>
        <w:t>threshold</w:t>
      </w:r>
      <w:r w:rsidR="00195542">
        <w:rPr>
          <w:rFonts w:cs="Segoe UI"/>
          <w:color w:val="0D0D0D"/>
          <w:shd w:val="clear" w:color="auto" w:fill="FFFFFF"/>
        </w:rPr>
        <w:t>s</w:t>
      </w:r>
      <w:r w:rsidR="00626DAA" w:rsidRPr="00753416">
        <w:rPr>
          <w:rFonts w:cs="Segoe UI"/>
          <w:color w:val="0D0D0D"/>
          <w:shd w:val="clear" w:color="auto" w:fill="FFFFFF"/>
        </w:rPr>
        <w:t xml:space="preserve">. Values </w:t>
      </w:r>
      <w:r w:rsidR="000D2E76">
        <w:rPr>
          <w:rFonts w:cs="Segoe UI"/>
          <w:color w:val="0D0D0D"/>
          <w:shd w:val="clear" w:color="auto" w:fill="FFFFFF"/>
        </w:rPr>
        <w:t>&lt;</w:t>
      </w:r>
      <w:r w:rsidR="00626DAA" w:rsidRPr="00753416">
        <w:rPr>
          <w:rFonts w:cs="Segoe UI"/>
          <w:color w:val="0D0D0D"/>
          <w:shd w:val="clear" w:color="auto" w:fill="FFFFFF"/>
        </w:rPr>
        <w:t xml:space="preserve">1 suggest that a core sample has a modern analogue, whereas values </w:t>
      </w:r>
      <w:r w:rsidR="000D2E76">
        <w:rPr>
          <w:rFonts w:cs="Segoe UI"/>
          <w:color w:val="0D0D0D"/>
          <w:shd w:val="clear" w:color="auto" w:fill="FFFFFF"/>
        </w:rPr>
        <w:t>&gt;</w:t>
      </w:r>
      <w:r w:rsidR="00626DAA" w:rsidRPr="00753416">
        <w:rPr>
          <w:rFonts w:cs="Segoe UI"/>
          <w:color w:val="0D0D0D"/>
          <w:shd w:val="clear" w:color="auto" w:fill="FFFFFF"/>
        </w:rPr>
        <w:t>1 indicate the absence of a suitable modern analogue (</w:t>
      </w:r>
      <w:r w:rsidR="00626DAA" w:rsidRPr="00753416">
        <w:t>Stearns et al., 2023</w:t>
      </w:r>
      <w:r w:rsidR="00626DAA" w:rsidRPr="00753416">
        <w:rPr>
          <w:rFonts w:cs="Segoe UI"/>
          <w:color w:val="0D0D0D"/>
          <w:shd w:val="clear" w:color="auto" w:fill="FFFFFF"/>
        </w:rPr>
        <w:t xml:space="preserve">). </w:t>
      </w:r>
      <w:r w:rsidR="00D90712" w:rsidRPr="00753416">
        <w:rPr>
          <w:rFonts w:cs="Segoe UI"/>
          <w:color w:val="0D0D0D"/>
          <w:shd w:val="clear" w:color="auto" w:fill="FFFFFF"/>
        </w:rPr>
        <w:t xml:space="preserve">Because </w:t>
      </w:r>
      <w:r w:rsidR="00D90712" w:rsidRPr="00753416">
        <w:rPr>
          <w:color w:val="0D0D0D"/>
          <w:shd w:val="clear" w:color="auto" w:fill="FFFFFF"/>
        </w:rPr>
        <w:t xml:space="preserve">it is possible to have a fossil sample closely match a modern analogue but exhibit a poor fit to tidal elevation (Birks, 1998; Kemp et al., </w:t>
      </w:r>
      <w:r w:rsidR="00D90712" w:rsidRPr="00753416">
        <w:t>2013), we</w:t>
      </w:r>
      <w:r w:rsidR="000A3795" w:rsidRPr="00753416">
        <w:t xml:space="preserve"> </w:t>
      </w:r>
      <w:r w:rsidR="00626DAA" w:rsidRPr="00753416">
        <w:t>evaluat</w:t>
      </w:r>
      <w:r w:rsidR="00D90712" w:rsidRPr="00753416">
        <w:t>ed</w:t>
      </w:r>
      <w:r w:rsidR="00626DAA" w:rsidRPr="00753416">
        <w:t xml:space="preserve"> the fit between fossil samples and elevation</w:t>
      </w:r>
      <w:r w:rsidR="00D90712" w:rsidRPr="00753416">
        <w:t xml:space="preserve"> </w:t>
      </w:r>
      <w:r w:rsidR="007A0C08" w:rsidRPr="00753416">
        <w:t>by</w:t>
      </w:r>
      <w:r w:rsidR="000A3795" w:rsidRPr="00753416">
        <w:t xml:space="preserve"> goodness-of-fit statistics</w:t>
      </w:r>
      <w:r w:rsidR="00D90712" w:rsidRPr="00753416">
        <w:t>.</w:t>
      </w:r>
      <w:r w:rsidR="000A3795" w:rsidRPr="00753416">
        <w:t xml:space="preserve"> </w:t>
      </w:r>
      <w:r w:rsidR="00D90712" w:rsidRPr="00753416">
        <w:t xml:space="preserve">We </w:t>
      </w:r>
      <w:r w:rsidR="000A3795" w:rsidRPr="00753416">
        <w:t>integrat</w:t>
      </w:r>
      <w:r w:rsidR="00D90712" w:rsidRPr="00753416">
        <w:t>ed core samples</w:t>
      </w:r>
      <w:r w:rsidR="000A3795" w:rsidRPr="00753416">
        <w:t xml:space="preserve"> into a constrained ordination </w:t>
      </w:r>
      <w:r w:rsidR="00626DAA" w:rsidRPr="00753416">
        <w:t>using</w:t>
      </w:r>
      <w:r w:rsidR="000A3795" w:rsidRPr="00753416">
        <w:t xml:space="preserve"> CCA of the contemporary dataset</w:t>
      </w:r>
      <w:r w:rsidR="008852FF" w:rsidRPr="00753416">
        <w:t xml:space="preserve"> </w:t>
      </w:r>
      <w:r w:rsidR="00D90712" w:rsidRPr="00753416">
        <w:t>with</w:t>
      </w:r>
      <w:r w:rsidR="00626DAA" w:rsidRPr="00753416">
        <w:t xml:space="preserve"> the 'analogue' package in R </w:t>
      </w:r>
      <w:r w:rsidR="000A3795" w:rsidRPr="00753416">
        <w:t>(Simpson, 2007)</w:t>
      </w:r>
      <w:r w:rsidR="00D90712" w:rsidRPr="00753416">
        <w:t>.</w:t>
      </w:r>
      <w:r w:rsidR="000A3795" w:rsidRPr="00753416">
        <w:rPr>
          <w:color w:val="0D0D0D"/>
          <w:shd w:val="clear" w:color="auto" w:fill="FFFFFF"/>
        </w:rPr>
        <w:t xml:space="preserve"> </w:t>
      </w:r>
      <w:r w:rsidR="000A3795" w:rsidRPr="00753416">
        <w:t xml:space="preserve">The 95% threshold of squared residual lengths from the foraminifera and diatom datasets was normalised to 1, with values </w:t>
      </w:r>
      <w:r w:rsidR="000D2E76">
        <w:t>&lt;</w:t>
      </w:r>
      <w:r w:rsidR="000A3795" w:rsidRPr="00753416">
        <w:t xml:space="preserve">1 </w:t>
      </w:r>
      <w:r w:rsidR="000A3795" w:rsidRPr="00753416">
        <w:lastRenderedPageBreak/>
        <w:t>indicating a poor fit to elevation.</w:t>
      </w:r>
      <w:r w:rsidR="00A0321E" w:rsidRPr="00753416">
        <w:t xml:space="preserve"> </w:t>
      </w:r>
      <w:r w:rsidR="00640EDB">
        <w:t xml:space="preserve">Sample that </w:t>
      </w:r>
      <w:r w:rsidR="00640EDB" w:rsidRPr="00640EDB">
        <w:t>exceed</w:t>
      </w:r>
      <w:r w:rsidR="00640EDB">
        <w:t>ed</w:t>
      </w:r>
      <w:r w:rsidR="00640EDB" w:rsidRPr="00640EDB">
        <w:t xml:space="preserve"> the threshold</w:t>
      </w:r>
      <w:r w:rsidR="00640EDB">
        <w:t>s</w:t>
      </w:r>
      <w:r w:rsidR="00640EDB" w:rsidRPr="00640EDB">
        <w:t xml:space="preserve"> were excluded from</w:t>
      </w:r>
      <w:r w:rsidR="00DF1614">
        <w:t xml:space="preserve"> </w:t>
      </w:r>
      <w:r w:rsidR="00640EDB" w:rsidRPr="00640EDB">
        <w:t>RSL reconstruction</w:t>
      </w:r>
      <w:r w:rsidR="00640EDB">
        <w:t>.</w:t>
      </w:r>
    </w:p>
    <w:p w14:paraId="0EA6CCBE" w14:textId="77777777" w:rsidR="00A0321E" w:rsidRPr="00753416" w:rsidRDefault="00A0321E" w:rsidP="000A3795"/>
    <w:p w14:paraId="708D3F45" w14:textId="0D86D3FA" w:rsidR="00B3138A" w:rsidRPr="00753416" w:rsidRDefault="00B3138A" w:rsidP="00327A47">
      <w:pPr>
        <w:pStyle w:val="Heading2"/>
      </w:pPr>
      <w:r w:rsidRPr="00753416">
        <w:t>3.6 Reconstruction of relative sea level</w:t>
      </w:r>
    </w:p>
    <w:p w14:paraId="4E58D2B1" w14:textId="63A52BE6" w:rsidR="009F53D6" w:rsidRPr="00753416" w:rsidRDefault="0058498D" w:rsidP="000A3795">
      <w:r w:rsidRPr="00753416">
        <w:t xml:space="preserve">We </w:t>
      </w:r>
      <w:r w:rsidR="00A0321E" w:rsidRPr="00753416">
        <w:t xml:space="preserve">calculated </w:t>
      </w:r>
      <w:r w:rsidRPr="00753416">
        <w:t>RSL</w:t>
      </w:r>
      <w:r w:rsidR="00A0321E" w:rsidRPr="00753416">
        <w:t xml:space="preserve"> following the equation:</w:t>
      </w:r>
    </w:p>
    <w:p w14:paraId="216366DB" w14:textId="3DFCC8D2" w:rsidR="00DF6276" w:rsidRPr="00753416" w:rsidRDefault="00DF6276" w:rsidP="000A3795"/>
    <w:p w14:paraId="68F20845" w14:textId="79B274FD" w:rsidR="00A0321E" w:rsidRPr="00753416" w:rsidRDefault="009F53D6" w:rsidP="000B4766">
      <w:pPr>
        <w:jc w:val="center"/>
      </w:pPr>
      <m:oMath>
        <m:r>
          <m:rPr>
            <m:sty m:val="p"/>
          </m:rPr>
          <w:rPr>
            <w:rFonts w:ascii="Cambria Math" w:hAnsi="Cambria Math"/>
          </w:rPr>
          <m:t>RSL=</m:t>
        </m:r>
        <m:sSub>
          <m:sSubPr>
            <m:ctrlPr>
              <w:rPr>
                <w:rFonts w:ascii="Cambria Math" w:hAnsi="Cambria Math"/>
              </w:rPr>
            </m:ctrlPr>
          </m:sSubPr>
          <m:e>
            <m:r>
              <m:rPr>
                <m:sty m:val="p"/>
              </m:rPr>
              <w:rPr>
                <w:rFonts w:ascii="Cambria Math" w:hAnsi="Cambria Math"/>
              </w:rPr>
              <m:t>Elevation</m:t>
            </m:r>
          </m:e>
          <m:sub>
            <m:r>
              <m:rPr>
                <m:sty m:val="p"/>
              </m:rPr>
              <w:rPr>
                <w:rFonts w:ascii="Cambria Math" w:hAnsi="Cambria Math"/>
              </w:rPr>
              <m:t>i</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PME</m:t>
            </m:r>
          </m:e>
          <m:sub>
            <m:r>
              <m:rPr>
                <m:sty m:val="p"/>
              </m:rPr>
              <w:rPr>
                <w:rFonts w:ascii="Cambria Math" w:hAnsi="Cambria Math"/>
              </w:rPr>
              <m:t>i</m:t>
            </m:r>
          </m:sub>
        </m:sSub>
      </m:oMath>
      <w:r w:rsidR="00602FEE">
        <w:t>,</w:t>
      </w:r>
      <w:r w:rsidR="00602FEE">
        <w:tab/>
      </w:r>
      <w:r w:rsidR="00602FEE">
        <w:tab/>
      </w:r>
      <w:r w:rsidR="00602FEE">
        <w:tab/>
      </w:r>
      <w:r w:rsidR="00602FEE">
        <w:tab/>
      </w:r>
      <w:r w:rsidR="00602FEE">
        <w:tab/>
      </w:r>
      <w:r w:rsidR="00602FEE">
        <w:tab/>
      </w:r>
      <w:r w:rsidR="00602FEE">
        <w:tab/>
        <w:t>(1)</w:t>
      </w:r>
    </w:p>
    <w:p w14:paraId="0F7F5DF6" w14:textId="77777777" w:rsidR="00DF6276" w:rsidRPr="00753416" w:rsidRDefault="00DF6276" w:rsidP="000A3795"/>
    <w:p w14:paraId="3959DE77" w14:textId="07F6FE81" w:rsidR="00A311A4" w:rsidRDefault="00A311A4" w:rsidP="00A311A4">
      <w:r>
        <w:t>w</w:t>
      </w:r>
      <w:r w:rsidRPr="00753416">
        <w:t xml:space="preserve">here </w:t>
      </w:r>
      <w:proofErr w:type="spellStart"/>
      <w:r w:rsidRPr="00753416">
        <w:t>Elevation</w:t>
      </w:r>
      <w:r w:rsidRPr="00753416">
        <w:rPr>
          <w:vertAlign w:val="subscript"/>
        </w:rPr>
        <w:t>i</w:t>
      </w:r>
      <w:proofErr w:type="spellEnd"/>
      <w:r w:rsidRPr="00753416">
        <w:rPr>
          <w:vertAlign w:val="subscript"/>
        </w:rPr>
        <w:t xml:space="preserve"> </w:t>
      </w:r>
      <w:r w:rsidRPr="00753416">
        <w:t>is the elevation of each core sample</w:t>
      </w:r>
      <w:r w:rsidRPr="00753416">
        <w:rPr>
          <w:i/>
          <w:iCs/>
          <w:vertAlign w:val="subscript"/>
        </w:rPr>
        <w:t xml:space="preserve"> </w:t>
      </w:r>
      <w:proofErr w:type="spellStart"/>
      <w:r w:rsidRPr="00753416">
        <w:rPr>
          <w:i/>
          <w:iCs/>
        </w:rPr>
        <w:t>i</w:t>
      </w:r>
      <w:proofErr w:type="spellEnd"/>
      <w:r w:rsidRPr="00753416">
        <w:t xml:space="preserve"> and </w:t>
      </w:r>
      <w:proofErr w:type="spellStart"/>
      <w:r w:rsidRPr="00753416">
        <w:t>PME</w:t>
      </w:r>
      <w:r w:rsidRPr="002B5596">
        <w:rPr>
          <w:vertAlign w:val="subscript"/>
        </w:rPr>
        <w:t>i</w:t>
      </w:r>
      <w:proofErr w:type="spellEnd"/>
      <w:r w:rsidRPr="00753416">
        <w:t xml:space="preserve"> is its estimated paleo-mangrove elevation reconstructed by the BTFs</w:t>
      </w:r>
      <w:r>
        <w:t xml:space="preserve"> </w:t>
      </w:r>
      <w:r w:rsidRPr="00753416">
        <w:t>(</w:t>
      </w:r>
      <w:r w:rsidRPr="00841EFB">
        <w:t>Kemp et al., 2009</w:t>
      </w:r>
      <w:r w:rsidRPr="00753416">
        <w:t>), both expressed relative to Princip</w:t>
      </w:r>
      <w:r w:rsidR="00945ADB">
        <w:t>al</w:t>
      </w:r>
      <w:r w:rsidRPr="00753416">
        <w:t xml:space="preserve"> Datum. </w:t>
      </w:r>
      <w:r>
        <w:t xml:space="preserve">Vertical uncertainties of RSL were derived from the sample-specific 1σ uncertainties from the BTFs. </w:t>
      </w:r>
    </w:p>
    <w:p w14:paraId="47B86075" w14:textId="77777777" w:rsidR="00A311A4" w:rsidRDefault="00A311A4" w:rsidP="00A311A4"/>
    <w:p w14:paraId="0759518F" w14:textId="3BE17B9A" w:rsidR="00A311A4" w:rsidRPr="00753416" w:rsidRDefault="00A311A4" w:rsidP="00A311A4">
      <w:r>
        <w:t>A chronology for the RSL changes was obtained from five radiocarbon dates from plant macrofossils. We targeted pieces of mangrove wood, branches, or twigs deposited horizontally within the core that showed minimal signs of reworking (e.g., Kemp et al., 2014; Khan et al., 2022). Samples were sent for accelerator mass spectrometer (AMS) dating at Beta Analytic in Miami, FL, USA or for MICADAS (</w:t>
      </w:r>
      <w:r w:rsidRPr="001E2E84">
        <w:t xml:space="preserve">mini radiocarbon dating </w:t>
      </w:r>
      <w:r>
        <w:t>s</w:t>
      </w:r>
      <w:r w:rsidRPr="001E2E84">
        <w:t>yste</w:t>
      </w:r>
      <w:r>
        <w:t xml:space="preserve">m) AMS dating at the </w:t>
      </w:r>
      <w:r w:rsidRPr="004512F6">
        <w:t>Yale Analytical and Stable Isotope Centre (YASIC)</w:t>
      </w:r>
      <w:r>
        <w:t xml:space="preserve"> in New Haven, CT, USA. </w:t>
      </w:r>
      <w:r w:rsidRPr="00753416">
        <w:t xml:space="preserve">We estimated the age </w:t>
      </w:r>
      <w:r>
        <w:t xml:space="preserve">and </w:t>
      </w:r>
      <w:r w:rsidR="00711A86">
        <w:t>2</w:t>
      </w:r>
      <w:r>
        <w:t xml:space="preserve">σ uncertainty </w:t>
      </w:r>
      <w:r w:rsidRPr="00753416">
        <w:t>of each 5 cm</w:t>
      </w:r>
      <w:r>
        <w:t xml:space="preserve"> core</w:t>
      </w:r>
      <w:r w:rsidRPr="00753416">
        <w:t xml:space="preserve"> interval using the Bacon age-depth model (Blaauw and Christen, 2011) applied to </w:t>
      </w:r>
      <w:r>
        <w:t xml:space="preserve">the </w:t>
      </w:r>
      <w:r w:rsidRPr="00753416">
        <w:t>f</w:t>
      </w:r>
      <w:r>
        <w:t>ive</w:t>
      </w:r>
      <w:r w:rsidRPr="00753416">
        <w:t xml:space="preserve"> radiocarbon ages in core MPSC01 (Table </w:t>
      </w:r>
      <w:r>
        <w:t>1</w:t>
      </w:r>
      <w:r w:rsidRPr="00753416">
        <w:t xml:space="preserve">; Supplementary </w:t>
      </w:r>
      <w:r>
        <w:t>f</w:t>
      </w:r>
      <w:r w:rsidRPr="00753416">
        <w:t>igure 2)</w:t>
      </w:r>
      <w:r>
        <w:t xml:space="preserve"> using the CALIBOMB (Northern Hemisphere Zone 3) (Reimer and Reimer, 2024) and Intcal20 (</w:t>
      </w:r>
      <w:r w:rsidR="007F3BED">
        <w:t>Reimer et al., 2020</w:t>
      </w:r>
      <w:r>
        <w:t>) calibration datasets</w:t>
      </w:r>
      <w:r w:rsidRPr="00753416">
        <w:t xml:space="preserve">. The age-depth model from MPSC01 was </w:t>
      </w:r>
      <w:r>
        <w:t>cross-checked against</w:t>
      </w:r>
      <w:r w:rsidRPr="00753416">
        <w:t xml:space="preserve"> other </w:t>
      </w:r>
      <w:r w:rsidRPr="00753416">
        <w:rPr>
          <w:vertAlign w:val="superscript"/>
        </w:rPr>
        <w:t>14</w:t>
      </w:r>
      <w:r w:rsidRPr="00753416">
        <w:t xml:space="preserve">C and </w:t>
      </w:r>
      <w:r w:rsidRPr="00753416">
        <w:rPr>
          <w:vertAlign w:val="superscript"/>
        </w:rPr>
        <w:t>210</w:t>
      </w:r>
      <w:r w:rsidRPr="00753416">
        <w:t>Pb-</w:t>
      </w:r>
      <w:r w:rsidRPr="00753416">
        <w:rPr>
          <w:vertAlign w:val="superscript"/>
        </w:rPr>
        <w:t>137</w:t>
      </w:r>
      <w:r w:rsidRPr="00753416">
        <w:t xml:space="preserve">Cs </w:t>
      </w:r>
      <w:r>
        <w:t>ages</w:t>
      </w:r>
      <w:r w:rsidRPr="00753416">
        <w:t xml:space="preserve"> reported in Sun et al. (2021)</w:t>
      </w:r>
      <w:r>
        <w:t xml:space="preserve"> using the </w:t>
      </w:r>
      <w:proofErr w:type="spellStart"/>
      <w:r>
        <w:t>Rplum</w:t>
      </w:r>
      <w:proofErr w:type="spellEnd"/>
      <w:r>
        <w:t xml:space="preserve"> </w:t>
      </w:r>
      <w:r w:rsidRPr="00753416">
        <w:t xml:space="preserve">age-depth model </w:t>
      </w:r>
      <w:r>
        <w:t>(Blaauw et al., 2021) (</w:t>
      </w:r>
      <w:r w:rsidRPr="00753416">
        <w:t xml:space="preserve">Supplementary </w:t>
      </w:r>
      <w:r>
        <w:t>f</w:t>
      </w:r>
      <w:r w:rsidRPr="00753416">
        <w:t xml:space="preserve">igure </w:t>
      </w:r>
      <w:r>
        <w:t>3)</w:t>
      </w:r>
      <w:r w:rsidRPr="00753416">
        <w:t xml:space="preserve">.  </w:t>
      </w:r>
    </w:p>
    <w:p w14:paraId="2966A2DC" w14:textId="77777777" w:rsidR="00476402" w:rsidRPr="00753416" w:rsidRDefault="00476402" w:rsidP="000A3795"/>
    <w:p w14:paraId="501DEA3D" w14:textId="4101F816" w:rsidR="001E374E" w:rsidRDefault="00BA0F2B" w:rsidP="001E374E">
      <w:r>
        <w:t xml:space="preserve">Reconstructed </w:t>
      </w:r>
      <w:r w:rsidR="00476402" w:rsidRPr="00753416">
        <w:t xml:space="preserve">RSL </w:t>
      </w:r>
      <w:r>
        <w:t>was</w:t>
      </w:r>
      <w:r w:rsidR="00476402" w:rsidRPr="00753416">
        <w:t xml:space="preserve"> compared to tide gauge data </w:t>
      </w:r>
      <w:r>
        <w:t>from</w:t>
      </w:r>
      <w:r w:rsidR="00476402" w:rsidRPr="00753416">
        <w:t xml:space="preserve"> Hong Kong to assess t</w:t>
      </w:r>
      <w:r>
        <w:t>he</w:t>
      </w:r>
      <w:r w:rsidR="00476402" w:rsidRPr="00753416">
        <w:t xml:space="preserve"> accuracy</w:t>
      </w:r>
      <w:r>
        <w:t xml:space="preserve"> of reconstructions</w:t>
      </w:r>
      <w:r w:rsidR="00476402" w:rsidRPr="00753416">
        <w:t>. Given the rapid sedimentation rate observed in MSPC01 (</w:t>
      </w:r>
      <w:r w:rsidR="00FF24D0">
        <w:t>Section 4.3.2)</w:t>
      </w:r>
      <w:r w:rsidR="00476402" w:rsidRPr="00753416">
        <w:t xml:space="preserve">, we calculated the annual average of </w:t>
      </w:r>
      <w:r w:rsidR="00B66B96" w:rsidRPr="00753416">
        <w:t xml:space="preserve">tide gauge </w:t>
      </w:r>
      <w:r w:rsidR="0088041D" w:rsidRPr="00753416">
        <w:t>measurement</w:t>
      </w:r>
      <w:r w:rsidR="00476402" w:rsidRPr="00753416">
        <w:t xml:space="preserve">s </w:t>
      </w:r>
      <w:r w:rsidR="00291D6E">
        <w:t>r</w:t>
      </w:r>
      <w:r w:rsidR="00291D6E" w:rsidRPr="00753416">
        <w:t xml:space="preserve">elative to </w:t>
      </w:r>
      <w:r w:rsidR="00291D6E">
        <w:t>a</w:t>
      </w:r>
      <w:r w:rsidR="00291D6E" w:rsidRPr="00753416">
        <w:t xml:space="preserve"> 5-year averaged value </w:t>
      </w:r>
      <w:r w:rsidR="00291D6E">
        <w:t>(</w:t>
      </w:r>
      <w:r w:rsidR="00291D6E" w:rsidRPr="00753416">
        <w:t>2017</w:t>
      </w:r>
      <w:r w:rsidR="00291D6E">
        <w:t>–</w:t>
      </w:r>
      <w:r w:rsidR="00291D6E" w:rsidRPr="00753416">
        <w:t>2022 CE</w:t>
      </w:r>
      <w:r w:rsidR="00291D6E">
        <w:t xml:space="preserve">) </w:t>
      </w:r>
      <w:r w:rsidR="00476402" w:rsidRPr="00753416">
        <w:t xml:space="preserve">from </w:t>
      </w:r>
      <w:r>
        <w:t>currently-</w:t>
      </w:r>
      <w:r w:rsidR="00DD1E9F" w:rsidRPr="00753416">
        <w:t>operating tide gauge</w:t>
      </w:r>
      <w:r>
        <w:t>s</w:t>
      </w:r>
      <w:r w:rsidR="00DD1E9F" w:rsidRPr="00753416">
        <w:t xml:space="preserve"> in </w:t>
      </w:r>
      <w:r w:rsidR="0088041D" w:rsidRPr="00753416">
        <w:t>Tai Po Kau, Tai Miu Wan, Tsim Bei Tsui, Shek Pik, and Quarry Bay</w:t>
      </w:r>
      <w:r w:rsidR="00476402" w:rsidRPr="00753416">
        <w:t xml:space="preserve"> </w:t>
      </w:r>
      <w:r w:rsidR="00DD1E9F" w:rsidRPr="00753416">
        <w:t xml:space="preserve">to allow </w:t>
      </w:r>
      <w:r w:rsidR="00476402" w:rsidRPr="00753416">
        <w:t>comparison</w:t>
      </w:r>
      <w:r w:rsidR="00DD1E9F" w:rsidRPr="00753416">
        <w:t xml:space="preserve"> between </w:t>
      </w:r>
      <w:r w:rsidR="00EB52D7">
        <w:t xml:space="preserve">reconstructed </w:t>
      </w:r>
      <w:r w:rsidR="00DD1E9F" w:rsidRPr="00753416">
        <w:t xml:space="preserve">RSL and </w:t>
      </w:r>
      <w:r w:rsidR="00EB52D7">
        <w:t>observed</w:t>
      </w:r>
      <w:r w:rsidR="00EB52D7" w:rsidRPr="00753416">
        <w:t xml:space="preserve"> </w:t>
      </w:r>
      <w:r w:rsidR="00D81D5C">
        <w:t xml:space="preserve">RSL </w:t>
      </w:r>
      <w:r w:rsidR="00DD1E9F" w:rsidRPr="00753416">
        <w:t>measurement</w:t>
      </w:r>
      <w:r w:rsidR="00B66B96" w:rsidRPr="00753416">
        <w:t>s</w:t>
      </w:r>
      <w:r w:rsidR="00DD1E9F" w:rsidRPr="00753416">
        <w:t xml:space="preserve"> from 1960 to 2020</w:t>
      </w:r>
      <w:r>
        <w:t xml:space="preserve"> (Figure 1B; 8D)</w:t>
      </w:r>
      <w:r w:rsidR="00476402" w:rsidRPr="00753416">
        <w:t>.</w:t>
      </w:r>
      <w:r w:rsidR="004C270F" w:rsidRPr="004C270F">
        <w:t xml:space="preserve"> </w:t>
      </w:r>
      <w:r w:rsidR="00BB5FF1">
        <w:t xml:space="preserve">An Errors-in-Variables Integrated </w:t>
      </w:r>
      <w:r w:rsidR="00BB5FF1">
        <w:lastRenderedPageBreak/>
        <w:t>Gaussian Process (EIV-IGP) model (Cahill et al., 201</w:t>
      </w:r>
      <w:r w:rsidR="00531C98">
        <w:t>6</w:t>
      </w:r>
      <w:r w:rsidR="00BB5FF1">
        <w:t xml:space="preserve">) was applied to tide gauge data to compare </w:t>
      </w:r>
      <w:r w:rsidR="00B90C9C">
        <w:t>estimates</w:t>
      </w:r>
      <w:r w:rsidR="00BB5FF1">
        <w:t xml:space="preserve"> of RSL change</w:t>
      </w:r>
      <w:r w:rsidR="009E586B">
        <w:t xml:space="preserve"> (Kemp et al., 2015; Gerlach et al., 2017; Dean et al., 2019)</w:t>
      </w:r>
      <w:r w:rsidR="00BB5FF1">
        <w:t>.</w:t>
      </w:r>
      <w:r w:rsidR="009B066A" w:rsidRPr="009B066A">
        <w:rPr>
          <w:rFonts w:ascii="Helvetica Neue" w:hAnsi="Helvetica Neue"/>
          <w:color w:val="262626"/>
          <w:shd w:val="clear" w:color="auto" w:fill="FFFFFF"/>
        </w:rPr>
        <w:t xml:space="preserve"> </w:t>
      </w:r>
      <w:r w:rsidR="009B066A" w:rsidRPr="009B066A">
        <w:t>This Bayesian model derives RSL magnitudes as the integral of the rates of RSL change, while accounting for both vertical and temporal uncertainties in the data. A Gaussian Process prior</w:t>
      </w:r>
      <w:r w:rsidR="009B066A">
        <w:t xml:space="preserve"> i</w:t>
      </w:r>
      <w:r w:rsidR="009B066A" w:rsidRPr="009B066A">
        <w:t xml:space="preserve">s placed on the rates of RSL change to capture the underlying rate process, and temporal uncertainties </w:t>
      </w:r>
      <w:r w:rsidR="009B066A">
        <w:t>a</w:t>
      </w:r>
      <w:r w:rsidR="009B066A" w:rsidRPr="009B066A">
        <w:t>re addressed within an Errors-In-Variables framework, providing a more accurate representation of the data's uncertainties (Cahill et al., 2016).</w:t>
      </w:r>
      <w:r w:rsidR="009B066A">
        <w:t xml:space="preserve"> </w:t>
      </w:r>
      <w:r w:rsidR="004C270F">
        <w:t xml:space="preserve">We calculated the mean squared error (MSE) between the midpoint of reconstructed RSL and </w:t>
      </w:r>
      <w:r w:rsidR="003C4B72">
        <w:t xml:space="preserve">RSL predicted by EIV-IGP from </w:t>
      </w:r>
      <w:r w:rsidR="004C270F">
        <w:t xml:space="preserve">tide gauge observations to </w:t>
      </w:r>
      <w:r w:rsidR="007C46A4">
        <w:t>assess the quality of our RSL reconstruction</w:t>
      </w:r>
      <w:r w:rsidR="004C270F">
        <w:t xml:space="preserve"> (</w:t>
      </w:r>
      <w:r w:rsidR="00105640" w:rsidRPr="00753416">
        <w:t xml:space="preserve">e.g., </w:t>
      </w:r>
      <w:r w:rsidR="004C270F">
        <w:t>Cahill et al., 2016)</w:t>
      </w:r>
      <w:r w:rsidR="007C46A4">
        <w:t>.</w:t>
      </w:r>
      <w:r w:rsidR="001A1958">
        <w:t xml:space="preserve"> </w:t>
      </w:r>
    </w:p>
    <w:p w14:paraId="4276F692" w14:textId="62B2C783" w:rsidR="006A5428" w:rsidRPr="00753416" w:rsidRDefault="006A5428" w:rsidP="000B4766"/>
    <w:p w14:paraId="69BED7D2" w14:textId="02F9C94A" w:rsidR="000D07E9" w:rsidRPr="00753416" w:rsidRDefault="000D07E9" w:rsidP="00BE494F">
      <w:pPr>
        <w:pStyle w:val="Heading1"/>
      </w:pPr>
      <w:r w:rsidRPr="00753416">
        <w:t>4. Result</w:t>
      </w:r>
      <w:r w:rsidR="00A7313B">
        <w:t>s</w:t>
      </w:r>
      <w:r w:rsidR="0069353A">
        <w:t xml:space="preserve"> and interpretation</w:t>
      </w:r>
    </w:p>
    <w:p w14:paraId="586C0CBA" w14:textId="4B8826D8" w:rsidR="00145543" w:rsidRPr="00753416" w:rsidRDefault="00E14946" w:rsidP="00145543">
      <w:pPr>
        <w:pStyle w:val="Heading2"/>
        <w:tabs>
          <w:tab w:val="left" w:pos="7797"/>
        </w:tabs>
      </w:pPr>
      <w:r w:rsidRPr="00753416">
        <w:t>4</w:t>
      </w:r>
      <w:r w:rsidR="00AF69C4" w:rsidRPr="00753416">
        <w:t>.</w:t>
      </w:r>
      <w:r w:rsidR="00BA0F2B">
        <w:t>1</w:t>
      </w:r>
      <w:r w:rsidR="00145543" w:rsidRPr="00753416">
        <w:t xml:space="preserve"> </w:t>
      </w:r>
      <w:r w:rsidR="00122827" w:rsidRPr="00753416">
        <w:t>Microfossil assemblage</w:t>
      </w:r>
      <w:r w:rsidR="00BA0F2B">
        <w:t>s</w:t>
      </w:r>
    </w:p>
    <w:p w14:paraId="3BBDEC3E" w14:textId="5F7BB755" w:rsidR="00BE494F" w:rsidRPr="00753416" w:rsidRDefault="00BE494F" w:rsidP="00E11112">
      <w:pPr>
        <w:pStyle w:val="Heading3"/>
      </w:pPr>
      <w:r w:rsidRPr="00753416">
        <w:t>4.</w:t>
      </w:r>
      <w:r w:rsidR="00BA0F2B">
        <w:t>1</w:t>
      </w:r>
      <w:r w:rsidRPr="00753416">
        <w:t>.1 Foraminifera assemblage</w:t>
      </w:r>
      <w:r w:rsidR="00BA0F2B">
        <w:t>s</w:t>
      </w:r>
    </w:p>
    <w:p w14:paraId="7374D39A" w14:textId="77777777" w:rsidR="00FE24DA" w:rsidRDefault="00BD0D85" w:rsidP="00FE24DA">
      <w:pPr>
        <w:rPr>
          <w:color w:val="000000" w:themeColor="text1"/>
        </w:rPr>
      </w:pPr>
      <w:r w:rsidRPr="00753416">
        <w:t>Along the three transect</w:t>
      </w:r>
      <w:r w:rsidR="00BA0F2B">
        <w:t>s</w:t>
      </w:r>
      <w:r w:rsidRPr="00753416">
        <w:t xml:space="preserve"> established in Mai Po and Sha Kiu, we identified 22 taxa in Sha Kiu and Mai Po, 20 of which exceeded 5% of the assemblage in at least one sample. Foraminifera were absent from 3 upland samples in transect MP_B and the Highest Occurrence of Foraminifera (HOF) occurred at 303 SWLI</w:t>
      </w:r>
      <w:r w:rsidR="009858B5" w:rsidRPr="00753416">
        <w:t xml:space="preserve"> </w:t>
      </w:r>
      <w:r w:rsidR="009858B5" w:rsidRPr="00753416">
        <w:rPr>
          <w:color w:val="000000" w:themeColor="text1"/>
        </w:rPr>
        <w:t>units</w:t>
      </w:r>
      <w:r w:rsidR="009D5BA0">
        <w:rPr>
          <w:color w:val="000000" w:themeColor="text1"/>
        </w:rPr>
        <w:t xml:space="preserve"> (</w:t>
      </w:r>
      <w:r w:rsidR="009D5BA0" w:rsidRPr="00A11B0F">
        <w:t>Figure 3</w:t>
      </w:r>
      <w:r w:rsidR="009D5BA0">
        <w:t>A)</w:t>
      </w:r>
      <w:r w:rsidRPr="00753416">
        <w:t>.</w:t>
      </w:r>
      <w:r w:rsidR="00DE0402" w:rsidRPr="00753416">
        <w:t xml:space="preserve"> </w:t>
      </w:r>
      <w:r w:rsidR="009D5BA0">
        <w:t>T</w:t>
      </w:r>
      <w:r w:rsidR="009D5BA0" w:rsidRPr="00A11B0F">
        <w:t>en foraminifera</w:t>
      </w:r>
      <w:r w:rsidR="009D5BA0">
        <w:t>l</w:t>
      </w:r>
      <w:r w:rsidR="009D5BA0" w:rsidRPr="00A11B0F">
        <w:t xml:space="preserve"> groups</w:t>
      </w:r>
      <w:r w:rsidR="009D5BA0">
        <w:t xml:space="preserve"> were identified</w:t>
      </w:r>
      <w:r w:rsidR="009D5BA0" w:rsidRPr="00A11B0F">
        <w:t xml:space="preserve"> from the PAM analysis (Figure 3C; Table 3)</w:t>
      </w:r>
      <w:r w:rsidR="009D5BA0">
        <w:rPr>
          <w:color w:val="000000" w:themeColor="text1"/>
        </w:rPr>
        <w:t xml:space="preserve">, with </w:t>
      </w:r>
      <w:r w:rsidR="009D5BA0" w:rsidRPr="00A11B0F">
        <w:rPr>
          <w:color w:val="000000" w:themeColor="text1"/>
        </w:rPr>
        <w:t xml:space="preserve">site-specific differences </w:t>
      </w:r>
      <w:r w:rsidR="009D5BA0">
        <w:rPr>
          <w:color w:val="000000" w:themeColor="text1"/>
        </w:rPr>
        <w:t xml:space="preserve">observed </w:t>
      </w:r>
      <w:r w:rsidR="009D5BA0" w:rsidRPr="00A11B0F">
        <w:rPr>
          <w:color w:val="000000" w:themeColor="text1"/>
        </w:rPr>
        <w:t>in foraminiferal assemblages.</w:t>
      </w:r>
      <w:r w:rsidR="00FE24DA">
        <w:rPr>
          <w:color w:val="000000" w:themeColor="text1"/>
        </w:rPr>
        <w:t xml:space="preserve"> </w:t>
      </w:r>
    </w:p>
    <w:p w14:paraId="426DC381" w14:textId="77777777" w:rsidR="00FE24DA" w:rsidRDefault="00FE24DA" w:rsidP="00FE24DA">
      <w:pPr>
        <w:rPr>
          <w:color w:val="000000" w:themeColor="text1"/>
        </w:rPr>
      </w:pPr>
    </w:p>
    <w:p w14:paraId="3745755E" w14:textId="2F12BF9E" w:rsidR="004B7BAC" w:rsidRDefault="00FE24DA" w:rsidP="00FE24DA">
      <w:pPr>
        <w:rPr>
          <w:i/>
          <w:iCs/>
        </w:rPr>
      </w:pPr>
      <w:r w:rsidRPr="00A11B0F">
        <w:rPr>
          <w:color w:val="000000" w:themeColor="text1"/>
        </w:rPr>
        <w:t>The majority of mudflat and all mangrove fringe samples from Sha Kiu are categori</w:t>
      </w:r>
      <w:r>
        <w:rPr>
          <w:color w:val="000000" w:themeColor="text1"/>
        </w:rPr>
        <w:t>s</w:t>
      </w:r>
      <w:r w:rsidRPr="00A11B0F">
        <w:rPr>
          <w:color w:val="000000" w:themeColor="text1"/>
        </w:rPr>
        <w:t>ed within Group</w:t>
      </w:r>
      <w:r w:rsidR="00A7313B">
        <w:rPr>
          <w:color w:val="000000" w:themeColor="text1"/>
        </w:rPr>
        <w:t>s</w:t>
      </w:r>
      <w:r w:rsidRPr="00A11B0F">
        <w:rPr>
          <w:color w:val="000000" w:themeColor="text1"/>
        </w:rPr>
        <w:t xml:space="preserve"> F-1 to F-4. </w:t>
      </w:r>
      <w:r w:rsidR="00537F9F">
        <w:rPr>
          <w:color w:val="000000" w:themeColor="text1"/>
        </w:rPr>
        <w:t xml:space="preserve">The CCA biplot showed that </w:t>
      </w:r>
      <w:r w:rsidR="00537F9F" w:rsidRPr="00A11B0F">
        <w:rPr>
          <w:color w:val="000000" w:themeColor="text1"/>
        </w:rPr>
        <w:t>Group</w:t>
      </w:r>
      <w:r w:rsidR="00A7313B">
        <w:rPr>
          <w:color w:val="000000" w:themeColor="text1"/>
        </w:rPr>
        <w:t>s</w:t>
      </w:r>
      <w:r w:rsidR="00537F9F" w:rsidRPr="00A11B0F">
        <w:rPr>
          <w:color w:val="000000" w:themeColor="text1"/>
        </w:rPr>
        <w:t xml:space="preserve"> F-1</w:t>
      </w:r>
      <w:r w:rsidR="00537F9F">
        <w:rPr>
          <w:color w:val="000000" w:themeColor="text1"/>
        </w:rPr>
        <w:t xml:space="preserve"> to F-3 were associated with </w:t>
      </w:r>
      <w:r w:rsidR="00537F9F" w:rsidRPr="00537F9F">
        <w:rPr>
          <w:color w:val="000000" w:themeColor="text1"/>
        </w:rPr>
        <w:t>low elevation, high salinity and sand content</w:t>
      </w:r>
      <w:r w:rsidR="00433BB6">
        <w:rPr>
          <w:color w:val="000000" w:themeColor="text1"/>
        </w:rPr>
        <w:t xml:space="preserve"> (Figure 3E)</w:t>
      </w:r>
      <w:r w:rsidR="00537F9F">
        <w:rPr>
          <w:color w:val="000000" w:themeColor="text1"/>
        </w:rPr>
        <w:t>.</w:t>
      </w:r>
      <w:r w:rsidR="00537F9F" w:rsidRPr="00537F9F">
        <w:rPr>
          <w:color w:val="000000" w:themeColor="text1"/>
        </w:rPr>
        <w:t xml:space="preserve"> </w:t>
      </w:r>
      <w:r w:rsidRPr="00A11B0F">
        <w:t xml:space="preserve">Group F-1 comprised low elevation samples (-5 to 37 SWLI </w:t>
      </w:r>
      <w:r w:rsidRPr="00A11B0F">
        <w:rPr>
          <w:color w:val="000000" w:themeColor="text1"/>
        </w:rPr>
        <w:t>units</w:t>
      </w:r>
      <w:r w:rsidRPr="00A11B0F">
        <w:t xml:space="preserve">) from lower mudflat environments. This group was characterised by high abundances of </w:t>
      </w:r>
      <w:proofErr w:type="spellStart"/>
      <w:r w:rsidRPr="00A11B0F">
        <w:rPr>
          <w:i/>
          <w:iCs/>
        </w:rPr>
        <w:t>Ammobaculites</w:t>
      </w:r>
      <w:proofErr w:type="spellEnd"/>
      <w:r w:rsidRPr="00A11B0F">
        <w:rPr>
          <w:i/>
          <w:iCs/>
        </w:rPr>
        <w:t xml:space="preserve"> </w:t>
      </w:r>
      <w:r w:rsidRPr="00A11B0F">
        <w:t>spp.</w:t>
      </w:r>
      <w:r w:rsidRPr="00A11B0F">
        <w:rPr>
          <w:i/>
          <w:iCs/>
        </w:rPr>
        <w:t xml:space="preserve"> </w:t>
      </w:r>
      <w:r w:rsidRPr="00A11B0F">
        <w:t>(29–39%)</w:t>
      </w:r>
      <w:r w:rsidRPr="00A11B0F">
        <w:rPr>
          <w:i/>
          <w:iCs/>
        </w:rPr>
        <w:t xml:space="preserve"> </w:t>
      </w:r>
      <w:r w:rsidRPr="00A11B0F">
        <w:t>and</w:t>
      </w:r>
      <w:r w:rsidRPr="00A11B0F">
        <w:rPr>
          <w:i/>
          <w:iCs/>
        </w:rPr>
        <w:t xml:space="preserve"> Rosalina </w:t>
      </w:r>
      <w:r w:rsidRPr="00A11B0F">
        <w:t>sp</w:t>
      </w:r>
      <w:r w:rsidRPr="00A11B0F">
        <w:rPr>
          <w:i/>
          <w:iCs/>
        </w:rPr>
        <w:t>.</w:t>
      </w:r>
      <w:r w:rsidRPr="00A11B0F">
        <w:t>1 (1</w:t>
      </w:r>
      <w:r>
        <w:t>1</w:t>
      </w:r>
      <w:r w:rsidRPr="00A11B0F">
        <w:t>–43%)</w:t>
      </w:r>
      <w:r w:rsidRPr="00A11B0F">
        <w:rPr>
          <w:i/>
          <w:iCs/>
        </w:rPr>
        <w:t>.</w:t>
      </w:r>
      <w:r w:rsidRPr="00A11B0F">
        <w:t xml:space="preserve"> Group F-2 represented a localised outlier (88 to 97 SWLI units) within the mudflat zone dominated</w:t>
      </w:r>
      <w:r>
        <w:t xml:space="preserve"> by patches of </w:t>
      </w:r>
      <w:proofErr w:type="spellStart"/>
      <w:r>
        <w:rPr>
          <w:i/>
          <w:iCs/>
        </w:rPr>
        <w:t>Nonionella</w:t>
      </w:r>
      <w:proofErr w:type="spellEnd"/>
      <w:r>
        <w:rPr>
          <w:i/>
          <w:iCs/>
        </w:rPr>
        <w:t xml:space="preserve"> stella</w:t>
      </w:r>
      <w:r>
        <w:t xml:space="preserve"> (~64%). This opportunistic species forms in localised patches in nutrient-rich and anoxic environment</w:t>
      </w:r>
      <w:r w:rsidR="00A7313B">
        <w:t>s</w:t>
      </w:r>
      <w:r>
        <w:t xml:space="preserve"> (</w:t>
      </w:r>
      <w:proofErr w:type="spellStart"/>
      <w:r w:rsidRPr="00782D84">
        <w:t>Asteman</w:t>
      </w:r>
      <w:proofErr w:type="spellEnd"/>
      <w:r w:rsidRPr="00782D84">
        <w:t xml:space="preserve"> &amp; Schönfeld, 2015</w:t>
      </w:r>
      <w:r>
        <w:t xml:space="preserve">; Gomaa et al., 2021; Rossi et al., 2021). Group F-3 included samples spanning the entire mudflat environment and featured high abundances </w:t>
      </w:r>
      <w:r w:rsidRPr="004D5589">
        <w:t xml:space="preserve">of </w:t>
      </w:r>
      <w:proofErr w:type="spellStart"/>
      <w:r w:rsidRPr="004D5589">
        <w:rPr>
          <w:i/>
          <w:iCs/>
        </w:rPr>
        <w:t>Ammobaculites</w:t>
      </w:r>
      <w:proofErr w:type="spellEnd"/>
      <w:r w:rsidRPr="004D5589">
        <w:rPr>
          <w:i/>
          <w:iCs/>
        </w:rPr>
        <w:t xml:space="preserve"> </w:t>
      </w:r>
      <w:r w:rsidRPr="004D5589">
        <w:t>spp.</w:t>
      </w:r>
      <w:r w:rsidRPr="004D5589">
        <w:rPr>
          <w:i/>
          <w:iCs/>
        </w:rPr>
        <w:t xml:space="preserve"> </w:t>
      </w:r>
      <w:r w:rsidRPr="004D5589">
        <w:t>(</w:t>
      </w:r>
      <w:r>
        <w:t>69–93</w:t>
      </w:r>
      <w:r w:rsidRPr="004D5589">
        <w:t>%).</w:t>
      </w:r>
      <w:r w:rsidRPr="004D5589">
        <w:rPr>
          <w:i/>
          <w:iCs/>
        </w:rPr>
        <w:t xml:space="preserve"> </w:t>
      </w:r>
    </w:p>
    <w:p w14:paraId="2162BA41" w14:textId="77777777" w:rsidR="004B7BAC" w:rsidRDefault="004B7BAC" w:rsidP="00FE24DA">
      <w:pPr>
        <w:rPr>
          <w:i/>
          <w:iCs/>
        </w:rPr>
      </w:pPr>
    </w:p>
    <w:p w14:paraId="738D3C35" w14:textId="480BFC28" w:rsidR="00FE24DA" w:rsidRPr="00753416" w:rsidRDefault="00FE24DA" w:rsidP="00FE24DA">
      <w:pPr>
        <w:rPr>
          <w:color w:val="000000" w:themeColor="text1"/>
        </w:rPr>
      </w:pPr>
      <w:r w:rsidRPr="004D5589">
        <w:lastRenderedPageBreak/>
        <w:t>Group F-4</w:t>
      </w:r>
      <w:r w:rsidR="00F364AB">
        <w:t xml:space="preserve"> was associated </w:t>
      </w:r>
      <w:r w:rsidR="00197ADF" w:rsidRPr="00197ADF">
        <w:t xml:space="preserve">with a wider range of grain sizes and encompassed environments from the upper mudflat to the mangrove fringe </w:t>
      </w:r>
      <w:r w:rsidRPr="00753416">
        <w:rPr>
          <w:color w:val="000000" w:themeColor="text1"/>
        </w:rPr>
        <w:t>(</w:t>
      </w:r>
      <w:r>
        <w:rPr>
          <w:color w:val="000000" w:themeColor="text1"/>
        </w:rPr>
        <w:t>44</w:t>
      </w:r>
      <w:r w:rsidRPr="00753416">
        <w:rPr>
          <w:color w:val="000000" w:themeColor="text1"/>
        </w:rPr>
        <w:t xml:space="preserve"> to </w:t>
      </w:r>
      <w:r>
        <w:rPr>
          <w:color w:val="000000" w:themeColor="text1"/>
        </w:rPr>
        <w:t>144</w:t>
      </w:r>
      <w:r w:rsidRPr="00753416">
        <w:rPr>
          <w:color w:val="000000" w:themeColor="text1"/>
        </w:rPr>
        <w:t xml:space="preserve"> SWLI units</w:t>
      </w:r>
      <w:r>
        <w:t>)</w:t>
      </w:r>
      <w:r w:rsidR="00197ADF">
        <w:t>. The assemblages in this group</w:t>
      </w:r>
      <w:r w:rsidRPr="004D5589" w:rsidDel="009B066A">
        <w:t xml:space="preserve"> </w:t>
      </w:r>
      <w:r w:rsidR="00197ADF">
        <w:t>featur</w:t>
      </w:r>
      <w:r>
        <w:t>ed</w:t>
      </w:r>
      <w:r w:rsidRPr="004D5589">
        <w:t xml:space="preserve"> </w:t>
      </w:r>
      <w:r w:rsidRPr="00595BEB">
        <w:rPr>
          <w:i/>
          <w:iCs/>
        </w:rPr>
        <w:t>Ammonia</w:t>
      </w:r>
      <w:r w:rsidRPr="004D5589">
        <w:t xml:space="preserve"> spp. </w:t>
      </w:r>
      <w:r w:rsidRPr="004D5589">
        <w:rPr>
          <w:color w:val="000000" w:themeColor="text1"/>
        </w:rPr>
        <w:t>(</w:t>
      </w:r>
      <w:r w:rsidRPr="004D5589">
        <w:rPr>
          <w:color w:val="000000" w:themeColor="text1"/>
        </w:rPr>
        <w:sym w:font="Symbol" w:char="F0A3"/>
      </w:r>
      <w:r w:rsidRPr="004D5589">
        <w:rPr>
          <w:color w:val="000000" w:themeColor="text1"/>
        </w:rPr>
        <w:t>56%</w:t>
      </w:r>
      <w:r w:rsidRPr="004D5589">
        <w:t xml:space="preserve">), </w:t>
      </w:r>
      <w:proofErr w:type="spellStart"/>
      <w:r w:rsidRPr="004D5589">
        <w:rPr>
          <w:i/>
          <w:iCs/>
        </w:rPr>
        <w:t>Ammobaculites</w:t>
      </w:r>
      <w:proofErr w:type="spellEnd"/>
      <w:r w:rsidRPr="004D5589">
        <w:rPr>
          <w:i/>
          <w:iCs/>
        </w:rPr>
        <w:t xml:space="preserve"> </w:t>
      </w:r>
      <w:r w:rsidRPr="004D5589">
        <w:t xml:space="preserve">spp. (2–62%), and </w:t>
      </w:r>
      <w:proofErr w:type="spellStart"/>
      <w:r w:rsidRPr="00595BEB">
        <w:rPr>
          <w:i/>
          <w:iCs/>
        </w:rPr>
        <w:t>Glomospirella</w:t>
      </w:r>
      <w:proofErr w:type="spellEnd"/>
      <w:r w:rsidRPr="00595BEB">
        <w:rPr>
          <w:i/>
          <w:iCs/>
        </w:rPr>
        <w:t xml:space="preserve"> </w:t>
      </w:r>
      <w:proofErr w:type="spellStart"/>
      <w:r w:rsidRPr="00595BEB">
        <w:rPr>
          <w:i/>
          <w:iCs/>
        </w:rPr>
        <w:t>fijiensis</w:t>
      </w:r>
      <w:proofErr w:type="spellEnd"/>
      <w:r w:rsidRPr="004D5589">
        <w:rPr>
          <w:i/>
          <w:iCs/>
        </w:rPr>
        <w:t xml:space="preserve"> </w:t>
      </w:r>
      <w:r w:rsidRPr="00595BEB">
        <w:t>(</w:t>
      </w:r>
      <w:r w:rsidRPr="004D5589">
        <w:rPr>
          <w:color w:val="000000" w:themeColor="text1"/>
        </w:rPr>
        <w:sym w:font="Symbol" w:char="F0A3"/>
      </w:r>
      <w:r w:rsidRPr="00595BEB">
        <w:t>26%)</w:t>
      </w:r>
      <w:r>
        <w:t xml:space="preserve">. </w:t>
      </w:r>
      <w:r w:rsidRPr="00753416">
        <w:rPr>
          <w:color w:val="000000" w:themeColor="text1"/>
        </w:rPr>
        <w:t xml:space="preserve">The taxa </w:t>
      </w:r>
      <w:r>
        <w:rPr>
          <w:color w:val="000000" w:themeColor="text1"/>
        </w:rPr>
        <w:t>identified in Group</w:t>
      </w:r>
      <w:r w:rsidR="00A7313B">
        <w:rPr>
          <w:color w:val="000000" w:themeColor="text1"/>
        </w:rPr>
        <w:t>s</w:t>
      </w:r>
      <w:r>
        <w:rPr>
          <w:color w:val="000000" w:themeColor="text1"/>
        </w:rPr>
        <w:t xml:space="preserve"> F1–4 </w:t>
      </w:r>
      <w:r w:rsidRPr="00753416">
        <w:rPr>
          <w:color w:val="000000" w:themeColor="text1"/>
        </w:rPr>
        <w:t>have commonly been observed in mudflat environments on the northern China coast (Lei and Li, 2016; Lei et al., 2017) and other tropical and subtropical mudflats in Indonesia, New Zealand, and South Africa (Hayward and Hollis, 1994; Horton et al., 2005; Franceschini et al., 2005).</w:t>
      </w:r>
      <w:r>
        <w:rPr>
          <w:color w:val="000000" w:themeColor="text1"/>
        </w:rPr>
        <w:t xml:space="preserve"> Despite the overlapping </w:t>
      </w:r>
      <w:r w:rsidRPr="00753416">
        <w:rPr>
          <w:color w:val="000000" w:themeColor="text1"/>
        </w:rPr>
        <w:t xml:space="preserve">elevation range </w:t>
      </w:r>
      <w:r>
        <w:rPr>
          <w:color w:val="000000" w:themeColor="text1"/>
        </w:rPr>
        <w:t xml:space="preserve">of </w:t>
      </w:r>
      <w:r w:rsidRPr="00753416">
        <w:rPr>
          <w:color w:val="000000" w:themeColor="text1"/>
        </w:rPr>
        <w:t xml:space="preserve">mudflat samples </w:t>
      </w:r>
      <w:r w:rsidR="004B7BAC">
        <w:rPr>
          <w:color w:val="000000" w:themeColor="text1"/>
        </w:rPr>
        <w:t>with</w:t>
      </w:r>
      <w:r>
        <w:rPr>
          <w:color w:val="000000" w:themeColor="text1"/>
        </w:rPr>
        <w:t xml:space="preserve"> Group F-7 in Mai Po,</w:t>
      </w:r>
      <w:r w:rsidRPr="00753416">
        <w:rPr>
          <w:color w:val="000000" w:themeColor="text1"/>
        </w:rPr>
        <w:t xml:space="preserve"> </w:t>
      </w:r>
      <w:r>
        <w:rPr>
          <w:color w:val="000000" w:themeColor="text1"/>
        </w:rPr>
        <w:t>t</w:t>
      </w:r>
      <w:r w:rsidRPr="00753416">
        <w:rPr>
          <w:color w:val="000000" w:themeColor="text1"/>
        </w:rPr>
        <w:t xml:space="preserve">he mangrove fringe assemblage </w:t>
      </w:r>
      <w:r w:rsidR="004B7BAC">
        <w:rPr>
          <w:color w:val="000000" w:themeColor="text1"/>
        </w:rPr>
        <w:t xml:space="preserve">in </w:t>
      </w:r>
      <w:r w:rsidR="004B7BAC" w:rsidRPr="004D5589">
        <w:t>Group F-4</w:t>
      </w:r>
      <w:r w:rsidR="004B7BAC">
        <w:t xml:space="preserve"> </w:t>
      </w:r>
      <w:r w:rsidR="004B7BAC">
        <w:rPr>
          <w:color w:val="000000" w:themeColor="text1"/>
        </w:rPr>
        <w:t>wa</w:t>
      </w:r>
      <w:r w:rsidRPr="00753416">
        <w:rPr>
          <w:color w:val="000000" w:themeColor="text1"/>
        </w:rPr>
        <w:t xml:space="preserve">s distinguished by the unique presence of </w:t>
      </w:r>
      <w:r w:rsidRPr="00753416">
        <w:rPr>
          <w:i/>
          <w:iCs/>
        </w:rPr>
        <w:t xml:space="preserve">G. </w:t>
      </w:r>
      <w:proofErr w:type="spellStart"/>
      <w:r w:rsidRPr="00753416">
        <w:rPr>
          <w:i/>
          <w:iCs/>
        </w:rPr>
        <w:t>fijiensis</w:t>
      </w:r>
      <w:proofErr w:type="spellEnd"/>
      <w:r>
        <w:t>.</w:t>
      </w:r>
      <w:r w:rsidRPr="00753416">
        <w:rPr>
          <w:i/>
          <w:iCs/>
        </w:rPr>
        <w:t xml:space="preserve"> </w:t>
      </w:r>
      <w:r w:rsidRPr="00753416">
        <w:rPr>
          <w:color w:val="000000" w:themeColor="text1"/>
        </w:rPr>
        <w:t xml:space="preserve">One possible reason </w:t>
      </w:r>
      <w:r>
        <w:rPr>
          <w:color w:val="000000" w:themeColor="text1"/>
        </w:rPr>
        <w:t>for the absence of this species</w:t>
      </w:r>
      <w:r w:rsidRPr="00753416">
        <w:rPr>
          <w:color w:val="000000" w:themeColor="text1"/>
        </w:rPr>
        <w:t xml:space="preserve"> at the mangrove fringe in Mai Po </w:t>
      </w:r>
      <w:r>
        <w:rPr>
          <w:color w:val="000000" w:themeColor="text1"/>
        </w:rPr>
        <w:t>is the</w:t>
      </w:r>
      <w:r w:rsidRPr="00753416">
        <w:rPr>
          <w:color w:val="000000" w:themeColor="text1"/>
        </w:rPr>
        <w:t xml:space="preserve"> management strategy </w:t>
      </w:r>
      <w:r>
        <w:rPr>
          <w:color w:val="000000" w:themeColor="text1"/>
        </w:rPr>
        <w:t>employed at the</w:t>
      </w:r>
      <w:r w:rsidRPr="00753416">
        <w:rPr>
          <w:color w:val="000000" w:themeColor="text1"/>
        </w:rPr>
        <w:t xml:space="preserve"> Mai Po Nature Reserve. </w:t>
      </w:r>
      <w:r w:rsidRPr="00753416">
        <w:t>To preserve the feeding grounds of water birds, the WWF has been curtailing the mangrove expansion by cutting them at the mudflat margin (WWF-Hong Kong, 2024). This has resulted in elevations that would typically be o</w:t>
      </w:r>
      <w:r>
        <w:t>cc</w:t>
      </w:r>
      <w:r w:rsidRPr="00753416">
        <w:t>upied by mangroves being retained as mudflats, thereby altering the natural habitat. Another possible reason is that the substrate in</w:t>
      </w:r>
      <w:r>
        <w:t xml:space="preserve"> the</w:t>
      </w:r>
      <w:r w:rsidRPr="00753416">
        <w:t xml:space="preserve"> mangrove fringe in Sha Kiu is higher in sand content (Figure 2C), making it a different habitat to that in Mai Po. This is </w:t>
      </w:r>
      <w:r>
        <w:t xml:space="preserve">supported </w:t>
      </w:r>
      <w:r w:rsidRPr="00753416">
        <w:t xml:space="preserve">by </w:t>
      </w:r>
      <w:r>
        <w:t>the</w:t>
      </w:r>
      <w:r w:rsidRPr="00753416">
        <w:t xml:space="preserve"> </w:t>
      </w:r>
      <w:r>
        <w:t xml:space="preserve">presence of </w:t>
      </w:r>
      <w:r w:rsidRPr="00753416">
        <w:rPr>
          <w:i/>
          <w:iCs/>
        </w:rPr>
        <w:t xml:space="preserve">G. </w:t>
      </w:r>
      <w:proofErr w:type="spellStart"/>
      <w:r w:rsidRPr="00753416">
        <w:rPr>
          <w:i/>
          <w:iCs/>
        </w:rPr>
        <w:t>fijiensis</w:t>
      </w:r>
      <w:proofErr w:type="spellEnd"/>
      <w:r w:rsidRPr="00753416">
        <w:t xml:space="preserve"> in lower m</w:t>
      </w:r>
      <w:r>
        <w:t>angrove</w:t>
      </w:r>
      <w:r w:rsidRPr="00753416">
        <w:t xml:space="preserve"> </w:t>
      </w:r>
      <w:r>
        <w:t xml:space="preserve">environments </w:t>
      </w:r>
      <w:r w:rsidRPr="00753416">
        <w:t xml:space="preserve">composed of peaty sand in Malaysia (Culver et al., 2015).  </w:t>
      </w:r>
    </w:p>
    <w:p w14:paraId="0C4BC374" w14:textId="77777777" w:rsidR="00FE24DA" w:rsidRPr="00753416" w:rsidRDefault="00FE24DA" w:rsidP="00FE24DA">
      <w:pPr>
        <w:rPr>
          <w:color w:val="000000" w:themeColor="text1"/>
        </w:rPr>
      </w:pPr>
    </w:p>
    <w:p w14:paraId="4555CE1A" w14:textId="138975AB" w:rsidR="004B7BAC" w:rsidRDefault="00FE24DA" w:rsidP="00FE24DA">
      <w:pPr>
        <w:rPr>
          <w:color w:val="000000" w:themeColor="text1"/>
        </w:rPr>
      </w:pPr>
      <w:r>
        <w:t>In Mai Po, the s</w:t>
      </w:r>
      <w:r w:rsidRPr="00753416">
        <w:rPr>
          <w:color w:val="000000" w:themeColor="text1"/>
        </w:rPr>
        <w:t xml:space="preserve">ubtidal samples </w:t>
      </w:r>
      <w:r w:rsidR="00FE538E" w:rsidRPr="00753416">
        <w:rPr>
          <w:color w:val="000000" w:themeColor="text1"/>
        </w:rPr>
        <w:t xml:space="preserve">(-162 to -135 SWLI units) </w:t>
      </w:r>
      <w:r>
        <w:rPr>
          <w:color w:val="000000" w:themeColor="text1"/>
        </w:rPr>
        <w:t xml:space="preserve">in Group F-5 </w:t>
      </w:r>
      <w:r w:rsidR="00FE538E" w:rsidRPr="00595BEB">
        <w:t>(</w:t>
      </w:r>
      <w:r w:rsidR="00FE538E" w:rsidRPr="00A11B0F">
        <w:t xml:space="preserve">average silhouette </w:t>
      </w:r>
      <w:r w:rsidR="00FE538E" w:rsidRPr="000554C7">
        <w:t>width: 0.</w:t>
      </w:r>
      <w:r w:rsidR="000554C7">
        <w:t>67</w:t>
      </w:r>
      <w:r w:rsidR="00FE538E" w:rsidRPr="00A11B0F">
        <w:t xml:space="preserve">) </w:t>
      </w:r>
      <w:r>
        <w:rPr>
          <w:color w:val="000000" w:themeColor="text1"/>
        </w:rPr>
        <w:t>were</w:t>
      </w:r>
      <w:r w:rsidRPr="00753416">
        <w:rPr>
          <w:color w:val="000000" w:themeColor="text1"/>
        </w:rPr>
        <w:t xml:space="preserve"> mostly composed </w:t>
      </w:r>
      <w:r w:rsidRPr="00A11B0F">
        <w:rPr>
          <w:color w:val="000000" w:themeColor="text1"/>
        </w:rPr>
        <w:t xml:space="preserve">of </w:t>
      </w:r>
      <w:proofErr w:type="spellStart"/>
      <w:r w:rsidRPr="00A11B0F">
        <w:rPr>
          <w:i/>
          <w:iCs/>
          <w:color w:val="000000" w:themeColor="text1"/>
        </w:rPr>
        <w:t>Ammobaculites</w:t>
      </w:r>
      <w:proofErr w:type="spellEnd"/>
      <w:r w:rsidRPr="00A11B0F">
        <w:rPr>
          <w:i/>
          <w:iCs/>
          <w:color w:val="000000" w:themeColor="text1"/>
        </w:rPr>
        <w:t xml:space="preserve"> </w:t>
      </w:r>
      <w:r w:rsidRPr="00A11B0F">
        <w:rPr>
          <w:color w:val="000000" w:themeColor="text1"/>
        </w:rPr>
        <w:t>spp.</w:t>
      </w:r>
      <w:r w:rsidRPr="00A11B0F">
        <w:rPr>
          <w:i/>
          <w:iCs/>
          <w:color w:val="000000" w:themeColor="text1"/>
        </w:rPr>
        <w:t xml:space="preserve"> </w:t>
      </w:r>
      <w:r w:rsidRPr="00A11B0F">
        <w:rPr>
          <w:color w:val="000000" w:themeColor="text1"/>
        </w:rPr>
        <w:t>(42–30%) and</w:t>
      </w:r>
      <w:r w:rsidRPr="00A11B0F">
        <w:rPr>
          <w:i/>
          <w:iCs/>
          <w:color w:val="000000" w:themeColor="text1"/>
        </w:rPr>
        <w:t xml:space="preserve"> Ammonia </w:t>
      </w:r>
      <w:proofErr w:type="spellStart"/>
      <w:r w:rsidRPr="00A11B0F">
        <w:rPr>
          <w:i/>
          <w:iCs/>
          <w:color w:val="000000" w:themeColor="text1"/>
        </w:rPr>
        <w:t>falsobeccarii</w:t>
      </w:r>
      <w:proofErr w:type="spellEnd"/>
      <w:r w:rsidRPr="00A11B0F">
        <w:rPr>
          <w:i/>
          <w:iCs/>
          <w:color w:val="000000" w:themeColor="text1"/>
        </w:rPr>
        <w:t xml:space="preserve"> </w:t>
      </w:r>
      <w:r w:rsidRPr="00A11B0F">
        <w:rPr>
          <w:color w:val="000000" w:themeColor="text1"/>
        </w:rPr>
        <w:t xml:space="preserve">(52–73%). The latter species </w:t>
      </w:r>
      <w:r w:rsidR="00615684">
        <w:rPr>
          <w:color w:val="000000" w:themeColor="text1"/>
        </w:rPr>
        <w:t>is</w:t>
      </w:r>
      <w:r w:rsidRPr="00A11B0F">
        <w:rPr>
          <w:color w:val="000000" w:themeColor="text1"/>
        </w:rPr>
        <w:t xml:space="preserve"> </w:t>
      </w:r>
      <w:r w:rsidR="00615684">
        <w:rPr>
          <w:color w:val="000000" w:themeColor="text1"/>
        </w:rPr>
        <w:t xml:space="preserve">observed </w:t>
      </w:r>
      <w:r w:rsidRPr="00A11B0F">
        <w:rPr>
          <w:color w:val="000000" w:themeColor="text1"/>
        </w:rPr>
        <w:t>in anoxic organic sediment from estuarine to shallow marine environments (water depths up to ~140 m) (</w:t>
      </w:r>
      <w:proofErr w:type="spellStart"/>
      <w:r w:rsidRPr="00A11B0F">
        <w:rPr>
          <w:color w:val="000000" w:themeColor="text1"/>
        </w:rPr>
        <w:t>Fotanier</w:t>
      </w:r>
      <w:proofErr w:type="spellEnd"/>
      <w:r w:rsidRPr="00A11B0F">
        <w:rPr>
          <w:color w:val="000000" w:themeColor="text1"/>
        </w:rPr>
        <w:t xml:space="preserve"> et al., 2002; Hart et al., 2017; </w:t>
      </w:r>
      <w:proofErr w:type="spellStart"/>
      <w:r w:rsidRPr="00A11B0F">
        <w:t>Mojtahid</w:t>
      </w:r>
      <w:proofErr w:type="spellEnd"/>
      <w:r w:rsidRPr="00A11B0F">
        <w:t xml:space="preserve"> et al., 2006</w:t>
      </w:r>
      <w:r w:rsidRPr="00A11B0F">
        <w:rPr>
          <w:color w:val="000000" w:themeColor="text1"/>
        </w:rPr>
        <w:t>), consistent with the tide-dominated geographic setting of Deep Bay, where cohesive sediment and minimal wave action limit sediment resuspension (</w:t>
      </w:r>
      <w:proofErr w:type="spellStart"/>
      <w:r w:rsidRPr="00A11B0F">
        <w:rPr>
          <w:color w:val="000000" w:themeColor="text1"/>
        </w:rPr>
        <w:t>Dashtgard</w:t>
      </w:r>
      <w:proofErr w:type="spellEnd"/>
      <w:r w:rsidRPr="00A11B0F">
        <w:rPr>
          <w:color w:val="000000" w:themeColor="text1"/>
        </w:rPr>
        <w:t xml:space="preserve"> et al., 2012).  </w:t>
      </w:r>
    </w:p>
    <w:p w14:paraId="5CAEFF37" w14:textId="77777777" w:rsidR="004B7BAC" w:rsidRDefault="004B7BAC" w:rsidP="00FE24DA">
      <w:pPr>
        <w:rPr>
          <w:color w:val="000000" w:themeColor="text1"/>
        </w:rPr>
      </w:pPr>
    </w:p>
    <w:p w14:paraId="5195F8E7" w14:textId="5CCC69C3" w:rsidR="00FE24DA" w:rsidRPr="00595BEB" w:rsidRDefault="00FE24DA" w:rsidP="00FE24DA">
      <w:pPr>
        <w:rPr>
          <w:color w:val="000000" w:themeColor="text1"/>
        </w:rPr>
      </w:pPr>
      <w:r w:rsidRPr="00595BEB">
        <w:t>PAM identified distinct mangrove environment</w:t>
      </w:r>
      <w:r w:rsidRPr="00A11B0F">
        <w:t xml:space="preserve"> groups in the Mai Po transects (Group</w:t>
      </w:r>
      <w:r w:rsidR="00A7313B">
        <w:t>s</w:t>
      </w:r>
      <w:r w:rsidRPr="00A11B0F">
        <w:t xml:space="preserve"> F6</w:t>
      </w:r>
      <w:r w:rsidR="007E395B">
        <w:t>–</w:t>
      </w:r>
      <w:r w:rsidRPr="00A11B0F">
        <w:t xml:space="preserve">10). These groups </w:t>
      </w:r>
      <w:r w:rsidR="004B7BAC">
        <w:t>were associated</w:t>
      </w:r>
      <w:r w:rsidR="000C42EC">
        <w:t xml:space="preserve"> </w:t>
      </w:r>
      <w:r w:rsidR="004B7BAC">
        <w:t>with h</w:t>
      </w:r>
      <w:r w:rsidR="004B7BAC" w:rsidRPr="004B7BAC">
        <w:t xml:space="preserve">igh </w:t>
      </w:r>
      <w:r w:rsidR="004B7BAC">
        <w:t xml:space="preserve">elevation, </w:t>
      </w:r>
      <w:r w:rsidR="004B7BAC" w:rsidRPr="004B7BAC">
        <w:t>mud</w:t>
      </w:r>
      <w:r w:rsidR="00A7313B">
        <w:t>,</w:t>
      </w:r>
      <w:r w:rsidR="004B7BAC" w:rsidRPr="004B7BAC">
        <w:t xml:space="preserve"> and TOC</w:t>
      </w:r>
      <w:r w:rsidR="006066AA">
        <w:t xml:space="preserve"> in </w:t>
      </w:r>
      <w:r w:rsidR="00A7313B">
        <w:t xml:space="preserve">the </w:t>
      </w:r>
      <w:r w:rsidR="006066AA">
        <w:t>CCA</w:t>
      </w:r>
      <w:r w:rsidR="00A7313B">
        <w:t xml:space="preserve"> analysis</w:t>
      </w:r>
      <w:r w:rsidR="004B7BAC">
        <w:t xml:space="preserve">, and </w:t>
      </w:r>
      <w:r w:rsidRPr="00A11B0F">
        <w:t xml:space="preserve">shared common agglutinated taxa including </w:t>
      </w:r>
      <w:proofErr w:type="spellStart"/>
      <w:r w:rsidR="00C043C3" w:rsidRPr="001B2703">
        <w:rPr>
          <w:i/>
          <w:iCs/>
        </w:rPr>
        <w:t>Arenoparrella</w:t>
      </w:r>
      <w:proofErr w:type="spellEnd"/>
      <w:r w:rsidRPr="00A11B0F">
        <w:rPr>
          <w:i/>
          <w:iCs/>
          <w:color w:val="000000" w:themeColor="text1"/>
        </w:rPr>
        <w:t xml:space="preserve"> </w:t>
      </w:r>
      <w:proofErr w:type="spellStart"/>
      <w:r w:rsidR="007E395B">
        <w:rPr>
          <w:i/>
          <w:iCs/>
          <w:color w:val="000000" w:themeColor="text1"/>
        </w:rPr>
        <w:t>m</w:t>
      </w:r>
      <w:r w:rsidRPr="00A11B0F">
        <w:rPr>
          <w:i/>
          <w:iCs/>
          <w:color w:val="000000" w:themeColor="text1"/>
        </w:rPr>
        <w:t>exicana</w:t>
      </w:r>
      <w:proofErr w:type="spellEnd"/>
      <w:r w:rsidRPr="00A11B0F">
        <w:rPr>
          <w:color w:val="000000" w:themeColor="text1"/>
        </w:rPr>
        <w:t>,</w:t>
      </w:r>
      <w:r w:rsidRPr="00A11B0F">
        <w:t xml:space="preserve"> </w:t>
      </w:r>
      <w:proofErr w:type="spellStart"/>
      <w:r w:rsidR="00E71D77" w:rsidRPr="001B2703">
        <w:rPr>
          <w:i/>
          <w:iCs/>
        </w:rPr>
        <w:t>Haplophragmoides</w:t>
      </w:r>
      <w:proofErr w:type="spellEnd"/>
      <w:r w:rsidRPr="00A11B0F">
        <w:rPr>
          <w:i/>
          <w:iCs/>
          <w:color w:val="000000" w:themeColor="text1"/>
        </w:rPr>
        <w:t xml:space="preserve"> </w:t>
      </w:r>
      <w:proofErr w:type="spellStart"/>
      <w:r w:rsidRPr="00A11B0F">
        <w:rPr>
          <w:i/>
          <w:iCs/>
          <w:color w:val="000000" w:themeColor="text1"/>
        </w:rPr>
        <w:t>wilberti</w:t>
      </w:r>
      <w:proofErr w:type="spellEnd"/>
      <w:r w:rsidRPr="00A11B0F">
        <w:rPr>
          <w:color w:val="000000" w:themeColor="text1"/>
        </w:rPr>
        <w:t xml:space="preserve">, </w:t>
      </w:r>
      <w:proofErr w:type="spellStart"/>
      <w:r w:rsidRPr="00A11B0F">
        <w:rPr>
          <w:i/>
          <w:iCs/>
          <w:color w:val="000000" w:themeColor="text1"/>
        </w:rPr>
        <w:t>Miliammina</w:t>
      </w:r>
      <w:proofErr w:type="spellEnd"/>
      <w:r w:rsidRPr="00A11B0F">
        <w:rPr>
          <w:i/>
          <w:iCs/>
          <w:color w:val="000000" w:themeColor="text1"/>
        </w:rPr>
        <w:t xml:space="preserve"> </w:t>
      </w:r>
      <w:r w:rsidRPr="00A11B0F">
        <w:rPr>
          <w:color w:val="000000" w:themeColor="text1"/>
        </w:rPr>
        <w:t xml:space="preserve">spp., and </w:t>
      </w:r>
      <w:proofErr w:type="spellStart"/>
      <w:r w:rsidR="00962B32" w:rsidRPr="00962B32">
        <w:rPr>
          <w:i/>
          <w:iCs/>
          <w:color w:val="000000" w:themeColor="text1"/>
        </w:rPr>
        <w:t>Trochammina</w:t>
      </w:r>
      <w:proofErr w:type="spellEnd"/>
      <w:r w:rsidR="00962B32">
        <w:rPr>
          <w:i/>
          <w:iCs/>
          <w:color w:val="000000" w:themeColor="text1"/>
        </w:rPr>
        <w:t xml:space="preserve"> </w:t>
      </w:r>
      <w:proofErr w:type="spellStart"/>
      <w:r w:rsidRPr="00A11B0F">
        <w:rPr>
          <w:i/>
          <w:iCs/>
          <w:color w:val="000000" w:themeColor="text1"/>
        </w:rPr>
        <w:t>inflata</w:t>
      </w:r>
      <w:proofErr w:type="spellEnd"/>
      <w:r w:rsidRPr="00A11B0F">
        <w:rPr>
          <w:color w:val="000000" w:themeColor="text1"/>
        </w:rPr>
        <w:t>. These</w:t>
      </w:r>
      <w:r w:rsidRPr="00A11B0F">
        <w:t xml:space="preserve"> cosmopolitan species (Abd Malek et al., 2021) have been reported across all geographical regions, including tropical </w:t>
      </w:r>
      <w:r w:rsidRPr="00A11B0F">
        <w:rPr>
          <w:color w:val="000000" w:themeColor="text1"/>
        </w:rPr>
        <w:t>(Culver et al., 2013; Culver et al</w:t>
      </w:r>
      <w:r w:rsidRPr="00753416">
        <w:rPr>
          <w:color w:val="000000" w:themeColor="text1"/>
        </w:rPr>
        <w:t>., 2015; Khan et al., 2019</w:t>
      </w:r>
      <w:r>
        <w:rPr>
          <w:color w:val="000000" w:themeColor="text1"/>
        </w:rPr>
        <w:t>a</w:t>
      </w:r>
      <w:r w:rsidRPr="00753416">
        <w:rPr>
          <w:color w:val="000000" w:themeColor="text1"/>
        </w:rPr>
        <w:t xml:space="preserve">) </w:t>
      </w:r>
      <w:r w:rsidRPr="00753416">
        <w:t xml:space="preserve">and subtropical mangroves </w:t>
      </w:r>
      <w:r w:rsidRPr="00753416">
        <w:rPr>
          <w:color w:val="000000" w:themeColor="text1"/>
        </w:rPr>
        <w:t>(Berkley et al., 2009)</w:t>
      </w:r>
      <w:r w:rsidRPr="00753416">
        <w:t xml:space="preserve"> </w:t>
      </w:r>
      <w:r w:rsidRPr="00753416">
        <w:lastRenderedPageBreak/>
        <w:t>and temperate saltmarshes (e.g.</w:t>
      </w:r>
      <w:r>
        <w:t>,</w:t>
      </w:r>
      <w:r w:rsidRPr="00753416">
        <w:t xml:space="preserve"> Horton and Culver 2008; </w:t>
      </w:r>
      <w:proofErr w:type="spellStart"/>
      <w:r w:rsidRPr="00753416">
        <w:t>Leorri</w:t>
      </w:r>
      <w:proofErr w:type="spellEnd"/>
      <w:r w:rsidRPr="00753416">
        <w:t xml:space="preserve"> and </w:t>
      </w:r>
      <w:proofErr w:type="spellStart"/>
      <w:r w:rsidRPr="00753416">
        <w:t>Cearreta</w:t>
      </w:r>
      <w:proofErr w:type="spellEnd"/>
      <w:r w:rsidRPr="00753416">
        <w:t xml:space="preserve"> 2009; Hawkes et al. 2010).</w:t>
      </w:r>
      <w:r w:rsidRPr="00753416">
        <w:rPr>
          <w:i/>
          <w:iCs/>
          <w:color w:val="000000" w:themeColor="text1"/>
        </w:rPr>
        <w:t xml:space="preserve"> </w:t>
      </w:r>
      <w:proofErr w:type="gramStart"/>
      <w:r>
        <w:rPr>
          <w:color w:val="000000" w:themeColor="text1"/>
        </w:rPr>
        <w:t xml:space="preserve">In particular, </w:t>
      </w:r>
      <w:proofErr w:type="spellStart"/>
      <w:r w:rsidRPr="00753416">
        <w:rPr>
          <w:i/>
          <w:iCs/>
          <w:color w:val="000000" w:themeColor="text1"/>
        </w:rPr>
        <w:t>Miliammina</w:t>
      </w:r>
      <w:proofErr w:type="spellEnd"/>
      <w:proofErr w:type="gramEnd"/>
      <w:r w:rsidRPr="00753416">
        <w:rPr>
          <w:i/>
          <w:iCs/>
          <w:color w:val="000000" w:themeColor="text1"/>
        </w:rPr>
        <w:t xml:space="preserve"> </w:t>
      </w:r>
      <w:r w:rsidRPr="00753416">
        <w:rPr>
          <w:color w:val="000000" w:themeColor="text1"/>
        </w:rPr>
        <w:t>spp. are universal taxa</w:t>
      </w:r>
      <w:r>
        <w:rPr>
          <w:color w:val="000000" w:themeColor="text1"/>
        </w:rPr>
        <w:t xml:space="preserve"> that are</w:t>
      </w:r>
      <w:r w:rsidRPr="00753416">
        <w:rPr>
          <w:color w:val="000000" w:themeColor="text1"/>
        </w:rPr>
        <w:t xml:space="preserve"> tolerant of conditions across mudflat and mangrove environments</w:t>
      </w:r>
      <w:r>
        <w:rPr>
          <w:color w:val="000000" w:themeColor="text1"/>
        </w:rPr>
        <w:t xml:space="preserve"> in Group F-7 (</w:t>
      </w:r>
      <w:r>
        <w:t>average silhouette width: 0.52</w:t>
      </w:r>
      <w:r>
        <w:rPr>
          <w:color w:val="000000" w:themeColor="text1"/>
        </w:rPr>
        <w:t>) from -2 to 303 SWLI units</w:t>
      </w:r>
      <w:r w:rsidRPr="00753416">
        <w:rPr>
          <w:color w:val="000000" w:themeColor="text1"/>
        </w:rPr>
        <w:t xml:space="preserve">. This broad elevation range has also been reported in saltmarshes in the UK </w:t>
      </w:r>
      <w:r>
        <w:rPr>
          <w:color w:val="000000" w:themeColor="text1"/>
        </w:rPr>
        <w:t>(</w:t>
      </w:r>
      <w:r w:rsidRPr="00753416">
        <w:rPr>
          <w:color w:val="000000" w:themeColor="text1"/>
        </w:rPr>
        <w:t>Horton et al.</w:t>
      </w:r>
      <w:r>
        <w:rPr>
          <w:color w:val="000000" w:themeColor="text1"/>
        </w:rPr>
        <w:t xml:space="preserve">, </w:t>
      </w:r>
      <w:r w:rsidRPr="00753416">
        <w:rPr>
          <w:color w:val="000000" w:themeColor="text1"/>
        </w:rPr>
        <w:t>2003</w:t>
      </w:r>
      <w:r>
        <w:rPr>
          <w:color w:val="000000" w:themeColor="text1"/>
        </w:rPr>
        <w:t>; Rush et al., 2021</w:t>
      </w:r>
      <w:r w:rsidRPr="00753416">
        <w:rPr>
          <w:color w:val="000000" w:themeColor="text1"/>
        </w:rPr>
        <w:t>)</w:t>
      </w:r>
      <w:r>
        <w:rPr>
          <w:color w:val="000000" w:themeColor="text1"/>
        </w:rPr>
        <w:t xml:space="preserve"> </w:t>
      </w:r>
      <w:r w:rsidRPr="00753416">
        <w:rPr>
          <w:color w:val="000000" w:themeColor="text1"/>
        </w:rPr>
        <w:t>and subtropical mangroves in Australia</w:t>
      </w:r>
      <w:r>
        <w:rPr>
          <w:color w:val="000000" w:themeColor="text1"/>
        </w:rPr>
        <w:t xml:space="preserve"> (</w:t>
      </w:r>
      <w:r w:rsidRPr="00753416">
        <w:rPr>
          <w:color w:val="000000" w:themeColor="text1"/>
        </w:rPr>
        <w:t>Woodroffe et al.</w:t>
      </w:r>
      <w:r>
        <w:rPr>
          <w:color w:val="000000" w:themeColor="text1"/>
        </w:rPr>
        <w:t xml:space="preserve">, </w:t>
      </w:r>
      <w:r w:rsidRPr="00753416">
        <w:rPr>
          <w:color w:val="000000" w:themeColor="text1"/>
        </w:rPr>
        <w:t>2005</w:t>
      </w:r>
      <w:r>
        <w:rPr>
          <w:color w:val="000000" w:themeColor="text1"/>
        </w:rPr>
        <w:t xml:space="preserve">; </w:t>
      </w:r>
      <w:r w:rsidRPr="00A11B0F">
        <w:rPr>
          <w:color w:val="000000" w:themeColor="text1"/>
        </w:rPr>
        <w:t>William et al., 2021).</w:t>
      </w:r>
      <w:r w:rsidRPr="00A11B0F">
        <w:t xml:space="preserve"> </w:t>
      </w:r>
    </w:p>
    <w:p w14:paraId="017AA5DD" w14:textId="77777777" w:rsidR="00FE24DA" w:rsidRPr="00A11B0F" w:rsidRDefault="00FE24DA" w:rsidP="00FE24DA"/>
    <w:p w14:paraId="4191CC9A" w14:textId="5464084A" w:rsidR="00FE24DA" w:rsidRDefault="00FE24DA" w:rsidP="00FE24DA">
      <w:pPr>
        <w:rPr>
          <w:color w:val="000000" w:themeColor="text1"/>
        </w:rPr>
      </w:pPr>
      <w:r w:rsidRPr="00595BEB">
        <w:t>Group</w:t>
      </w:r>
      <w:r w:rsidR="00A7313B">
        <w:t>s</w:t>
      </w:r>
      <w:r w:rsidRPr="00595BEB">
        <w:t xml:space="preserve"> F-6, F-8 and 9 (</w:t>
      </w:r>
      <w:r w:rsidRPr="00A11B0F">
        <w:t xml:space="preserve">average silhouette width: 0.11–0.71) </w:t>
      </w:r>
      <w:r w:rsidR="006A5C34">
        <w:t xml:space="preserve">were associated with higher TOC within the mangrove zone and </w:t>
      </w:r>
      <w:r w:rsidR="006A5C34" w:rsidRPr="00A11B0F">
        <w:t xml:space="preserve">featured </w:t>
      </w:r>
      <w:r w:rsidRPr="00A11B0F">
        <w:t>intra-environmental variation in species assemblages</w:t>
      </w:r>
      <w:r w:rsidRPr="00595BEB">
        <w:t xml:space="preserve">. </w:t>
      </w:r>
      <w:r w:rsidRPr="00A11B0F">
        <w:t>These groups occupied a similar elevation range within the mangrove zone (157 to 199 SWLI</w:t>
      </w:r>
      <w:r w:rsidRPr="00F1676A">
        <w:t xml:space="preserve"> units)</w:t>
      </w:r>
      <w:r>
        <w:t xml:space="preserve">. Group F-6 was distinguished by higher abundance of </w:t>
      </w:r>
      <w:r>
        <w:rPr>
          <w:i/>
          <w:iCs/>
        </w:rPr>
        <w:t xml:space="preserve">A. </w:t>
      </w:r>
      <w:proofErr w:type="spellStart"/>
      <w:r>
        <w:rPr>
          <w:i/>
          <w:iCs/>
        </w:rPr>
        <w:t>mexicana</w:t>
      </w:r>
      <w:proofErr w:type="spellEnd"/>
      <w:r>
        <w:t xml:space="preserve"> (37 – 41%) and </w:t>
      </w:r>
      <w:proofErr w:type="spellStart"/>
      <w:r w:rsidRPr="00753416">
        <w:rPr>
          <w:i/>
          <w:iCs/>
        </w:rPr>
        <w:t>Miliammina</w:t>
      </w:r>
      <w:proofErr w:type="spellEnd"/>
      <w:r w:rsidRPr="00753416">
        <w:rPr>
          <w:i/>
          <w:iCs/>
        </w:rPr>
        <w:t xml:space="preserve"> </w:t>
      </w:r>
      <w:r w:rsidRPr="00753416">
        <w:t>spp</w:t>
      </w:r>
      <w:r w:rsidRPr="00753416">
        <w:rPr>
          <w:i/>
          <w:iCs/>
        </w:rPr>
        <w:t xml:space="preserve">. </w:t>
      </w:r>
      <w:r w:rsidRPr="00753416">
        <w:t>(</w:t>
      </w:r>
      <w:r>
        <w:t>46 –5</w:t>
      </w:r>
      <w:r w:rsidR="00A9399F">
        <w:t>8</w:t>
      </w:r>
      <w:r w:rsidRPr="00753416">
        <w:t>%)</w:t>
      </w:r>
      <w:r>
        <w:t xml:space="preserve">. Group F-8 was characterised by high abundance of </w:t>
      </w:r>
      <w:r>
        <w:rPr>
          <w:i/>
          <w:iCs/>
        </w:rPr>
        <w:t xml:space="preserve">Ammonia </w:t>
      </w:r>
      <w:r>
        <w:t>spp. (27–5</w:t>
      </w:r>
      <w:r w:rsidR="0046352B">
        <w:t>5</w:t>
      </w:r>
      <w:r>
        <w:t xml:space="preserve">%) and </w:t>
      </w:r>
      <w:r>
        <w:rPr>
          <w:i/>
          <w:iCs/>
        </w:rPr>
        <w:t xml:space="preserve">Ammonia </w:t>
      </w:r>
      <w:proofErr w:type="spellStart"/>
      <w:r>
        <w:rPr>
          <w:i/>
          <w:iCs/>
        </w:rPr>
        <w:t>tepida</w:t>
      </w:r>
      <w:proofErr w:type="spellEnd"/>
      <w:r>
        <w:t xml:space="preserve"> (27–55%), </w:t>
      </w:r>
      <w:r w:rsidRPr="00AB1794">
        <w:t xml:space="preserve">while Group F-9 exhibited assemblages broadly </w:t>
      </w:r>
      <w:proofErr w:type="gramStart"/>
      <w:r w:rsidRPr="00AB1794">
        <w:t>similar to</w:t>
      </w:r>
      <w:proofErr w:type="gramEnd"/>
      <w:r w:rsidRPr="00AB1794">
        <w:t xml:space="preserve"> those in F-6 but with </w:t>
      </w:r>
      <w:r>
        <w:t xml:space="preserve">a greater relative abundance of </w:t>
      </w:r>
      <w:r>
        <w:rPr>
          <w:i/>
          <w:iCs/>
        </w:rPr>
        <w:t xml:space="preserve">Ammonia </w:t>
      </w:r>
      <w:r>
        <w:t xml:space="preserve">spp. </w:t>
      </w:r>
      <w:r w:rsidRPr="00753416">
        <w:rPr>
          <w:color w:val="000000" w:themeColor="text1"/>
        </w:rPr>
        <w:t>(</w:t>
      </w:r>
      <w:r w:rsidRPr="00753416">
        <w:rPr>
          <w:color w:val="000000" w:themeColor="text1"/>
        </w:rPr>
        <w:sym w:font="Symbol" w:char="F0A3"/>
      </w:r>
      <w:r>
        <w:rPr>
          <w:color w:val="000000" w:themeColor="text1"/>
        </w:rPr>
        <w:t>1</w:t>
      </w:r>
      <w:r w:rsidR="0046352B">
        <w:rPr>
          <w:color w:val="000000" w:themeColor="text1"/>
        </w:rPr>
        <w:t>8</w:t>
      </w:r>
      <w:r w:rsidRPr="00753416">
        <w:rPr>
          <w:color w:val="000000" w:themeColor="text1"/>
        </w:rPr>
        <w:t>%),</w:t>
      </w:r>
      <w:r>
        <w:t xml:space="preserve">) </w:t>
      </w:r>
      <w:r w:rsidRPr="00595BEB">
        <w:rPr>
          <w:i/>
          <w:iCs/>
        </w:rPr>
        <w:t xml:space="preserve">T. </w:t>
      </w:r>
      <w:proofErr w:type="spellStart"/>
      <w:r w:rsidRPr="00595BEB">
        <w:rPr>
          <w:i/>
          <w:iCs/>
        </w:rPr>
        <w:t>inflata</w:t>
      </w:r>
      <w:proofErr w:type="spellEnd"/>
      <w:r>
        <w:t xml:space="preserve"> (</w:t>
      </w:r>
      <w:r w:rsidR="0046352B">
        <w:t>1</w:t>
      </w:r>
      <w:r>
        <w:t>–2</w:t>
      </w:r>
      <w:r w:rsidR="0046352B">
        <w:t>1</w:t>
      </w:r>
      <w:r>
        <w:t xml:space="preserve">%). Finally, Group F-10 (average silhouette width: 0.19) featured higher abundance of common mangrove agglutinated taxa </w:t>
      </w:r>
      <w:r w:rsidRPr="00595BEB">
        <w:rPr>
          <w:i/>
          <w:iCs/>
        </w:rPr>
        <w:t xml:space="preserve">H. </w:t>
      </w:r>
      <w:proofErr w:type="spellStart"/>
      <w:r w:rsidRPr="00595BEB">
        <w:rPr>
          <w:i/>
          <w:iCs/>
        </w:rPr>
        <w:t>wilberti</w:t>
      </w:r>
      <w:proofErr w:type="spellEnd"/>
      <w:r w:rsidRPr="009B5508">
        <w:t xml:space="preserve"> </w:t>
      </w:r>
      <w:r>
        <w:t>(</w:t>
      </w:r>
      <w:r w:rsidR="0046352B">
        <w:t>7</w:t>
      </w:r>
      <w:r>
        <w:t xml:space="preserve">–40%) and </w:t>
      </w:r>
      <w:r>
        <w:rPr>
          <w:i/>
          <w:iCs/>
          <w:color w:val="000000" w:themeColor="text1"/>
        </w:rPr>
        <w:t>T</w:t>
      </w:r>
      <w:r w:rsidRPr="00E2248A">
        <w:rPr>
          <w:i/>
          <w:iCs/>
          <w:color w:val="000000" w:themeColor="text1"/>
        </w:rPr>
        <w:t xml:space="preserve">. </w:t>
      </w:r>
      <w:proofErr w:type="spellStart"/>
      <w:r w:rsidRPr="00E2248A">
        <w:rPr>
          <w:i/>
          <w:iCs/>
          <w:color w:val="000000" w:themeColor="text1"/>
        </w:rPr>
        <w:t>inflata</w:t>
      </w:r>
      <w:proofErr w:type="spellEnd"/>
      <w:r>
        <w:rPr>
          <w:color w:val="000000" w:themeColor="text1"/>
        </w:rPr>
        <w:t xml:space="preserve"> (</w:t>
      </w:r>
      <w:r w:rsidR="0046352B">
        <w:rPr>
          <w:color w:val="000000" w:themeColor="text1"/>
        </w:rPr>
        <w:t>3</w:t>
      </w:r>
      <w:r>
        <w:rPr>
          <w:color w:val="000000" w:themeColor="text1"/>
        </w:rPr>
        <w:t>–2</w:t>
      </w:r>
      <w:r w:rsidR="0046352B">
        <w:rPr>
          <w:color w:val="000000" w:themeColor="text1"/>
        </w:rPr>
        <w:t>9</w:t>
      </w:r>
      <w:r>
        <w:rPr>
          <w:color w:val="000000" w:themeColor="text1"/>
        </w:rPr>
        <w:t>%) from 191 to 289 SWLI units (Culver et al., 2013; Kemp et al., 2013a).</w:t>
      </w:r>
    </w:p>
    <w:p w14:paraId="552C7556" w14:textId="77777777" w:rsidR="007F7F81" w:rsidRPr="00753416" w:rsidRDefault="007F7F81" w:rsidP="000949B7"/>
    <w:p w14:paraId="1500F427" w14:textId="47B23DCF" w:rsidR="00145543" w:rsidRPr="00753416" w:rsidRDefault="00E14946" w:rsidP="00E55C41">
      <w:pPr>
        <w:pStyle w:val="Heading3"/>
      </w:pPr>
      <w:r w:rsidRPr="00753416">
        <w:t>4</w:t>
      </w:r>
      <w:r w:rsidR="00DA1393" w:rsidRPr="00753416">
        <w:t>.</w:t>
      </w:r>
      <w:r w:rsidR="00BA0F2B">
        <w:t>1</w:t>
      </w:r>
      <w:r w:rsidR="00122827" w:rsidRPr="00753416">
        <w:t>.2</w:t>
      </w:r>
      <w:r w:rsidR="00145543" w:rsidRPr="00753416">
        <w:t xml:space="preserve"> </w:t>
      </w:r>
      <w:r w:rsidR="0037799A" w:rsidRPr="00753416">
        <w:t>Diatom assemblage</w:t>
      </w:r>
      <w:r w:rsidR="00BA0F2B">
        <w:t>s</w:t>
      </w:r>
    </w:p>
    <w:p w14:paraId="607D7B12" w14:textId="77777777" w:rsidR="002F14D9" w:rsidRDefault="00017879" w:rsidP="007B2CDA">
      <w:r w:rsidRPr="00753416">
        <w:t xml:space="preserve">We identified 178 taxa from samples collected across the three transects, with 45 taxa constituting at least 5% </w:t>
      </w:r>
      <w:r w:rsidR="00CC4E33">
        <w:t xml:space="preserve">of the assemblage </w:t>
      </w:r>
      <w:r w:rsidRPr="00753416">
        <w:t xml:space="preserve">in a single sample. </w:t>
      </w:r>
    </w:p>
    <w:p w14:paraId="31E61359" w14:textId="77777777" w:rsidR="002F14D9" w:rsidRDefault="002F14D9" w:rsidP="007B2CDA"/>
    <w:p w14:paraId="7AB59D89" w14:textId="36565E45" w:rsidR="002F14D9" w:rsidRPr="00753416" w:rsidRDefault="002F14D9" w:rsidP="002F14D9">
      <w:r w:rsidRPr="00753416">
        <w:t xml:space="preserve">PAM analysis recognised two diatom groups (highest average silhouette width of 0.47) (Figure 3H; Table </w:t>
      </w:r>
      <w:r>
        <w:t>4</w:t>
      </w:r>
      <w:r w:rsidRPr="00753416">
        <w:t xml:space="preserve">). Group D-1 (average silhouette width: 0.66) </w:t>
      </w:r>
      <w:r w:rsidR="007938C5">
        <w:t>did not display a strong association with any specific environmental variables in the CCA biplot</w:t>
      </w:r>
      <w:r w:rsidR="007B5D31">
        <w:t xml:space="preserve"> (Figure 3J)</w:t>
      </w:r>
      <w:r w:rsidR="007938C5">
        <w:t xml:space="preserve">. However, samples within this group spanned a broad range of lower elevation settings (–163 to 258 SWLI units). </w:t>
      </w:r>
      <w:r>
        <w:t xml:space="preserve">The group was </w:t>
      </w:r>
      <w:r w:rsidRPr="00753416">
        <w:t>dominated by planktonic</w:t>
      </w:r>
      <w:r w:rsidRPr="00753416" w:rsidDel="00B05CAA">
        <w:t xml:space="preserve"> </w:t>
      </w:r>
      <w:r w:rsidRPr="00753416">
        <w:t xml:space="preserve">species including </w:t>
      </w:r>
      <w:r w:rsidRPr="00753416">
        <w:rPr>
          <w:i/>
          <w:iCs/>
        </w:rPr>
        <w:t>C</w:t>
      </w:r>
      <w:r w:rsidR="001E0A67" w:rsidRPr="001E0A67">
        <w:rPr>
          <w:i/>
          <w:iCs/>
        </w:rPr>
        <w:t>yclotella</w:t>
      </w:r>
      <w:r w:rsidRPr="00753416">
        <w:rPr>
          <w:i/>
          <w:iCs/>
        </w:rPr>
        <w:t xml:space="preserve"> </w:t>
      </w:r>
      <w:proofErr w:type="spellStart"/>
      <w:r w:rsidRPr="00753416">
        <w:rPr>
          <w:i/>
          <w:iCs/>
        </w:rPr>
        <w:t>atomus</w:t>
      </w:r>
      <w:proofErr w:type="spellEnd"/>
      <w:r w:rsidRPr="00753416">
        <w:rPr>
          <w:i/>
          <w:iCs/>
        </w:rPr>
        <w:t xml:space="preserve"> var. </w:t>
      </w:r>
      <w:proofErr w:type="spellStart"/>
      <w:r w:rsidRPr="00753416">
        <w:rPr>
          <w:i/>
          <w:iCs/>
        </w:rPr>
        <w:t>gracilis</w:t>
      </w:r>
      <w:proofErr w:type="spellEnd"/>
      <w:r w:rsidRPr="00753416">
        <w:rPr>
          <w:i/>
          <w:iCs/>
        </w:rPr>
        <w:t xml:space="preserve">, </w:t>
      </w:r>
      <w:r w:rsidRPr="00753416">
        <w:t>(6</w:t>
      </w:r>
      <w:r w:rsidR="00F0123B">
        <w:t>6</w:t>
      </w:r>
      <w:r w:rsidRPr="00753416">
        <w:t>%),</w:t>
      </w:r>
      <w:r w:rsidRPr="00753416">
        <w:rPr>
          <w:i/>
          <w:iCs/>
        </w:rPr>
        <w:t xml:space="preserve"> </w:t>
      </w:r>
      <w:proofErr w:type="spellStart"/>
      <w:r w:rsidR="0086780B" w:rsidRPr="0086780B">
        <w:rPr>
          <w:i/>
          <w:iCs/>
        </w:rPr>
        <w:t>Thalassiosira</w:t>
      </w:r>
      <w:proofErr w:type="spellEnd"/>
      <w:r w:rsidRPr="00753416">
        <w:rPr>
          <w:i/>
          <w:iCs/>
        </w:rPr>
        <w:t xml:space="preserve"> </w:t>
      </w:r>
      <w:proofErr w:type="spellStart"/>
      <w:r w:rsidRPr="00753416">
        <w:rPr>
          <w:i/>
          <w:iCs/>
        </w:rPr>
        <w:t>cedarkeyensis</w:t>
      </w:r>
      <w:proofErr w:type="spellEnd"/>
      <w:r w:rsidRPr="00753416">
        <w:rPr>
          <w:i/>
          <w:iCs/>
        </w:rPr>
        <w:t xml:space="preserve"> </w:t>
      </w:r>
      <w:r w:rsidRPr="00753416">
        <w:t>(15%),</w:t>
      </w:r>
      <w:r w:rsidRPr="00753416">
        <w:rPr>
          <w:i/>
          <w:iCs/>
        </w:rPr>
        <w:t xml:space="preserve"> </w:t>
      </w:r>
      <w:r w:rsidRPr="00753416">
        <w:t>and</w:t>
      </w:r>
      <w:r w:rsidRPr="00753416">
        <w:rPr>
          <w:i/>
          <w:iCs/>
        </w:rPr>
        <w:t xml:space="preserve"> </w:t>
      </w:r>
      <w:r w:rsidR="001E0A67" w:rsidRPr="00753416">
        <w:rPr>
          <w:i/>
          <w:iCs/>
        </w:rPr>
        <w:t>C</w:t>
      </w:r>
      <w:r w:rsidR="001E0A67" w:rsidRPr="001E0A67">
        <w:rPr>
          <w:i/>
          <w:iCs/>
        </w:rPr>
        <w:t>yclotella</w:t>
      </w:r>
      <w:r w:rsidRPr="00753416">
        <w:rPr>
          <w:i/>
          <w:iCs/>
        </w:rPr>
        <w:t xml:space="preserve"> </w:t>
      </w:r>
      <w:proofErr w:type="spellStart"/>
      <w:r w:rsidRPr="00753416">
        <w:rPr>
          <w:i/>
          <w:iCs/>
        </w:rPr>
        <w:t>litoralis</w:t>
      </w:r>
      <w:proofErr w:type="spellEnd"/>
      <w:r w:rsidRPr="00753416">
        <w:rPr>
          <w:i/>
          <w:iCs/>
        </w:rPr>
        <w:t xml:space="preserve"> </w:t>
      </w:r>
      <w:r w:rsidRPr="00753416">
        <w:t>(</w:t>
      </w:r>
      <w:r w:rsidR="00F0123B">
        <w:t>5</w:t>
      </w:r>
      <w:r w:rsidRPr="00753416">
        <w:t>%)</w:t>
      </w:r>
      <w:r>
        <w:t>. It</w:t>
      </w:r>
      <w:r w:rsidRPr="00753416">
        <w:t xml:space="preserve"> included </w:t>
      </w:r>
      <w:r>
        <w:t xml:space="preserve">samples from </w:t>
      </w:r>
      <w:r w:rsidRPr="00753416">
        <w:t>subtidal, mudflat, mangrove fringe and mangrove environment</w:t>
      </w:r>
      <w:r>
        <w:t>s</w:t>
      </w:r>
      <w:r w:rsidRPr="00753416">
        <w:t xml:space="preserve"> from all transects (Figure 3I). Assemblages from subtidal (-162 to -135 SWLI </w:t>
      </w:r>
      <w:r w:rsidRPr="00753416">
        <w:rPr>
          <w:color w:val="000000" w:themeColor="text1"/>
        </w:rPr>
        <w:t>units</w:t>
      </w:r>
      <w:r w:rsidRPr="00753416">
        <w:t xml:space="preserve">) and mudflat (-34 to 157 SWLI </w:t>
      </w:r>
      <w:r w:rsidRPr="00753416">
        <w:rPr>
          <w:color w:val="000000" w:themeColor="text1"/>
        </w:rPr>
        <w:t>units</w:t>
      </w:r>
      <w:r w:rsidRPr="00753416">
        <w:t>) environments in Group D-1 consisted of &gt;80% marine–brackish</w:t>
      </w:r>
      <w:r w:rsidRPr="00753416">
        <w:rPr>
          <w:color w:val="FF0000"/>
        </w:rPr>
        <w:t xml:space="preserve"> </w:t>
      </w:r>
      <w:r w:rsidRPr="00753416">
        <w:t xml:space="preserve">planktonic taxa, including </w:t>
      </w:r>
      <w:r w:rsidRPr="00753416">
        <w:rPr>
          <w:i/>
          <w:iCs/>
        </w:rPr>
        <w:t xml:space="preserve">C. </w:t>
      </w:r>
      <w:proofErr w:type="spellStart"/>
      <w:r w:rsidRPr="00753416">
        <w:rPr>
          <w:i/>
          <w:iCs/>
        </w:rPr>
        <w:t>atomus</w:t>
      </w:r>
      <w:proofErr w:type="spellEnd"/>
      <w:r w:rsidRPr="00753416">
        <w:rPr>
          <w:i/>
          <w:iCs/>
        </w:rPr>
        <w:t xml:space="preserve"> var. </w:t>
      </w:r>
      <w:proofErr w:type="spellStart"/>
      <w:r w:rsidRPr="00753416">
        <w:rPr>
          <w:i/>
          <w:iCs/>
        </w:rPr>
        <w:t>gracilis</w:t>
      </w:r>
      <w:proofErr w:type="spellEnd"/>
      <w:r w:rsidRPr="00753416">
        <w:rPr>
          <w:i/>
          <w:iCs/>
        </w:rPr>
        <w:t xml:space="preserve"> </w:t>
      </w:r>
      <w:r w:rsidRPr="00753416">
        <w:t>(4</w:t>
      </w:r>
      <w:r w:rsidR="00327208">
        <w:t>8</w:t>
      </w:r>
      <w:r w:rsidRPr="00753416">
        <w:t xml:space="preserve">–86%), </w:t>
      </w:r>
      <w:r w:rsidRPr="00753416">
        <w:rPr>
          <w:i/>
          <w:iCs/>
        </w:rPr>
        <w:t>T. </w:t>
      </w:r>
      <w:proofErr w:type="spellStart"/>
      <w:r w:rsidRPr="00753416">
        <w:rPr>
          <w:i/>
          <w:iCs/>
        </w:rPr>
        <w:t>cedarkeyensis</w:t>
      </w:r>
      <w:proofErr w:type="spellEnd"/>
      <w:r w:rsidRPr="00753416">
        <w:rPr>
          <w:i/>
          <w:iCs/>
        </w:rPr>
        <w:t xml:space="preserve"> </w:t>
      </w:r>
      <w:r w:rsidRPr="00753416">
        <w:t>(</w:t>
      </w:r>
      <w:r w:rsidR="00327208">
        <w:t>5</w:t>
      </w:r>
      <w:r w:rsidRPr="00753416">
        <w:t xml:space="preserve">–25%) and </w:t>
      </w:r>
      <w:r w:rsidRPr="00753416">
        <w:rPr>
          <w:i/>
          <w:iCs/>
        </w:rPr>
        <w:t xml:space="preserve">C. </w:t>
      </w:r>
      <w:proofErr w:type="spellStart"/>
      <w:r w:rsidRPr="00753416">
        <w:rPr>
          <w:i/>
          <w:iCs/>
        </w:rPr>
        <w:t>litoralis</w:t>
      </w:r>
      <w:proofErr w:type="spellEnd"/>
      <w:r w:rsidRPr="00753416">
        <w:rPr>
          <w:i/>
          <w:iCs/>
        </w:rPr>
        <w:t xml:space="preserve"> </w:t>
      </w:r>
      <w:r w:rsidRPr="00753416">
        <w:t>(</w:t>
      </w:r>
      <w:r w:rsidR="00327208">
        <w:t>1</w:t>
      </w:r>
      <w:r w:rsidRPr="00753416">
        <w:t xml:space="preserve">–21%). Mangrove </w:t>
      </w:r>
      <w:r w:rsidRPr="00753416">
        <w:lastRenderedPageBreak/>
        <w:t>(178–213 SWLI units) and terrestrial transition (230–25</w:t>
      </w:r>
      <w:r w:rsidR="0086780B">
        <w:t>8</w:t>
      </w:r>
      <w:r w:rsidRPr="00753416">
        <w:t xml:space="preserve"> SWLI </w:t>
      </w:r>
      <w:r w:rsidRPr="00753416">
        <w:rPr>
          <w:color w:val="000000" w:themeColor="text1"/>
        </w:rPr>
        <w:t>units</w:t>
      </w:r>
      <w:r w:rsidRPr="00753416">
        <w:t xml:space="preserve">) samples in </w:t>
      </w:r>
      <w:r w:rsidR="008E2EC7">
        <w:t>the group</w:t>
      </w:r>
      <w:r w:rsidRPr="00753416">
        <w:t xml:space="preserve"> contained &gt;</w:t>
      </w:r>
      <w:r w:rsidRPr="00753416">
        <w:rPr>
          <w:color w:val="000000" w:themeColor="text1"/>
        </w:rPr>
        <w:t xml:space="preserve">70% planktonic taxa, with a small percentage of </w:t>
      </w:r>
      <w:r w:rsidRPr="00753416">
        <w:t xml:space="preserve">marine–brackish </w:t>
      </w:r>
      <w:r w:rsidRPr="00753416">
        <w:rPr>
          <w:color w:val="000000" w:themeColor="text1"/>
        </w:rPr>
        <w:t xml:space="preserve">benthic taxa including </w:t>
      </w:r>
      <w:proofErr w:type="spellStart"/>
      <w:r w:rsidRPr="00753416">
        <w:rPr>
          <w:i/>
          <w:iCs/>
          <w:color w:val="000000" w:themeColor="text1"/>
        </w:rPr>
        <w:t>N</w:t>
      </w:r>
      <w:r w:rsidR="001E0A67">
        <w:rPr>
          <w:i/>
          <w:iCs/>
          <w:color w:val="000000" w:themeColor="text1"/>
        </w:rPr>
        <w:t>avicula</w:t>
      </w:r>
      <w:proofErr w:type="spellEnd"/>
      <w:r w:rsidRPr="00753416">
        <w:rPr>
          <w:i/>
          <w:iCs/>
          <w:color w:val="000000" w:themeColor="text1"/>
        </w:rPr>
        <w:t xml:space="preserve"> </w:t>
      </w:r>
      <w:proofErr w:type="spellStart"/>
      <w:r w:rsidRPr="00753416">
        <w:rPr>
          <w:i/>
          <w:iCs/>
          <w:color w:val="000000" w:themeColor="text1"/>
        </w:rPr>
        <w:t>microdigitoradiata</w:t>
      </w:r>
      <w:proofErr w:type="spellEnd"/>
      <w:r w:rsidRPr="00753416">
        <w:rPr>
          <w:i/>
          <w:iCs/>
          <w:color w:val="000000" w:themeColor="text1"/>
        </w:rPr>
        <w:t xml:space="preserve"> </w:t>
      </w:r>
      <w:r w:rsidRPr="00753416">
        <w:rPr>
          <w:color w:val="000000" w:themeColor="text1"/>
        </w:rPr>
        <w:t>(</w:t>
      </w:r>
      <w:r w:rsidRPr="00753416">
        <w:rPr>
          <w:color w:val="000000" w:themeColor="text1"/>
        </w:rPr>
        <w:sym w:font="Symbol" w:char="F0A3"/>
      </w:r>
      <w:r w:rsidRPr="00753416">
        <w:rPr>
          <w:color w:val="000000" w:themeColor="text1"/>
        </w:rPr>
        <w:t>5%),</w:t>
      </w:r>
      <w:r w:rsidRPr="00753416">
        <w:rPr>
          <w:i/>
          <w:iCs/>
          <w:color w:val="000000" w:themeColor="text1"/>
        </w:rPr>
        <w:t xml:space="preserve"> </w:t>
      </w:r>
      <w:proofErr w:type="spellStart"/>
      <w:r w:rsidR="006B730F" w:rsidRPr="006B730F">
        <w:rPr>
          <w:i/>
          <w:iCs/>
          <w:color w:val="000000" w:themeColor="text1"/>
        </w:rPr>
        <w:t>Diploneis</w:t>
      </w:r>
      <w:proofErr w:type="spellEnd"/>
      <w:r w:rsidRPr="00753416">
        <w:rPr>
          <w:i/>
          <w:iCs/>
          <w:color w:val="000000" w:themeColor="text1"/>
        </w:rPr>
        <w:t xml:space="preserve"> </w:t>
      </w:r>
      <w:proofErr w:type="spellStart"/>
      <w:r w:rsidRPr="00753416">
        <w:rPr>
          <w:i/>
          <w:iCs/>
          <w:color w:val="000000" w:themeColor="text1"/>
        </w:rPr>
        <w:t>subovalis</w:t>
      </w:r>
      <w:proofErr w:type="spellEnd"/>
      <w:r w:rsidRPr="00753416">
        <w:rPr>
          <w:i/>
          <w:iCs/>
          <w:color w:val="000000" w:themeColor="text1"/>
        </w:rPr>
        <w:t xml:space="preserve"> </w:t>
      </w:r>
      <w:r w:rsidRPr="00753416">
        <w:rPr>
          <w:color w:val="000000" w:themeColor="text1"/>
        </w:rPr>
        <w:t>(</w:t>
      </w:r>
      <w:r w:rsidRPr="00753416">
        <w:rPr>
          <w:color w:val="000000" w:themeColor="text1"/>
        </w:rPr>
        <w:sym w:font="Symbol" w:char="F0A3"/>
      </w:r>
      <w:r w:rsidRPr="00753416">
        <w:rPr>
          <w:color w:val="000000" w:themeColor="text1"/>
        </w:rPr>
        <w:t xml:space="preserve">3%), and marine benthic taxa such as </w:t>
      </w:r>
      <w:proofErr w:type="spellStart"/>
      <w:r w:rsidR="00AB3172">
        <w:rPr>
          <w:i/>
          <w:iCs/>
          <w:color w:val="000000" w:themeColor="text1"/>
        </w:rPr>
        <w:t>T</w:t>
      </w:r>
      <w:r w:rsidR="00AB3172" w:rsidRPr="00595BEB">
        <w:rPr>
          <w:i/>
          <w:iCs/>
          <w:color w:val="000000" w:themeColor="text1"/>
        </w:rPr>
        <w:t>ryblionella</w:t>
      </w:r>
      <w:proofErr w:type="spellEnd"/>
      <w:r w:rsidRPr="00753416">
        <w:rPr>
          <w:i/>
          <w:iCs/>
          <w:color w:val="000000" w:themeColor="text1"/>
        </w:rPr>
        <w:t xml:space="preserve"> victoriae</w:t>
      </w:r>
      <w:r w:rsidRPr="00753416">
        <w:rPr>
          <w:color w:val="000000" w:themeColor="text1"/>
        </w:rPr>
        <w:t xml:space="preserve"> (</w:t>
      </w:r>
      <w:r w:rsidRPr="00753416">
        <w:rPr>
          <w:color w:val="000000" w:themeColor="text1"/>
        </w:rPr>
        <w:sym w:font="Symbol" w:char="F0A3"/>
      </w:r>
      <w:r w:rsidR="00A6381F">
        <w:rPr>
          <w:color w:val="000000" w:themeColor="text1"/>
        </w:rPr>
        <w:t>3</w:t>
      </w:r>
      <w:r w:rsidRPr="00753416">
        <w:rPr>
          <w:color w:val="000000" w:themeColor="text1"/>
        </w:rPr>
        <w:t xml:space="preserve">%). </w:t>
      </w:r>
      <w:r w:rsidRPr="00753416">
        <w:t>The high planktonic composition of the assemblages indicates strong tidal influence in the environment where strong tidal currents (up to 0.6 m s</w:t>
      </w:r>
      <w:r w:rsidRPr="00753416">
        <w:rPr>
          <w:vertAlign w:val="superscript"/>
        </w:rPr>
        <w:t>-1</w:t>
      </w:r>
      <w:r w:rsidRPr="00753416">
        <w:t xml:space="preserve"> in Deep Bay) </w:t>
      </w:r>
      <w:r>
        <w:t xml:space="preserve">can </w:t>
      </w:r>
      <w:r w:rsidRPr="00753416">
        <w:t>transport planktonic taxa to mudflat</w:t>
      </w:r>
      <w:r>
        <w:t xml:space="preserve"> environments</w:t>
      </w:r>
      <w:r w:rsidRPr="00753416">
        <w:t xml:space="preserve"> (Wong and Sheung, 1990; Zong, 1997). This planktonic</w:t>
      </w:r>
      <w:r>
        <w:t>-</w:t>
      </w:r>
      <w:r w:rsidRPr="00753416">
        <w:t>dominated assemblage has also been reported on mudflats on the eastern and northern China coast (Xiong et al., 2018; Shang et al., 2023).</w:t>
      </w:r>
      <w:r w:rsidRPr="00753416">
        <w:rPr>
          <w:color w:val="000000" w:themeColor="text1"/>
        </w:rPr>
        <w:t xml:space="preserve"> </w:t>
      </w:r>
    </w:p>
    <w:p w14:paraId="24698E80" w14:textId="77777777" w:rsidR="002F14D9" w:rsidRPr="00753416" w:rsidRDefault="002F14D9" w:rsidP="002F14D9">
      <w:pPr>
        <w:rPr>
          <w:color w:val="000000" w:themeColor="text1"/>
        </w:rPr>
      </w:pPr>
    </w:p>
    <w:p w14:paraId="008C968D" w14:textId="590B5A1B" w:rsidR="002F14D9" w:rsidRPr="00753416" w:rsidRDefault="002F14D9" w:rsidP="002F14D9">
      <w:r w:rsidRPr="00753416">
        <w:t xml:space="preserve">Group D-2 (average silhouette width: 0.34) </w:t>
      </w:r>
      <w:r w:rsidR="007938C5">
        <w:t xml:space="preserve">was associated </w:t>
      </w:r>
      <w:r w:rsidR="00A7313B">
        <w:t xml:space="preserve">with </w:t>
      </w:r>
      <w:r w:rsidR="007938C5">
        <w:t>lower salinity, higher mud and TOC content</w:t>
      </w:r>
      <w:r w:rsidR="004A6CC2">
        <w:t xml:space="preserve"> in CCA</w:t>
      </w:r>
      <w:r w:rsidR="007938C5">
        <w:t>. The group was dominated</w:t>
      </w:r>
      <w:r w:rsidRPr="00753416">
        <w:t xml:space="preserve"> by </w:t>
      </w:r>
      <w:r w:rsidRPr="00753416">
        <w:rPr>
          <w:i/>
          <w:iCs/>
        </w:rPr>
        <w:t xml:space="preserve">C. </w:t>
      </w:r>
      <w:proofErr w:type="spellStart"/>
      <w:r w:rsidRPr="00753416">
        <w:rPr>
          <w:i/>
          <w:iCs/>
        </w:rPr>
        <w:t>atomus</w:t>
      </w:r>
      <w:proofErr w:type="spellEnd"/>
      <w:r w:rsidRPr="00753416">
        <w:rPr>
          <w:i/>
          <w:iCs/>
        </w:rPr>
        <w:t xml:space="preserve"> var. </w:t>
      </w:r>
      <w:proofErr w:type="spellStart"/>
      <w:r w:rsidRPr="00753416">
        <w:rPr>
          <w:i/>
          <w:iCs/>
        </w:rPr>
        <w:t>gracilis</w:t>
      </w:r>
      <w:proofErr w:type="spellEnd"/>
      <w:r w:rsidRPr="00753416">
        <w:rPr>
          <w:i/>
          <w:iCs/>
        </w:rPr>
        <w:t xml:space="preserve"> </w:t>
      </w:r>
      <w:r w:rsidRPr="00753416">
        <w:t>(2</w:t>
      </w:r>
      <w:r w:rsidR="00F53088">
        <w:t>2</w:t>
      </w:r>
      <w:r w:rsidRPr="00753416">
        <w:t>%),</w:t>
      </w:r>
      <w:r w:rsidRPr="00753416">
        <w:rPr>
          <w:i/>
          <w:iCs/>
        </w:rPr>
        <w:t xml:space="preserve"> C. </w:t>
      </w:r>
      <w:proofErr w:type="spellStart"/>
      <w:r w:rsidRPr="00753416">
        <w:rPr>
          <w:i/>
          <w:iCs/>
        </w:rPr>
        <w:t>litoralis</w:t>
      </w:r>
      <w:proofErr w:type="spellEnd"/>
      <w:r w:rsidRPr="00753416">
        <w:rPr>
          <w:i/>
          <w:iCs/>
        </w:rPr>
        <w:t xml:space="preserve"> </w:t>
      </w:r>
      <w:r w:rsidRPr="00753416">
        <w:t>(</w:t>
      </w:r>
      <w:r w:rsidR="00F53088">
        <w:t>10</w:t>
      </w:r>
      <w:r w:rsidRPr="00753416">
        <w:t xml:space="preserve">%), </w:t>
      </w:r>
      <w:r w:rsidRPr="00753416">
        <w:rPr>
          <w:i/>
          <w:iCs/>
        </w:rPr>
        <w:t xml:space="preserve">D. </w:t>
      </w:r>
      <w:proofErr w:type="spellStart"/>
      <w:r w:rsidRPr="00753416">
        <w:rPr>
          <w:i/>
          <w:iCs/>
        </w:rPr>
        <w:t>subovalis</w:t>
      </w:r>
      <w:proofErr w:type="spellEnd"/>
      <w:r w:rsidRPr="00753416">
        <w:rPr>
          <w:i/>
          <w:iCs/>
        </w:rPr>
        <w:t xml:space="preserve"> </w:t>
      </w:r>
      <w:r w:rsidRPr="00753416">
        <w:t xml:space="preserve">(7%), </w:t>
      </w:r>
      <w:proofErr w:type="spellStart"/>
      <w:r w:rsidRPr="00753416">
        <w:rPr>
          <w:i/>
          <w:iCs/>
        </w:rPr>
        <w:t>Diploneis</w:t>
      </w:r>
      <w:proofErr w:type="spellEnd"/>
      <w:r w:rsidRPr="00753416">
        <w:rPr>
          <w:i/>
          <w:iCs/>
        </w:rPr>
        <w:t xml:space="preserve"> smithii</w:t>
      </w:r>
      <w:r w:rsidRPr="00753416">
        <w:t xml:space="preserve"> (4%), and</w:t>
      </w:r>
      <w:r w:rsidRPr="00753416">
        <w:rPr>
          <w:i/>
          <w:iCs/>
        </w:rPr>
        <w:t xml:space="preserve"> </w:t>
      </w:r>
      <w:proofErr w:type="spellStart"/>
      <w:r w:rsidRPr="00753416">
        <w:rPr>
          <w:i/>
          <w:iCs/>
        </w:rPr>
        <w:t>Fallacia</w:t>
      </w:r>
      <w:proofErr w:type="spellEnd"/>
      <w:r w:rsidRPr="00753416">
        <w:rPr>
          <w:i/>
          <w:iCs/>
        </w:rPr>
        <w:t xml:space="preserve"> </w:t>
      </w:r>
      <w:proofErr w:type="spellStart"/>
      <w:r w:rsidRPr="00753416">
        <w:rPr>
          <w:i/>
          <w:iCs/>
        </w:rPr>
        <w:t>diploneioides</w:t>
      </w:r>
      <w:proofErr w:type="spellEnd"/>
      <w:r w:rsidRPr="00753416">
        <w:rPr>
          <w:i/>
          <w:iCs/>
        </w:rPr>
        <w:t xml:space="preserve"> </w:t>
      </w:r>
      <w:r w:rsidRPr="00753416">
        <w:t xml:space="preserve">(4%). It had a higher elevation range of 34–380 SWLI units with samples from mudflat to terrestrial environments (Table </w:t>
      </w:r>
      <w:r>
        <w:t>3</w:t>
      </w:r>
      <w:r w:rsidRPr="00753416">
        <w:t xml:space="preserve">; </w:t>
      </w:r>
      <w:r w:rsidRPr="00753416">
        <w:rPr>
          <w:color w:val="000000" w:themeColor="text1"/>
        </w:rPr>
        <w:t>Figure 3I</w:t>
      </w:r>
      <w:r w:rsidRPr="00753416">
        <w:t xml:space="preserve">). </w:t>
      </w:r>
      <w:r w:rsidRPr="00753416">
        <w:rPr>
          <w:color w:val="000000" w:themeColor="text1"/>
        </w:rPr>
        <w:t>Compared to Group D-1, mudflat samples (34–181 SWLI units) in Group D-2 contained a lower percentage of marine–brackish planktonic taxa (1</w:t>
      </w:r>
      <w:r w:rsidR="00F53088">
        <w:rPr>
          <w:color w:val="000000" w:themeColor="text1"/>
        </w:rPr>
        <w:t>1</w:t>
      </w:r>
      <w:r w:rsidRPr="00753416">
        <w:rPr>
          <w:color w:val="000000" w:themeColor="text1"/>
        </w:rPr>
        <w:t xml:space="preserve">–82%) and had more marine–brackish benthic taxa, including </w:t>
      </w:r>
      <w:proofErr w:type="spellStart"/>
      <w:r w:rsidRPr="00753416">
        <w:rPr>
          <w:i/>
          <w:iCs/>
          <w:color w:val="000000" w:themeColor="text1"/>
        </w:rPr>
        <w:t>G</w:t>
      </w:r>
      <w:r w:rsidR="00F53088">
        <w:rPr>
          <w:i/>
          <w:iCs/>
          <w:color w:val="000000" w:themeColor="text1"/>
        </w:rPr>
        <w:t>yrosigma</w:t>
      </w:r>
      <w:proofErr w:type="spellEnd"/>
      <w:r w:rsidRPr="00753416">
        <w:rPr>
          <w:i/>
          <w:iCs/>
          <w:color w:val="000000" w:themeColor="text1"/>
        </w:rPr>
        <w:t xml:space="preserve">. </w:t>
      </w:r>
      <w:proofErr w:type="spellStart"/>
      <w:r w:rsidRPr="00753416">
        <w:rPr>
          <w:i/>
          <w:iCs/>
          <w:color w:val="000000" w:themeColor="text1"/>
        </w:rPr>
        <w:t>beaufortianum</w:t>
      </w:r>
      <w:proofErr w:type="spellEnd"/>
      <w:r w:rsidRPr="00753416">
        <w:rPr>
          <w:i/>
          <w:iCs/>
          <w:color w:val="000000" w:themeColor="text1"/>
        </w:rPr>
        <w:t xml:space="preserve"> </w:t>
      </w:r>
      <w:r w:rsidRPr="00753416">
        <w:rPr>
          <w:color w:val="000000" w:themeColor="text1"/>
        </w:rPr>
        <w:t>(</w:t>
      </w:r>
      <w:r w:rsidRPr="00753416">
        <w:rPr>
          <w:color w:val="000000" w:themeColor="text1"/>
        </w:rPr>
        <w:sym w:font="Symbol" w:char="F0A3"/>
      </w:r>
      <w:r w:rsidRPr="00753416">
        <w:rPr>
          <w:color w:val="000000" w:themeColor="text1"/>
        </w:rPr>
        <w:t xml:space="preserve">25%), </w:t>
      </w:r>
      <w:r w:rsidRPr="00753416">
        <w:rPr>
          <w:i/>
          <w:iCs/>
          <w:color w:val="000000" w:themeColor="text1"/>
        </w:rPr>
        <w:t xml:space="preserve">N. </w:t>
      </w:r>
      <w:proofErr w:type="spellStart"/>
      <w:r w:rsidRPr="00753416">
        <w:rPr>
          <w:i/>
          <w:iCs/>
          <w:color w:val="000000" w:themeColor="text1"/>
        </w:rPr>
        <w:t>microdigitoradiata</w:t>
      </w:r>
      <w:proofErr w:type="spellEnd"/>
      <w:r w:rsidRPr="00753416">
        <w:rPr>
          <w:i/>
          <w:iCs/>
          <w:color w:val="000000" w:themeColor="text1"/>
        </w:rPr>
        <w:t xml:space="preserve"> </w:t>
      </w:r>
      <w:r w:rsidRPr="00753416">
        <w:rPr>
          <w:color w:val="000000" w:themeColor="text1"/>
        </w:rPr>
        <w:t>(</w:t>
      </w:r>
      <w:r w:rsidR="000728DD">
        <w:rPr>
          <w:color w:val="000000" w:themeColor="text1"/>
        </w:rPr>
        <w:t>1</w:t>
      </w:r>
      <w:r w:rsidRPr="00753416">
        <w:rPr>
          <w:color w:val="000000" w:themeColor="text1"/>
        </w:rPr>
        <w:t>–2</w:t>
      </w:r>
      <w:r w:rsidR="000728DD">
        <w:rPr>
          <w:color w:val="000000" w:themeColor="text1"/>
        </w:rPr>
        <w:t>3</w:t>
      </w:r>
      <w:r w:rsidRPr="00753416">
        <w:rPr>
          <w:color w:val="000000" w:themeColor="text1"/>
        </w:rPr>
        <w:t xml:space="preserve">%), and </w:t>
      </w:r>
      <w:proofErr w:type="spellStart"/>
      <w:r w:rsidRPr="00753416">
        <w:rPr>
          <w:i/>
          <w:iCs/>
          <w:color w:val="000000" w:themeColor="text1"/>
        </w:rPr>
        <w:t>Halamphora</w:t>
      </w:r>
      <w:proofErr w:type="spellEnd"/>
      <w:r w:rsidRPr="00753416">
        <w:rPr>
          <w:i/>
          <w:iCs/>
          <w:color w:val="000000" w:themeColor="text1"/>
        </w:rPr>
        <w:t xml:space="preserve"> </w:t>
      </w:r>
      <w:proofErr w:type="spellStart"/>
      <w:r w:rsidRPr="00753416">
        <w:rPr>
          <w:i/>
          <w:iCs/>
          <w:color w:val="000000" w:themeColor="text1"/>
        </w:rPr>
        <w:t>holsatica</w:t>
      </w:r>
      <w:proofErr w:type="spellEnd"/>
      <w:r w:rsidRPr="00753416">
        <w:rPr>
          <w:i/>
          <w:iCs/>
          <w:color w:val="000000" w:themeColor="text1"/>
        </w:rPr>
        <w:t xml:space="preserve"> </w:t>
      </w:r>
      <w:r w:rsidRPr="00753416">
        <w:rPr>
          <w:color w:val="000000" w:themeColor="text1"/>
        </w:rPr>
        <w:t xml:space="preserve">(&lt;11%). The mangrove fringe (104–144 SWLI units) and mangrove (188–260 SWLI units) samples in this group were also lower in planktonic taxa (19–59%) and higher in marine–brackish benthic taxa </w:t>
      </w:r>
      <w:r w:rsidRPr="00753416">
        <w:rPr>
          <w:i/>
          <w:iCs/>
          <w:color w:val="000000" w:themeColor="text1"/>
        </w:rPr>
        <w:t xml:space="preserve">D. </w:t>
      </w:r>
      <w:proofErr w:type="spellStart"/>
      <w:r w:rsidRPr="00753416">
        <w:rPr>
          <w:i/>
          <w:iCs/>
          <w:color w:val="000000" w:themeColor="text1"/>
        </w:rPr>
        <w:t>subovalis</w:t>
      </w:r>
      <w:proofErr w:type="spellEnd"/>
      <w:r w:rsidRPr="00753416">
        <w:rPr>
          <w:color w:val="000000" w:themeColor="text1"/>
        </w:rPr>
        <w:t xml:space="preserve"> (</w:t>
      </w:r>
      <w:r w:rsidRPr="00753416">
        <w:rPr>
          <w:color w:val="000000" w:themeColor="text1"/>
        </w:rPr>
        <w:sym w:font="Symbol" w:char="F0A3"/>
      </w:r>
      <w:r w:rsidRPr="00753416">
        <w:rPr>
          <w:color w:val="000000" w:themeColor="text1"/>
        </w:rPr>
        <w:t>2</w:t>
      </w:r>
      <w:r w:rsidR="000728DD">
        <w:rPr>
          <w:color w:val="000000" w:themeColor="text1"/>
        </w:rPr>
        <w:t>3</w:t>
      </w:r>
      <w:r w:rsidRPr="00753416">
        <w:rPr>
          <w:color w:val="000000" w:themeColor="text1"/>
        </w:rPr>
        <w:t xml:space="preserve">%), </w:t>
      </w:r>
      <w:proofErr w:type="spellStart"/>
      <w:r w:rsidR="00D64FE0">
        <w:rPr>
          <w:i/>
          <w:iCs/>
          <w:color w:val="000000" w:themeColor="text1"/>
        </w:rPr>
        <w:t>T</w:t>
      </w:r>
      <w:r w:rsidR="00D64FE0" w:rsidRPr="001B2703">
        <w:rPr>
          <w:i/>
          <w:iCs/>
          <w:color w:val="000000" w:themeColor="text1"/>
        </w:rPr>
        <w:t>ryblionella</w:t>
      </w:r>
      <w:proofErr w:type="spellEnd"/>
      <w:r w:rsidRPr="00753416">
        <w:rPr>
          <w:i/>
          <w:iCs/>
          <w:color w:val="000000" w:themeColor="text1"/>
        </w:rPr>
        <w:t xml:space="preserve"> </w:t>
      </w:r>
      <w:proofErr w:type="spellStart"/>
      <w:r w:rsidRPr="00753416">
        <w:rPr>
          <w:i/>
          <w:iCs/>
          <w:color w:val="000000" w:themeColor="text1"/>
        </w:rPr>
        <w:t>apiculata</w:t>
      </w:r>
      <w:proofErr w:type="spellEnd"/>
      <w:r w:rsidRPr="00753416">
        <w:rPr>
          <w:color w:val="000000" w:themeColor="text1"/>
        </w:rPr>
        <w:t xml:space="preserve"> (</w:t>
      </w:r>
      <w:r w:rsidRPr="00753416">
        <w:rPr>
          <w:color w:val="000000" w:themeColor="text1"/>
        </w:rPr>
        <w:sym w:font="Symbol" w:char="F0A3"/>
      </w:r>
      <w:r w:rsidRPr="00753416">
        <w:rPr>
          <w:color w:val="000000" w:themeColor="text1"/>
        </w:rPr>
        <w:t>1</w:t>
      </w:r>
      <w:r w:rsidR="000728DD">
        <w:rPr>
          <w:color w:val="000000" w:themeColor="text1"/>
        </w:rPr>
        <w:t>6</w:t>
      </w:r>
      <w:r w:rsidRPr="00753416">
        <w:rPr>
          <w:color w:val="000000" w:themeColor="text1"/>
        </w:rPr>
        <w:t xml:space="preserve">%), and </w:t>
      </w:r>
      <w:r w:rsidRPr="00753416">
        <w:rPr>
          <w:i/>
          <w:iCs/>
          <w:color w:val="000000" w:themeColor="text1"/>
        </w:rPr>
        <w:t xml:space="preserve">F. </w:t>
      </w:r>
      <w:proofErr w:type="spellStart"/>
      <w:r w:rsidRPr="00753416">
        <w:rPr>
          <w:i/>
          <w:iCs/>
          <w:color w:val="000000" w:themeColor="text1"/>
        </w:rPr>
        <w:t>diploneioides</w:t>
      </w:r>
      <w:proofErr w:type="spellEnd"/>
      <w:r w:rsidRPr="00753416">
        <w:rPr>
          <w:i/>
          <w:iCs/>
          <w:color w:val="000000" w:themeColor="text1"/>
        </w:rPr>
        <w:t xml:space="preserve"> </w:t>
      </w:r>
      <w:r w:rsidRPr="00753416">
        <w:rPr>
          <w:color w:val="000000" w:themeColor="text1"/>
        </w:rPr>
        <w:t>(</w:t>
      </w:r>
      <w:r w:rsidRPr="00753416">
        <w:rPr>
          <w:color w:val="000000" w:themeColor="text1"/>
        </w:rPr>
        <w:sym w:font="Symbol" w:char="F0A3"/>
      </w:r>
      <w:r w:rsidRPr="00753416">
        <w:rPr>
          <w:color w:val="000000" w:themeColor="text1"/>
        </w:rPr>
        <w:t xml:space="preserve">10%), with some freshwater benthic taxa, such as </w:t>
      </w:r>
      <w:r w:rsidRPr="00753416">
        <w:rPr>
          <w:i/>
          <w:iCs/>
          <w:color w:val="000000" w:themeColor="text1"/>
        </w:rPr>
        <w:t xml:space="preserve">L. mutica </w:t>
      </w:r>
      <w:r w:rsidRPr="00753416">
        <w:rPr>
          <w:color w:val="000000" w:themeColor="text1"/>
        </w:rPr>
        <w:t>(</w:t>
      </w:r>
      <w:r w:rsidRPr="00753416">
        <w:rPr>
          <w:color w:val="000000" w:themeColor="text1"/>
        </w:rPr>
        <w:sym w:font="Symbol" w:char="F0A3"/>
      </w:r>
      <w:r w:rsidRPr="00753416">
        <w:rPr>
          <w:color w:val="000000" w:themeColor="text1"/>
        </w:rPr>
        <w:t>1</w:t>
      </w:r>
      <w:r w:rsidR="000728DD">
        <w:rPr>
          <w:color w:val="000000" w:themeColor="text1"/>
        </w:rPr>
        <w:t>5</w:t>
      </w:r>
      <w:r w:rsidRPr="00753416">
        <w:rPr>
          <w:color w:val="000000" w:themeColor="text1"/>
        </w:rPr>
        <w:t xml:space="preserve">%), </w:t>
      </w:r>
      <w:r w:rsidRPr="00753416">
        <w:t xml:space="preserve">suggesting </w:t>
      </w:r>
      <w:r w:rsidRPr="00753416">
        <w:rPr>
          <w:color w:val="000000" w:themeColor="text1"/>
        </w:rPr>
        <w:t xml:space="preserve">shorter inundation periods </w:t>
      </w:r>
      <w:r w:rsidRPr="00753416">
        <w:t>and extended exposure to subaerial conditions.</w:t>
      </w:r>
      <w:r w:rsidRPr="00753416">
        <w:rPr>
          <w:color w:val="000000" w:themeColor="text1"/>
        </w:rPr>
        <w:t xml:space="preserve"> This is supported by the presence of </w:t>
      </w:r>
      <w:proofErr w:type="spellStart"/>
      <w:r w:rsidRPr="00753416">
        <w:rPr>
          <w:color w:val="000000" w:themeColor="text1"/>
        </w:rPr>
        <w:t>epipelic</w:t>
      </w:r>
      <w:proofErr w:type="spellEnd"/>
      <w:r w:rsidRPr="00753416">
        <w:rPr>
          <w:color w:val="000000" w:themeColor="text1"/>
        </w:rPr>
        <w:t xml:space="preserve"> species (e.g.</w:t>
      </w:r>
      <w:r>
        <w:rPr>
          <w:color w:val="000000" w:themeColor="text1"/>
        </w:rPr>
        <w:t>,</w:t>
      </w:r>
      <w:r w:rsidRPr="00753416">
        <w:rPr>
          <w:color w:val="000000" w:themeColor="text1"/>
        </w:rPr>
        <w:t xml:space="preserve"> </w:t>
      </w:r>
      <w:r w:rsidRPr="00753416">
        <w:rPr>
          <w:i/>
          <w:iCs/>
          <w:color w:val="000000" w:themeColor="text1"/>
        </w:rPr>
        <w:t xml:space="preserve">N. </w:t>
      </w:r>
      <w:proofErr w:type="spellStart"/>
      <w:r w:rsidRPr="00753416">
        <w:rPr>
          <w:i/>
          <w:iCs/>
          <w:color w:val="000000" w:themeColor="text1"/>
        </w:rPr>
        <w:t>microdigitoradiata</w:t>
      </w:r>
      <w:proofErr w:type="spellEnd"/>
      <w:r w:rsidRPr="00753416">
        <w:rPr>
          <w:i/>
          <w:iCs/>
          <w:color w:val="000000" w:themeColor="text1"/>
        </w:rPr>
        <w:t xml:space="preserve">) </w:t>
      </w:r>
      <w:r w:rsidRPr="00753416">
        <w:rPr>
          <w:color w:val="000000" w:themeColor="text1"/>
        </w:rPr>
        <w:t>that inhabit muddy substrate, and aerophilous species (e.g.</w:t>
      </w:r>
      <w:r>
        <w:rPr>
          <w:color w:val="000000" w:themeColor="text1"/>
        </w:rPr>
        <w:t>,</w:t>
      </w:r>
      <w:r w:rsidRPr="00753416">
        <w:rPr>
          <w:color w:val="000000" w:themeColor="text1"/>
        </w:rPr>
        <w:t xml:space="preserve"> </w:t>
      </w:r>
      <w:r w:rsidRPr="00753416">
        <w:rPr>
          <w:i/>
          <w:iCs/>
          <w:color w:val="000000" w:themeColor="text1"/>
        </w:rPr>
        <w:t xml:space="preserve">D. </w:t>
      </w:r>
      <w:proofErr w:type="spellStart"/>
      <w:r w:rsidRPr="00753416">
        <w:rPr>
          <w:i/>
          <w:iCs/>
          <w:color w:val="000000" w:themeColor="text1"/>
        </w:rPr>
        <w:t>subovalis</w:t>
      </w:r>
      <w:proofErr w:type="spellEnd"/>
      <w:r w:rsidRPr="00753416">
        <w:rPr>
          <w:color w:val="000000" w:themeColor="text1"/>
        </w:rPr>
        <w:t xml:space="preserve">) which are adapted to frequent subaerially exposure (Denys, 1991). </w:t>
      </w:r>
      <w:r w:rsidRPr="00753416">
        <w:t xml:space="preserve">These brackish–marine benthic taxa (e.g., </w:t>
      </w:r>
      <w:proofErr w:type="spellStart"/>
      <w:r w:rsidRPr="00753416">
        <w:rPr>
          <w:i/>
          <w:iCs/>
        </w:rPr>
        <w:t>Denticula</w:t>
      </w:r>
      <w:proofErr w:type="spellEnd"/>
      <w:r w:rsidRPr="00753416">
        <w:rPr>
          <w:i/>
          <w:iCs/>
        </w:rPr>
        <w:t xml:space="preserve"> subtilis</w:t>
      </w:r>
      <w:r w:rsidRPr="00753416">
        <w:t xml:space="preserve">, </w:t>
      </w:r>
      <w:r w:rsidRPr="00753416">
        <w:rPr>
          <w:i/>
          <w:iCs/>
        </w:rPr>
        <w:t>D. smithii</w:t>
      </w:r>
      <w:r w:rsidRPr="00753416">
        <w:t xml:space="preserve">, </w:t>
      </w:r>
      <w:r w:rsidRPr="00753416">
        <w:rPr>
          <w:i/>
          <w:iCs/>
        </w:rPr>
        <w:t xml:space="preserve">D. </w:t>
      </w:r>
      <w:proofErr w:type="spellStart"/>
      <w:r w:rsidRPr="00753416">
        <w:rPr>
          <w:i/>
          <w:iCs/>
        </w:rPr>
        <w:t>subovalis</w:t>
      </w:r>
      <w:proofErr w:type="spellEnd"/>
      <w:r w:rsidRPr="00753416">
        <w:t>) are commonly observed in subtropical mangroves of South China (Chen et al., 2010), Malaysia (Tam et al., 2018) and Indonesia (Horton et al., 2007)</w:t>
      </w:r>
      <w:r>
        <w:t>.</w:t>
      </w:r>
      <w:r w:rsidRPr="00753416">
        <w:t xml:space="preserve"> Although their abundance may differ among regions, </w:t>
      </w:r>
      <w:r w:rsidRPr="00753416">
        <w:rPr>
          <w:i/>
          <w:iCs/>
        </w:rPr>
        <w:t>D. smithii</w:t>
      </w:r>
      <w:r w:rsidRPr="00753416">
        <w:t xml:space="preserve"> and </w:t>
      </w:r>
      <w:r w:rsidRPr="000B4766">
        <w:rPr>
          <w:i/>
          <w:iCs/>
        </w:rPr>
        <w:t xml:space="preserve">D. </w:t>
      </w:r>
      <w:proofErr w:type="spellStart"/>
      <w:r w:rsidRPr="000B4766">
        <w:rPr>
          <w:i/>
          <w:iCs/>
        </w:rPr>
        <w:t>subovalis</w:t>
      </w:r>
      <w:proofErr w:type="spellEnd"/>
      <w:r w:rsidRPr="00753416">
        <w:t xml:space="preserve"> are universal mangrove taxa (Horton et al., 2007). Finally, terrestrial samples (274–380 SWLI </w:t>
      </w:r>
      <w:r w:rsidRPr="00753416">
        <w:rPr>
          <w:color w:val="000000" w:themeColor="text1"/>
        </w:rPr>
        <w:t>units</w:t>
      </w:r>
      <w:r w:rsidRPr="00753416">
        <w:t xml:space="preserve">) in this group exhibit high percentages of </w:t>
      </w:r>
      <w:r w:rsidRPr="00753416">
        <w:rPr>
          <w:i/>
          <w:iCs/>
          <w:color w:val="000000" w:themeColor="text1"/>
        </w:rPr>
        <w:t>L. mutica</w:t>
      </w:r>
      <w:r w:rsidRPr="00753416">
        <w:rPr>
          <w:color w:val="000000" w:themeColor="text1"/>
        </w:rPr>
        <w:t xml:space="preserve"> </w:t>
      </w:r>
      <w:r w:rsidRPr="00753416">
        <w:t>(</w:t>
      </w:r>
      <w:r w:rsidR="008860AA" w:rsidRPr="00753416">
        <w:rPr>
          <w:color w:val="000000" w:themeColor="text1"/>
        </w:rPr>
        <w:sym w:font="Symbol" w:char="F0A3"/>
      </w:r>
      <w:r w:rsidRPr="00753416">
        <w:t>3</w:t>
      </w:r>
      <w:r w:rsidR="000728DD">
        <w:t>3</w:t>
      </w:r>
      <w:r w:rsidRPr="00753416">
        <w:t xml:space="preserve">%), </w:t>
      </w:r>
      <w:proofErr w:type="spellStart"/>
      <w:r w:rsidRPr="00753416">
        <w:rPr>
          <w:i/>
          <w:iCs/>
        </w:rPr>
        <w:t>Humidophila</w:t>
      </w:r>
      <w:proofErr w:type="spellEnd"/>
      <w:r w:rsidRPr="00753416">
        <w:rPr>
          <w:i/>
          <w:iCs/>
        </w:rPr>
        <w:t xml:space="preserve"> </w:t>
      </w:r>
      <w:proofErr w:type="spellStart"/>
      <w:r w:rsidRPr="00753416">
        <w:rPr>
          <w:i/>
          <w:iCs/>
        </w:rPr>
        <w:t>contenta</w:t>
      </w:r>
      <w:proofErr w:type="spellEnd"/>
      <w:r w:rsidRPr="00753416">
        <w:t xml:space="preserve"> (</w:t>
      </w:r>
      <w:r w:rsidRPr="00753416">
        <w:rPr>
          <w:color w:val="000000" w:themeColor="text1"/>
        </w:rPr>
        <w:sym w:font="Symbol" w:char="F0A3"/>
      </w:r>
      <w:r w:rsidRPr="00753416">
        <w:t xml:space="preserve">12%), and </w:t>
      </w:r>
      <w:proofErr w:type="spellStart"/>
      <w:r w:rsidRPr="00753416">
        <w:rPr>
          <w:i/>
          <w:iCs/>
        </w:rPr>
        <w:t>Luticola</w:t>
      </w:r>
      <w:proofErr w:type="spellEnd"/>
      <w:r w:rsidRPr="00753416">
        <w:rPr>
          <w:i/>
          <w:iCs/>
        </w:rPr>
        <w:t xml:space="preserve"> </w:t>
      </w:r>
      <w:proofErr w:type="spellStart"/>
      <w:r w:rsidRPr="00753416">
        <w:rPr>
          <w:i/>
          <w:iCs/>
        </w:rPr>
        <w:t>celebesica</w:t>
      </w:r>
      <w:proofErr w:type="spellEnd"/>
      <w:r w:rsidRPr="00753416">
        <w:t xml:space="preserve"> (</w:t>
      </w:r>
      <w:r w:rsidR="000728DD">
        <w:t>3</w:t>
      </w:r>
      <w:r w:rsidRPr="00753416">
        <w:t xml:space="preserve">–8%). While </w:t>
      </w:r>
      <w:r w:rsidRPr="00753416">
        <w:rPr>
          <w:i/>
          <w:iCs/>
        </w:rPr>
        <w:t xml:space="preserve">L. mutica </w:t>
      </w:r>
      <w:r w:rsidRPr="00753416">
        <w:t xml:space="preserve">and </w:t>
      </w:r>
      <w:r w:rsidRPr="00753416">
        <w:rPr>
          <w:i/>
          <w:iCs/>
        </w:rPr>
        <w:t xml:space="preserve">L. </w:t>
      </w:r>
      <w:proofErr w:type="spellStart"/>
      <w:r w:rsidRPr="00753416">
        <w:rPr>
          <w:i/>
          <w:iCs/>
        </w:rPr>
        <w:t>celebesica</w:t>
      </w:r>
      <w:proofErr w:type="spellEnd"/>
      <w:r w:rsidRPr="00753416">
        <w:t xml:space="preserve"> are freshwater salt tolerant taxa (Zong, 1998), </w:t>
      </w:r>
      <w:r w:rsidRPr="00753416">
        <w:rPr>
          <w:i/>
          <w:iCs/>
        </w:rPr>
        <w:t>H</w:t>
      </w:r>
      <w:r w:rsidRPr="00753416">
        <w:t xml:space="preserve">. </w:t>
      </w:r>
      <w:proofErr w:type="spellStart"/>
      <w:r w:rsidRPr="00753416">
        <w:rPr>
          <w:i/>
          <w:iCs/>
        </w:rPr>
        <w:t>contenta</w:t>
      </w:r>
      <w:proofErr w:type="spellEnd"/>
      <w:r w:rsidRPr="00753416">
        <w:rPr>
          <w:i/>
          <w:iCs/>
        </w:rPr>
        <w:t xml:space="preserve"> is </w:t>
      </w:r>
      <w:r w:rsidRPr="00753416">
        <w:t xml:space="preserve">typically found in soil and subaerial habitats (Van de Vijver et al., 2021). These key taxa indicate minimal marine influence and </w:t>
      </w:r>
      <w:r w:rsidRPr="00753416">
        <w:lastRenderedPageBreak/>
        <w:t xml:space="preserve">limited inundation among the studied environments. Our terrestrial assemblage is </w:t>
      </w:r>
      <w:proofErr w:type="gramStart"/>
      <w:r w:rsidRPr="00753416">
        <w:t>similar to</w:t>
      </w:r>
      <w:proofErr w:type="gramEnd"/>
      <w:r w:rsidRPr="00753416">
        <w:t xml:space="preserve"> </w:t>
      </w:r>
      <w:r>
        <w:t>studies</w:t>
      </w:r>
      <w:r w:rsidRPr="00753416">
        <w:t xml:space="preserve"> from the US (Sawai et al., 2016) and UK (Zong and Horton, 1998), which </w:t>
      </w:r>
      <w:r>
        <w:t xml:space="preserve">report </w:t>
      </w:r>
      <w:r w:rsidRPr="00753416">
        <w:t xml:space="preserve">a high percentage of freshwater salt tolerant taxa such as </w:t>
      </w:r>
      <w:proofErr w:type="spellStart"/>
      <w:r w:rsidRPr="00753416">
        <w:rPr>
          <w:i/>
          <w:iCs/>
        </w:rPr>
        <w:t>Luticola</w:t>
      </w:r>
      <w:proofErr w:type="spellEnd"/>
      <w:r w:rsidRPr="00753416">
        <w:rPr>
          <w:i/>
          <w:iCs/>
        </w:rPr>
        <w:t xml:space="preserve"> </w:t>
      </w:r>
      <w:r w:rsidRPr="00753416">
        <w:t>spp. Some studies have found terrestrial sediments from freshwater swamps or rivers are dominated by freshwater planktonic taxa (</w:t>
      </w:r>
      <w:r w:rsidR="00105640" w:rsidRPr="00753416">
        <w:t xml:space="preserve">e.g., </w:t>
      </w:r>
      <w:r w:rsidRPr="00753416">
        <w:rPr>
          <w:i/>
          <w:iCs/>
        </w:rPr>
        <w:t xml:space="preserve">Aulacoseira </w:t>
      </w:r>
      <w:proofErr w:type="spellStart"/>
      <w:r w:rsidRPr="00753416">
        <w:rPr>
          <w:i/>
          <w:iCs/>
        </w:rPr>
        <w:t>granulata</w:t>
      </w:r>
      <w:proofErr w:type="spellEnd"/>
      <w:r w:rsidRPr="00753416">
        <w:t>) (</w:t>
      </w:r>
      <w:r w:rsidR="00105640" w:rsidRPr="00753416">
        <w:t xml:space="preserve">e.g., </w:t>
      </w:r>
      <w:r w:rsidRPr="00753416">
        <w:t>Sawai et al., 2016; Xiong et al., 2020)</w:t>
      </w:r>
      <w:r>
        <w:t xml:space="preserve"> but they are rare in our terrestrial samples (&lt;5%), likely due to subaerial exposure and weak freshwater inflow from the adjacent tidal creek (Sawai et al., 2016).</w:t>
      </w:r>
    </w:p>
    <w:p w14:paraId="78591513" w14:textId="77777777" w:rsidR="00BA0F2B" w:rsidRDefault="00BA0F2B" w:rsidP="007B2CDA"/>
    <w:p w14:paraId="6123D93C" w14:textId="575C9418" w:rsidR="00BA0F2B" w:rsidRPr="00753416" w:rsidRDefault="00BA0F2B" w:rsidP="00BA0F2B">
      <w:pPr>
        <w:pStyle w:val="Heading2"/>
      </w:pPr>
      <w:r w:rsidRPr="00753416">
        <w:t>4.</w:t>
      </w:r>
      <w:r>
        <w:t>2</w:t>
      </w:r>
      <w:r w:rsidRPr="00753416">
        <w:t xml:space="preserve"> δ</w:t>
      </w:r>
      <w:r w:rsidRPr="00753416">
        <w:rPr>
          <w:vertAlign w:val="superscript"/>
        </w:rPr>
        <w:t>13</w:t>
      </w:r>
      <w:r w:rsidRPr="00753416">
        <w:t xml:space="preserve">C, TOC, and C/N geochemistry </w:t>
      </w:r>
    </w:p>
    <w:p w14:paraId="14092204" w14:textId="770F02A3" w:rsidR="00BA0F2B" w:rsidRPr="00753416" w:rsidRDefault="00BA0F2B" w:rsidP="007B2CDA">
      <w:r w:rsidRPr="00753416">
        <w:rPr>
          <w:lang w:val="en-HK"/>
        </w:rPr>
        <w:t>In MP_A, δ</w:t>
      </w:r>
      <w:r w:rsidRPr="00BF44B6">
        <w:rPr>
          <w:vertAlign w:val="superscript"/>
          <w:lang w:val="en-HK"/>
        </w:rPr>
        <w:t>13</w:t>
      </w:r>
      <w:r w:rsidRPr="00753416">
        <w:rPr>
          <w:lang w:val="en-HK"/>
        </w:rPr>
        <w:t>C values increased from -28‰ in the subtidal zone to -24</w:t>
      </w:r>
      <w:r w:rsidR="000C61A1">
        <w:rPr>
          <w:lang w:val="en-HK"/>
        </w:rPr>
        <w:t>.0</w:t>
      </w:r>
      <w:r w:rsidRPr="00753416">
        <w:rPr>
          <w:lang w:val="en-HK"/>
        </w:rPr>
        <w:t xml:space="preserve"> to -25.6‰ in the mudflat, and ranged from -27</w:t>
      </w:r>
      <w:r w:rsidR="000C61A1">
        <w:rPr>
          <w:lang w:val="en-HK"/>
        </w:rPr>
        <w:t>.9</w:t>
      </w:r>
      <w:r w:rsidRPr="00753416">
        <w:rPr>
          <w:lang w:val="en-HK"/>
        </w:rPr>
        <w:t xml:space="preserve"> to -29</w:t>
      </w:r>
      <w:r w:rsidR="000C61A1">
        <w:rPr>
          <w:lang w:val="en-HK"/>
        </w:rPr>
        <w:t>.2</w:t>
      </w:r>
      <w:r w:rsidRPr="00753416">
        <w:rPr>
          <w:lang w:val="en-HK"/>
        </w:rPr>
        <w:t xml:space="preserve">‰ in the mangrove. </w:t>
      </w:r>
      <w:r w:rsidR="00836172" w:rsidRPr="00753416">
        <w:rPr>
          <w:lang w:val="en-HK"/>
        </w:rPr>
        <w:t>TOC content was low in the mudflat (0.9%</w:t>
      </w:r>
      <w:r w:rsidR="00A45B21">
        <w:rPr>
          <w:lang w:val="en-HK"/>
        </w:rPr>
        <w:t>–</w:t>
      </w:r>
      <w:r w:rsidR="00836172" w:rsidRPr="00753416">
        <w:rPr>
          <w:lang w:val="en-HK"/>
        </w:rPr>
        <w:t xml:space="preserve">1.7%) and increased to </w:t>
      </w:r>
      <w:r w:rsidR="00836172">
        <w:rPr>
          <w:lang w:val="en-HK"/>
        </w:rPr>
        <w:t>~</w:t>
      </w:r>
      <w:r w:rsidR="00836172" w:rsidRPr="00753416">
        <w:rPr>
          <w:lang w:val="en-HK"/>
        </w:rPr>
        <w:t>14% in the mangrove interior</w:t>
      </w:r>
      <w:r w:rsidR="00836172">
        <w:rPr>
          <w:lang w:val="en-HK"/>
        </w:rPr>
        <w:t>.</w:t>
      </w:r>
      <w:r w:rsidR="00836172" w:rsidRPr="00753416">
        <w:rPr>
          <w:lang w:val="en-HK"/>
        </w:rPr>
        <w:t xml:space="preserve"> </w:t>
      </w:r>
      <w:r w:rsidRPr="00753416">
        <w:rPr>
          <w:lang w:val="en-HK"/>
        </w:rPr>
        <w:t xml:space="preserve">The C/N ratio rose from </w:t>
      </w:r>
      <w:r w:rsidR="00836172">
        <w:rPr>
          <w:lang w:val="en-HK"/>
        </w:rPr>
        <w:t>8</w:t>
      </w:r>
      <w:r w:rsidR="000C61A1">
        <w:rPr>
          <w:lang w:val="en-HK"/>
        </w:rPr>
        <w:t>.1</w:t>
      </w:r>
      <w:r w:rsidRPr="00753416">
        <w:rPr>
          <w:lang w:val="en-HK"/>
        </w:rPr>
        <w:t xml:space="preserve">-10.5 in the subtidal area to </w:t>
      </w:r>
      <w:r w:rsidR="00836172">
        <w:rPr>
          <w:lang w:val="en-HK"/>
        </w:rPr>
        <w:t>~</w:t>
      </w:r>
      <w:r w:rsidRPr="00753416">
        <w:rPr>
          <w:lang w:val="en-HK"/>
        </w:rPr>
        <w:t>16 in the mangrove interior (Figure 2A). In MP_B, δ</w:t>
      </w:r>
      <w:r w:rsidRPr="00BF44B6">
        <w:rPr>
          <w:vertAlign w:val="superscript"/>
          <w:lang w:val="en-HK"/>
        </w:rPr>
        <w:t>13</w:t>
      </w:r>
      <w:r w:rsidRPr="00753416">
        <w:rPr>
          <w:lang w:val="en-HK"/>
        </w:rPr>
        <w:t>C values increased from -2</w:t>
      </w:r>
      <w:r w:rsidR="000E54B2">
        <w:rPr>
          <w:lang w:val="en-HK"/>
        </w:rPr>
        <w:t>7.2</w:t>
      </w:r>
      <w:r w:rsidRPr="00753416">
        <w:rPr>
          <w:lang w:val="en-HK"/>
        </w:rPr>
        <w:t>‰ in the mangrove to around -20</w:t>
      </w:r>
      <w:r w:rsidR="000E54B2">
        <w:rPr>
          <w:lang w:val="en-HK"/>
        </w:rPr>
        <w:t>.9</w:t>
      </w:r>
      <w:r w:rsidRPr="00753416">
        <w:rPr>
          <w:lang w:val="en-HK"/>
        </w:rPr>
        <w:t xml:space="preserve">‰ at the terrestrial transition. </w:t>
      </w:r>
      <w:r w:rsidR="00836172" w:rsidRPr="00753416">
        <w:rPr>
          <w:lang w:val="en-HK"/>
        </w:rPr>
        <w:t>TOC increased from 3.5% in the mangrove to 8.8% in the terrestrial upland.</w:t>
      </w:r>
      <w:r w:rsidR="00836172">
        <w:rPr>
          <w:lang w:val="en-HK"/>
        </w:rPr>
        <w:t xml:space="preserve"> </w:t>
      </w:r>
      <w:r w:rsidRPr="00753416">
        <w:rPr>
          <w:lang w:val="en-HK"/>
        </w:rPr>
        <w:t xml:space="preserve">The C/N ratio rose from </w:t>
      </w:r>
      <w:r w:rsidR="000E54B2">
        <w:rPr>
          <w:lang w:val="en-HK"/>
        </w:rPr>
        <w:t>8.9</w:t>
      </w:r>
      <w:r w:rsidRPr="00753416">
        <w:rPr>
          <w:lang w:val="en-HK"/>
        </w:rPr>
        <w:t xml:space="preserve"> to 13.5 in the terrestrial transition, then decreased to 10.5 in the terrestrial upland (Figure 2B).  In transect SK, δ</w:t>
      </w:r>
      <w:r w:rsidRPr="00BF44B6">
        <w:rPr>
          <w:vertAlign w:val="superscript"/>
          <w:lang w:val="en-HK"/>
        </w:rPr>
        <w:t>13</w:t>
      </w:r>
      <w:r w:rsidRPr="00753416">
        <w:rPr>
          <w:lang w:val="en-HK"/>
        </w:rPr>
        <w:t>C values ranged from -2</w:t>
      </w:r>
      <w:r w:rsidR="000E54B2">
        <w:rPr>
          <w:lang w:val="en-HK"/>
        </w:rPr>
        <w:t>2.6</w:t>
      </w:r>
      <w:r w:rsidRPr="00753416">
        <w:rPr>
          <w:lang w:val="en-HK"/>
        </w:rPr>
        <w:t>‰ in the mudflat to -2</w:t>
      </w:r>
      <w:r w:rsidR="000E54B2">
        <w:rPr>
          <w:lang w:val="en-HK"/>
        </w:rPr>
        <w:t>5.0</w:t>
      </w:r>
      <w:r w:rsidRPr="00753416">
        <w:rPr>
          <w:lang w:val="en-HK"/>
        </w:rPr>
        <w:t xml:space="preserve">‰ in the mangrove fringe, and </w:t>
      </w:r>
      <w:r w:rsidR="00836172" w:rsidRPr="00753416">
        <w:rPr>
          <w:lang w:val="en-HK"/>
        </w:rPr>
        <w:t>TOC was low in the mudflat and increased to 1.3</w:t>
      </w:r>
      <w:r w:rsidR="00A45B21">
        <w:rPr>
          <w:lang w:val="en-HK"/>
        </w:rPr>
        <w:t>–</w:t>
      </w:r>
      <w:r w:rsidR="00836172" w:rsidRPr="00753416">
        <w:rPr>
          <w:lang w:val="en-HK"/>
        </w:rPr>
        <w:t xml:space="preserve">1.7% in the mangrove fringe. </w:t>
      </w:r>
      <w:r w:rsidRPr="00753416">
        <w:rPr>
          <w:lang w:val="en-HK"/>
        </w:rPr>
        <w:t>C/N ratios ranged from 3.2-7.8 in mudflat sediments and 8-10 in mangrove sediments (Figure 2C). The mean, standard deviation, range of TOC, δ</w:t>
      </w:r>
      <w:r w:rsidRPr="00753416">
        <w:rPr>
          <w:vertAlign w:val="superscript"/>
          <w:lang w:val="en-HK"/>
        </w:rPr>
        <w:t>13</w:t>
      </w:r>
      <w:r w:rsidRPr="00753416">
        <w:rPr>
          <w:lang w:val="en-HK"/>
        </w:rPr>
        <w:t xml:space="preserve">C , C/N and elevation for each environmental group and the number of sample in each group are listed in Table </w:t>
      </w:r>
      <w:r>
        <w:rPr>
          <w:lang w:val="en-HK"/>
        </w:rPr>
        <w:t>2</w:t>
      </w:r>
      <w:r w:rsidRPr="00753416">
        <w:rPr>
          <w:lang w:val="en-HK"/>
        </w:rPr>
        <w:t xml:space="preserve"> and shown in Figure 4.</w:t>
      </w:r>
    </w:p>
    <w:p w14:paraId="36AC3C8D" w14:textId="77777777" w:rsidR="00182EE3" w:rsidRPr="00753416" w:rsidRDefault="00182EE3" w:rsidP="000D5433"/>
    <w:p w14:paraId="48B3FC9A" w14:textId="59FC33CA" w:rsidR="00182EE3" w:rsidRPr="00753416" w:rsidRDefault="00182EE3" w:rsidP="009A1C5C">
      <w:pPr>
        <w:pStyle w:val="Heading2"/>
        <w:tabs>
          <w:tab w:val="left" w:pos="7797"/>
        </w:tabs>
      </w:pPr>
      <w:r w:rsidRPr="00753416">
        <w:t>4.</w:t>
      </w:r>
      <w:r w:rsidR="00AF69C4" w:rsidRPr="00753416">
        <w:t>3</w:t>
      </w:r>
      <w:r w:rsidRPr="00753416">
        <w:t xml:space="preserve"> C</w:t>
      </w:r>
      <w:r w:rsidR="004079CF" w:rsidRPr="00753416">
        <w:t>haracteristic</w:t>
      </w:r>
      <w:r w:rsidR="00BA0F2B">
        <w:t>s</w:t>
      </w:r>
      <w:r w:rsidR="004079CF" w:rsidRPr="00753416">
        <w:t xml:space="preserve"> of core sediment</w:t>
      </w:r>
    </w:p>
    <w:p w14:paraId="3BEE69E6" w14:textId="4D7F8A1C" w:rsidR="00182EE3" w:rsidRPr="00753416" w:rsidRDefault="00182EE3" w:rsidP="00182EE3">
      <w:pPr>
        <w:pStyle w:val="Heading3"/>
      </w:pPr>
      <w:r w:rsidRPr="00753416">
        <w:t>4.</w:t>
      </w:r>
      <w:r w:rsidR="00AF69C4" w:rsidRPr="00753416">
        <w:t>3</w:t>
      </w:r>
      <w:r w:rsidRPr="00753416">
        <w:t>.</w:t>
      </w:r>
      <w:r w:rsidR="004079CF" w:rsidRPr="00753416">
        <w:t>1</w:t>
      </w:r>
      <w:r w:rsidRPr="00753416">
        <w:t xml:space="preserve"> </w:t>
      </w:r>
      <w:r w:rsidR="00173B15">
        <w:t>Downcore variati</w:t>
      </w:r>
      <w:r w:rsidR="0025060D">
        <w:t>o</w:t>
      </w:r>
      <w:r w:rsidR="00173B15">
        <w:t xml:space="preserve">ns in </w:t>
      </w:r>
      <w:r w:rsidRPr="00753416">
        <w:t xml:space="preserve">Core </w:t>
      </w:r>
      <w:r w:rsidR="004079CF" w:rsidRPr="00753416">
        <w:t xml:space="preserve">MPSC01 </w:t>
      </w:r>
      <w:r w:rsidR="00173B15">
        <w:t xml:space="preserve">lithology, microfossils, and </w:t>
      </w:r>
      <w:r w:rsidR="00173B15" w:rsidRPr="00753416">
        <w:rPr>
          <w:lang w:val="en-HK"/>
        </w:rPr>
        <w:t>δ</w:t>
      </w:r>
      <w:r w:rsidR="00173B15" w:rsidRPr="00753416">
        <w:rPr>
          <w:vertAlign w:val="superscript"/>
          <w:lang w:val="en-HK"/>
        </w:rPr>
        <w:t>13</w:t>
      </w:r>
      <w:r w:rsidR="00173B15" w:rsidRPr="00753416">
        <w:rPr>
          <w:lang w:val="en-HK"/>
        </w:rPr>
        <w:t xml:space="preserve">C </w:t>
      </w:r>
      <w:r w:rsidR="00173B15">
        <w:rPr>
          <w:lang w:val="en-HK"/>
        </w:rPr>
        <w:t>and</w:t>
      </w:r>
      <w:r w:rsidR="00173B15" w:rsidRPr="00753416">
        <w:rPr>
          <w:lang w:val="en-HK"/>
        </w:rPr>
        <w:t xml:space="preserve"> C/N </w:t>
      </w:r>
      <w:r w:rsidR="00173B15">
        <w:t>geochemistry</w:t>
      </w:r>
    </w:p>
    <w:p w14:paraId="51B02F77" w14:textId="2DC75031" w:rsidR="00765AD2" w:rsidRPr="00D07A45" w:rsidRDefault="00173B15" w:rsidP="00E36EC6">
      <w:r w:rsidRPr="00753416">
        <w:t xml:space="preserve">We observed </w:t>
      </w:r>
      <w:r w:rsidR="00013AE4">
        <w:t>2</w:t>
      </w:r>
      <w:r w:rsidRPr="00753416">
        <w:t xml:space="preserve"> lith</w:t>
      </w:r>
      <w:r>
        <w:t>ostratigraphic</w:t>
      </w:r>
      <w:r w:rsidRPr="00753416">
        <w:t xml:space="preserve"> units in core</w:t>
      </w:r>
      <w:r w:rsidRPr="00173B15">
        <w:t xml:space="preserve"> </w:t>
      </w:r>
      <w:r w:rsidRPr="00753416">
        <w:t>MPSC01 (Figure 6).</w:t>
      </w:r>
      <w:r>
        <w:t xml:space="preserve"> </w:t>
      </w:r>
      <w:r w:rsidR="00E36EC6">
        <w:t>T</w:t>
      </w:r>
      <w:r w:rsidR="00765AD2" w:rsidRPr="00753416">
        <w:t xml:space="preserve">he </w:t>
      </w:r>
      <w:r w:rsidR="00E36EC6">
        <w:t xml:space="preserve">bottom </w:t>
      </w:r>
      <w:r w:rsidR="00765AD2" w:rsidRPr="00753416">
        <w:t>unit from 1.</w:t>
      </w:r>
      <w:r w:rsidR="00E36EC6">
        <w:t>7</w:t>
      </w:r>
      <w:r w:rsidR="002A6CD2">
        <w:t>1</w:t>
      </w:r>
      <w:r w:rsidR="00765AD2" w:rsidRPr="00753416">
        <w:t xml:space="preserve"> to 1.8</w:t>
      </w:r>
      <w:r w:rsidR="00E50579">
        <w:t>9</w:t>
      </w:r>
      <w:r w:rsidR="00765AD2" w:rsidRPr="00753416">
        <w:t xml:space="preserve"> m PD is composed of brown mud with increasing plant material toward the top. </w:t>
      </w:r>
      <w:r w:rsidR="0025060D" w:rsidRPr="00753416">
        <w:t xml:space="preserve">Foraminifera </w:t>
      </w:r>
      <w:r w:rsidR="0025060D" w:rsidRPr="00D07A45">
        <w:t xml:space="preserve">included </w:t>
      </w:r>
      <w:r w:rsidR="0025060D" w:rsidRPr="00D07A45">
        <w:rPr>
          <w:i/>
          <w:iCs/>
        </w:rPr>
        <w:t xml:space="preserve">A. </w:t>
      </w:r>
      <w:proofErr w:type="spellStart"/>
      <w:r w:rsidR="0025060D" w:rsidRPr="00D07A45">
        <w:rPr>
          <w:i/>
          <w:iCs/>
        </w:rPr>
        <w:t>mexicana</w:t>
      </w:r>
      <w:proofErr w:type="spellEnd"/>
      <w:r w:rsidR="0025060D" w:rsidRPr="00D07A45">
        <w:t xml:space="preserve"> (13–33%), </w:t>
      </w:r>
      <w:proofErr w:type="spellStart"/>
      <w:r w:rsidR="0025060D" w:rsidRPr="00D07A45">
        <w:rPr>
          <w:i/>
          <w:iCs/>
        </w:rPr>
        <w:t>Ammoastuta</w:t>
      </w:r>
      <w:proofErr w:type="spellEnd"/>
      <w:r w:rsidR="0025060D" w:rsidRPr="00D07A45">
        <w:rPr>
          <w:i/>
          <w:iCs/>
        </w:rPr>
        <w:t xml:space="preserve"> </w:t>
      </w:r>
      <w:proofErr w:type="spellStart"/>
      <w:r w:rsidR="0025060D" w:rsidRPr="00D07A45">
        <w:rPr>
          <w:i/>
          <w:iCs/>
        </w:rPr>
        <w:t>inepta</w:t>
      </w:r>
      <w:proofErr w:type="spellEnd"/>
      <w:r w:rsidR="0025060D" w:rsidRPr="00D07A45">
        <w:t xml:space="preserve"> (</w:t>
      </w:r>
      <w:r w:rsidR="000718AE">
        <w:t>2</w:t>
      </w:r>
      <w:r w:rsidR="0025060D" w:rsidRPr="00D07A45">
        <w:t>–2</w:t>
      </w:r>
      <w:r w:rsidR="000718AE">
        <w:t>1</w:t>
      </w:r>
      <w:r w:rsidR="0025060D" w:rsidRPr="00D07A45">
        <w:t xml:space="preserve">%), </w:t>
      </w:r>
      <w:r w:rsidR="0025060D" w:rsidRPr="00D07A45">
        <w:rPr>
          <w:i/>
          <w:iCs/>
        </w:rPr>
        <w:t xml:space="preserve">Ammonia </w:t>
      </w:r>
      <w:proofErr w:type="spellStart"/>
      <w:r w:rsidR="0025060D" w:rsidRPr="00D07A45">
        <w:rPr>
          <w:i/>
          <w:iCs/>
        </w:rPr>
        <w:t>convexa</w:t>
      </w:r>
      <w:proofErr w:type="spellEnd"/>
      <w:r w:rsidR="0025060D" w:rsidRPr="00D07A45">
        <w:t xml:space="preserve"> (</w:t>
      </w:r>
      <w:r w:rsidR="000718AE">
        <w:t>8</w:t>
      </w:r>
      <w:r w:rsidR="0025060D" w:rsidRPr="00D07A45">
        <w:t>–1</w:t>
      </w:r>
      <w:r w:rsidR="000718AE">
        <w:t>6</w:t>
      </w:r>
      <w:r w:rsidR="0025060D" w:rsidRPr="00D07A45">
        <w:t xml:space="preserve">%), and </w:t>
      </w:r>
      <w:r w:rsidR="0025060D" w:rsidRPr="00D07A45">
        <w:rPr>
          <w:i/>
          <w:iCs/>
        </w:rPr>
        <w:t xml:space="preserve">T. </w:t>
      </w:r>
      <w:proofErr w:type="spellStart"/>
      <w:r w:rsidR="0025060D" w:rsidRPr="00D07A45">
        <w:rPr>
          <w:i/>
          <w:iCs/>
        </w:rPr>
        <w:t>inflata</w:t>
      </w:r>
      <w:proofErr w:type="spellEnd"/>
      <w:r w:rsidR="0025060D" w:rsidRPr="00D07A45">
        <w:rPr>
          <w:i/>
          <w:iCs/>
        </w:rPr>
        <w:t xml:space="preserve"> </w:t>
      </w:r>
      <w:r w:rsidR="0025060D" w:rsidRPr="00D07A45">
        <w:t>(</w:t>
      </w:r>
      <w:r w:rsidR="000718AE">
        <w:t>3</w:t>
      </w:r>
      <w:r w:rsidR="0025060D" w:rsidRPr="00D07A45">
        <w:t>–</w:t>
      </w:r>
      <w:r w:rsidR="000718AE">
        <w:t>9</w:t>
      </w:r>
      <w:r w:rsidR="0025060D" w:rsidRPr="00D07A45">
        <w:t xml:space="preserve">%), with </w:t>
      </w:r>
      <w:r w:rsidR="0025060D" w:rsidRPr="00D07A45">
        <w:rPr>
          <w:i/>
          <w:iCs/>
        </w:rPr>
        <w:t xml:space="preserve">A. </w:t>
      </w:r>
      <w:proofErr w:type="spellStart"/>
      <w:r w:rsidR="0025060D" w:rsidRPr="00D07A45">
        <w:rPr>
          <w:i/>
          <w:iCs/>
        </w:rPr>
        <w:t>inepta</w:t>
      </w:r>
      <w:proofErr w:type="spellEnd"/>
      <w:r w:rsidR="0025060D" w:rsidRPr="00D07A45">
        <w:t xml:space="preserve"> and </w:t>
      </w:r>
      <w:r w:rsidR="0025060D" w:rsidRPr="00D07A45">
        <w:rPr>
          <w:i/>
          <w:iCs/>
        </w:rPr>
        <w:t xml:space="preserve">A. </w:t>
      </w:r>
      <w:proofErr w:type="spellStart"/>
      <w:r w:rsidR="0025060D" w:rsidRPr="00D07A45">
        <w:rPr>
          <w:i/>
          <w:iCs/>
        </w:rPr>
        <w:t>convexa</w:t>
      </w:r>
      <w:proofErr w:type="spellEnd"/>
      <w:r w:rsidR="0025060D" w:rsidRPr="00D07A45">
        <w:t xml:space="preserve"> not observed in surface samples. </w:t>
      </w:r>
      <w:r w:rsidR="00423365" w:rsidRPr="00D07A45">
        <w:t>The d</w:t>
      </w:r>
      <w:r w:rsidR="0025060D" w:rsidRPr="00D07A45">
        <w:t>iatom</w:t>
      </w:r>
      <w:r w:rsidR="00423365" w:rsidRPr="00D07A45">
        <w:t xml:space="preserve"> assemblage</w:t>
      </w:r>
      <w:r w:rsidR="0025060D" w:rsidRPr="00D07A45">
        <w:t xml:space="preserve"> featured </w:t>
      </w:r>
      <w:r w:rsidR="0025060D" w:rsidRPr="00D07A45">
        <w:rPr>
          <w:i/>
          <w:iCs/>
        </w:rPr>
        <w:t xml:space="preserve">D. </w:t>
      </w:r>
      <w:proofErr w:type="spellStart"/>
      <w:r w:rsidR="0025060D" w:rsidRPr="00D07A45">
        <w:rPr>
          <w:i/>
          <w:iCs/>
        </w:rPr>
        <w:t>subovalis</w:t>
      </w:r>
      <w:proofErr w:type="spellEnd"/>
      <w:r w:rsidR="0025060D" w:rsidRPr="00D07A45">
        <w:t xml:space="preserve"> (</w:t>
      </w:r>
      <w:r w:rsidR="000718AE">
        <w:t xml:space="preserve">up to </w:t>
      </w:r>
      <w:r w:rsidR="0025060D" w:rsidRPr="00D07A45">
        <w:t xml:space="preserve">5%), </w:t>
      </w:r>
      <w:r w:rsidR="0025060D" w:rsidRPr="00D07A45">
        <w:rPr>
          <w:i/>
          <w:iCs/>
        </w:rPr>
        <w:t xml:space="preserve">N. </w:t>
      </w:r>
      <w:proofErr w:type="spellStart"/>
      <w:r w:rsidR="0025060D" w:rsidRPr="00D07A45">
        <w:rPr>
          <w:i/>
          <w:iCs/>
        </w:rPr>
        <w:t>microdigitoradiata</w:t>
      </w:r>
      <w:proofErr w:type="spellEnd"/>
      <w:r w:rsidR="0025060D" w:rsidRPr="00D07A45">
        <w:t xml:space="preserve"> (</w:t>
      </w:r>
      <w:r w:rsidR="000718AE">
        <w:t>1</w:t>
      </w:r>
      <w:r w:rsidR="0025060D" w:rsidRPr="00D07A45">
        <w:t>–</w:t>
      </w:r>
      <w:r w:rsidR="000718AE">
        <w:t>2</w:t>
      </w:r>
      <w:r w:rsidR="0025060D" w:rsidRPr="00D07A45">
        <w:t xml:space="preserve">%), and </w:t>
      </w:r>
      <w:r w:rsidR="0025060D" w:rsidRPr="00D07A45">
        <w:rPr>
          <w:i/>
          <w:iCs/>
        </w:rPr>
        <w:t xml:space="preserve">C. </w:t>
      </w:r>
      <w:proofErr w:type="spellStart"/>
      <w:r w:rsidR="0025060D" w:rsidRPr="00D07A45">
        <w:rPr>
          <w:i/>
          <w:iCs/>
        </w:rPr>
        <w:t>lito</w:t>
      </w:r>
      <w:r w:rsidR="00C64433" w:rsidRPr="00A51408">
        <w:rPr>
          <w:i/>
          <w:iCs/>
        </w:rPr>
        <w:t>r</w:t>
      </w:r>
      <w:r w:rsidR="0025060D" w:rsidRPr="00D07A45">
        <w:rPr>
          <w:i/>
          <w:iCs/>
        </w:rPr>
        <w:t>alis</w:t>
      </w:r>
      <w:proofErr w:type="spellEnd"/>
      <w:r w:rsidR="0025060D" w:rsidRPr="00D07A45">
        <w:rPr>
          <w:i/>
          <w:iCs/>
        </w:rPr>
        <w:t xml:space="preserve"> </w:t>
      </w:r>
      <w:r w:rsidR="0025060D" w:rsidRPr="00D07A45">
        <w:t xml:space="preserve">(46–80%). </w:t>
      </w:r>
      <w:r w:rsidR="00D134DB" w:rsidRPr="00D07A45">
        <w:t>Within this unit, from bottom to top</w:t>
      </w:r>
      <w:r w:rsidR="00423365" w:rsidRPr="00D07A45">
        <w:t xml:space="preserve">, </w:t>
      </w:r>
      <w:r w:rsidR="00765AD2" w:rsidRPr="00D07A45">
        <w:t>δ</w:t>
      </w:r>
      <w:r w:rsidR="00765AD2" w:rsidRPr="00D07A45">
        <w:rPr>
          <w:vertAlign w:val="superscript"/>
        </w:rPr>
        <w:t>13</w:t>
      </w:r>
      <w:r w:rsidR="00765AD2" w:rsidRPr="00D07A45">
        <w:t xml:space="preserve">C values decreased from -25.3 to -27.4‰, TOC increased from 1.85 to 2.86%, and C/N ratio increased from 9.4 to 11.6. </w:t>
      </w:r>
    </w:p>
    <w:p w14:paraId="27936074" w14:textId="77777777" w:rsidR="008A663E" w:rsidRPr="00D07A45" w:rsidRDefault="008A663E" w:rsidP="00182EE3"/>
    <w:p w14:paraId="3152DF4A" w14:textId="72C16B90" w:rsidR="00DC0EFB" w:rsidRDefault="00DC0EFB" w:rsidP="00182EE3">
      <w:r w:rsidRPr="00D07A45">
        <w:t xml:space="preserve">The </w:t>
      </w:r>
      <w:r w:rsidR="0025060D" w:rsidRPr="00D07A45">
        <w:t>top unit (1.8</w:t>
      </w:r>
      <w:r w:rsidR="008C4934" w:rsidRPr="00D07A45">
        <w:t>9</w:t>
      </w:r>
      <w:r w:rsidR="0025060D" w:rsidRPr="00D07A45">
        <w:t>-2.3</w:t>
      </w:r>
      <w:r w:rsidR="002A6CD2" w:rsidRPr="00D07A45">
        <w:t>1</w:t>
      </w:r>
      <w:r w:rsidR="0025060D" w:rsidRPr="00D07A45">
        <w:t xml:space="preserve"> m PD) </w:t>
      </w:r>
      <w:r w:rsidRPr="00D07A45">
        <w:t>of the core</w:t>
      </w:r>
      <w:r w:rsidR="0025060D" w:rsidRPr="00D07A45">
        <w:t xml:space="preserve"> </w:t>
      </w:r>
      <w:r w:rsidRPr="00D07A45">
        <w:t>is muddy peat</w:t>
      </w:r>
      <w:r w:rsidR="00AD28F7" w:rsidRPr="00D07A45">
        <w:t xml:space="preserve"> with degraded </w:t>
      </w:r>
      <w:r w:rsidR="0025060D" w:rsidRPr="00D07A45">
        <w:t xml:space="preserve">mangrove </w:t>
      </w:r>
      <w:r w:rsidR="00AD28F7" w:rsidRPr="00D07A45">
        <w:t>plant material and roots</w:t>
      </w:r>
      <w:r w:rsidRPr="00D07A45">
        <w:t xml:space="preserve">. </w:t>
      </w:r>
      <w:r w:rsidR="0025060D" w:rsidRPr="00D07A45">
        <w:t xml:space="preserve">Foraminifera were dominated by </w:t>
      </w:r>
      <w:proofErr w:type="spellStart"/>
      <w:r w:rsidR="0025060D" w:rsidRPr="00D07A45">
        <w:rPr>
          <w:i/>
          <w:iCs/>
        </w:rPr>
        <w:t>Miliammina</w:t>
      </w:r>
      <w:proofErr w:type="spellEnd"/>
      <w:r w:rsidR="0025060D" w:rsidRPr="00D07A45">
        <w:rPr>
          <w:i/>
          <w:iCs/>
        </w:rPr>
        <w:t xml:space="preserve"> </w:t>
      </w:r>
      <w:r w:rsidR="0025060D" w:rsidRPr="00A51408">
        <w:t>spp.</w:t>
      </w:r>
      <w:r w:rsidR="0025060D" w:rsidRPr="00D07A45">
        <w:t xml:space="preserve"> (36–8</w:t>
      </w:r>
      <w:r w:rsidR="000718AE">
        <w:t>1</w:t>
      </w:r>
      <w:r w:rsidR="0025060D" w:rsidRPr="00D07A45">
        <w:t xml:space="preserve">%), </w:t>
      </w:r>
      <w:r w:rsidR="0025060D" w:rsidRPr="00D07A45">
        <w:rPr>
          <w:i/>
          <w:iCs/>
        </w:rPr>
        <w:t xml:space="preserve">T. </w:t>
      </w:r>
      <w:proofErr w:type="spellStart"/>
      <w:r w:rsidR="0025060D" w:rsidRPr="00D07A45">
        <w:rPr>
          <w:i/>
          <w:iCs/>
        </w:rPr>
        <w:t>inflata</w:t>
      </w:r>
      <w:proofErr w:type="spellEnd"/>
      <w:r w:rsidR="0025060D" w:rsidRPr="00D07A45">
        <w:t xml:space="preserve"> (</w:t>
      </w:r>
      <w:r w:rsidR="00A45B21" w:rsidRPr="00753416">
        <w:rPr>
          <w:color w:val="000000" w:themeColor="text1"/>
        </w:rPr>
        <w:sym w:font="Symbol" w:char="F0A3"/>
      </w:r>
      <w:r w:rsidR="000718AE">
        <w:t>20</w:t>
      </w:r>
      <w:r w:rsidR="0025060D" w:rsidRPr="00D07A45">
        <w:t xml:space="preserve">%), and </w:t>
      </w:r>
      <w:r w:rsidR="0025060D" w:rsidRPr="00D07A45">
        <w:rPr>
          <w:i/>
          <w:iCs/>
        </w:rPr>
        <w:t xml:space="preserve">A. </w:t>
      </w:r>
      <w:proofErr w:type="spellStart"/>
      <w:r w:rsidR="0025060D" w:rsidRPr="00D07A45">
        <w:rPr>
          <w:i/>
          <w:iCs/>
        </w:rPr>
        <w:t>mexicana</w:t>
      </w:r>
      <w:proofErr w:type="spellEnd"/>
      <w:r w:rsidR="0025060D" w:rsidRPr="00D07A45">
        <w:t xml:space="preserve"> (</w:t>
      </w:r>
      <w:r w:rsidR="000718AE">
        <w:t>10</w:t>
      </w:r>
      <w:r w:rsidR="0025060D" w:rsidRPr="00D07A45">
        <w:t>–3</w:t>
      </w:r>
      <w:r w:rsidR="000718AE">
        <w:t>9</w:t>
      </w:r>
      <w:r w:rsidR="0025060D" w:rsidRPr="00D07A45">
        <w:t xml:space="preserve">%). </w:t>
      </w:r>
      <w:r w:rsidR="000B0F2B" w:rsidRPr="00D07A45">
        <w:t>Compared to the bottom unit, d</w:t>
      </w:r>
      <w:r w:rsidR="0025060D" w:rsidRPr="00D07A45">
        <w:t xml:space="preserve">iatoms included increased </w:t>
      </w:r>
      <w:r w:rsidR="0025060D" w:rsidRPr="00D07A45">
        <w:rPr>
          <w:i/>
          <w:iCs/>
        </w:rPr>
        <w:t xml:space="preserve">D. </w:t>
      </w:r>
      <w:proofErr w:type="spellStart"/>
      <w:r w:rsidR="0025060D" w:rsidRPr="00D07A45">
        <w:rPr>
          <w:i/>
          <w:iCs/>
        </w:rPr>
        <w:t>subovalis</w:t>
      </w:r>
      <w:proofErr w:type="spellEnd"/>
      <w:r w:rsidR="0025060D" w:rsidRPr="00D07A45">
        <w:t xml:space="preserve"> (</w:t>
      </w:r>
      <w:r w:rsidR="000718AE">
        <w:t>1</w:t>
      </w:r>
      <w:r w:rsidR="0025060D" w:rsidRPr="00D07A45">
        <w:t xml:space="preserve">–24%), </w:t>
      </w:r>
      <w:r w:rsidR="0025060D" w:rsidRPr="00D07A45">
        <w:rPr>
          <w:i/>
          <w:iCs/>
        </w:rPr>
        <w:t xml:space="preserve">N. </w:t>
      </w:r>
      <w:proofErr w:type="spellStart"/>
      <w:r w:rsidR="0025060D" w:rsidRPr="00D07A45">
        <w:rPr>
          <w:i/>
          <w:iCs/>
        </w:rPr>
        <w:t>microdigitoradiata</w:t>
      </w:r>
      <w:proofErr w:type="spellEnd"/>
      <w:r w:rsidR="0025060D" w:rsidRPr="00D07A45">
        <w:t xml:space="preserve"> (</w:t>
      </w:r>
      <w:r w:rsidR="000718AE">
        <w:t>3</w:t>
      </w:r>
      <w:r w:rsidR="0025060D" w:rsidRPr="00D07A45">
        <w:t>–1</w:t>
      </w:r>
      <w:r w:rsidR="000718AE">
        <w:t>1</w:t>
      </w:r>
      <w:r w:rsidR="0025060D" w:rsidRPr="00D07A45">
        <w:t>%)</w:t>
      </w:r>
      <w:r w:rsidR="001415BB">
        <w:t xml:space="preserve">, and </w:t>
      </w:r>
      <w:r w:rsidR="008262C7">
        <w:rPr>
          <w:i/>
          <w:iCs/>
          <w:color w:val="000000" w:themeColor="text1"/>
        </w:rPr>
        <w:t>T.</w:t>
      </w:r>
      <w:r w:rsidR="008262C7" w:rsidRPr="00753416">
        <w:rPr>
          <w:i/>
          <w:iCs/>
          <w:color w:val="000000" w:themeColor="text1"/>
        </w:rPr>
        <w:t xml:space="preserve"> victoriae</w:t>
      </w:r>
      <w:r w:rsidR="006A0503">
        <w:rPr>
          <w:i/>
          <w:iCs/>
          <w:color w:val="000000" w:themeColor="text1"/>
        </w:rPr>
        <w:t xml:space="preserve"> </w:t>
      </w:r>
      <w:r w:rsidR="006A0503">
        <w:rPr>
          <w:color w:val="000000" w:themeColor="text1"/>
        </w:rPr>
        <w:t>(</w:t>
      </w:r>
      <w:r w:rsidR="000718AE">
        <w:rPr>
          <w:color w:val="000000" w:themeColor="text1"/>
        </w:rPr>
        <w:t>5</w:t>
      </w:r>
      <w:r w:rsidR="006A0503">
        <w:rPr>
          <w:color w:val="000000" w:themeColor="text1"/>
        </w:rPr>
        <w:t>–13%)</w:t>
      </w:r>
      <w:r w:rsidR="0025060D" w:rsidRPr="00D07A45">
        <w:t xml:space="preserve">. </w:t>
      </w:r>
      <w:r w:rsidR="000B0F2B" w:rsidRPr="00D07A45">
        <w:t xml:space="preserve">From bottom to top of this unit, </w:t>
      </w:r>
      <w:r w:rsidRPr="00D07A45">
        <w:t>δ</w:t>
      </w:r>
      <w:r w:rsidRPr="00D07A45">
        <w:rPr>
          <w:vertAlign w:val="superscript"/>
        </w:rPr>
        <w:t>13</w:t>
      </w:r>
      <w:r w:rsidRPr="00D07A45">
        <w:t>C decreased from -28.5‰ to -29.5‰, TOC increased from 5.62% to 15.5%, and C/N ratio ranged between 13.2 an</w:t>
      </w:r>
      <w:r w:rsidRPr="00753416">
        <w:t xml:space="preserve">d 16.4. </w:t>
      </w:r>
    </w:p>
    <w:p w14:paraId="24FF5AA8" w14:textId="77777777" w:rsidR="007137CF" w:rsidRDefault="007137CF" w:rsidP="00182EE3"/>
    <w:p w14:paraId="2BD6F1C9" w14:textId="235730E8" w:rsidR="007137CF" w:rsidRPr="00753416" w:rsidRDefault="007137CF" w:rsidP="00182EE3">
      <w:r>
        <w:t xml:space="preserve">We applied </w:t>
      </w:r>
      <w:r w:rsidR="009F3034">
        <w:t>LDA</w:t>
      </w:r>
      <w:r>
        <w:t xml:space="preserve"> to core MPSC01 to estimate the probability of each core sample belonging to each of the six environmental zones (Figure 6). At the base of the core b</w:t>
      </w:r>
      <w:r w:rsidRPr="00753416">
        <w:t>etween 1.</w:t>
      </w:r>
      <w:r w:rsidR="00B60F34">
        <w:t>7</w:t>
      </w:r>
      <w:r w:rsidRPr="00753416">
        <w:t>–1.85 m PD, LDA predicted a 90% probability that samples were associated with mudflat, mangrove fringe, and mangrove environments. Above the depth of 1.9 m PD, the samples were predicted with 90% probability to be associated with mangrove zone.</w:t>
      </w:r>
      <w:r w:rsidR="00E81FBE">
        <w:t xml:space="preserve"> </w:t>
      </w:r>
      <w:r w:rsidRPr="00753416">
        <w:t>The predicted paleoenvironment</w:t>
      </w:r>
      <w:r>
        <w:t xml:space="preserve">al changes are consistent with </w:t>
      </w:r>
      <w:r w:rsidR="00E147AD">
        <w:t xml:space="preserve">trends in δ¹³C, TOC, and C/N </w:t>
      </w:r>
      <w:r>
        <w:t xml:space="preserve">reported </w:t>
      </w:r>
      <w:r w:rsidR="007A5B2A">
        <w:t xml:space="preserve">from three late Holocene cores </w:t>
      </w:r>
      <w:r w:rsidR="00A102FC">
        <w:t>in</w:t>
      </w:r>
      <w:r>
        <w:t xml:space="preserve"> Sun et al. (2021)</w:t>
      </w:r>
      <w:r w:rsidR="00A102FC">
        <w:t xml:space="preserve">, which </w:t>
      </w:r>
      <w:r w:rsidR="001D757E">
        <w:t>suggest</w:t>
      </w:r>
      <w:r w:rsidR="000E57B2">
        <w:t>s</w:t>
      </w:r>
      <w:r w:rsidR="00A102FC">
        <w:t xml:space="preserve"> </w:t>
      </w:r>
      <w:r w:rsidR="001D757E">
        <w:t xml:space="preserve">a </w:t>
      </w:r>
      <w:r w:rsidR="007A5B2A">
        <w:t xml:space="preserve">shift from </w:t>
      </w:r>
      <w:r>
        <w:t>mudflat</w:t>
      </w:r>
      <w:r w:rsidR="007A5B2A">
        <w:t xml:space="preserve"> to</w:t>
      </w:r>
      <w:r>
        <w:t xml:space="preserve"> mangrove</w:t>
      </w:r>
      <w:r w:rsidR="00E147AD">
        <w:t xml:space="preserve"> environment</w:t>
      </w:r>
      <w:r>
        <w:t xml:space="preserve"> and a pattern of coastal progradation. </w:t>
      </w:r>
    </w:p>
    <w:p w14:paraId="53B0710D" w14:textId="77777777" w:rsidR="00F76C35" w:rsidRPr="00753416" w:rsidRDefault="00F76C35" w:rsidP="00182EE3"/>
    <w:p w14:paraId="7B20057F" w14:textId="3A781031" w:rsidR="00F76C35" w:rsidRPr="00753416" w:rsidRDefault="00F76C35" w:rsidP="00F76C35">
      <w:pPr>
        <w:pStyle w:val="Heading3"/>
      </w:pPr>
      <w:r w:rsidRPr="00753416">
        <w:t>4.</w:t>
      </w:r>
      <w:r w:rsidR="00AF69C4" w:rsidRPr="00753416">
        <w:t>3</w:t>
      </w:r>
      <w:r w:rsidRPr="00753416">
        <w:t>.</w:t>
      </w:r>
      <w:r w:rsidR="00642F44" w:rsidRPr="00753416">
        <w:t>2</w:t>
      </w:r>
      <w:r w:rsidRPr="00753416">
        <w:t xml:space="preserve"> Core chronology</w:t>
      </w:r>
    </w:p>
    <w:p w14:paraId="3BD3A5E3" w14:textId="10EB7FE4" w:rsidR="009A5F77" w:rsidRPr="00753416" w:rsidRDefault="00F76C35" w:rsidP="00C77182">
      <w:r w:rsidRPr="00753416">
        <w:t xml:space="preserve">The </w:t>
      </w:r>
      <w:r w:rsidR="00F629FA" w:rsidRPr="00753416">
        <w:t xml:space="preserve">chronology of </w:t>
      </w:r>
      <w:r w:rsidR="00F629FA" w:rsidRPr="007B7272">
        <w:t xml:space="preserve">core MPSC01 was constructed from a total of </w:t>
      </w:r>
      <w:r w:rsidR="00156083">
        <w:t>five</w:t>
      </w:r>
      <w:r w:rsidR="00F629FA" w:rsidRPr="007B7272">
        <w:t xml:space="preserve"> </w:t>
      </w:r>
      <w:r w:rsidR="005C2689" w:rsidRPr="007B7272">
        <w:t xml:space="preserve">radiocarbon </w:t>
      </w:r>
      <w:r w:rsidR="00F629FA" w:rsidRPr="007B7272">
        <w:t xml:space="preserve">dates </w:t>
      </w:r>
      <w:r w:rsidR="005326FB" w:rsidRPr="007B7272">
        <w:t xml:space="preserve">(Table </w:t>
      </w:r>
      <w:r w:rsidR="003848C7">
        <w:t>1</w:t>
      </w:r>
      <w:r w:rsidR="005326FB" w:rsidRPr="007B7272">
        <w:t>)</w:t>
      </w:r>
      <w:r w:rsidR="00F629FA" w:rsidRPr="007B7272">
        <w:t>.</w:t>
      </w:r>
      <w:r w:rsidR="009D3533">
        <w:rPr>
          <w:rFonts w:hint="eastAsia"/>
        </w:rPr>
        <w:t xml:space="preserve"> </w:t>
      </w:r>
      <w:r w:rsidR="009D3533">
        <w:t>The sample at 1.68 m depth (0.63 m below the surface) yielded an age range of 1959–1984 CE (2σ) and was estimated to date to 1963 CE by the Bacon age-depth model (Figure 7), with an average sedimentation rate</w:t>
      </w:r>
      <w:r w:rsidR="009D3533">
        <w:rPr>
          <w:rFonts w:hint="eastAsia"/>
        </w:rPr>
        <w:t xml:space="preserve"> of</w:t>
      </w:r>
      <w:r w:rsidR="009D3533">
        <w:t xml:space="preserve"> </w:t>
      </w:r>
      <w:r w:rsidR="009D3533" w:rsidRPr="005A65D2">
        <w:t>1.</w:t>
      </w:r>
      <w:r w:rsidR="002D578B">
        <w:t>09</w:t>
      </w:r>
      <w:r w:rsidR="009D3533" w:rsidRPr="005A65D2">
        <w:t xml:space="preserve"> cm yr</w:t>
      </w:r>
      <w:r w:rsidR="009D3533" w:rsidRPr="005A65D2">
        <w:rPr>
          <w:vertAlign w:val="superscript"/>
        </w:rPr>
        <w:t>-1</w:t>
      </w:r>
      <w:r w:rsidR="009D3533" w:rsidRPr="007B7272">
        <w:t xml:space="preserve"> from 196</w:t>
      </w:r>
      <w:r w:rsidR="002D578B">
        <w:t>3</w:t>
      </w:r>
      <w:r w:rsidR="009D3533" w:rsidRPr="007B7272">
        <w:t xml:space="preserve"> to 202</w:t>
      </w:r>
      <w:r w:rsidR="002D578B">
        <w:t>2</w:t>
      </w:r>
      <w:r w:rsidR="009D3533" w:rsidRPr="007B7272">
        <w:t xml:space="preserve"> CE </w:t>
      </w:r>
      <w:r w:rsidR="009D3533">
        <w:t xml:space="preserve">(Supplementary </w:t>
      </w:r>
      <w:r w:rsidR="00B97C44">
        <w:t>f</w:t>
      </w:r>
      <w:r w:rsidR="009D3533">
        <w:t>igure 2).</w:t>
      </w:r>
      <w:r w:rsidR="005326FB" w:rsidRPr="007B7272">
        <w:t xml:space="preserve"> </w:t>
      </w:r>
      <w:r w:rsidR="009A5F77" w:rsidRPr="009A5F77">
        <w:t xml:space="preserve">Our chronology </w:t>
      </w:r>
      <w:proofErr w:type="gramStart"/>
      <w:r w:rsidR="009A5F77" w:rsidRPr="009A5F77">
        <w:t xml:space="preserve">was </w:t>
      </w:r>
      <w:r w:rsidR="00407CCA">
        <w:t>in agreement</w:t>
      </w:r>
      <w:proofErr w:type="gramEnd"/>
      <w:r w:rsidR="00407CCA">
        <w:t xml:space="preserve"> with</w:t>
      </w:r>
      <w:r w:rsidR="009A5F77" w:rsidRPr="009A5F77">
        <w:t xml:space="preserve"> </w:t>
      </w:r>
      <w:r w:rsidR="00407CCA" w:rsidRPr="009A5F77">
        <w:t xml:space="preserve">a radiocarbon date </w:t>
      </w:r>
      <w:r w:rsidR="000D50A3">
        <w:t>of</w:t>
      </w:r>
      <w:r w:rsidR="007311F4">
        <w:t xml:space="preserve"> </w:t>
      </w:r>
      <w:r w:rsidR="0026351F">
        <w:t>1958</w:t>
      </w:r>
      <w:r w:rsidR="007311F4">
        <w:t>–</w:t>
      </w:r>
      <w:r w:rsidR="0026351F">
        <w:t>1994</w:t>
      </w:r>
      <w:r w:rsidR="007311F4">
        <w:t xml:space="preserve"> CE</w:t>
      </w:r>
      <w:r w:rsidR="0026351F">
        <w:t xml:space="preserve"> (2σ) </w:t>
      </w:r>
      <w:r w:rsidR="007311F4">
        <w:t>at</w:t>
      </w:r>
      <w:r w:rsidR="00407CCA" w:rsidRPr="009A5F77">
        <w:t xml:space="preserve"> 1.8 m</w:t>
      </w:r>
      <w:r w:rsidR="00407CCA">
        <w:t xml:space="preserve"> </w:t>
      </w:r>
      <w:r w:rsidR="00407CCA" w:rsidRPr="009A5F77">
        <w:t>PD</w:t>
      </w:r>
      <w:r w:rsidR="00407CCA">
        <w:t xml:space="preserve"> and</w:t>
      </w:r>
      <w:r w:rsidR="009B066A">
        <w:t xml:space="preserve"> the</w:t>
      </w:r>
      <w:r w:rsidR="00407CCA">
        <w:t xml:space="preserve"> </w:t>
      </w:r>
      <w:r w:rsidR="00407CCA" w:rsidRPr="002B5596">
        <w:rPr>
          <w:vertAlign w:val="superscript"/>
        </w:rPr>
        <w:t>210</w:t>
      </w:r>
      <w:r w:rsidR="00407CCA" w:rsidRPr="009A5F77">
        <w:t xml:space="preserve">Pb </w:t>
      </w:r>
      <w:r w:rsidR="00407CCA">
        <w:t>profile</w:t>
      </w:r>
      <w:r w:rsidR="009A5F77" w:rsidRPr="009A5F77">
        <w:t xml:space="preserve"> reported by Sun et al. (2021)</w:t>
      </w:r>
      <w:r w:rsidR="00407CCA">
        <w:t xml:space="preserve"> from nearby cores. To test the correspondence among ages, we </w:t>
      </w:r>
      <w:r w:rsidR="009A5F77" w:rsidRPr="009A5F77">
        <w:t>align</w:t>
      </w:r>
      <w:r w:rsidR="00407CCA">
        <w:t>ed</w:t>
      </w:r>
      <w:r w:rsidR="009A5F77" w:rsidRPr="009A5F77">
        <w:t xml:space="preserve"> our new radiocarbon dates with th</w:t>
      </w:r>
      <w:r w:rsidR="009B066A">
        <w:t>is</w:t>
      </w:r>
      <w:r w:rsidR="009A5F77" w:rsidRPr="009A5F77">
        <w:t xml:space="preserve"> </w:t>
      </w:r>
      <w:r w:rsidR="00407CCA">
        <w:rPr>
          <w:vertAlign w:val="superscript"/>
        </w:rPr>
        <w:t>210</w:t>
      </w:r>
      <w:r w:rsidR="00407CCA">
        <w:t xml:space="preserve">Pb profile using the </w:t>
      </w:r>
      <w:proofErr w:type="spellStart"/>
      <w:r w:rsidR="009A5F77" w:rsidRPr="009A5F77">
        <w:t>Rplum</w:t>
      </w:r>
      <w:proofErr w:type="spellEnd"/>
      <w:r w:rsidR="009A5F77" w:rsidRPr="009A5F77">
        <w:t xml:space="preserve"> age-depth model</w:t>
      </w:r>
      <w:r w:rsidR="00407CCA">
        <w:t xml:space="preserve"> (</w:t>
      </w:r>
      <w:r w:rsidR="00FB3436">
        <w:t>Blaauw et al., 2021</w:t>
      </w:r>
      <w:r w:rsidR="00407CCA">
        <w:t xml:space="preserve">) and found </w:t>
      </w:r>
      <w:r w:rsidR="009B066A">
        <w:t xml:space="preserve">the 2σ </w:t>
      </w:r>
      <w:r w:rsidR="00A206EF">
        <w:t>age</w:t>
      </w:r>
      <w:r w:rsidR="00100F95">
        <w:t xml:space="preserve"> prediction</w:t>
      </w:r>
      <w:r w:rsidR="009B066A">
        <w:t>s</w:t>
      </w:r>
      <w:r w:rsidR="00A206EF">
        <w:t xml:space="preserve"> derived from</w:t>
      </w:r>
      <w:r w:rsidR="00100F95">
        <w:t xml:space="preserve"> </w:t>
      </w:r>
      <w:proofErr w:type="spellStart"/>
      <w:r w:rsidR="00100F95">
        <w:t>Rplum</w:t>
      </w:r>
      <w:proofErr w:type="spellEnd"/>
      <w:r w:rsidR="00100F95">
        <w:t xml:space="preserve"> and Bacon </w:t>
      </w:r>
      <w:proofErr w:type="gramStart"/>
      <w:r w:rsidR="00A14EB3">
        <w:t>were</w:t>
      </w:r>
      <w:r w:rsidR="00A206EF">
        <w:t xml:space="preserve"> in agreement</w:t>
      </w:r>
      <w:proofErr w:type="gramEnd"/>
      <w:r w:rsidR="00492795">
        <w:t xml:space="preserve"> </w:t>
      </w:r>
      <w:r w:rsidR="00492795" w:rsidRPr="007B7272">
        <w:t xml:space="preserve">(Supplementary figure </w:t>
      </w:r>
      <w:r w:rsidR="006E519D">
        <w:t>2,</w:t>
      </w:r>
      <w:r w:rsidR="00F40160">
        <w:t>3)</w:t>
      </w:r>
      <w:r w:rsidR="009A5F77" w:rsidRPr="009A5F77">
        <w:t>.</w:t>
      </w:r>
    </w:p>
    <w:p w14:paraId="76B95947" w14:textId="77777777" w:rsidR="00F71194" w:rsidRDefault="00F71194" w:rsidP="00A05F36"/>
    <w:p w14:paraId="2D547D04" w14:textId="149C3B53" w:rsidR="00A54A36" w:rsidRDefault="00A54A36" w:rsidP="00A54A36">
      <w:pPr>
        <w:pStyle w:val="Heading2"/>
        <w:tabs>
          <w:tab w:val="left" w:pos="7797"/>
        </w:tabs>
      </w:pPr>
      <w:r w:rsidRPr="00753416">
        <w:t>4.</w:t>
      </w:r>
      <w:r>
        <w:t>4</w:t>
      </w:r>
      <w:r w:rsidRPr="00753416">
        <w:t xml:space="preserve"> </w:t>
      </w:r>
      <w:r w:rsidR="00861ED3">
        <w:t>Bayesian transfer function</w:t>
      </w:r>
    </w:p>
    <w:p w14:paraId="1D9DD516" w14:textId="695E65D9" w:rsidR="00244034" w:rsidRDefault="00244034" w:rsidP="00244034">
      <w:pPr>
        <w:pStyle w:val="Heading3"/>
      </w:pPr>
      <w:bookmarkStart w:id="2" w:name="OLE_LINK3"/>
      <w:r w:rsidRPr="00753416">
        <w:t>4.</w:t>
      </w:r>
      <w:r>
        <w:t>4</w:t>
      </w:r>
      <w:r w:rsidRPr="00753416">
        <w:t>.</w:t>
      </w:r>
      <w:r>
        <w:t>1</w:t>
      </w:r>
      <w:r w:rsidRPr="00753416">
        <w:t xml:space="preserve"> </w:t>
      </w:r>
      <w:r>
        <w:t>10-fold cross</w:t>
      </w:r>
      <w:r w:rsidR="001D01FF">
        <w:t>-</w:t>
      </w:r>
      <w:r>
        <w:t>validation</w:t>
      </w:r>
    </w:p>
    <w:bookmarkEnd w:id="2"/>
    <w:p w14:paraId="091A647C" w14:textId="639CCD3C" w:rsidR="00907FE0" w:rsidRPr="001B2703" w:rsidRDefault="00907FE0" w:rsidP="00907FE0">
      <w:pPr>
        <w:rPr>
          <w:color w:val="FF0000"/>
        </w:rPr>
      </w:pPr>
      <w:r w:rsidRPr="00753416">
        <w:t xml:space="preserve">We used 10-fold cross-validation to evaluate the performance of BTFs developed from foraminifera and </w:t>
      </w:r>
      <w:r w:rsidRPr="00753416">
        <w:rPr>
          <w:color w:val="000000" w:themeColor="text1"/>
        </w:rPr>
        <w:t xml:space="preserve">diatom </w:t>
      </w:r>
      <w:r w:rsidRPr="00DA3136">
        <w:rPr>
          <w:color w:val="000000" w:themeColor="text1"/>
        </w:rPr>
        <w:t xml:space="preserve">datasets (Cahill et al., 2016). Both the F-BTF and D-BTF demonstrated </w:t>
      </w:r>
      <w:r w:rsidR="00A7313B">
        <w:rPr>
          <w:color w:val="000000" w:themeColor="text1"/>
        </w:rPr>
        <w:lastRenderedPageBreak/>
        <w:t xml:space="preserve">strong </w:t>
      </w:r>
      <w:r w:rsidRPr="00DA3136">
        <w:rPr>
          <w:color w:val="000000" w:themeColor="text1"/>
        </w:rPr>
        <w:t>correlation (R</w:t>
      </w:r>
      <w:r w:rsidRPr="00DA3136">
        <w:rPr>
          <w:color w:val="000000" w:themeColor="text1"/>
          <w:vertAlign w:val="superscript"/>
        </w:rPr>
        <w:t>2</w:t>
      </w:r>
      <w:r w:rsidRPr="00DA3136">
        <w:rPr>
          <w:color w:val="000000" w:themeColor="text1"/>
        </w:rPr>
        <w:t>) between predicted and observed elevations of 0.78 and 0.</w:t>
      </w:r>
      <w:r w:rsidR="00E0740F">
        <w:rPr>
          <w:color w:val="000000" w:themeColor="text1"/>
        </w:rPr>
        <w:t>6</w:t>
      </w:r>
      <w:r w:rsidRPr="00DA3136">
        <w:rPr>
          <w:color w:val="000000" w:themeColor="text1"/>
        </w:rPr>
        <w:t>0</w:t>
      </w:r>
      <w:r w:rsidR="00A7313B">
        <w:rPr>
          <w:color w:val="000000" w:themeColor="text1"/>
        </w:rPr>
        <w:t>,</w:t>
      </w:r>
      <w:r w:rsidRPr="00DA3136">
        <w:rPr>
          <w:color w:val="000000" w:themeColor="text1"/>
        </w:rPr>
        <w:t xml:space="preserve"> respectively (Figure 5A; Table 7). Within 2σ prediction uncertainties, the F-BTF was able to predict the true elevation of 93% of samples in the modern training set, compared </w:t>
      </w:r>
      <w:r w:rsidRPr="00372AD7">
        <w:rPr>
          <w:color w:val="000000" w:themeColor="text1"/>
        </w:rPr>
        <w:t>to 85% for</w:t>
      </w:r>
      <w:r w:rsidRPr="00DA3136">
        <w:rPr>
          <w:color w:val="000000" w:themeColor="text1"/>
        </w:rPr>
        <w:t xml:space="preserve"> the D-BTF. </w:t>
      </w:r>
      <w:r w:rsidRPr="00DA3136">
        <w:t xml:space="preserve">The average </w:t>
      </w:r>
      <w:r w:rsidRPr="00DA3136">
        <w:rPr>
          <w:color w:val="000000" w:themeColor="text1"/>
        </w:rPr>
        <w:t>1σ uncertainty for the F-BTF (35 SWLI units) is larger than that of the D-BTF (17 SWLI units), suggesting the F-BTF is more successful at capturing true elevation within its predictions but at lower precision. T</w:t>
      </w:r>
      <w:r w:rsidRPr="00DA3136">
        <w:t>he pattern of residuals indicates the F-BTF overpredicted elevation (average bias</w:t>
      </w:r>
      <w:r w:rsidRPr="00595BEB">
        <w:t>:</w:t>
      </w:r>
      <w:r w:rsidRPr="00DA3136">
        <w:t xml:space="preserve"> -17 SWLI </w:t>
      </w:r>
      <w:r w:rsidRPr="00DA3136">
        <w:rPr>
          <w:color w:val="000000" w:themeColor="text1"/>
        </w:rPr>
        <w:t>units</w:t>
      </w:r>
      <w:r w:rsidRPr="00DA3136">
        <w:t>), particularly between 175</w:t>
      </w:r>
      <w:r w:rsidRPr="00595BEB">
        <w:t>–</w:t>
      </w:r>
      <w:r w:rsidRPr="00DA3136">
        <w:t>200 SWLI</w:t>
      </w:r>
      <w:r>
        <w:t xml:space="preserve"> units, </w:t>
      </w:r>
      <w:r w:rsidRPr="001B2703">
        <w:rPr>
          <w:color w:val="000000" w:themeColor="text1"/>
        </w:rPr>
        <w:t>suggesting environmental parameters (</w:t>
      </w:r>
      <w:r w:rsidR="00105640" w:rsidRPr="00753416">
        <w:t xml:space="preserve">e.g., </w:t>
      </w:r>
      <w:r w:rsidRPr="001B2703">
        <w:rPr>
          <w:color w:val="000000" w:themeColor="text1"/>
        </w:rPr>
        <w:t>TOC, salinity) other than elevation in the flat mangrove may have influenced the foraminifera assemblage (</w:t>
      </w:r>
      <w:r w:rsidR="00105640" w:rsidRPr="00753416">
        <w:t xml:space="preserve">e.g., </w:t>
      </w:r>
      <w:r w:rsidRPr="001B2703">
        <w:rPr>
          <w:color w:val="000000" w:themeColor="text1"/>
        </w:rPr>
        <w:t>Culver et al., 2012)</w:t>
      </w:r>
      <w:r w:rsidR="00612528">
        <w:rPr>
          <w:color w:val="000000" w:themeColor="text1"/>
        </w:rPr>
        <w:t xml:space="preserve"> (Section 5.1.1)</w:t>
      </w:r>
      <w:r w:rsidRPr="001B2703">
        <w:rPr>
          <w:color w:val="000000" w:themeColor="text1"/>
        </w:rPr>
        <w:t>.</w:t>
      </w:r>
    </w:p>
    <w:p w14:paraId="14ECF26A" w14:textId="77777777" w:rsidR="000A31DB" w:rsidRDefault="000A31DB" w:rsidP="00907FE0"/>
    <w:p w14:paraId="3D56DED8" w14:textId="14C1E4D2" w:rsidR="000A31DB" w:rsidRDefault="000A31DB" w:rsidP="00907FE0">
      <w:r>
        <w:t>T</w:t>
      </w:r>
      <w:r w:rsidRPr="00102B00">
        <w:t xml:space="preserve">he D-BTF captured true </w:t>
      </w:r>
      <w:r w:rsidRPr="001B2703">
        <w:rPr>
          <w:color w:val="000000" w:themeColor="text1"/>
        </w:rPr>
        <w:t xml:space="preserve">elevations with higher </w:t>
      </w:r>
      <w:r w:rsidR="00F1258D">
        <w:rPr>
          <w:color w:val="000000" w:themeColor="text1"/>
        </w:rPr>
        <w:t>accuracy</w:t>
      </w:r>
      <w:r w:rsidR="00F1258D" w:rsidRPr="001B2703">
        <w:rPr>
          <w:color w:val="000000" w:themeColor="text1"/>
        </w:rPr>
        <w:t xml:space="preserve"> </w:t>
      </w:r>
      <w:r w:rsidRPr="001B2703">
        <w:rPr>
          <w:color w:val="000000" w:themeColor="text1"/>
        </w:rPr>
        <w:t>(average bias: 9 SWLI units) with an asymmetric spread of residual</w:t>
      </w:r>
      <w:r w:rsidR="00A7313B">
        <w:rPr>
          <w:color w:val="000000" w:themeColor="text1"/>
        </w:rPr>
        <w:t>s</w:t>
      </w:r>
      <w:r w:rsidRPr="001B2703">
        <w:rPr>
          <w:color w:val="000000" w:themeColor="text1"/>
        </w:rPr>
        <w:t xml:space="preserve">. The model overpredicted elevations between </w:t>
      </w:r>
      <w:r w:rsidR="006D6D21" w:rsidRPr="001B2703">
        <w:rPr>
          <w:color w:val="000000" w:themeColor="text1"/>
        </w:rPr>
        <w:t>178</w:t>
      </w:r>
      <w:r w:rsidRPr="001B2703">
        <w:rPr>
          <w:color w:val="000000" w:themeColor="text1"/>
        </w:rPr>
        <w:t>–</w:t>
      </w:r>
      <w:r w:rsidR="006D6D21" w:rsidRPr="001B2703">
        <w:rPr>
          <w:color w:val="000000" w:themeColor="text1"/>
        </w:rPr>
        <w:t>213</w:t>
      </w:r>
      <w:r w:rsidRPr="001B2703">
        <w:rPr>
          <w:color w:val="000000" w:themeColor="text1"/>
        </w:rPr>
        <w:t xml:space="preserve"> SWLI units</w:t>
      </w:r>
      <w:r w:rsidR="006D6D21" w:rsidRPr="001B2703">
        <w:rPr>
          <w:color w:val="000000" w:themeColor="text1"/>
        </w:rPr>
        <w:t>, and underpredicted elevations between 260–275 SWLI units</w:t>
      </w:r>
      <w:r>
        <w:t>.</w:t>
      </w:r>
      <w:r w:rsidRPr="00102B00">
        <w:t xml:space="preserve"> </w:t>
      </w:r>
      <w:r w:rsidRPr="008D6840">
        <w:t xml:space="preserve">These outliers were from </w:t>
      </w:r>
      <w:r>
        <w:t xml:space="preserve">mudflat and </w:t>
      </w:r>
      <w:r w:rsidRPr="008D6840">
        <w:t xml:space="preserve">mangrove </w:t>
      </w:r>
      <w:r>
        <w:t xml:space="preserve">samples </w:t>
      </w:r>
      <w:r w:rsidRPr="008D6840">
        <w:t>near tidal channel</w:t>
      </w:r>
      <w:r w:rsidR="00A7313B">
        <w:t>s</w:t>
      </w:r>
      <w:r w:rsidRPr="008D6840">
        <w:t xml:space="preserve"> in transect MP_B, which were enriched in the planktonic taxa </w:t>
      </w:r>
      <w:r w:rsidRPr="00595BEB">
        <w:rPr>
          <w:i/>
          <w:iCs/>
        </w:rPr>
        <w:t xml:space="preserve">C. </w:t>
      </w:r>
      <w:proofErr w:type="spellStart"/>
      <w:r w:rsidRPr="00595BEB">
        <w:rPr>
          <w:i/>
          <w:iCs/>
        </w:rPr>
        <w:t>atomus</w:t>
      </w:r>
      <w:proofErr w:type="spellEnd"/>
      <w:r w:rsidRPr="00595BEB">
        <w:rPr>
          <w:i/>
          <w:iCs/>
        </w:rPr>
        <w:t xml:space="preserve"> var. </w:t>
      </w:r>
      <w:proofErr w:type="spellStart"/>
      <w:r w:rsidRPr="00595BEB">
        <w:rPr>
          <w:i/>
          <w:iCs/>
        </w:rPr>
        <w:t>gracilis</w:t>
      </w:r>
      <w:proofErr w:type="spellEnd"/>
      <w:r w:rsidRPr="008D6840">
        <w:t xml:space="preserve"> and </w:t>
      </w:r>
      <w:r w:rsidRPr="00595BEB">
        <w:rPr>
          <w:i/>
          <w:iCs/>
        </w:rPr>
        <w:t xml:space="preserve">T. </w:t>
      </w:r>
      <w:proofErr w:type="spellStart"/>
      <w:r w:rsidRPr="00595BEB">
        <w:rPr>
          <w:i/>
          <w:iCs/>
        </w:rPr>
        <w:t>cedarkeyensis</w:t>
      </w:r>
      <w:proofErr w:type="spellEnd"/>
      <w:r w:rsidRPr="008D6840">
        <w:t xml:space="preserve"> (Figure 3F</w:t>
      </w:r>
      <w:r>
        <w:t>).</w:t>
      </w:r>
    </w:p>
    <w:p w14:paraId="3767C25B" w14:textId="77777777" w:rsidR="000A31DB" w:rsidRDefault="000A31DB" w:rsidP="00907FE0"/>
    <w:p w14:paraId="5B37A0EA" w14:textId="56CACD77" w:rsidR="000A31DB" w:rsidRDefault="000A31DB" w:rsidP="00907FE0">
      <w:r w:rsidRPr="000A31DB">
        <w:t xml:space="preserve">While the F-BTF </w:t>
      </w:r>
      <w:r w:rsidRPr="00805ACE">
        <w:t xml:space="preserve">exhibited a higher average absolute bias (26 SWLI units, </w:t>
      </w:r>
      <w:r w:rsidR="00805ACE" w:rsidRPr="00805ACE">
        <w:t>32</w:t>
      </w:r>
      <w:r w:rsidRPr="00805ACE">
        <w:t>% of the great diurnal range) than the D-BTF (</w:t>
      </w:r>
      <w:r w:rsidR="003204DD" w:rsidRPr="00805ACE">
        <w:t>3</w:t>
      </w:r>
      <w:r w:rsidRPr="00805ACE">
        <w:t xml:space="preserve">0 SWLI units, </w:t>
      </w:r>
      <w:r w:rsidR="00805ACE" w:rsidRPr="001B2703">
        <w:t>34</w:t>
      </w:r>
      <w:r w:rsidRPr="00805ACE">
        <w:t>% of the great diurnal range), indicating</w:t>
      </w:r>
      <w:r w:rsidRPr="000A31DB">
        <w:t xml:space="preserve"> a larger prediction error, its overall performance aligns with the regional foraminifera training set from Cascadia in Kemp et al. (2018a) (average absolute bias: 15 SWLI units, 6.0–39.8% of the great diurnal range), which used saltmarsh </w:t>
      </w:r>
      <w:r w:rsidR="00A7313B">
        <w:t xml:space="preserve">and </w:t>
      </w:r>
      <w:r w:rsidRPr="000A31DB">
        <w:t xml:space="preserve">tidal flat samples to produce BTFs. Although there are no recent studies directly comparable to our D-BTF results, the two BTFs both display a strong relationship between observed and predicted elevation, with the F-BTF showing </w:t>
      </w:r>
      <w:r w:rsidR="00B605FA">
        <w:t>higher</w:t>
      </w:r>
      <w:r w:rsidRPr="000A31DB">
        <w:t xml:space="preserve"> accuracy but lower precision compared to the D-BTF.</w:t>
      </w:r>
    </w:p>
    <w:p w14:paraId="4B7F8F12" w14:textId="77777777" w:rsidR="000A31DB" w:rsidRDefault="000A31DB" w:rsidP="00907FE0"/>
    <w:p w14:paraId="3D625479" w14:textId="702C40AA" w:rsidR="000A31DB" w:rsidRDefault="000A31DB" w:rsidP="000A31DB">
      <w:pPr>
        <w:pStyle w:val="Heading3"/>
      </w:pPr>
      <w:r w:rsidRPr="00753416">
        <w:t>4.</w:t>
      </w:r>
      <w:r>
        <w:t>4</w:t>
      </w:r>
      <w:r w:rsidRPr="00753416">
        <w:t>.</w:t>
      </w:r>
      <w:r>
        <w:t>2</w:t>
      </w:r>
      <w:r w:rsidRPr="00753416">
        <w:t xml:space="preserve"> </w:t>
      </w:r>
      <w:r>
        <w:t xml:space="preserve">Prediction of </w:t>
      </w:r>
      <w:proofErr w:type="spellStart"/>
      <w:r>
        <w:t>paleomangrove</w:t>
      </w:r>
      <w:proofErr w:type="spellEnd"/>
      <w:r>
        <w:t xml:space="preserve"> elevation</w:t>
      </w:r>
    </w:p>
    <w:p w14:paraId="746CC0C3" w14:textId="566F8DCE" w:rsidR="00244034" w:rsidRPr="001B2703" w:rsidRDefault="002F633A" w:rsidP="00244034">
      <w:pPr>
        <w:rPr>
          <w:color w:val="000000" w:themeColor="text1"/>
        </w:rPr>
      </w:pPr>
      <w:r w:rsidRPr="001B2703">
        <w:rPr>
          <w:color w:val="000000" w:themeColor="text1"/>
        </w:rPr>
        <w:t xml:space="preserve">We reconstructed PME from 13 samples in core MPSC01 using the F-BTF and D-BTF models with and without priors provided by 1) the elevation range of geochemically-defined environmental zones identified by LDA (Figure 7), and 2) the elevation range predicted by F-BTF and D-BTF without prior information. The F-BTF estimated a rise in PME from 179 SWLI units at the bottom of the core to 198 SWLI units at the surface, with an average 1σ uncertainty </w:t>
      </w:r>
      <w:r w:rsidRPr="001B2703">
        <w:rPr>
          <w:color w:val="000000" w:themeColor="text1"/>
        </w:rPr>
        <w:lastRenderedPageBreak/>
        <w:t>of 13 SWLI units</w:t>
      </w:r>
      <w:r w:rsidRPr="001B2703" w:rsidDel="00231E37">
        <w:rPr>
          <w:color w:val="000000" w:themeColor="text1"/>
        </w:rPr>
        <w:t xml:space="preserve"> </w:t>
      </w:r>
      <w:r w:rsidRPr="001B2703">
        <w:rPr>
          <w:color w:val="000000" w:themeColor="text1"/>
        </w:rPr>
        <w:t>(range: 9–27 SWLI units). The D-BTF also estimated a rise in PME from 1</w:t>
      </w:r>
      <w:r w:rsidR="000769EC">
        <w:rPr>
          <w:color w:val="000000" w:themeColor="text1"/>
        </w:rPr>
        <w:t>63</w:t>
      </w:r>
      <w:r w:rsidRPr="001B2703">
        <w:rPr>
          <w:color w:val="000000" w:themeColor="text1"/>
        </w:rPr>
        <w:t xml:space="preserve"> to 1</w:t>
      </w:r>
      <w:r w:rsidR="000769EC">
        <w:rPr>
          <w:color w:val="000000" w:themeColor="text1"/>
        </w:rPr>
        <w:t>91</w:t>
      </w:r>
      <w:r w:rsidRPr="001B2703">
        <w:rPr>
          <w:color w:val="000000" w:themeColor="text1"/>
        </w:rPr>
        <w:t xml:space="preserve"> SWLI units, with an average 1σ uncertainty of 1</w:t>
      </w:r>
      <w:r w:rsidR="00E478CF">
        <w:rPr>
          <w:color w:val="000000" w:themeColor="text1"/>
        </w:rPr>
        <w:t>0</w:t>
      </w:r>
      <w:r w:rsidRPr="001B2703">
        <w:rPr>
          <w:color w:val="000000" w:themeColor="text1"/>
        </w:rPr>
        <w:t xml:space="preserve"> SWLI units (range </w:t>
      </w:r>
      <w:r w:rsidR="005E4F92">
        <w:rPr>
          <w:color w:val="000000" w:themeColor="text1"/>
        </w:rPr>
        <w:t>5</w:t>
      </w:r>
      <w:r w:rsidRPr="001B2703">
        <w:rPr>
          <w:color w:val="000000" w:themeColor="text1"/>
        </w:rPr>
        <w:t>–</w:t>
      </w:r>
      <w:r w:rsidR="005E4F92">
        <w:rPr>
          <w:color w:val="000000" w:themeColor="text1"/>
        </w:rPr>
        <w:t>40</w:t>
      </w:r>
      <w:r w:rsidRPr="001B2703">
        <w:rPr>
          <w:color w:val="000000" w:themeColor="text1"/>
        </w:rPr>
        <w:t xml:space="preserve"> SWLI units) (Table 8). </w:t>
      </w:r>
      <w:r w:rsidR="0024372D" w:rsidRPr="001B2703">
        <w:rPr>
          <w:color w:val="000000" w:themeColor="text1"/>
        </w:rPr>
        <w:t xml:space="preserve"> </w:t>
      </w:r>
    </w:p>
    <w:p w14:paraId="4B2E441C" w14:textId="77777777" w:rsidR="002C6A6D" w:rsidRPr="001B2703" w:rsidRDefault="002C6A6D" w:rsidP="00244034">
      <w:pPr>
        <w:rPr>
          <w:color w:val="000000" w:themeColor="text1"/>
        </w:rPr>
      </w:pPr>
    </w:p>
    <w:p w14:paraId="342D55CA" w14:textId="0C55688D" w:rsidR="002C6A6D" w:rsidRDefault="007B0DA2" w:rsidP="002C6A6D">
      <w:pPr>
        <w:rPr>
          <w:color w:val="000000" w:themeColor="text1"/>
        </w:rPr>
      </w:pPr>
      <w:bookmarkStart w:id="3" w:name="OLE_LINK4"/>
      <w:r>
        <w:t>Incorporating geochemi</w:t>
      </w:r>
      <w:r w:rsidR="00D1344A">
        <w:t>stry</w:t>
      </w:r>
      <w:r>
        <w:t xml:space="preserve"> priors reduced the uncertainty and variability of PME estimates, lowering the average 1σ uncertainty </w:t>
      </w:r>
      <w:r w:rsidR="003B5053">
        <w:t xml:space="preserve">of </w:t>
      </w:r>
      <w:r w:rsidR="00A7313B">
        <w:t xml:space="preserve">the </w:t>
      </w:r>
      <w:r w:rsidR="003B5053">
        <w:t xml:space="preserve">F-BTF </w:t>
      </w:r>
      <w:r>
        <w:t xml:space="preserve">by </w:t>
      </w:r>
      <w:r w:rsidR="00BB58F3">
        <w:t>9</w:t>
      </w:r>
      <w:r>
        <w:t>% (from 13 to 12 SWLI units). Although the average 1σ uncertainty for the D-BTF remained unchanged</w:t>
      </w:r>
      <w:r w:rsidR="005D7703">
        <w:t xml:space="preserve"> (10 SWLI units)</w:t>
      </w:r>
      <w:r>
        <w:t xml:space="preserve">, the overall range of uncertainty narrowed from 5–40 SWLI units to 4–34 SWLI units, indicating reduced noise in the predictions. </w:t>
      </w:r>
      <w:r w:rsidR="00620157">
        <w:rPr>
          <w:color w:val="000000" w:themeColor="text1"/>
        </w:rPr>
        <w:t>U</w:t>
      </w:r>
      <w:r w:rsidR="002C6A6D" w:rsidRPr="001B2703">
        <w:rPr>
          <w:color w:val="000000" w:themeColor="text1"/>
        </w:rPr>
        <w:t xml:space="preserve">sing the PME range predicted by the F-BTF and D-BTF as priors for one another reduced the uncertainty in PME predictions. The uncertainty associated with the F-BTF decreased by </w:t>
      </w:r>
      <w:r w:rsidR="007A6F45">
        <w:rPr>
          <w:color w:val="000000" w:themeColor="text1"/>
        </w:rPr>
        <w:t>39</w:t>
      </w:r>
      <w:r w:rsidR="002C6A6D" w:rsidRPr="001B2703">
        <w:rPr>
          <w:color w:val="000000" w:themeColor="text1"/>
        </w:rPr>
        <w:t xml:space="preserve">% (from 13 to 10 SWLI units), while that of the D-BTF decreased by </w:t>
      </w:r>
      <w:r w:rsidR="007A6F45">
        <w:rPr>
          <w:color w:val="000000" w:themeColor="text1"/>
        </w:rPr>
        <w:t>43</w:t>
      </w:r>
      <w:r w:rsidR="002C6A6D" w:rsidRPr="001B2703">
        <w:rPr>
          <w:color w:val="000000" w:themeColor="text1"/>
        </w:rPr>
        <w:t>% (from 1</w:t>
      </w:r>
      <w:r w:rsidR="00562E9F">
        <w:rPr>
          <w:color w:val="000000" w:themeColor="text1"/>
        </w:rPr>
        <w:t>0</w:t>
      </w:r>
      <w:r w:rsidR="002C6A6D" w:rsidRPr="001B2703">
        <w:rPr>
          <w:color w:val="000000" w:themeColor="text1"/>
        </w:rPr>
        <w:t xml:space="preserve"> to </w:t>
      </w:r>
      <w:r w:rsidR="00964DB4">
        <w:rPr>
          <w:color w:val="000000" w:themeColor="text1"/>
        </w:rPr>
        <w:t>7</w:t>
      </w:r>
      <w:r w:rsidR="002C6A6D" w:rsidRPr="001B2703">
        <w:rPr>
          <w:color w:val="000000" w:themeColor="text1"/>
        </w:rPr>
        <w:t xml:space="preserve"> SWLI units), indicating </w:t>
      </w:r>
      <w:r w:rsidR="004B3EE6">
        <w:rPr>
          <w:color w:val="000000" w:themeColor="text1"/>
        </w:rPr>
        <w:t>BTF</w:t>
      </w:r>
      <w:r w:rsidR="002C6A6D" w:rsidRPr="001B2703">
        <w:rPr>
          <w:color w:val="000000" w:themeColor="text1"/>
        </w:rPr>
        <w:t xml:space="preserve"> prior</w:t>
      </w:r>
      <w:r w:rsidR="00992536">
        <w:rPr>
          <w:color w:val="000000" w:themeColor="text1"/>
        </w:rPr>
        <w:t>s</w:t>
      </w:r>
      <w:r w:rsidR="002C6A6D" w:rsidRPr="001B2703">
        <w:rPr>
          <w:color w:val="000000" w:themeColor="text1"/>
        </w:rPr>
        <w:t xml:space="preserve"> </w:t>
      </w:r>
      <w:r w:rsidR="00992536">
        <w:rPr>
          <w:color w:val="000000" w:themeColor="text1"/>
        </w:rPr>
        <w:t>offer</w:t>
      </w:r>
      <w:r w:rsidR="004B3EE6">
        <w:rPr>
          <w:color w:val="000000" w:themeColor="text1"/>
        </w:rPr>
        <w:t xml:space="preserve"> </w:t>
      </w:r>
      <w:r w:rsidR="00853714">
        <w:rPr>
          <w:color w:val="000000" w:themeColor="text1"/>
        </w:rPr>
        <w:t>improved</w:t>
      </w:r>
      <w:r w:rsidR="002C6A6D" w:rsidRPr="001B2703">
        <w:rPr>
          <w:color w:val="000000" w:themeColor="text1"/>
        </w:rPr>
        <w:t xml:space="preserve"> precision.</w:t>
      </w:r>
    </w:p>
    <w:bookmarkEnd w:id="3"/>
    <w:p w14:paraId="7B143146" w14:textId="04CCB4B0" w:rsidR="00A54A36" w:rsidRPr="00753416" w:rsidRDefault="00A54A36" w:rsidP="00A05F36"/>
    <w:p w14:paraId="041BB7F2" w14:textId="7EFC8DBA" w:rsidR="00662B32" w:rsidRPr="00753416" w:rsidRDefault="00E14946" w:rsidP="003053C6">
      <w:pPr>
        <w:pStyle w:val="Heading1"/>
        <w:rPr>
          <w:rStyle w:val="IntenseEmphasis"/>
          <w:i w:val="0"/>
          <w:iCs w:val="0"/>
          <w:color w:val="000000" w:themeColor="text1"/>
        </w:rPr>
      </w:pPr>
      <w:r w:rsidRPr="00753416">
        <w:rPr>
          <w:rStyle w:val="IntenseEmphasis"/>
          <w:i w:val="0"/>
          <w:iCs w:val="0"/>
          <w:color w:val="000000" w:themeColor="text1"/>
        </w:rPr>
        <w:t>5</w:t>
      </w:r>
      <w:r w:rsidR="003053C6" w:rsidRPr="00753416">
        <w:rPr>
          <w:rStyle w:val="IntenseEmphasis"/>
          <w:i w:val="0"/>
          <w:iCs w:val="0"/>
          <w:color w:val="000000" w:themeColor="text1"/>
        </w:rPr>
        <w:t xml:space="preserve">. </w:t>
      </w:r>
      <w:r w:rsidR="00D06319" w:rsidRPr="00753416">
        <w:rPr>
          <w:rStyle w:val="IntenseEmphasis"/>
          <w:i w:val="0"/>
          <w:iCs w:val="0"/>
          <w:color w:val="000000" w:themeColor="text1"/>
        </w:rPr>
        <w:t>Discussion</w:t>
      </w:r>
    </w:p>
    <w:p w14:paraId="1E6E86AB" w14:textId="067A9A6F" w:rsidR="00382D00" w:rsidRPr="001B2703" w:rsidRDefault="00E14946" w:rsidP="00382D00">
      <w:pPr>
        <w:pStyle w:val="Heading2"/>
        <w:rPr>
          <w:strike/>
        </w:rPr>
      </w:pPr>
      <w:r w:rsidRPr="00753416">
        <w:t>5</w:t>
      </w:r>
      <w:r w:rsidR="003053C6" w:rsidRPr="00753416">
        <w:t xml:space="preserve">.1 </w:t>
      </w:r>
      <w:r w:rsidR="004D1CDB" w:rsidRPr="004D1CDB">
        <w:t>The relative utility of foraminifera and diatoms as proxies to reconstruct relative sea level</w:t>
      </w:r>
      <w:r w:rsidR="004D1CDB" w:rsidRPr="004D1CDB">
        <w:rPr>
          <w:rFonts w:hint="eastAsia"/>
        </w:rPr>
        <w:t xml:space="preserve"> </w:t>
      </w:r>
    </w:p>
    <w:p w14:paraId="6D1CD230" w14:textId="1F25FB51" w:rsidR="00517F3E" w:rsidRPr="00753416" w:rsidRDefault="00923A61" w:rsidP="00923A61">
      <w:pPr>
        <w:rPr>
          <w:color w:val="000000" w:themeColor="text1"/>
        </w:rPr>
      </w:pPr>
      <w:r w:rsidRPr="00753416">
        <w:t>Microfossil-based reconstructions of RSL rely on establishing a quantitative relationship between their vertical distribution and tidal elevation</w:t>
      </w:r>
      <w:r w:rsidR="004046E1">
        <w:t xml:space="preserve"> (e.g., Horton and Edwards, 2006)</w:t>
      </w:r>
      <w:r w:rsidRPr="00753416">
        <w:t>.</w:t>
      </w:r>
      <w:r w:rsidR="00CA305E" w:rsidRPr="00753416">
        <w:t xml:space="preserve"> </w:t>
      </w:r>
      <w:r w:rsidR="00AA46F3">
        <w:t xml:space="preserve">Although </w:t>
      </w:r>
      <w:r w:rsidR="00382D00">
        <w:t xml:space="preserve">many studies document foraminiferal </w:t>
      </w:r>
      <w:r w:rsidR="00AA46F3">
        <w:t xml:space="preserve">and diatom </w:t>
      </w:r>
      <w:r w:rsidR="00382D00">
        <w:t xml:space="preserve">assemblages </w:t>
      </w:r>
      <w:r w:rsidR="00AA46F3">
        <w:t>on the coast of China</w:t>
      </w:r>
      <w:r w:rsidR="00382D00">
        <w:t xml:space="preserve"> (e.g</w:t>
      </w:r>
      <w:r w:rsidR="00A7313B">
        <w:t xml:space="preserve">., </w:t>
      </w:r>
      <w:r w:rsidR="00AA46F3" w:rsidRPr="00753416">
        <w:t>Chen et al., 2010;</w:t>
      </w:r>
      <w:r w:rsidR="00A25307" w:rsidRPr="00A25307">
        <w:t xml:space="preserve"> </w:t>
      </w:r>
      <w:r w:rsidR="00A25307">
        <w:t xml:space="preserve">Lei et al., 2016; </w:t>
      </w:r>
      <w:r w:rsidR="00A7313B">
        <w:t>2017;</w:t>
      </w:r>
      <w:r w:rsidR="00AA46F3" w:rsidRPr="00753416">
        <w:t xml:space="preserve"> </w:t>
      </w:r>
      <w:r w:rsidR="00A25307">
        <w:t xml:space="preserve">Chen et al., 2019; </w:t>
      </w:r>
      <w:r w:rsidR="00A7313B">
        <w:t xml:space="preserve">Meng et al., 2020; </w:t>
      </w:r>
      <w:r w:rsidR="00AA46F3" w:rsidRPr="00753416">
        <w:t>Xu et al., 2022</w:t>
      </w:r>
      <w:r w:rsidR="00A25307">
        <w:t>;</w:t>
      </w:r>
      <w:r w:rsidR="00A25307" w:rsidRPr="00A25307">
        <w:t xml:space="preserve"> </w:t>
      </w:r>
      <w:r w:rsidR="00A25307">
        <w:t>Yuan et al., 2023</w:t>
      </w:r>
      <w:r w:rsidR="00382D00">
        <w:t xml:space="preserve">), </w:t>
      </w:r>
      <w:r w:rsidR="00A7313B">
        <w:t>f</w:t>
      </w:r>
      <w:r w:rsidR="00A7313B" w:rsidRPr="00A7313B">
        <w:t xml:space="preserve">ew focus on mangrove environments </w:t>
      </w:r>
      <w:r w:rsidR="00A7313B">
        <w:t xml:space="preserve">(Lee, 1999; Qiao et al., 2023) </w:t>
      </w:r>
      <w:r w:rsidR="00A7313B" w:rsidRPr="00A7313B">
        <w:t>or on their relationship to elevation gradients</w:t>
      </w:r>
      <w:r w:rsidR="00A7313B">
        <w:t xml:space="preserve"> (</w:t>
      </w:r>
      <w:r w:rsidR="00A7313B" w:rsidRPr="00753416">
        <w:t>Xiong et al., 202</w:t>
      </w:r>
      <w:r w:rsidR="00A7313B">
        <w:t xml:space="preserve">0; </w:t>
      </w:r>
      <w:r w:rsidR="00A7313B" w:rsidRPr="00753416">
        <w:t>Shang et al., 2023)</w:t>
      </w:r>
      <w:r w:rsidR="00A7313B" w:rsidRPr="00A7313B">
        <w:t>.</w:t>
      </w:r>
      <w:r w:rsidR="00A7313B">
        <w:t xml:space="preserve"> </w:t>
      </w:r>
      <w:r w:rsidR="00C35B49">
        <w:t xml:space="preserve">For the first time, </w:t>
      </w:r>
      <w:r w:rsidR="00C12512" w:rsidRPr="00C12512">
        <w:t xml:space="preserve">we assess the contemporary distribution patterns of foraminifera and diatoms in mudflat and mangrove environments of the South China Sea, along with the environmental </w:t>
      </w:r>
      <w:r w:rsidR="00C12512">
        <w:t>control</w:t>
      </w:r>
      <w:r w:rsidR="00C12512" w:rsidRPr="00C12512">
        <w:t>s that govern their assemblage structure.</w:t>
      </w:r>
    </w:p>
    <w:p w14:paraId="76574CA5" w14:textId="77777777" w:rsidR="00923A61" w:rsidRPr="00753416" w:rsidRDefault="00923A61" w:rsidP="008D3F36"/>
    <w:p w14:paraId="49EBECD1" w14:textId="5C881866" w:rsidR="001322A6" w:rsidRPr="001B2703" w:rsidRDefault="004F6EFB" w:rsidP="008D3F36">
      <w:pPr>
        <w:pStyle w:val="Heading3"/>
        <w:rPr>
          <w:b w:val="0"/>
          <w:bCs w:val="0"/>
          <w:i w:val="0"/>
          <w:iCs w:val="0"/>
        </w:rPr>
      </w:pPr>
      <w:r w:rsidRPr="00753416">
        <w:t>5.1.1</w:t>
      </w:r>
      <w:r w:rsidR="0089452A" w:rsidRPr="00FE398C">
        <w:t xml:space="preserve"> </w:t>
      </w:r>
      <w:r w:rsidR="003B7293">
        <w:t>D</w:t>
      </w:r>
      <w:r w:rsidR="0089452A">
        <w:t>istribution</w:t>
      </w:r>
      <w:r w:rsidR="003B7293">
        <w:t xml:space="preserve"> and</w:t>
      </w:r>
      <w:r w:rsidR="0089452A">
        <w:t xml:space="preserve"> deposition of contemporary microfossil samples</w:t>
      </w:r>
    </w:p>
    <w:p w14:paraId="3A6B0D69" w14:textId="1D9F4170" w:rsidR="00D17D38" w:rsidRDefault="007B5950" w:rsidP="009E2E8B">
      <w:pPr>
        <w:rPr>
          <w:color w:val="000000" w:themeColor="text1"/>
        </w:rPr>
      </w:pPr>
      <w:r w:rsidRPr="001B2703">
        <w:t xml:space="preserve">The utility of the BTF approach depends on </w:t>
      </w:r>
      <w:r w:rsidR="003154F8">
        <w:t>how</w:t>
      </w:r>
      <w:r w:rsidR="003154F8" w:rsidRPr="001B2703">
        <w:t xml:space="preserve"> </w:t>
      </w:r>
      <w:r w:rsidRPr="001B2703">
        <w:t>accura</w:t>
      </w:r>
      <w:r w:rsidR="00A7313B">
        <w:t>tely microfossil assemblages reflect</w:t>
      </w:r>
      <w:r w:rsidRPr="001B2703">
        <w:t xml:space="preserve"> elevation signal</w:t>
      </w:r>
      <w:r w:rsidR="00A7313B">
        <w:t xml:space="preserve">s. </w:t>
      </w:r>
      <w:r w:rsidR="00AF04F9">
        <w:t xml:space="preserve">Until recently, </w:t>
      </w:r>
      <w:r w:rsidR="00A7313B">
        <w:t xml:space="preserve">traditional </w:t>
      </w:r>
      <w:r w:rsidR="00AF04F9">
        <w:t>transfer function</w:t>
      </w:r>
      <w:r w:rsidR="00A7313B">
        <w:t>s</w:t>
      </w:r>
      <w:r w:rsidR="00AF04F9">
        <w:t xml:space="preserve"> relied on regression methods that assume parametric (e.g., unimodal or linear) responses of foraminifera and diatom taxa to tidal elevation (</w:t>
      </w:r>
      <w:r w:rsidR="00105640" w:rsidRPr="00753416">
        <w:t xml:space="preserve">e.g., </w:t>
      </w:r>
      <w:r w:rsidR="00AF04F9" w:rsidRPr="007A20AE">
        <w:t>Horton et al., 1999; Gehrels, 2000;</w:t>
      </w:r>
      <w:r w:rsidR="00AF04F9">
        <w:t xml:space="preserve"> William et al., 2021). </w:t>
      </w:r>
      <w:r w:rsidR="00AF04F9" w:rsidRPr="00AA708E">
        <w:rPr>
          <w:color w:val="000000" w:themeColor="text1"/>
        </w:rPr>
        <w:t>Although th</w:t>
      </w:r>
      <w:r w:rsidR="00AF04F9">
        <w:rPr>
          <w:color w:val="000000" w:themeColor="text1"/>
        </w:rPr>
        <w:t>is</w:t>
      </w:r>
      <w:r w:rsidR="00AF04F9" w:rsidRPr="00AA708E">
        <w:rPr>
          <w:color w:val="000000" w:themeColor="text1"/>
        </w:rPr>
        <w:t xml:space="preserve"> assumption is ecologically reasonable (Zong and Horton, 199</w:t>
      </w:r>
      <w:r w:rsidR="00AF04F9">
        <w:rPr>
          <w:color w:val="000000" w:themeColor="text1"/>
        </w:rPr>
        <w:t>8</w:t>
      </w:r>
      <w:r w:rsidR="00AF04F9" w:rsidRPr="00AA708E">
        <w:rPr>
          <w:color w:val="000000" w:themeColor="text1"/>
        </w:rPr>
        <w:t xml:space="preserve">; </w:t>
      </w:r>
      <w:proofErr w:type="spellStart"/>
      <w:r w:rsidR="00AF04F9" w:rsidRPr="00AA708E">
        <w:rPr>
          <w:color w:val="000000" w:themeColor="text1"/>
        </w:rPr>
        <w:t>Juggins</w:t>
      </w:r>
      <w:proofErr w:type="spellEnd"/>
      <w:r w:rsidR="00AF04F9" w:rsidRPr="00AA708E">
        <w:rPr>
          <w:color w:val="000000" w:themeColor="text1"/>
        </w:rPr>
        <w:t xml:space="preserve"> and Birks, 2012), our </w:t>
      </w:r>
      <w:r w:rsidR="00AF04F9" w:rsidRPr="00AA708E">
        <w:rPr>
          <w:color w:val="000000" w:themeColor="text1"/>
        </w:rPr>
        <w:lastRenderedPageBreak/>
        <w:t xml:space="preserve">observations show that </w:t>
      </w:r>
      <w:r w:rsidR="00AF04F9">
        <w:rPr>
          <w:color w:val="000000" w:themeColor="text1"/>
        </w:rPr>
        <w:t>it</w:t>
      </w:r>
      <w:r w:rsidR="00AF04F9" w:rsidRPr="00AA708E">
        <w:rPr>
          <w:color w:val="000000" w:themeColor="text1"/>
        </w:rPr>
        <w:t xml:space="preserve"> is not valid for all taxa in our modern training sets</w:t>
      </w:r>
      <w:r w:rsidR="00AF04F9">
        <w:rPr>
          <w:color w:val="000000" w:themeColor="text1"/>
        </w:rPr>
        <w:t xml:space="preserve"> (Figure 5B, C).</w:t>
      </w:r>
      <w:r w:rsidR="00AF04F9">
        <w:t xml:space="preserve"> </w:t>
      </w:r>
      <w:r w:rsidR="008527AA">
        <w:t>The BTFs</w:t>
      </w:r>
      <w:r w:rsidR="008527AA" w:rsidRPr="00E077BF">
        <w:t xml:space="preserve"> estimated a response curve (mean with a 95% credible interval) for each </w:t>
      </w:r>
      <w:proofErr w:type="gramStart"/>
      <w:r w:rsidR="008527AA" w:rsidRPr="00E077BF">
        <w:t>foraminifera</w:t>
      </w:r>
      <w:proofErr w:type="gramEnd"/>
      <w:r w:rsidR="008527AA" w:rsidRPr="00E077BF">
        <w:t xml:space="preserve"> </w:t>
      </w:r>
      <w:r w:rsidR="008527AA">
        <w:t xml:space="preserve">and diatom taxa </w:t>
      </w:r>
      <w:r w:rsidR="008527AA" w:rsidRPr="00E077BF">
        <w:t>to tidal elevation (SWLI</w:t>
      </w:r>
      <w:r w:rsidR="008527AA">
        <w:t xml:space="preserve"> units</w:t>
      </w:r>
      <w:r w:rsidR="008527AA" w:rsidRPr="00E077BF">
        <w:t xml:space="preserve">) </w:t>
      </w:r>
      <w:r w:rsidR="008527AA">
        <w:t>(</w:t>
      </w:r>
      <w:r w:rsidR="008527AA" w:rsidRPr="00E077BF">
        <w:t>Fig</w:t>
      </w:r>
      <w:r w:rsidR="008527AA">
        <w:t>ure</w:t>
      </w:r>
      <w:r w:rsidR="008527AA" w:rsidRPr="00E077BF">
        <w:t xml:space="preserve"> </w:t>
      </w:r>
      <w:r w:rsidR="008527AA">
        <w:t>5B, C</w:t>
      </w:r>
      <w:r w:rsidR="008527AA" w:rsidRPr="00E077BF">
        <w:t>).</w:t>
      </w:r>
      <w:r w:rsidR="008527AA">
        <w:t xml:space="preserve"> </w:t>
      </w:r>
      <w:r w:rsidR="008527AA">
        <w:rPr>
          <w:color w:val="000000" w:themeColor="text1"/>
        </w:rPr>
        <w:t xml:space="preserve">Some taxa (e.g., foraminifera </w:t>
      </w:r>
      <w:r w:rsidR="008527AA" w:rsidRPr="00AA708E">
        <w:rPr>
          <w:i/>
          <w:iCs/>
          <w:color w:val="000000" w:themeColor="text1"/>
        </w:rPr>
        <w:t xml:space="preserve">G. </w:t>
      </w:r>
      <w:proofErr w:type="spellStart"/>
      <w:r w:rsidR="008527AA" w:rsidRPr="00AA708E">
        <w:rPr>
          <w:i/>
          <w:iCs/>
          <w:color w:val="000000" w:themeColor="text1"/>
        </w:rPr>
        <w:t>fijiensis</w:t>
      </w:r>
      <w:proofErr w:type="spellEnd"/>
      <w:r w:rsidR="008527AA" w:rsidRPr="00685F8C">
        <w:rPr>
          <w:color w:val="000000" w:themeColor="text1"/>
        </w:rPr>
        <w:t xml:space="preserve"> and</w:t>
      </w:r>
      <w:r w:rsidR="008527AA" w:rsidRPr="00AA708E">
        <w:rPr>
          <w:i/>
          <w:iCs/>
          <w:color w:val="000000" w:themeColor="text1"/>
        </w:rPr>
        <w:t xml:space="preserve"> N. stella</w:t>
      </w:r>
      <w:r w:rsidR="008527AA">
        <w:rPr>
          <w:color w:val="000000" w:themeColor="text1"/>
        </w:rPr>
        <w:t xml:space="preserve"> and diatoms </w:t>
      </w:r>
      <w:r w:rsidR="008527AA" w:rsidRPr="00361771">
        <w:rPr>
          <w:i/>
          <w:iCs/>
        </w:rPr>
        <w:t xml:space="preserve">A. </w:t>
      </w:r>
      <w:proofErr w:type="spellStart"/>
      <w:r w:rsidR="008527AA" w:rsidRPr="00361771">
        <w:rPr>
          <w:i/>
          <w:iCs/>
        </w:rPr>
        <w:t>allanta</w:t>
      </w:r>
      <w:proofErr w:type="spellEnd"/>
      <w:r w:rsidR="008527AA">
        <w:t xml:space="preserve"> and </w:t>
      </w:r>
      <w:r w:rsidR="008527AA" w:rsidRPr="00361771">
        <w:rPr>
          <w:i/>
          <w:iCs/>
        </w:rPr>
        <w:t>L. mutica</w:t>
      </w:r>
      <w:r w:rsidR="008527AA">
        <w:rPr>
          <w:i/>
          <w:iCs/>
        </w:rPr>
        <w:t>)</w:t>
      </w:r>
      <w:r w:rsidR="008527AA">
        <w:rPr>
          <w:color w:val="000000" w:themeColor="text1"/>
        </w:rPr>
        <w:t xml:space="preserve"> exhibit a unimodal distribution with tidal elevation; however, foraminifera (e.g., </w:t>
      </w:r>
      <w:r w:rsidR="008527AA" w:rsidRPr="00AA708E">
        <w:rPr>
          <w:i/>
          <w:iCs/>
          <w:color w:val="000000" w:themeColor="text1"/>
        </w:rPr>
        <w:t xml:space="preserve">H. </w:t>
      </w:r>
      <w:proofErr w:type="spellStart"/>
      <w:r w:rsidR="008527AA" w:rsidRPr="00AA708E">
        <w:rPr>
          <w:i/>
          <w:iCs/>
          <w:color w:val="000000" w:themeColor="text1"/>
        </w:rPr>
        <w:t>wilberti</w:t>
      </w:r>
      <w:proofErr w:type="spellEnd"/>
      <w:r w:rsidR="009769C6">
        <w:rPr>
          <w:color w:val="000000" w:themeColor="text1"/>
        </w:rPr>
        <w:t xml:space="preserve"> </w:t>
      </w:r>
      <w:r w:rsidR="008527AA" w:rsidRPr="00AA708E">
        <w:rPr>
          <w:color w:val="000000" w:themeColor="text1"/>
        </w:rPr>
        <w:t xml:space="preserve">and </w:t>
      </w:r>
      <w:proofErr w:type="spellStart"/>
      <w:r w:rsidR="008527AA" w:rsidRPr="00AA708E">
        <w:rPr>
          <w:i/>
          <w:iCs/>
          <w:color w:val="000000" w:themeColor="text1"/>
        </w:rPr>
        <w:t>Miliammina</w:t>
      </w:r>
      <w:proofErr w:type="spellEnd"/>
      <w:r w:rsidR="008527AA" w:rsidRPr="00AA708E">
        <w:rPr>
          <w:i/>
          <w:iCs/>
          <w:color w:val="000000" w:themeColor="text1"/>
        </w:rPr>
        <w:t xml:space="preserve"> </w:t>
      </w:r>
      <w:r w:rsidR="008527AA" w:rsidRPr="00685F8C">
        <w:rPr>
          <w:color w:val="000000" w:themeColor="text1"/>
        </w:rPr>
        <w:t>spp</w:t>
      </w:r>
      <w:r w:rsidR="008527AA" w:rsidRPr="00973DA3">
        <w:rPr>
          <w:color w:val="000000" w:themeColor="text1"/>
        </w:rPr>
        <w:t>.</w:t>
      </w:r>
      <w:r w:rsidR="008527AA">
        <w:rPr>
          <w:color w:val="000000" w:themeColor="text1"/>
        </w:rPr>
        <w:t>) and</w:t>
      </w:r>
      <w:r w:rsidR="00DF5AEB">
        <w:rPr>
          <w:color w:val="000000" w:themeColor="text1"/>
        </w:rPr>
        <w:t xml:space="preserve"> </w:t>
      </w:r>
      <w:r w:rsidR="009769C6">
        <w:t xml:space="preserve">a greater number of </w:t>
      </w:r>
      <w:r w:rsidR="008527AA">
        <w:rPr>
          <w:color w:val="000000" w:themeColor="text1"/>
        </w:rPr>
        <w:t>diatom (</w:t>
      </w:r>
      <w:proofErr w:type="spellStart"/>
      <w:r w:rsidR="008527AA">
        <w:rPr>
          <w:color w:val="000000" w:themeColor="text1"/>
        </w:rPr>
        <w:t>e.g</w:t>
      </w:r>
      <w:proofErr w:type="spellEnd"/>
      <w:r w:rsidR="008527AA">
        <w:rPr>
          <w:color w:val="000000" w:themeColor="text1"/>
        </w:rPr>
        <w:t xml:space="preserve">, </w:t>
      </w:r>
      <w:r w:rsidR="008527AA" w:rsidRPr="00361771">
        <w:rPr>
          <w:i/>
          <w:iCs/>
        </w:rPr>
        <w:t xml:space="preserve">D. </w:t>
      </w:r>
      <w:proofErr w:type="spellStart"/>
      <w:r w:rsidR="008527AA" w:rsidRPr="00361771">
        <w:rPr>
          <w:i/>
          <w:iCs/>
        </w:rPr>
        <w:t>subovalis</w:t>
      </w:r>
      <w:proofErr w:type="spellEnd"/>
      <w:r w:rsidR="008527AA">
        <w:t xml:space="preserve"> and </w:t>
      </w:r>
      <w:r w:rsidR="008527AA" w:rsidRPr="00361771">
        <w:rPr>
          <w:i/>
          <w:iCs/>
        </w:rPr>
        <w:t xml:space="preserve">G. </w:t>
      </w:r>
      <w:proofErr w:type="spellStart"/>
      <w:r w:rsidR="008527AA" w:rsidRPr="00361771">
        <w:rPr>
          <w:i/>
          <w:iCs/>
        </w:rPr>
        <w:t>beaufortianum</w:t>
      </w:r>
      <w:proofErr w:type="spellEnd"/>
      <w:r w:rsidR="008527AA">
        <w:t xml:space="preserve">, </w:t>
      </w:r>
      <w:r w:rsidR="008527AA" w:rsidRPr="00361771">
        <w:rPr>
          <w:i/>
          <w:iCs/>
        </w:rPr>
        <w:t xml:space="preserve">C. </w:t>
      </w:r>
      <w:proofErr w:type="spellStart"/>
      <w:r w:rsidR="008527AA" w:rsidRPr="00361771">
        <w:rPr>
          <w:i/>
          <w:iCs/>
        </w:rPr>
        <w:t>atomus</w:t>
      </w:r>
      <w:proofErr w:type="spellEnd"/>
      <w:r w:rsidR="008527AA" w:rsidRPr="00361771">
        <w:rPr>
          <w:i/>
          <w:iCs/>
        </w:rPr>
        <w:t xml:space="preserve"> var. </w:t>
      </w:r>
      <w:proofErr w:type="spellStart"/>
      <w:r w:rsidR="008527AA" w:rsidRPr="00361771">
        <w:rPr>
          <w:i/>
          <w:iCs/>
        </w:rPr>
        <w:t>gracilis</w:t>
      </w:r>
      <w:proofErr w:type="spellEnd"/>
      <w:r w:rsidR="008527AA">
        <w:t xml:space="preserve">, </w:t>
      </w:r>
      <w:r w:rsidR="008527AA" w:rsidRPr="00361771">
        <w:rPr>
          <w:i/>
          <w:iCs/>
        </w:rPr>
        <w:t xml:space="preserve">C. </w:t>
      </w:r>
      <w:proofErr w:type="spellStart"/>
      <w:r w:rsidR="008527AA" w:rsidRPr="00361771">
        <w:rPr>
          <w:i/>
          <w:iCs/>
        </w:rPr>
        <w:t>litoralis</w:t>
      </w:r>
      <w:proofErr w:type="spellEnd"/>
      <w:r w:rsidR="008527AA">
        <w:rPr>
          <w:i/>
          <w:iCs/>
        </w:rPr>
        <w:t>, T.</w:t>
      </w:r>
      <w:r w:rsidR="008527AA" w:rsidRPr="00971DE4">
        <w:rPr>
          <w:i/>
          <w:iCs/>
        </w:rPr>
        <w:t xml:space="preserve"> </w:t>
      </w:r>
      <w:proofErr w:type="spellStart"/>
      <w:r w:rsidR="008527AA" w:rsidRPr="00971DE4">
        <w:rPr>
          <w:i/>
          <w:iCs/>
        </w:rPr>
        <w:t>cedarkeyensi</w:t>
      </w:r>
      <w:proofErr w:type="spellEnd"/>
      <w:r w:rsidR="008527AA">
        <w:rPr>
          <w:color w:val="000000" w:themeColor="text1"/>
        </w:rPr>
        <w:t>) taxa exhibit a bimodal or multimodal response to tidal elevation</w:t>
      </w:r>
      <w:r w:rsidR="009769C6">
        <w:rPr>
          <w:color w:val="000000" w:themeColor="text1"/>
        </w:rPr>
        <w:t xml:space="preserve"> (</w:t>
      </w:r>
      <w:r w:rsidR="00E61434">
        <w:rPr>
          <w:color w:val="000000" w:themeColor="text1"/>
        </w:rPr>
        <w:t>Supplementary</w:t>
      </w:r>
      <w:r w:rsidR="009769C6">
        <w:rPr>
          <w:color w:val="000000" w:themeColor="text1"/>
        </w:rPr>
        <w:t xml:space="preserve"> figure 8)</w:t>
      </w:r>
      <w:r w:rsidR="002B6B44">
        <w:rPr>
          <w:color w:val="000000" w:themeColor="text1"/>
        </w:rPr>
        <w:t>.</w:t>
      </w:r>
      <w:r w:rsidR="00445438">
        <w:rPr>
          <w:color w:val="000000" w:themeColor="text1"/>
        </w:rPr>
        <w:t xml:space="preserve"> </w:t>
      </w:r>
      <w:r w:rsidR="007025E8">
        <w:t>O</w:t>
      </w:r>
      <w:r w:rsidR="007025E8" w:rsidRPr="00753416">
        <w:t>ur observation</w:t>
      </w:r>
      <w:r w:rsidR="007025E8">
        <w:t>s</w:t>
      </w:r>
      <w:r w:rsidR="007025E8" w:rsidRPr="00753416">
        <w:t xml:space="preserve"> </w:t>
      </w:r>
      <w:r w:rsidR="007025E8">
        <w:t>are consistent with</w:t>
      </w:r>
      <w:r w:rsidR="00556062">
        <w:rPr>
          <w:color w:val="000000" w:themeColor="text1"/>
        </w:rPr>
        <w:t xml:space="preserve"> </w:t>
      </w:r>
      <w:r w:rsidR="00A7313B">
        <w:rPr>
          <w:color w:val="000000" w:themeColor="text1"/>
        </w:rPr>
        <w:t>findings</w:t>
      </w:r>
      <w:r w:rsidR="00556062">
        <w:rPr>
          <w:color w:val="000000" w:themeColor="text1"/>
        </w:rPr>
        <w:t xml:space="preserve"> from saltmarshes of the US Atlantic coast</w:t>
      </w:r>
      <w:r w:rsidR="00A7313B">
        <w:rPr>
          <w:color w:val="000000" w:themeColor="text1"/>
        </w:rPr>
        <w:t>,</w:t>
      </w:r>
      <w:r w:rsidR="007025E8">
        <w:t xml:space="preserve"> </w:t>
      </w:r>
      <w:r w:rsidR="007025E8" w:rsidRPr="00753416">
        <w:t xml:space="preserve">which </w:t>
      </w:r>
      <w:r w:rsidR="007025E8">
        <w:t>demonstrate not all</w:t>
      </w:r>
      <w:r w:rsidR="007025E8" w:rsidRPr="00753416">
        <w:t xml:space="preserve"> </w:t>
      </w:r>
      <w:r w:rsidR="007025E8">
        <w:t>taxa exhibit a</w:t>
      </w:r>
      <w:r w:rsidR="007025E8" w:rsidRPr="00753416">
        <w:t xml:space="preserve"> unimodal </w:t>
      </w:r>
      <w:r w:rsidR="007025E8">
        <w:t>response function with elevation (Cahill et al., 2016; Kemp et al., 2018; Hong, 2019; Stearns, 2023).</w:t>
      </w:r>
      <w:r w:rsidR="007025E8" w:rsidRPr="00753416">
        <w:t xml:space="preserve"> </w:t>
      </w:r>
      <w:r w:rsidR="008527AA" w:rsidRPr="001B2703">
        <w:rPr>
          <w:color w:val="000000" w:themeColor="text1"/>
        </w:rPr>
        <w:t xml:space="preserve">This </w:t>
      </w:r>
      <w:r w:rsidR="00595238">
        <w:rPr>
          <w:color w:val="000000" w:themeColor="text1"/>
        </w:rPr>
        <w:t>complex mode and variability of distribution</w:t>
      </w:r>
      <w:r w:rsidR="008527AA" w:rsidRPr="001B2703">
        <w:rPr>
          <w:color w:val="000000" w:themeColor="text1"/>
        </w:rPr>
        <w:t xml:space="preserve"> </w:t>
      </w:r>
      <w:r w:rsidR="006049A6" w:rsidRPr="001B2703">
        <w:rPr>
          <w:color w:val="000000" w:themeColor="text1"/>
        </w:rPr>
        <w:t xml:space="preserve">for both foraminifera and diatoms </w:t>
      </w:r>
      <w:r w:rsidR="008527AA" w:rsidRPr="001B2703">
        <w:rPr>
          <w:color w:val="000000" w:themeColor="text1"/>
        </w:rPr>
        <w:t xml:space="preserve">can be attributed to </w:t>
      </w:r>
      <w:r w:rsidR="003627AE">
        <w:rPr>
          <w:color w:val="000000" w:themeColor="text1"/>
        </w:rPr>
        <w:t xml:space="preserve">1) </w:t>
      </w:r>
      <w:r w:rsidR="008527AA" w:rsidRPr="001B2703">
        <w:rPr>
          <w:color w:val="000000" w:themeColor="text1"/>
        </w:rPr>
        <w:t>ecological complexity</w:t>
      </w:r>
      <w:r w:rsidR="00D17D38">
        <w:rPr>
          <w:color w:val="000000" w:themeColor="text1"/>
        </w:rPr>
        <w:t>,</w:t>
      </w:r>
      <w:r w:rsidR="008527AA" w:rsidRPr="001B2703">
        <w:rPr>
          <w:color w:val="000000" w:themeColor="text1"/>
        </w:rPr>
        <w:t xml:space="preserve"> </w:t>
      </w:r>
      <w:r w:rsidR="00702D0B">
        <w:rPr>
          <w:color w:val="000000" w:themeColor="text1"/>
        </w:rPr>
        <w:t xml:space="preserve">2) </w:t>
      </w:r>
      <w:r w:rsidR="008527AA" w:rsidRPr="001B2703">
        <w:rPr>
          <w:color w:val="000000" w:themeColor="text1"/>
        </w:rPr>
        <w:t xml:space="preserve">secondary variables other than elevation that can influence their distribution (Horton and Edwards, 2006; Barlow et al., 2013), </w:t>
      </w:r>
      <w:r w:rsidR="00D17D38">
        <w:rPr>
          <w:color w:val="000000" w:themeColor="text1"/>
        </w:rPr>
        <w:t>and 3)</w:t>
      </w:r>
      <w:r w:rsidR="008527AA" w:rsidRPr="001B2703">
        <w:rPr>
          <w:color w:val="000000" w:themeColor="text1"/>
        </w:rPr>
        <w:t xml:space="preserve"> the allochthonous nature of planktonic diatom frustules (</w:t>
      </w:r>
      <w:r w:rsidR="00105640" w:rsidRPr="00753416">
        <w:t xml:space="preserve">e.g., </w:t>
      </w:r>
      <w:r w:rsidR="008527AA" w:rsidRPr="001B2703">
        <w:rPr>
          <w:color w:val="000000" w:themeColor="text1"/>
        </w:rPr>
        <w:t xml:space="preserve">Zong and Horton, 1998; Hong, 2019). </w:t>
      </w:r>
    </w:p>
    <w:p w14:paraId="4E24D638" w14:textId="77777777" w:rsidR="00D17D38" w:rsidRPr="001B2703" w:rsidRDefault="00D17D38" w:rsidP="009E2E8B">
      <w:pPr>
        <w:rPr>
          <w:color w:val="538135" w:themeColor="accent6" w:themeShade="BF"/>
        </w:rPr>
      </w:pPr>
    </w:p>
    <w:p w14:paraId="4F722332" w14:textId="2DE9BBDF" w:rsidR="004E1E30" w:rsidRPr="001B2703" w:rsidRDefault="00A7313B" w:rsidP="00245805">
      <w:pPr>
        <w:rPr>
          <w:color w:val="000000" w:themeColor="text1"/>
        </w:rPr>
      </w:pPr>
      <w:r w:rsidRPr="00A7313B">
        <w:rPr>
          <w:color w:val="000000" w:themeColor="text1"/>
        </w:rPr>
        <w:t>Partial CCA analysis demonstrated that elevation is the dominant factor controlling foraminiferal assemblages (explaining 29% of variation), with mud content</w:t>
      </w:r>
      <w:r>
        <w:rPr>
          <w:color w:val="000000" w:themeColor="text1"/>
        </w:rPr>
        <w:t xml:space="preserve"> (</w:t>
      </w:r>
      <w:r w:rsidRPr="001B2703">
        <w:rPr>
          <w:color w:val="000000" w:themeColor="text1"/>
        </w:rPr>
        <w:t>15.9%</w:t>
      </w:r>
      <w:r>
        <w:rPr>
          <w:color w:val="000000" w:themeColor="text1"/>
        </w:rPr>
        <w:t>)</w:t>
      </w:r>
      <w:r w:rsidRPr="00A7313B">
        <w:rPr>
          <w:color w:val="000000" w:themeColor="text1"/>
        </w:rPr>
        <w:t xml:space="preserve"> and salinity </w:t>
      </w:r>
      <w:r>
        <w:rPr>
          <w:color w:val="000000" w:themeColor="text1"/>
        </w:rPr>
        <w:t>(</w:t>
      </w:r>
      <w:r w:rsidRPr="001B2703">
        <w:rPr>
          <w:color w:val="000000" w:themeColor="text1"/>
        </w:rPr>
        <w:t>15.2%</w:t>
      </w:r>
      <w:r>
        <w:rPr>
          <w:color w:val="000000" w:themeColor="text1"/>
        </w:rPr>
        <w:t xml:space="preserve">) </w:t>
      </w:r>
      <w:r w:rsidRPr="00A7313B">
        <w:rPr>
          <w:color w:val="000000" w:themeColor="text1"/>
        </w:rPr>
        <w:t>also important</w:t>
      </w:r>
      <w:r w:rsidR="00842E6A" w:rsidRPr="001B2703">
        <w:rPr>
          <w:color w:val="000000" w:themeColor="text1"/>
        </w:rPr>
        <w:t xml:space="preserve"> </w:t>
      </w:r>
      <w:r w:rsidR="00BB2412" w:rsidRPr="001B2703">
        <w:rPr>
          <w:color w:val="000000" w:themeColor="text1"/>
        </w:rPr>
        <w:t xml:space="preserve">(Table </w:t>
      </w:r>
      <w:r w:rsidR="005A5572" w:rsidRPr="001B2703">
        <w:rPr>
          <w:color w:val="000000" w:themeColor="text1"/>
        </w:rPr>
        <w:t>6</w:t>
      </w:r>
      <w:r w:rsidR="00BB2412" w:rsidRPr="001B2703">
        <w:rPr>
          <w:color w:val="000000" w:themeColor="text1"/>
        </w:rPr>
        <w:t xml:space="preserve">). </w:t>
      </w:r>
      <w:r w:rsidR="00F81755" w:rsidRPr="001B2703">
        <w:t xml:space="preserve">This </w:t>
      </w:r>
      <w:r>
        <w:t>aligns</w:t>
      </w:r>
      <w:r w:rsidR="00F81755" w:rsidRPr="001B2703">
        <w:t xml:space="preserve"> with </w:t>
      </w:r>
      <w:r>
        <w:t>previous</w:t>
      </w:r>
      <w:r w:rsidRPr="001B2703">
        <w:t xml:space="preserve"> </w:t>
      </w:r>
      <w:r w:rsidR="00F81755" w:rsidRPr="001B2703">
        <w:t xml:space="preserve">studies </w:t>
      </w:r>
      <w:r>
        <w:t xml:space="preserve">from </w:t>
      </w:r>
      <w:r w:rsidRPr="001B2703">
        <w:t xml:space="preserve">temperate marshes in the UK (Mills et al., 2013) and US Atlantic coast (Horton and Culver, 2008) </w:t>
      </w:r>
      <w:r w:rsidR="00F81755" w:rsidRPr="001B2703">
        <w:t xml:space="preserve">showing the dominant role of elevation in explaining </w:t>
      </w:r>
      <w:r w:rsidRPr="001B2703">
        <w:t>32%</w:t>
      </w:r>
      <w:r>
        <w:t xml:space="preserve"> and </w:t>
      </w:r>
      <w:r w:rsidRPr="001B2703">
        <w:t xml:space="preserve">16% </w:t>
      </w:r>
      <w:r w:rsidR="00F81755" w:rsidRPr="001B2703">
        <w:t>the variation in foraminiferal</w:t>
      </w:r>
      <w:r>
        <w:t xml:space="preserve"> assemblage, respectively</w:t>
      </w:r>
      <w:r w:rsidR="00F81755" w:rsidRPr="001B2703">
        <w:t xml:space="preserve"> (Table 6)</w:t>
      </w:r>
      <w:r w:rsidR="00451A85">
        <w:t>.</w:t>
      </w:r>
      <w:r w:rsidR="00F81755" w:rsidRPr="00116EDC">
        <w:t xml:space="preserve"> </w:t>
      </w:r>
      <w:r>
        <w:rPr>
          <w:color w:val="000000" w:themeColor="text1"/>
        </w:rPr>
        <w:t xml:space="preserve">Although </w:t>
      </w:r>
      <w:r w:rsidR="00673F23" w:rsidRPr="001B2703">
        <w:rPr>
          <w:color w:val="000000" w:themeColor="text1"/>
        </w:rPr>
        <w:t>elevation covaries with other environmental variables along the elevation gradient</w:t>
      </w:r>
      <w:r w:rsidR="0008506B">
        <w:rPr>
          <w:color w:val="000000" w:themeColor="text1"/>
        </w:rPr>
        <w:t>, it</w:t>
      </w:r>
      <w:r w:rsidR="00673F23" w:rsidRPr="001B2703">
        <w:rPr>
          <w:color w:val="000000" w:themeColor="text1"/>
        </w:rPr>
        <w:t xml:space="preserve"> does not act as an exclusive control on foraminiferal distribution (Figure 3E; Horton and Edwards, 2006; Wright et al., 2011).</w:t>
      </w:r>
      <w:r w:rsidR="004E5ABF" w:rsidRPr="001B2703">
        <w:rPr>
          <w:color w:val="000000" w:themeColor="text1"/>
        </w:rPr>
        <w:t xml:space="preserve"> </w:t>
      </w:r>
      <w:r>
        <w:rPr>
          <w:color w:val="000000" w:themeColor="text1"/>
        </w:rPr>
        <w:t>For example,</w:t>
      </w:r>
      <w:r w:rsidR="00A9528E">
        <w:rPr>
          <w:color w:val="000000" w:themeColor="text1"/>
        </w:rPr>
        <w:t xml:space="preserve"> t</w:t>
      </w:r>
      <w:r w:rsidR="00250A2B" w:rsidRPr="001B2703">
        <w:rPr>
          <w:color w:val="000000" w:themeColor="text1"/>
        </w:rPr>
        <w:t xml:space="preserve">he higher bias </w:t>
      </w:r>
      <w:r w:rsidRPr="00A7313B">
        <w:rPr>
          <w:color w:val="000000" w:themeColor="text1"/>
        </w:rPr>
        <w:t>in</w:t>
      </w:r>
      <w:r>
        <w:rPr>
          <w:color w:val="000000" w:themeColor="text1"/>
        </w:rPr>
        <w:t xml:space="preserve"> </w:t>
      </w:r>
      <w:r w:rsidRPr="001B2703">
        <w:rPr>
          <w:color w:val="000000" w:themeColor="text1"/>
        </w:rPr>
        <w:t>10-fold</w:t>
      </w:r>
      <w:r w:rsidRPr="00A7313B">
        <w:rPr>
          <w:color w:val="000000" w:themeColor="text1"/>
        </w:rPr>
        <w:t xml:space="preserve"> cross-validation </w:t>
      </w:r>
      <w:r>
        <w:rPr>
          <w:color w:val="000000" w:themeColor="text1"/>
        </w:rPr>
        <w:t xml:space="preserve">of the modern training set </w:t>
      </w:r>
      <w:r w:rsidR="00250A2B" w:rsidRPr="001B2703">
        <w:rPr>
          <w:color w:val="000000" w:themeColor="text1"/>
        </w:rPr>
        <w:t xml:space="preserve">between 175 and 200 SWLI units suggests environmental parameters other than elevation may affect foraminiferal assemblages in </w:t>
      </w:r>
      <w:r>
        <w:rPr>
          <w:color w:val="000000" w:themeColor="text1"/>
        </w:rPr>
        <w:t xml:space="preserve">this </w:t>
      </w:r>
      <w:r w:rsidR="00250A2B" w:rsidRPr="001B2703">
        <w:rPr>
          <w:color w:val="000000" w:themeColor="text1"/>
        </w:rPr>
        <w:t xml:space="preserve">flat mangrove </w:t>
      </w:r>
      <w:r>
        <w:rPr>
          <w:color w:val="000000" w:themeColor="text1"/>
        </w:rPr>
        <w:t xml:space="preserve">zone </w:t>
      </w:r>
      <w:r w:rsidR="00250A2B" w:rsidRPr="001B2703">
        <w:rPr>
          <w:color w:val="000000" w:themeColor="text1"/>
        </w:rPr>
        <w:t>(</w:t>
      </w:r>
      <w:r w:rsidR="00105640" w:rsidRPr="00753416">
        <w:t xml:space="preserve">e.g., </w:t>
      </w:r>
      <w:r w:rsidR="00250A2B" w:rsidRPr="001B2703">
        <w:rPr>
          <w:color w:val="000000" w:themeColor="text1"/>
        </w:rPr>
        <w:t>Culver et al., 2012). Th</w:t>
      </w:r>
      <w:r w:rsidR="00A9528E">
        <w:rPr>
          <w:color w:val="000000" w:themeColor="text1"/>
        </w:rPr>
        <w:t xml:space="preserve">e higher bias </w:t>
      </w:r>
      <w:r w:rsidR="00250A2B" w:rsidRPr="001B2703">
        <w:rPr>
          <w:color w:val="000000" w:themeColor="text1"/>
        </w:rPr>
        <w:t xml:space="preserve">is likely due to the greater variability in species assemblages within the mangrove zone driven in part by seasonal bloom dynamics. The elevated relative abundances of </w:t>
      </w:r>
      <w:r w:rsidR="00250A2B" w:rsidRPr="001B2703">
        <w:rPr>
          <w:rStyle w:val="Emphasis"/>
          <w:color w:val="000000" w:themeColor="text1"/>
        </w:rPr>
        <w:t>Ammonia</w:t>
      </w:r>
      <w:r w:rsidR="00250A2B" w:rsidRPr="001B2703">
        <w:rPr>
          <w:color w:val="000000" w:themeColor="text1"/>
        </w:rPr>
        <w:t xml:space="preserve"> spp. and </w:t>
      </w:r>
      <w:r w:rsidR="00250A2B" w:rsidRPr="001B2703">
        <w:rPr>
          <w:rStyle w:val="Emphasis"/>
          <w:color w:val="000000" w:themeColor="text1"/>
        </w:rPr>
        <w:t xml:space="preserve">A. </w:t>
      </w:r>
      <w:proofErr w:type="spellStart"/>
      <w:r w:rsidR="00250A2B" w:rsidRPr="001B2703">
        <w:rPr>
          <w:rStyle w:val="Emphasis"/>
          <w:color w:val="000000" w:themeColor="text1"/>
        </w:rPr>
        <w:t>tepida</w:t>
      </w:r>
      <w:proofErr w:type="spellEnd"/>
      <w:r w:rsidR="00250A2B" w:rsidRPr="001B2703">
        <w:rPr>
          <w:color w:val="000000" w:themeColor="text1"/>
        </w:rPr>
        <w:t xml:space="preserve"> in Groups F-8 and F-9 </w:t>
      </w:r>
      <w:r w:rsidR="00B53114">
        <w:rPr>
          <w:color w:val="000000" w:themeColor="text1"/>
        </w:rPr>
        <w:t xml:space="preserve">(Figure 3C) </w:t>
      </w:r>
      <w:r>
        <w:rPr>
          <w:color w:val="000000" w:themeColor="text1"/>
        </w:rPr>
        <w:t>may</w:t>
      </w:r>
      <w:r w:rsidRPr="001B2703">
        <w:rPr>
          <w:color w:val="000000" w:themeColor="text1"/>
        </w:rPr>
        <w:t xml:space="preserve"> </w:t>
      </w:r>
      <w:r w:rsidR="00250A2B" w:rsidRPr="001B2703">
        <w:rPr>
          <w:color w:val="000000" w:themeColor="text1"/>
        </w:rPr>
        <w:t xml:space="preserve">reflect their susceptibility to seasonal </w:t>
      </w:r>
      <w:r>
        <w:rPr>
          <w:color w:val="000000" w:themeColor="text1"/>
        </w:rPr>
        <w:t xml:space="preserve">reproductive </w:t>
      </w:r>
      <w:r w:rsidR="00250A2B" w:rsidRPr="001B2703">
        <w:rPr>
          <w:color w:val="000000" w:themeColor="text1"/>
        </w:rPr>
        <w:t>blooms</w:t>
      </w:r>
      <w:r>
        <w:rPr>
          <w:color w:val="000000" w:themeColor="text1"/>
        </w:rPr>
        <w:t xml:space="preserve">, a phenomenon documented </w:t>
      </w:r>
      <w:r w:rsidR="00250A2B" w:rsidRPr="001B2703">
        <w:rPr>
          <w:color w:val="000000" w:themeColor="text1"/>
        </w:rPr>
        <w:t>in other tropical to subtropical intertidal zones (</w:t>
      </w:r>
      <w:r w:rsidR="00105640" w:rsidRPr="00753416">
        <w:t xml:space="preserve">e.g., </w:t>
      </w:r>
      <w:r w:rsidR="00250A2B" w:rsidRPr="001B2703">
        <w:rPr>
          <w:color w:val="000000" w:themeColor="text1"/>
        </w:rPr>
        <w:t xml:space="preserve">Dey et al., 2012; Papaspyrou et al., 2013; Wukovits et al., 2017). These taxa are opportunistic generalists that thrive in organic-rich substrates (Figure 3E) (Wukovits et al., 2018), particularly during warmer periods </w:t>
      </w:r>
      <w:r w:rsidR="00250A2B" w:rsidRPr="001B2703">
        <w:rPr>
          <w:color w:val="000000" w:themeColor="text1"/>
        </w:rPr>
        <w:lastRenderedPageBreak/>
        <w:t>when increased organic input from mangrove litter fall enhances food availability, supporting their growth and reproduction (Horton et al., 2005; Martins et al., 2015).</w:t>
      </w:r>
      <w:r w:rsidR="008C517D">
        <w:rPr>
          <w:color w:val="000000" w:themeColor="text1"/>
        </w:rPr>
        <w:t xml:space="preserve"> </w:t>
      </w:r>
    </w:p>
    <w:p w14:paraId="4FB6604D" w14:textId="77777777" w:rsidR="00B638B2" w:rsidRPr="00753416" w:rsidRDefault="00B638B2" w:rsidP="00245805"/>
    <w:p w14:paraId="64D64058" w14:textId="11F34603" w:rsidR="00A7313B" w:rsidRDefault="00A7313B" w:rsidP="00A7313B">
      <w:r w:rsidRPr="00A7313B">
        <w:t xml:space="preserve">Salinity is the dominant factor controlling diatom distribution, explaining 33.8% of variance, followed by pH (15.4%) and mud content (11.9%) (Table 6). The CCA biplot shows salinity negatively covaries with elevation, with benthic species like </w:t>
      </w:r>
      <w:r w:rsidRPr="00A7313B">
        <w:rPr>
          <w:i/>
          <w:iCs/>
        </w:rPr>
        <w:t xml:space="preserve">D. </w:t>
      </w:r>
      <w:proofErr w:type="spellStart"/>
      <w:r w:rsidRPr="00A7313B">
        <w:rPr>
          <w:i/>
          <w:iCs/>
        </w:rPr>
        <w:t>subovalis</w:t>
      </w:r>
      <w:proofErr w:type="spellEnd"/>
      <w:r w:rsidRPr="00A7313B">
        <w:t xml:space="preserve">, </w:t>
      </w:r>
      <w:r w:rsidRPr="00A7313B">
        <w:rPr>
          <w:i/>
          <w:iCs/>
        </w:rPr>
        <w:t>L. mutica</w:t>
      </w:r>
      <w:r w:rsidRPr="00A7313B">
        <w:t xml:space="preserve">, and </w:t>
      </w:r>
      <w:r w:rsidRPr="00A7313B">
        <w:rPr>
          <w:i/>
          <w:iCs/>
        </w:rPr>
        <w:t>T. victoriae</w:t>
      </w:r>
      <w:r w:rsidRPr="00A7313B">
        <w:t xml:space="preserve"> linked to higher elevations and lower salinities (Figure 3J). However, allochthonous planktonic taxa such as </w:t>
      </w:r>
      <w:r w:rsidRPr="00A7313B">
        <w:rPr>
          <w:i/>
          <w:iCs/>
        </w:rPr>
        <w:t xml:space="preserve">C. </w:t>
      </w:r>
      <w:proofErr w:type="spellStart"/>
      <w:r w:rsidRPr="00A7313B">
        <w:rPr>
          <w:i/>
          <w:iCs/>
        </w:rPr>
        <w:t>atomus</w:t>
      </w:r>
      <w:proofErr w:type="spellEnd"/>
      <w:r w:rsidRPr="00A7313B">
        <w:t xml:space="preserve"> var. </w:t>
      </w:r>
      <w:proofErr w:type="spellStart"/>
      <w:r w:rsidRPr="00A7313B">
        <w:rPr>
          <w:i/>
          <w:iCs/>
        </w:rPr>
        <w:t>gracilis</w:t>
      </w:r>
      <w:proofErr w:type="spellEnd"/>
      <w:r w:rsidRPr="00A7313B">
        <w:t xml:space="preserve"> and </w:t>
      </w:r>
      <w:r w:rsidRPr="00A7313B">
        <w:rPr>
          <w:i/>
          <w:iCs/>
        </w:rPr>
        <w:t xml:space="preserve">T. </w:t>
      </w:r>
      <w:proofErr w:type="spellStart"/>
      <w:r w:rsidRPr="00A7313B">
        <w:rPr>
          <w:i/>
          <w:iCs/>
        </w:rPr>
        <w:t>cedarkeyensis</w:t>
      </w:r>
      <w:proofErr w:type="spellEnd"/>
      <w:r w:rsidRPr="00A7313B">
        <w:t xml:space="preserve">, transported by tidal pumping and water column mixing (Kemp et al., 2009), cluster centrally in the biplot and reduce the explanatory power of elevation to 7%, despite most benthic species covarying with it. Their enrichment near tidal channels (Figure 3F) accounts for cross-validation outliers (Figure 5A), while the freshwater–marine planktonic </w:t>
      </w:r>
      <w:r w:rsidRPr="00A7313B">
        <w:rPr>
          <w:i/>
          <w:iCs/>
        </w:rPr>
        <w:t xml:space="preserve">C. </w:t>
      </w:r>
      <w:proofErr w:type="spellStart"/>
      <w:r w:rsidRPr="00A7313B">
        <w:rPr>
          <w:i/>
          <w:iCs/>
        </w:rPr>
        <w:t>litoralis</w:t>
      </w:r>
      <w:proofErr w:type="spellEnd"/>
      <w:r w:rsidRPr="00A7313B">
        <w:t xml:space="preserve">, with a bimodal response peaking at higher elevations (Figure 5C), increases PME prediction uncertainty and leads to underestimated RSL reconstructions (Figures 7, 8). Moreover, failing to account for bimodal species distributions from inter-site differences, as seen in taxa like </w:t>
      </w:r>
      <w:r w:rsidR="0057313D">
        <w:rPr>
          <w:i/>
          <w:iCs/>
        </w:rPr>
        <w:t>D</w:t>
      </w:r>
      <w:r w:rsidRPr="00A7313B">
        <w:rPr>
          <w:i/>
          <w:iCs/>
        </w:rPr>
        <w:t xml:space="preserve">. </w:t>
      </w:r>
      <w:proofErr w:type="spellStart"/>
      <w:r w:rsidR="0057313D">
        <w:rPr>
          <w:i/>
          <w:iCs/>
        </w:rPr>
        <w:t>subovalis</w:t>
      </w:r>
      <w:proofErr w:type="spellEnd"/>
      <w:r w:rsidR="0057313D" w:rsidRPr="00A7313B">
        <w:t xml:space="preserve"> </w:t>
      </w:r>
      <w:r w:rsidRPr="00A7313B">
        <w:t xml:space="preserve">and </w:t>
      </w:r>
      <w:r w:rsidRPr="00A7313B">
        <w:rPr>
          <w:i/>
          <w:iCs/>
        </w:rPr>
        <w:t xml:space="preserve">H. </w:t>
      </w:r>
      <w:proofErr w:type="spellStart"/>
      <w:r w:rsidRPr="00A7313B">
        <w:rPr>
          <w:i/>
          <w:iCs/>
        </w:rPr>
        <w:t>holsatica</w:t>
      </w:r>
      <w:proofErr w:type="spellEnd"/>
      <w:r w:rsidRPr="00A7313B">
        <w:t xml:space="preserve"> (Figure 3F; Supplementary Figure 8), biases D-BTF PME estimates by overrepresenting lower-elevation peaks, causing underpredictions even when elevations align with higher peaks (Supplementary Figure 9).</w:t>
      </w:r>
      <w:r w:rsidR="00DA1007">
        <w:t xml:space="preserve"> T</w:t>
      </w:r>
      <w:r w:rsidRPr="00A7313B">
        <w:t>hese locali</w:t>
      </w:r>
      <w:r w:rsidR="00CF1FD5">
        <w:t>s</w:t>
      </w:r>
      <w:r w:rsidRPr="00A7313B">
        <w:t xml:space="preserve">ed inter-site differences </w:t>
      </w:r>
      <w:r w:rsidR="00DA1007">
        <w:t xml:space="preserve">caused </w:t>
      </w:r>
      <w:r w:rsidR="007548A5">
        <w:t>b</w:t>
      </w:r>
      <w:r w:rsidR="00DA1007">
        <w:t xml:space="preserve">y limited </w:t>
      </w:r>
      <w:r w:rsidR="00104046">
        <w:t>sampling</w:t>
      </w:r>
      <w:r w:rsidR="00DA1007">
        <w:t xml:space="preserve"> sites </w:t>
      </w:r>
      <w:r w:rsidRPr="00A7313B">
        <w:t xml:space="preserve">complicate </w:t>
      </w:r>
      <w:r w:rsidR="000427B7">
        <w:t xml:space="preserve">the </w:t>
      </w:r>
      <w:r w:rsidRPr="00A7313B">
        <w:t>training set development for D-BTF (Horton et al., 2007; Kemp et al., 2009</w:t>
      </w:r>
      <w:r w:rsidR="00E70B8A">
        <w:t>; Woodroffe and Long, 2010</w:t>
      </w:r>
      <w:r>
        <w:t>).</w:t>
      </w:r>
      <w:r w:rsidR="00351C48">
        <w:t xml:space="preserve"> </w:t>
      </w:r>
      <w:r w:rsidR="00155DE3">
        <w:t>A</w:t>
      </w:r>
      <w:r w:rsidR="000427B7">
        <w:t xml:space="preserve"> </w:t>
      </w:r>
      <w:r w:rsidR="003A1600">
        <w:t xml:space="preserve">regional training that </w:t>
      </w:r>
      <w:r w:rsidR="00473BA1" w:rsidRPr="00473BA1">
        <w:t>encompass</w:t>
      </w:r>
      <w:r w:rsidR="00473BA1">
        <w:t xml:space="preserve">es </w:t>
      </w:r>
      <w:r w:rsidR="00104046" w:rsidRPr="00104046">
        <w:t>broader range of environmental variability</w:t>
      </w:r>
      <w:r w:rsidR="00104046">
        <w:t xml:space="preserve"> by c</w:t>
      </w:r>
      <w:r w:rsidR="00104046" w:rsidRPr="00104046">
        <w:t>aptur</w:t>
      </w:r>
      <w:r w:rsidR="00104046">
        <w:t>ing</w:t>
      </w:r>
      <w:r w:rsidR="00104046" w:rsidRPr="00104046">
        <w:t xml:space="preserve"> a full </w:t>
      </w:r>
      <w:r w:rsidR="00C863B4">
        <w:t>spectrum</w:t>
      </w:r>
      <w:r w:rsidR="00104046" w:rsidRPr="00104046">
        <w:t xml:space="preserve"> of species responses</w:t>
      </w:r>
      <w:r w:rsidR="00104046">
        <w:t xml:space="preserve"> </w:t>
      </w:r>
      <w:r w:rsidR="003A1600">
        <w:t>(</w:t>
      </w:r>
      <w:r w:rsidR="00105640" w:rsidRPr="00753416">
        <w:t xml:space="preserve">e.g., </w:t>
      </w:r>
      <w:r w:rsidR="003A1600">
        <w:t>Zong and Horton, 1999; Wilson and Lamb, 2012)</w:t>
      </w:r>
      <w:r w:rsidR="00AF6A79">
        <w:t xml:space="preserve"> can </w:t>
      </w:r>
      <w:r w:rsidR="00155DE3">
        <w:t xml:space="preserve">possibly </w:t>
      </w:r>
      <w:r w:rsidR="00473BA1">
        <w:t>smooth out such site-to-site difference</w:t>
      </w:r>
      <w:r w:rsidR="00104046">
        <w:t>,</w:t>
      </w:r>
      <w:r w:rsidR="00371301">
        <w:t xml:space="preserve"> al</w:t>
      </w:r>
      <w:r w:rsidR="00371301" w:rsidRPr="00371301">
        <w:t xml:space="preserve">though this approach remains untested along the China coast and </w:t>
      </w:r>
      <w:r w:rsidR="00371301">
        <w:t>require</w:t>
      </w:r>
      <w:r w:rsidR="00371301" w:rsidRPr="00371301">
        <w:t>s further investigation</w:t>
      </w:r>
      <w:r w:rsidR="00371301">
        <w:t>.</w:t>
      </w:r>
      <w:r w:rsidR="00217436">
        <w:t xml:space="preserve"> </w:t>
      </w:r>
      <w:r w:rsidR="00CE1C59">
        <w:t xml:space="preserve">This is </w:t>
      </w:r>
      <w:r w:rsidR="00371301">
        <w:t xml:space="preserve">particularly </w:t>
      </w:r>
      <w:r w:rsidR="00CE1C59">
        <w:t xml:space="preserve">important for D-BTF development </w:t>
      </w:r>
      <w:r w:rsidR="00371301">
        <w:t>in the region</w:t>
      </w:r>
      <w:r w:rsidR="00271A13">
        <w:t xml:space="preserve"> </w:t>
      </w:r>
      <w:r w:rsidR="00155DE3">
        <w:t>(</w:t>
      </w:r>
      <w:r w:rsidR="00105640" w:rsidRPr="00753416">
        <w:t xml:space="preserve">e.g., </w:t>
      </w:r>
      <w:r w:rsidR="00A03F64">
        <w:t>Xiong et al., 2018; 2020</w:t>
      </w:r>
      <w:r w:rsidR="00155DE3">
        <w:t>)</w:t>
      </w:r>
      <w:r w:rsidR="00371301">
        <w:t>, where</w:t>
      </w:r>
      <w:r w:rsidR="00A03F64">
        <w:t xml:space="preserve"> </w:t>
      </w:r>
      <w:r w:rsidR="00271A13">
        <w:t>RSL reconstruction</w:t>
      </w:r>
      <w:r w:rsidR="00371301">
        <w:t>s</w:t>
      </w:r>
      <w:r w:rsidR="00271A13">
        <w:t xml:space="preserve"> have been </w:t>
      </w:r>
      <w:r w:rsidR="003025F7">
        <w:t xml:space="preserve">largely </w:t>
      </w:r>
      <w:r w:rsidR="00271A13">
        <w:t>relied on taxonom</w:t>
      </w:r>
      <w:r w:rsidR="00371301">
        <w:t xml:space="preserve">ic framework </w:t>
      </w:r>
      <w:r w:rsidR="00271A13">
        <w:t>based on ecological relation</w:t>
      </w:r>
      <w:r w:rsidR="00371301">
        <w:t xml:space="preserve">ship established </w:t>
      </w:r>
      <w:r w:rsidR="00AD195F">
        <w:t>in Europe</w:t>
      </w:r>
      <w:r w:rsidR="00B71C1C">
        <w:t xml:space="preserve"> (</w:t>
      </w:r>
      <w:r w:rsidR="00105640" w:rsidRPr="00753416">
        <w:t xml:space="preserve">e.g., </w:t>
      </w:r>
      <w:r w:rsidR="0008048F" w:rsidRPr="0008048F">
        <w:t>van der Werff and Huls</w:t>
      </w:r>
      <w:r w:rsidR="0008048F">
        <w:t>, 1958; Denys, 1991</w:t>
      </w:r>
      <w:r w:rsidR="00B71C1C">
        <w:t>)</w:t>
      </w:r>
      <w:r w:rsidR="00713F5C">
        <w:t>,</w:t>
      </w:r>
      <w:r w:rsidR="00C85650">
        <w:t xml:space="preserve"> </w:t>
      </w:r>
      <w:r w:rsidR="00713F5C" w:rsidRPr="00713F5C">
        <w:t xml:space="preserve">and </w:t>
      </w:r>
      <w:r w:rsidR="00B46452" w:rsidRPr="00B46452">
        <w:t xml:space="preserve">no </w:t>
      </w:r>
      <w:r w:rsidR="00B46452">
        <w:t xml:space="preserve">other </w:t>
      </w:r>
      <w:r w:rsidR="00B46452" w:rsidRPr="00B46452">
        <w:t>studies have statistically assessed the relationship between the vertical distribution of intertidal diatoms and key environmental variables</w:t>
      </w:r>
      <w:r w:rsidR="0008048F">
        <w:t>.</w:t>
      </w:r>
    </w:p>
    <w:p w14:paraId="02096ED4" w14:textId="77777777" w:rsidR="00601485" w:rsidRDefault="00601485" w:rsidP="00A7313B">
      <w:pPr>
        <w:rPr>
          <w:color w:val="000000" w:themeColor="text1"/>
        </w:rPr>
      </w:pPr>
    </w:p>
    <w:p w14:paraId="5B0D46C1" w14:textId="1642C9BC" w:rsidR="00A7313B" w:rsidRPr="00753416" w:rsidRDefault="00A7313B" w:rsidP="000E0159">
      <w:r w:rsidRPr="00A7313B">
        <w:t xml:space="preserve">Despite the complications discussed above, our multivariate analysis supports the well-established concept that foraminiferal assemblages are vertically zoned according to their tolerance to tidal inundation frequency and duration (Scott and </w:t>
      </w:r>
      <w:proofErr w:type="spellStart"/>
      <w:r w:rsidRPr="00A7313B">
        <w:t>Medioli</w:t>
      </w:r>
      <w:proofErr w:type="spellEnd"/>
      <w:r w:rsidRPr="00A7313B">
        <w:t xml:space="preserve">, 1978; Gehrels, 1994; </w:t>
      </w:r>
      <w:r w:rsidRPr="00A7313B">
        <w:lastRenderedPageBreak/>
        <w:t>Kemp et al., 2012), while diatom assemblages are primarily driven by salinity, which negatively covaries with elevation (e.g., Denys, 1991; Vos and de Wolf, 1993; Hill et al., 2007; Roe et al., 2009; Hassan et al., 2009; Tam et al., 2018). Together, the vertical zonation patterns of both foraminifera and diatoms demonstrate their potential utility as proxies in relative sea-level reconstruction (e.g., Sawai et al., 2004; Roe et al., 2009).</w:t>
      </w:r>
    </w:p>
    <w:p w14:paraId="0EE16EA5" w14:textId="77777777" w:rsidR="006C2D0F" w:rsidRPr="00753416" w:rsidRDefault="006C2D0F" w:rsidP="00521E2C">
      <w:pPr>
        <w:rPr>
          <w:i/>
          <w:iCs/>
        </w:rPr>
      </w:pPr>
    </w:p>
    <w:p w14:paraId="0940BFC4" w14:textId="4A204F88" w:rsidR="00192E43" w:rsidRDefault="00192E43" w:rsidP="00192E43">
      <w:pPr>
        <w:pStyle w:val="Heading3"/>
      </w:pPr>
      <w:r>
        <w:t>5.</w:t>
      </w:r>
      <w:r w:rsidR="00D4183E">
        <w:t>1</w:t>
      </w:r>
      <w:r>
        <w:t xml:space="preserve">.2 </w:t>
      </w:r>
      <w:r w:rsidRPr="009479F7">
        <w:t>A</w:t>
      </w:r>
      <w:r>
        <w:t>nalogy</w:t>
      </w:r>
      <w:r w:rsidR="00FC0BBF">
        <w:t xml:space="preserve"> between </w:t>
      </w:r>
      <w:r w:rsidR="00A7313B">
        <w:t>modern and fossil</w:t>
      </w:r>
      <w:r w:rsidR="00FC0BBF">
        <w:t xml:space="preserve"> assemblages</w:t>
      </w:r>
    </w:p>
    <w:p w14:paraId="704B736D" w14:textId="3CD189DA" w:rsidR="00A7313B" w:rsidRDefault="00A7313B" w:rsidP="00944D1D">
      <w:r w:rsidRPr="00A7313B">
        <w:t>Transfer functions require modern training sets analogous to fossil assemblages (Horton and Edwards, 2006b). Most core samples from MPSC01 have good analogues in the modern training sets,</w:t>
      </w:r>
      <w:r>
        <w:t xml:space="preserve"> but </w:t>
      </w:r>
      <w:r w:rsidR="00944D1D" w:rsidRPr="00753416">
        <w:t>t</w:t>
      </w:r>
      <w:r w:rsidR="00944D1D">
        <w:t>wo</w:t>
      </w:r>
      <w:r w:rsidR="00944D1D" w:rsidRPr="00753416">
        <w:t xml:space="preserve"> foraminifera samples</w:t>
      </w:r>
      <w:r w:rsidR="00944D1D">
        <w:t xml:space="preserve"> and one diatom sample</w:t>
      </w:r>
      <w:r w:rsidR="00944D1D" w:rsidRPr="00753416">
        <w:t xml:space="preserve"> f</w:t>
      </w:r>
      <w:r w:rsidR="00944D1D">
        <w:t>e</w:t>
      </w:r>
      <w:r w:rsidR="00944D1D" w:rsidRPr="00753416">
        <w:t xml:space="preserve">ll outside dissimilarity </w:t>
      </w:r>
      <w:r>
        <w:t>thresholds</w:t>
      </w:r>
      <w:r w:rsidR="00944D1D" w:rsidRPr="00753416">
        <w:t xml:space="preserve">, indicating </w:t>
      </w:r>
      <w:r>
        <w:t>poor</w:t>
      </w:r>
      <w:r w:rsidR="00944D1D" w:rsidRPr="00753416">
        <w:t xml:space="preserve"> analog</w:t>
      </w:r>
      <w:r>
        <w:t>y</w:t>
      </w:r>
      <w:r w:rsidR="00944D1D" w:rsidRPr="00753416">
        <w:t xml:space="preserve"> (Figure 7).</w:t>
      </w:r>
      <w:r w:rsidR="00AA2151">
        <w:t xml:space="preserve"> </w:t>
      </w:r>
      <w:r>
        <w:t>This can partly be explained by</w:t>
      </w:r>
      <w:r w:rsidR="002751B6">
        <w:t xml:space="preserve"> </w:t>
      </w:r>
      <w:r w:rsidR="00DA47D8">
        <w:t xml:space="preserve">1) </w:t>
      </w:r>
      <w:r>
        <w:t xml:space="preserve">the </w:t>
      </w:r>
      <w:r w:rsidR="00DA47D8">
        <w:t xml:space="preserve">greater </w:t>
      </w:r>
      <w:r w:rsidR="008A44CE">
        <w:t xml:space="preserve">taxonomic </w:t>
      </w:r>
      <w:r w:rsidR="004C366D">
        <w:t>diversity</w:t>
      </w:r>
      <w:r w:rsidR="008A44CE">
        <w:t xml:space="preserve"> of </w:t>
      </w:r>
      <w:r>
        <w:t>diatoms</w:t>
      </w:r>
      <w:r>
        <w:rPr>
          <w:rFonts w:ascii="Helvetica Neue" w:hAnsi="Helvetica Neue"/>
          <w:color w:val="262626"/>
          <w:shd w:val="clear" w:color="auto" w:fill="FFFFFF"/>
        </w:rPr>
        <w:t xml:space="preserve"> </w:t>
      </w:r>
      <w:r w:rsidRPr="00A7313B">
        <w:t>(178 taxa vs. 22 foraminifera taxa)</w:t>
      </w:r>
      <w:r>
        <w:t>,</w:t>
      </w:r>
      <w:r w:rsidR="00DA47D8">
        <w:t xml:space="preserve"> and 2)</w:t>
      </w:r>
      <w:r w:rsidR="00AA2151">
        <w:t xml:space="preserve"> </w:t>
      </w:r>
      <w:r w:rsidR="00992540">
        <w:t>the lack of modern analogues of past nutrient influx and energy dynamics.</w:t>
      </w:r>
      <w:r>
        <w:t xml:space="preserve"> The</w:t>
      </w:r>
      <w:r w:rsidR="00616EFA" w:rsidRPr="001E3899">
        <w:t xml:space="preserve"> </w:t>
      </w:r>
      <w:r w:rsidR="00616EFA">
        <w:t>higher</w:t>
      </w:r>
      <w:r w:rsidR="00616EFA" w:rsidRPr="001E3899">
        <w:t xml:space="preserve"> diversity </w:t>
      </w:r>
      <w:r w:rsidR="007C47F9">
        <w:t xml:space="preserve">of diatoms </w:t>
      </w:r>
      <w:r w:rsidR="00616EFA" w:rsidRPr="001E3899">
        <w:t xml:space="preserve">increases assemblage complexity and the likelihood of encountering fossil taxa that are underrepresented or absent in the modern training set. For instance, none of the surface samples contained more than 5% </w:t>
      </w:r>
      <w:proofErr w:type="spellStart"/>
      <w:r w:rsidR="00616EFA" w:rsidRPr="00116EDC">
        <w:rPr>
          <w:i/>
          <w:iCs/>
        </w:rPr>
        <w:t>Giffenia</w:t>
      </w:r>
      <w:proofErr w:type="spellEnd"/>
      <w:r w:rsidR="00616EFA" w:rsidRPr="00116EDC">
        <w:rPr>
          <w:i/>
          <w:iCs/>
        </w:rPr>
        <w:t xml:space="preserve"> </w:t>
      </w:r>
      <w:proofErr w:type="spellStart"/>
      <w:r w:rsidR="00616EFA" w:rsidRPr="00116EDC">
        <w:rPr>
          <w:i/>
          <w:iCs/>
        </w:rPr>
        <w:t>coconeiformis</w:t>
      </w:r>
      <w:proofErr w:type="spellEnd"/>
      <w:r w:rsidR="00616EFA" w:rsidRPr="001E3899">
        <w:t xml:space="preserve">, yet </w:t>
      </w:r>
      <w:r w:rsidR="007173B0" w:rsidRPr="001E3899">
        <w:t xml:space="preserve">this </w:t>
      </w:r>
      <w:r>
        <w:t>species</w:t>
      </w:r>
      <w:r w:rsidRPr="001E3899">
        <w:t xml:space="preserve"> </w:t>
      </w:r>
      <w:r w:rsidR="00616EFA" w:rsidRPr="001E3899">
        <w:t>reached up to 10% in core assemblages below 2 m PD (Figure 7)</w:t>
      </w:r>
      <w:r>
        <w:t xml:space="preserve">, </w:t>
      </w:r>
      <w:r w:rsidR="00760E55">
        <w:t>contribut</w:t>
      </w:r>
      <w:r>
        <w:t>ing</w:t>
      </w:r>
      <w:r w:rsidR="00760E55">
        <w:t xml:space="preserve"> to the </w:t>
      </w:r>
      <w:r>
        <w:t xml:space="preserve">poor analogy </w:t>
      </w:r>
      <w:r w:rsidR="00760E55">
        <w:t xml:space="preserve">and </w:t>
      </w:r>
      <w:r>
        <w:t>greater</w:t>
      </w:r>
      <w:r w:rsidR="00760E55">
        <w:t xml:space="preserve"> PME </w:t>
      </w:r>
      <w:r>
        <w:t xml:space="preserve">prediction </w:t>
      </w:r>
      <w:r w:rsidR="00760E55">
        <w:t xml:space="preserve">uncertainty </w:t>
      </w:r>
      <w:r w:rsidR="00FD4871">
        <w:t xml:space="preserve">range </w:t>
      </w:r>
      <w:r w:rsidR="00760E55">
        <w:t xml:space="preserve">(5–40 SWLI units) </w:t>
      </w:r>
      <w:r>
        <w:t>for that core sample</w:t>
      </w:r>
      <w:r w:rsidR="00760E55">
        <w:t>. Our result aligns with previous findings that highly diverse diatom assemblages often differ between modern and fossil samples (</w:t>
      </w:r>
      <w:r w:rsidR="00105640" w:rsidRPr="00753416">
        <w:t xml:space="preserve">e.g., </w:t>
      </w:r>
      <w:r w:rsidR="00760E55">
        <w:t>Gehrels et al., 2001; Kemp et al., 2009)</w:t>
      </w:r>
      <w:r w:rsidR="00832E8C">
        <w:t>.</w:t>
      </w:r>
    </w:p>
    <w:p w14:paraId="0B0D8CF4" w14:textId="77777777" w:rsidR="00A7313B" w:rsidRDefault="00A7313B" w:rsidP="00944D1D"/>
    <w:p w14:paraId="5AD9A50B" w14:textId="5A4FCE0C" w:rsidR="007C4811" w:rsidRDefault="00476760" w:rsidP="00944D1D">
      <w:r>
        <w:t>A</w:t>
      </w:r>
      <w:r w:rsidR="00944D1D" w:rsidRPr="00116EDC">
        <w:t xml:space="preserve">nthropogenic factors may explain the poor </w:t>
      </w:r>
      <w:r w:rsidR="00944D1D" w:rsidRPr="00753416">
        <w:t xml:space="preserve">analogy </w:t>
      </w:r>
      <w:r w:rsidR="00944D1D">
        <w:t>for core</w:t>
      </w:r>
      <w:r w:rsidR="00944D1D" w:rsidRPr="00753416">
        <w:t xml:space="preserve"> foraminiferal samples at 1.85 and 1.95 m PD, due to the occurrence of </w:t>
      </w:r>
      <w:proofErr w:type="spellStart"/>
      <w:r w:rsidR="00944D1D" w:rsidRPr="00116EDC">
        <w:rPr>
          <w:i/>
          <w:iCs/>
        </w:rPr>
        <w:t>A</w:t>
      </w:r>
      <w:r w:rsidR="00944D1D" w:rsidRPr="006D2C18">
        <w:rPr>
          <w:i/>
          <w:iCs/>
        </w:rPr>
        <w:t>mmoastuta</w:t>
      </w:r>
      <w:proofErr w:type="spellEnd"/>
      <w:r w:rsidR="00944D1D" w:rsidRPr="006D2C18">
        <w:rPr>
          <w:i/>
          <w:iCs/>
        </w:rPr>
        <w:t xml:space="preserve"> </w:t>
      </w:r>
      <w:proofErr w:type="spellStart"/>
      <w:r w:rsidR="00944D1D" w:rsidRPr="006D2C18">
        <w:rPr>
          <w:i/>
          <w:iCs/>
        </w:rPr>
        <w:t>inepta</w:t>
      </w:r>
      <w:proofErr w:type="spellEnd"/>
      <w:r w:rsidR="00944D1D" w:rsidRPr="00753416">
        <w:t xml:space="preserve"> and </w:t>
      </w:r>
      <w:r w:rsidR="00944D1D" w:rsidRPr="006D2C18">
        <w:rPr>
          <w:i/>
          <w:iCs/>
        </w:rPr>
        <w:t xml:space="preserve">Ammonia </w:t>
      </w:r>
      <w:proofErr w:type="spellStart"/>
      <w:r w:rsidR="00944D1D" w:rsidRPr="006D2C18">
        <w:rPr>
          <w:i/>
          <w:iCs/>
        </w:rPr>
        <w:t>convexa</w:t>
      </w:r>
      <w:proofErr w:type="spellEnd"/>
      <w:r w:rsidR="00CB51B1">
        <w:t xml:space="preserve">, which </w:t>
      </w:r>
      <w:r w:rsidR="00944D1D" w:rsidRPr="00753416">
        <w:t xml:space="preserve">are </w:t>
      </w:r>
      <w:r w:rsidR="00A7313B">
        <w:t>absent from</w:t>
      </w:r>
      <w:r w:rsidR="00944D1D" w:rsidRPr="00753416">
        <w:t xml:space="preserve"> the modern training set. </w:t>
      </w:r>
      <w:r w:rsidR="00A7313B" w:rsidRPr="00A7313B">
        <w:t>Both species have been recorded in modern mangroves from Malaysia (Culver and Horton, 2005), French Polynesia (Langer and Lipps, 2006), and the Philippines (Berdin et al., 2003</w:t>
      </w:r>
      <w:proofErr w:type="gramStart"/>
      <w:r w:rsidR="00A7313B" w:rsidRPr="00A7313B">
        <w:t>), and</w:t>
      </w:r>
      <w:proofErr w:type="gramEnd"/>
      <w:r w:rsidR="00A7313B" w:rsidRPr="00A7313B">
        <w:t xml:space="preserve"> appear better adapted to freshwater influence or pollution.</w:t>
      </w:r>
      <w:r w:rsidR="00A7313B">
        <w:t xml:space="preserve"> </w:t>
      </w:r>
      <w:r w:rsidR="00944D1D" w:rsidRPr="00482D8F">
        <w:rPr>
          <w:i/>
          <w:iCs/>
        </w:rPr>
        <w:t xml:space="preserve">A. </w:t>
      </w:r>
      <w:proofErr w:type="spellStart"/>
      <w:r w:rsidR="00944D1D" w:rsidRPr="00482D8F">
        <w:rPr>
          <w:i/>
          <w:iCs/>
        </w:rPr>
        <w:t>inepta</w:t>
      </w:r>
      <w:proofErr w:type="spellEnd"/>
      <w:r w:rsidR="00944D1D" w:rsidRPr="00482D8F">
        <w:rPr>
          <w:i/>
          <w:iCs/>
        </w:rPr>
        <w:t xml:space="preserve"> </w:t>
      </w:r>
      <w:r w:rsidR="00A7313B">
        <w:t>is commonly found</w:t>
      </w:r>
      <w:r w:rsidR="00944D1D" w:rsidRPr="00482D8F">
        <w:t xml:space="preserve"> in saltmarsh environments characterised by strong fluvial influence and low salinity in New Jersey (Kemp et al., 2013a) and in hydrodynamic tidal channels such as the Little Manatee River and Nassau River in the USA (Gerlach et al., 2017). The species has also been observed near tidal channels connected to lagoons in the Arabian Gulf (Amao et al., 2016) and nearshore environments of the Red Sea (Abu-Zied et al., 2011) where fluvial influence or wave energy is high. Additionally, </w:t>
      </w:r>
      <w:r w:rsidR="00944D1D" w:rsidRPr="00482D8F">
        <w:rPr>
          <w:i/>
          <w:iCs/>
        </w:rPr>
        <w:t xml:space="preserve">A. </w:t>
      </w:r>
      <w:proofErr w:type="spellStart"/>
      <w:r w:rsidR="00944D1D" w:rsidRPr="00482D8F">
        <w:rPr>
          <w:i/>
          <w:iCs/>
        </w:rPr>
        <w:t>convexa</w:t>
      </w:r>
      <w:proofErr w:type="spellEnd"/>
      <w:r w:rsidR="00944D1D" w:rsidRPr="00482D8F">
        <w:t xml:space="preserve"> have been shown to be </w:t>
      </w:r>
      <w:r w:rsidR="00944D1D" w:rsidRPr="00482D8F">
        <w:lastRenderedPageBreak/>
        <w:t>capable of withstanding</w:t>
      </w:r>
      <w:r w:rsidR="00944D1D" w:rsidRPr="00116EDC">
        <w:t xml:space="preserve"> pollution from municipal sewage outlets, chemical and thermal effluents, and fertilizer byproducts in heavily industrialized port areas (</w:t>
      </w:r>
      <w:proofErr w:type="spellStart"/>
      <w:r w:rsidR="00944D1D" w:rsidRPr="00116EDC">
        <w:t>Fajemila</w:t>
      </w:r>
      <w:proofErr w:type="spellEnd"/>
      <w:r w:rsidR="00944D1D" w:rsidRPr="00116EDC">
        <w:t xml:space="preserve"> et al., 2020). </w:t>
      </w:r>
      <w:r w:rsidR="00A7313B" w:rsidRPr="00A7313B">
        <w:t xml:space="preserve">Similarly, the core diatom sample at 1.80 m PD is enriched in </w:t>
      </w:r>
      <w:proofErr w:type="spellStart"/>
      <w:r w:rsidR="00A7313B" w:rsidRPr="00A7313B">
        <w:rPr>
          <w:i/>
          <w:iCs/>
        </w:rPr>
        <w:t>Gyrosigma</w:t>
      </w:r>
      <w:proofErr w:type="spellEnd"/>
      <w:r w:rsidR="00A7313B" w:rsidRPr="00A7313B">
        <w:rPr>
          <w:i/>
          <w:iCs/>
        </w:rPr>
        <w:t xml:space="preserve"> </w:t>
      </w:r>
      <w:proofErr w:type="spellStart"/>
      <w:r w:rsidR="00A7313B" w:rsidRPr="00A7313B">
        <w:rPr>
          <w:i/>
          <w:iCs/>
        </w:rPr>
        <w:t>beaufortianum</w:t>
      </w:r>
      <w:proofErr w:type="spellEnd"/>
      <w:r w:rsidR="00A7313B" w:rsidRPr="00A7313B">
        <w:t xml:space="preserve"> (19.9%), exceeding its maximum abundance in the modern set (12.8%). While specific pollution tolerance data for </w:t>
      </w:r>
      <w:r w:rsidR="00A7313B" w:rsidRPr="00A7313B">
        <w:rPr>
          <w:i/>
          <w:iCs/>
        </w:rPr>
        <w:t xml:space="preserve">G. </w:t>
      </w:r>
      <w:proofErr w:type="spellStart"/>
      <w:r w:rsidR="00A7313B" w:rsidRPr="00A7313B">
        <w:rPr>
          <w:i/>
          <w:iCs/>
        </w:rPr>
        <w:t>beaufortianum</w:t>
      </w:r>
      <w:proofErr w:type="spellEnd"/>
      <w:r w:rsidR="00A7313B" w:rsidRPr="00A7313B">
        <w:t xml:space="preserve"> are limited, related </w:t>
      </w:r>
      <w:proofErr w:type="spellStart"/>
      <w:r w:rsidR="00A7313B" w:rsidRPr="00A7313B">
        <w:rPr>
          <w:i/>
          <w:iCs/>
        </w:rPr>
        <w:t>Gyrosigma</w:t>
      </w:r>
      <w:proofErr w:type="spellEnd"/>
      <w:r w:rsidR="00A7313B" w:rsidRPr="00A7313B">
        <w:t xml:space="preserve"> species thrive in coastal areas with elevated organic loads and resist heavy metal pollution (Fisher, 1981; </w:t>
      </w:r>
      <w:proofErr w:type="spellStart"/>
      <w:r w:rsidR="00A7313B" w:rsidRPr="00A7313B">
        <w:t>Cibic</w:t>
      </w:r>
      <w:proofErr w:type="spellEnd"/>
      <w:r w:rsidR="00A7313B" w:rsidRPr="00A7313B">
        <w:t xml:space="preserve"> et al., 2012; Du et al., 2017; Franzo et al., 2014).</w:t>
      </w:r>
      <w:r w:rsidR="00944D1D" w:rsidRPr="00116EDC">
        <w:t xml:space="preserve"> </w:t>
      </w:r>
    </w:p>
    <w:p w14:paraId="047A5A8C" w14:textId="77777777" w:rsidR="007C4811" w:rsidRDefault="007C4811" w:rsidP="00944D1D"/>
    <w:p w14:paraId="6A1D5E9C" w14:textId="4DA242D7" w:rsidR="00944D1D" w:rsidRPr="001B2703" w:rsidRDefault="00A7313B" w:rsidP="005A7B9A">
      <w:pPr>
        <w:rPr>
          <w:b/>
          <w:bCs/>
        </w:rPr>
      </w:pPr>
      <w:r w:rsidRPr="00A7313B">
        <w:t xml:space="preserve">Before its Ramsar designation in 1995, Mai Po’s coastal wetlands were reclaimed for paddy farming and Gei Wai shrimp ponds between the </w:t>
      </w:r>
      <w:r w:rsidR="00944D1D" w:rsidRPr="00116EDC">
        <w:t xml:space="preserve">1940s to 1970s (Melville and Morton, 1993). </w:t>
      </w:r>
      <w:r w:rsidRPr="00A7313B">
        <w:t xml:space="preserve">Pollutant loads from the adjacent Shenzhen River increased from 1985, peaking in 1994 (Qin et al., 2014). Frequent freshwater and pollutant influxes—including heavy metals and fertilizers (Li et al., 2019b)—combined with the core site’s proximity to the less sheltered mangrove fringe, likely created a higher-energy, lower-salinity, and more polluted environment </w:t>
      </w:r>
      <w:proofErr w:type="spellStart"/>
      <w:r w:rsidRPr="00A7313B">
        <w:t>favoring</w:t>
      </w:r>
      <w:proofErr w:type="spellEnd"/>
      <w:r w:rsidRPr="00A7313B">
        <w:t xml:space="preserve"> these tolerant species.</w:t>
      </w:r>
      <w:r>
        <w:t xml:space="preserve"> Additionally</w:t>
      </w:r>
      <w:r w:rsidR="00944D1D" w:rsidRPr="00116EDC">
        <w:t xml:space="preserve">, </w:t>
      </w:r>
      <w:r w:rsidRPr="00A7313B">
        <w:t>mangrove management practices in Mai Po</w:t>
      </w:r>
      <w:r w:rsidR="00944D1D" w:rsidRPr="00116EDC">
        <w:t xml:space="preserve"> may have </w:t>
      </w:r>
      <w:r>
        <w:t>altered</w:t>
      </w:r>
      <w:r w:rsidRPr="00116EDC">
        <w:t xml:space="preserve"> </w:t>
      </w:r>
      <w:r w:rsidR="001D776B">
        <w:t>the environmental variables (</w:t>
      </w:r>
      <w:r w:rsidR="00105640" w:rsidRPr="00753416">
        <w:t xml:space="preserve">e.g., </w:t>
      </w:r>
      <w:r w:rsidR="003B68EA">
        <w:t xml:space="preserve">grain size and </w:t>
      </w:r>
      <w:r w:rsidR="001D776B">
        <w:t xml:space="preserve">TOC) of </w:t>
      </w:r>
      <w:r w:rsidR="00944D1D" w:rsidRPr="00116EDC">
        <w:t xml:space="preserve">natural habitats occupied by species typically found between MTL and MHHW, such as </w:t>
      </w:r>
      <w:r w:rsidR="00944D1D" w:rsidRPr="00116EDC">
        <w:rPr>
          <w:i/>
          <w:iCs/>
        </w:rPr>
        <w:t xml:space="preserve">H. </w:t>
      </w:r>
      <w:proofErr w:type="spellStart"/>
      <w:r w:rsidR="00944D1D" w:rsidRPr="00116EDC">
        <w:rPr>
          <w:i/>
          <w:iCs/>
        </w:rPr>
        <w:t>wilberti</w:t>
      </w:r>
      <w:proofErr w:type="spellEnd"/>
      <w:r w:rsidR="00944D1D" w:rsidRPr="00116EDC">
        <w:t xml:space="preserve"> (Kemp et al., 2009; Hayward et al., 2014). </w:t>
      </w:r>
      <w:r w:rsidR="00A0313F">
        <w:t>These a</w:t>
      </w:r>
      <w:r w:rsidR="00A0313F" w:rsidRPr="00116EDC">
        <w:t>n</w:t>
      </w:r>
      <w:r w:rsidR="00A0313F">
        <w:t>thropogenic alternation</w:t>
      </w:r>
      <w:r w:rsidR="00A355FC">
        <w:t>s</w:t>
      </w:r>
      <w:r>
        <w:t xml:space="preserve"> </w:t>
      </w:r>
      <w:r w:rsidR="00944D1D" w:rsidRPr="00116EDC">
        <w:t>may have resulted in the absence of suitable analogues, thereby creating bias in PME predictions</w:t>
      </w:r>
      <w:r w:rsidR="005A7B9A">
        <w:t xml:space="preserve">. </w:t>
      </w:r>
      <w:r w:rsidR="00C468F5">
        <w:t>Our findings</w:t>
      </w:r>
      <w:r w:rsidR="00346368">
        <w:t xml:space="preserve"> underscore the importance of expanding the training set by incorporating additional </w:t>
      </w:r>
      <w:r w:rsidR="00C5034D">
        <w:t>samples</w:t>
      </w:r>
      <w:r w:rsidR="00346368">
        <w:t xml:space="preserve"> from a broader range of environments not represented in this study, particularly </w:t>
      </w:r>
      <w:r w:rsidR="00C5034D">
        <w:t xml:space="preserve">those with </w:t>
      </w:r>
      <w:r w:rsidR="00346368">
        <w:t>more dynamic settings characterised by higher discharge velocities.</w:t>
      </w:r>
      <w:r w:rsidR="00C501D6">
        <w:t xml:space="preserve"> </w:t>
      </w:r>
      <w:r w:rsidR="0059080A" w:rsidRPr="0059080A">
        <w:t xml:space="preserve">This expansion is </w:t>
      </w:r>
      <w:r w:rsidR="0059080A">
        <w:t>also</w:t>
      </w:r>
      <w:r w:rsidR="0059080A" w:rsidRPr="0059080A">
        <w:t xml:space="preserve"> critical for identifying suitable analogues for fossil diatom samples, given their greater taxonomic variability and the likelihood of increased environmental heterogeneity during the earlier Holocene</w:t>
      </w:r>
      <w:r w:rsidR="0059080A">
        <w:t xml:space="preserve"> (Wilson and Lamb, 2012)</w:t>
      </w:r>
      <w:r w:rsidR="00440D3F">
        <w:t>.</w:t>
      </w:r>
      <w:r w:rsidR="0059080A">
        <w:t xml:space="preserve"> </w:t>
      </w:r>
      <w:r w:rsidR="00440D3F">
        <w:t xml:space="preserve"> </w:t>
      </w:r>
    </w:p>
    <w:p w14:paraId="609CC144" w14:textId="77777777" w:rsidR="00D4183E" w:rsidRDefault="00D4183E" w:rsidP="00944D1D"/>
    <w:p w14:paraId="3C365C30" w14:textId="481FC484" w:rsidR="00D4183E" w:rsidRDefault="00D4183E" w:rsidP="00D4183E">
      <w:pPr>
        <w:pStyle w:val="Heading3"/>
      </w:pPr>
      <w:r w:rsidRPr="00FE398C">
        <w:t>5.</w:t>
      </w:r>
      <w:r>
        <w:t>1</w:t>
      </w:r>
      <w:r w:rsidRPr="00FE398C">
        <w:t>.</w:t>
      </w:r>
      <w:r>
        <w:t>3</w:t>
      </w:r>
      <w:r w:rsidRPr="00FE398C">
        <w:t xml:space="preserve"> </w:t>
      </w:r>
      <w:r w:rsidRPr="000335F0">
        <w:t xml:space="preserve">Taphonomy and preservation of </w:t>
      </w:r>
      <w:r>
        <w:t xml:space="preserve">fossil samples </w:t>
      </w:r>
    </w:p>
    <w:p w14:paraId="745E38D0" w14:textId="0E38A4D1" w:rsidR="00D4183E" w:rsidRPr="00381772" w:rsidRDefault="00101CBA" w:rsidP="00944D1D">
      <w:r>
        <w:t>P</w:t>
      </w:r>
      <w:r w:rsidRPr="00EE157E">
        <w:t>oor preservation of microfossils may bias comparisons between modern and fossil assemblages (Goldstein and Watkins, 1999; Barbieri, 2001)</w:t>
      </w:r>
      <w:r w:rsidR="00A7313B">
        <w:t xml:space="preserve">. </w:t>
      </w:r>
      <w:r w:rsidR="00A7313B" w:rsidRPr="00A7313B">
        <w:t>Diatom frustules and foraminiferal tests differ in their preservation within mangrove sedimentary environments, which affects their performance as paleoenvironmental proxies. Diatom densities remain</w:t>
      </w:r>
      <w:r w:rsidR="00A7313B">
        <w:t>ed</w:t>
      </w:r>
      <w:r w:rsidR="00A7313B" w:rsidRPr="00A7313B">
        <w:t xml:space="preserve"> relatively stable throughout the cor</w:t>
      </w:r>
      <w:r w:rsidR="00A7313B">
        <w:t>e (&gt;</w:t>
      </w:r>
      <w:r w:rsidR="00A7313B" w:rsidRPr="00A7313B">
        <w:t>300 individuals per 10 cm³</w:t>
      </w:r>
      <w:r w:rsidR="00A7313B">
        <w:t>),</w:t>
      </w:r>
      <w:r w:rsidR="00A7313B" w:rsidRPr="00A7313B">
        <w:t xml:space="preserve"> indicating consistent preservation despite </w:t>
      </w:r>
      <w:r w:rsidR="00A7313B" w:rsidRPr="00A7313B">
        <w:lastRenderedPageBreak/>
        <w:t>the challenges posed by high species diversity and assemblage variability. In contrast, foraminiferal densities decrease</w:t>
      </w:r>
      <w:r w:rsidR="00A7313B">
        <w:t>d</w:t>
      </w:r>
      <w:r w:rsidR="00A7313B" w:rsidRPr="00A7313B">
        <w:t xml:space="preserve"> below 100 individuals per 10 cm³ in the lower sections of the core, suggesting preservation bias. Foraminiferal preservation is influenced by dissolution, degradation, and bioturbation. </w:t>
      </w:r>
      <w:r w:rsidR="00A7313B" w:rsidRPr="00EE157E">
        <w:t xml:space="preserve">The dissolution of calcareous foraminiferal tests complicates species identification and </w:t>
      </w:r>
      <w:r w:rsidR="00A7313B">
        <w:t>part</w:t>
      </w:r>
      <w:r w:rsidR="00A7313B" w:rsidRPr="00EE157E">
        <w:t>ly contributed to the reduced foraminiferal density</w:t>
      </w:r>
      <w:r w:rsidR="00A7313B">
        <w:t xml:space="preserve"> </w:t>
      </w:r>
      <w:r w:rsidR="00A7313B" w:rsidRPr="00EE157E">
        <w:t xml:space="preserve">(Supplementary </w:t>
      </w:r>
      <w:r w:rsidR="00A7313B">
        <w:t>f</w:t>
      </w:r>
      <w:r w:rsidR="00A7313B" w:rsidRPr="00EE157E">
        <w:t>igure 5).</w:t>
      </w:r>
      <w:r w:rsidR="00A7313B">
        <w:t xml:space="preserve"> Dissolution can be driven by low pH </w:t>
      </w:r>
      <w:r w:rsidR="006828A6">
        <w:t>resulting from carbonic acid produced by decomposition of</w:t>
      </w:r>
      <w:r w:rsidR="00A7313B">
        <w:t xml:space="preserve"> organic matter</w:t>
      </w:r>
      <w:r w:rsidR="006828A6">
        <w:t>.</w:t>
      </w:r>
      <w:r w:rsidR="00A7313B">
        <w:t xml:space="preserve"> </w:t>
      </w:r>
      <w:r w:rsidR="006828A6">
        <w:t>I</w:t>
      </w:r>
      <w:r w:rsidR="00A7313B">
        <w:t xml:space="preserve">n the terrestrial transition and mangrove zones at transect MP_B in SK, pH can drop below 5 (Figure 1C) (Berkeley et al., 2007; Horton, 1999). A pH of 7 for 35 days is enough to decalcify </w:t>
      </w:r>
      <w:r w:rsidR="00A7313B" w:rsidRPr="00A9754F">
        <w:rPr>
          <w:i/>
          <w:iCs/>
        </w:rPr>
        <w:t xml:space="preserve">A. </w:t>
      </w:r>
      <w:proofErr w:type="spellStart"/>
      <w:r w:rsidR="00A7313B" w:rsidRPr="00A9754F">
        <w:rPr>
          <w:i/>
          <w:iCs/>
        </w:rPr>
        <w:t>beccarii</w:t>
      </w:r>
      <w:proofErr w:type="spellEnd"/>
      <w:r w:rsidR="00A7313B">
        <w:t xml:space="preserve">, which may explain the loss of chamber walls in calcareous species (Le Cadre et al., 2003). </w:t>
      </w:r>
      <w:r w:rsidR="00A7313B" w:rsidRPr="00722933">
        <w:t xml:space="preserve">Additionally, differential degradation rates among agglutinated taxa may introduce further bias in core assemblages. </w:t>
      </w:r>
      <w:r w:rsidR="00A7313B" w:rsidRPr="00116EDC">
        <w:rPr>
          <w:i/>
          <w:iCs/>
        </w:rPr>
        <w:t xml:space="preserve">A. </w:t>
      </w:r>
      <w:proofErr w:type="spellStart"/>
      <w:r w:rsidR="00A7313B" w:rsidRPr="00116EDC">
        <w:rPr>
          <w:i/>
          <w:iCs/>
        </w:rPr>
        <w:t>mexicana</w:t>
      </w:r>
      <w:proofErr w:type="spellEnd"/>
      <w:r w:rsidR="00A7313B" w:rsidRPr="00722933">
        <w:t xml:space="preserve">, </w:t>
      </w:r>
      <w:r w:rsidR="00A7313B" w:rsidRPr="00116EDC">
        <w:rPr>
          <w:i/>
          <w:iCs/>
        </w:rPr>
        <w:t xml:space="preserve">H. </w:t>
      </w:r>
      <w:proofErr w:type="spellStart"/>
      <w:r w:rsidR="00A7313B" w:rsidRPr="00116EDC">
        <w:rPr>
          <w:i/>
          <w:iCs/>
        </w:rPr>
        <w:t>wilberti</w:t>
      </w:r>
      <w:proofErr w:type="spellEnd"/>
      <w:r w:rsidR="00A7313B" w:rsidRPr="00722933">
        <w:t xml:space="preserve">, and </w:t>
      </w:r>
      <w:r w:rsidR="00A7313B" w:rsidRPr="00116EDC">
        <w:rPr>
          <w:i/>
          <w:iCs/>
        </w:rPr>
        <w:t xml:space="preserve">T. </w:t>
      </w:r>
      <w:proofErr w:type="spellStart"/>
      <w:r w:rsidR="00A7313B" w:rsidRPr="00116EDC">
        <w:rPr>
          <w:i/>
          <w:iCs/>
        </w:rPr>
        <w:t>inflata</w:t>
      </w:r>
      <w:proofErr w:type="spellEnd"/>
      <w:r w:rsidR="00A7313B" w:rsidRPr="00722933">
        <w:t xml:space="preserve"> are relatively resistant to post-mortem breakage and disintegration</w:t>
      </w:r>
      <w:r w:rsidR="006828A6">
        <w:t xml:space="preserve"> because their</w:t>
      </w:r>
      <w:r w:rsidR="00A7313B" w:rsidRPr="00722933">
        <w:t xml:space="preserve"> </w:t>
      </w:r>
      <w:r w:rsidR="006828A6">
        <w:t>tests</w:t>
      </w:r>
      <w:r w:rsidR="00A7313B" w:rsidRPr="00722933">
        <w:t xml:space="preserve"> </w:t>
      </w:r>
      <w:r w:rsidR="006828A6">
        <w:t xml:space="preserve">are composed of </w:t>
      </w:r>
      <w:r w:rsidR="00A7313B" w:rsidRPr="00722933">
        <w:t>finer particles, offer</w:t>
      </w:r>
      <w:r w:rsidR="006828A6">
        <w:t>ing</w:t>
      </w:r>
      <w:r w:rsidR="00A7313B" w:rsidRPr="00722933">
        <w:t xml:space="preserve"> greater structural integrity</w:t>
      </w:r>
      <w:r w:rsidR="006828A6">
        <w:t xml:space="preserve"> (</w:t>
      </w:r>
      <w:r w:rsidR="00B75657" w:rsidRPr="00B92EB6">
        <w:t>Culver and Horton, 2005</w:t>
      </w:r>
      <w:r w:rsidR="006828A6">
        <w:t>)</w:t>
      </w:r>
      <w:r w:rsidR="00A7313B" w:rsidRPr="00722933">
        <w:t xml:space="preserve">. </w:t>
      </w:r>
      <w:r w:rsidR="00A7313B" w:rsidRPr="002E5ED3">
        <w:t xml:space="preserve">In contrast, </w:t>
      </w:r>
      <w:r w:rsidR="00A7313B" w:rsidRPr="00116EDC">
        <w:rPr>
          <w:i/>
          <w:iCs/>
        </w:rPr>
        <w:t>M</w:t>
      </w:r>
      <w:r w:rsidR="00A7313B" w:rsidRPr="002E5ED3">
        <w:rPr>
          <w:i/>
          <w:iCs/>
        </w:rPr>
        <w:t>.</w:t>
      </w:r>
      <w:r w:rsidR="00A7313B" w:rsidRPr="00116EDC">
        <w:rPr>
          <w:i/>
          <w:iCs/>
        </w:rPr>
        <w:t xml:space="preserve"> </w:t>
      </w:r>
      <w:proofErr w:type="spellStart"/>
      <w:r w:rsidR="00A7313B" w:rsidRPr="00116EDC">
        <w:rPr>
          <w:i/>
          <w:iCs/>
        </w:rPr>
        <w:t>fusca</w:t>
      </w:r>
      <w:proofErr w:type="spellEnd"/>
      <w:r w:rsidR="00A7313B" w:rsidRPr="002E5ED3">
        <w:t xml:space="preserve"> is more susceptible to degradation</w:t>
      </w:r>
      <w:r w:rsidR="006828A6">
        <w:t>;</w:t>
      </w:r>
      <w:r w:rsidR="00A7313B" w:rsidRPr="002E5ED3">
        <w:t xml:space="preserve"> bacterial activity can break down the cement binding the agglutinated particles (Goldstein and Watkins, 1998; 1999; Culver and Horton, 2005). This</w:t>
      </w:r>
      <w:r w:rsidR="00A7313B" w:rsidRPr="00116EDC">
        <w:t xml:space="preserve"> differential degradation</w:t>
      </w:r>
      <w:r w:rsidR="00A7313B" w:rsidRPr="002E5ED3">
        <w:t xml:space="preserve"> may account for the reduced abundance of </w:t>
      </w:r>
      <w:proofErr w:type="spellStart"/>
      <w:r w:rsidR="00A7313B" w:rsidRPr="00116EDC">
        <w:rPr>
          <w:i/>
          <w:iCs/>
        </w:rPr>
        <w:t>Miliammina</w:t>
      </w:r>
      <w:proofErr w:type="spellEnd"/>
      <w:r w:rsidR="00A7313B" w:rsidRPr="002E5ED3">
        <w:t xml:space="preserve"> spp.</w:t>
      </w:r>
      <w:r w:rsidR="00A7313B" w:rsidRPr="00116EDC">
        <w:t xml:space="preserve"> </w:t>
      </w:r>
      <w:r w:rsidR="00A7313B" w:rsidRPr="002E5ED3">
        <w:t xml:space="preserve">in core assemblages and the </w:t>
      </w:r>
      <w:r w:rsidR="00A7313B" w:rsidRPr="00116EDC">
        <w:t xml:space="preserve">associated </w:t>
      </w:r>
      <w:r w:rsidR="00A7313B" w:rsidRPr="002E5ED3">
        <w:t xml:space="preserve">misfit in </w:t>
      </w:r>
      <w:r w:rsidR="00A7313B" w:rsidRPr="00116EDC">
        <w:t xml:space="preserve">F- and D-BTF </w:t>
      </w:r>
      <w:r w:rsidR="00A7313B" w:rsidRPr="002E5ED3">
        <w:t xml:space="preserve">PME predictions between 2.2 and 1.85 m PD (Figure 7). </w:t>
      </w:r>
      <w:r w:rsidR="00A7313B">
        <w:t>Becaus</w:t>
      </w:r>
      <w:r w:rsidR="00A7313B" w:rsidRPr="00A7313B">
        <w:t xml:space="preserve">e </w:t>
      </w:r>
      <w:proofErr w:type="spellStart"/>
      <w:r w:rsidR="00A7313B" w:rsidRPr="00A7313B">
        <w:rPr>
          <w:i/>
          <w:iCs/>
        </w:rPr>
        <w:t>Miliammina</w:t>
      </w:r>
      <w:proofErr w:type="spellEnd"/>
      <w:r w:rsidR="00A7313B" w:rsidRPr="00A7313B">
        <w:t xml:space="preserve"> spp. </w:t>
      </w:r>
      <w:r w:rsidR="00A7313B">
        <w:t>has the greatest abundance</w:t>
      </w:r>
      <w:r w:rsidR="00A7313B" w:rsidRPr="00A7313B">
        <w:t xml:space="preserve"> between 178 and 304 SWLI units (Figure 5), </w:t>
      </w:r>
      <w:r w:rsidR="00A7313B">
        <w:t xml:space="preserve">its post-mortem </w:t>
      </w:r>
      <w:r w:rsidR="00A7313B" w:rsidRPr="00A7313B">
        <w:t xml:space="preserve">loss may weaken the elevation signal, leading to underprediction of PME and overestimation of RSL. </w:t>
      </w:r>
      <w:r w:rsidR="00A7313B" w:rsidRPr="002E5ED3">
        <w:t xml:space="preserve">Finally, bioturbation in the mudflat can physically damage foraminifera, </w:t>
      </w:r>
      <w:r w:rsidR="00A7313B">
        <w:t>fu</w:t>
      </w:r>
      <w:r w:rsidR="003C7273">
        <w:t>r</w:t>
      </w:r>
      <w:r w:rsidR="00A7313B">
        <w:t>ther affecting preservation</w:t>
      </w:r>
      <w:r w:rsidR="00A7313B" w:rsidRPr="002E5ED3">
        <w:t xml:space="preserve"> (Furukawa, 2005; Kristensen and Kostka, 2005). </w:t>
      </w:r>
      <w:r w:rsidR="00A7313B" w:rsidRPr="00A7313B">
        <w:t>These factors collectively limit the applicability of foraminifera-based transfer functions in mangrove sedimentary contexts.</w:t>
      </w:r>
    </w:p>
    <w:p w14:paraId="610F60EC" w14:textId="77777777" w:rsidR="002B44A8" w:rsidRDefault="002B44A8" w:rsidP="008C7BF1"/>
    <w:p w14:paraId="53547150" w14:textId="799BBA59" w:rsidR="000505CF" w:rsidRDefault="000505CF" w:rsidP="00C8700C">
      <w:pPr>
        <w:pStyle w:val="Heading2"/>
      </w:pPr>
      <w:r w:rsidRPr="00753416">
        <w:t>5.</w:t>
      </w:r>
      <w:r>
        <w:t>2</w:t>
      </w:r>
      <w:r w:rsidRPr="00753416">
        <w:t xml:space="preserve"> </w:t>
      </w:r>
      <w:r>
        <w:t>Elevation-dependent environments defined by stable carbon isotope and C/N geochemistry</w:t>
      </w:r>
    </w:p>
    <w:p w14:paraId="02BD24C6" w14:textId="737A3E51" w:rsidR="000505CF" w:rsidRDefault="000505CF" w:rsidP="000505CF">
      <w:r w:rsidRPr="001D6C03">
        <w:t>δ¹³C, TOC, and C/N geochemistry provide elevation constraints on RSL reconstructions because they systematically vary with vegetation type (C₃ vs. C₄) and the source of organic matter (marine vs. freshwater) across the intertidal zone, which results in distinct environmental signatures tied to tidal elevation (Khan et al., 2015; 2019; Sun et al., 2021).</w:t>
      </w:r>
      <w:r>
        <w:t xml:space="preserve"> </w:t>
      </w:r>
      <w:r w:rsidRPr="0029101E">
        <w:t xml:space="preserve">Across three transects, six environmental zones exhibiting vertical zonation were identified, showing distinct δ¹³C, TOC, and C/N ranges (Figure 4C; Table 2). However, linear discriminant </w:t>
      </w:r>
      <w:r w:rsidRPr="0029101E">
        <w:lastRenderedPageBreak/>
        <w:t xml:space="preserve">analysis (LDA) revealed that subtidal, mudflat, and mangrove fringe environments share similar geochemical values, reflecting mixed marine (e.g., algae, seagrass) and terrestrial (e.g., mangroves, C₃ plants) organic matter inputs (Lee, 2000; Perez et al., 2017; Sun et al., 2021). </w:t>
      </w:r>
      <w:r>
        <w:t>This overlap likely results from</w:t>
      </w:r>
      <w:r w:rsidR="00304E57">
        <w:t xml:space="preserve"> the</w:t>
      </w:r>
      <w:r>
        <w:t xml:space="preserve"> </w:t>
      </w:r>
      <w:r w:rsidR="00C654DD">
        <w:t>shared</w:t>
      </w:r>
      <w:r>
        <w:t xml:space="preserve"> </w:t>
      </w:r>
      <w:r w:rsidR="00C654DD">
        <w:t xml:space="preserve">sources of </w:t>
      </w:r>
      <w:r w:rsidR="00304E57">
        <w:t>geochemistry</w:t>
      </w:r>
      <w:r w:rsidR="00C654DD">
        <w:t xml:space="preserve"> signals </w:t>
      </w:r>
      <w:r>
        <w:t xml:space="preserve">spanning from the estuary to the outer Deep Bay (Li et al., 1999; Yu et al., 2010), as well as anthropogenic disturbances such as mangrove trimming within the Reserve, which may have altered the geochemical composition of mudflat samples. </w:t>
      </w:r>
      <w:r w:rsidRPr="00F86569">
        <w:t xml:space="preserve">Subtidal samples notably indicate stronger terrestrial organic matter input from the Shenzhen River, shown by lower δ¹³C and higher C/N values </w:t>
      </w:r>
      <w:r>
        <w:t xml:space="preserve">(Yu et al., 2010; Figure 4B). In contrast, mangrove and terrestrial transition environments were geochemically similar but distinct from all other environments. Their geochemical signatures suggest dominant contributions from mangrove, freshwater, and C₃ terrestrial plants to their sediments (Figure 4B), consistent with mangrove sites in Puerto Rico (Khan et al., 2019), Vietnam (Tue et al., 2012), and South China (Tang et al., 2023). Terrestrial environments, distinguished by higher δ¹³C values, reflect the influence of C₄ plants such as </w:t>
      </w:r>
      <w:proofErr w:type="spellStart"/>
      <w:r>
        <w:rPr>
          <w:rStyle w:val="Emphasis"/>
        </w:rPr>
        <w:t>Brachiaria</w:t>
      </w:r>
      <w:proofErr w:type="spellEnd"/>
      <w:r>
        <w:rPr>
          <w:rStyle w:val="Emphasis"/>
        </w:rPr>
        <w:t xml:space="preserve"> mutica</w:t>
      </w:r>
      <w:r>
        <w:t xml:space="preserve"> and </w:t>
      </w:r>
      <w:r>
        <w:rPr>
          <w:rStyle w:val="Emphasis"/>
        </w:rPr>
        <w:t>Cyperus</w:t>
      </w:r>
      <w:r>
        <w:t xml:space="preserve"> spp., which alongside C₃ trees, dominate these areas (Wills et al., 2006). </w:t>
      </w:r>
    </w:p>
    <w:p w14:paraId="2D3875CE" w14:textId="77777777" w:rsidR="000505CF" w:rsidRDefault="000505CF" w:rsidP="000505CF"/>
    <w:p w14:paraId="6A0C2A51" w14:textId="77777777" w:rsidR="000505CF" w:rsidRDefault="000505CF" w:rsidP="000505CF">
      <w:r>
        <w:t xml:space="preserve">The clear separation among mudflat, mangrove, and terrestrial environments along the first two linear discriminants of the LDA biplot (Figure 4D) suggest that the geochemical signatures of these zones and their transitional boundaries can serve as elevation constraints. In contrast, subtidal samples appear less suitable for constraining low-elevation environments because they function as depositional sinks for organic matter from multiple sources (Yu et al., 2010), reducing geochemical distinctiveness. This limitation is reflected in the higher error rate (&lt;0.19) observed in leave-one-out cross-validation tests (Venables and Ripley, 2002) when subtidal samples and disturbed mudflat samples from MP_A (1.77–1.36 m) were included. Removing these samples reduced the error rate to &lt;0.16, although some misclassifications persisted among mangrove fringe and terrestrial transition samples, which were often incorrectly assigned to the mangrove zone. </w:t>
      </w:r>
    </w:p>
    <w:p w14:paraId="6FC04508" w14:textId="77777777" w:rsidR="000505CF" w:rsidRPr="00753416" w:rsidRDefault="000505CF" w:rsidP="000505CF"/>
    <w:p w14:paraId="3E253B6B" w14:textId="77777777" w:rsidR="000505CF" w:rsidRDefault="000505CF" w:rsidP="000505CF">
      <w:r>
        <w:t xml:space="preserve">The potential degradation of organic carbon in core samples should be considered when applying geochemical priors. At the base of the core (1.7–1.85 m PD), the LDA did not assign samples to a single dominant environment but distributed the classification probabilities </w:t>
      </w:r>
      <w:r>
        <w:lastRenderedPageBreak/>
        <w:t xml:space="preserve">across mudflat, mangrove fringe, and mangrove environments, in contrast to the more precise predictions above </w:t>
      </w:r>
      <w:r w:rsidRPr="00753416">
        <w:t>1.9 m PD</w:t>
      </w:r>
      <w:r>
        <w:t xml:space="preserve"> where</w:t>
      </w:r>
      <w:r w:rsidRPr="00753416">
        <w:t xml:space="preserve"> the samples were predicted with </w:t>
      </w:r>
      <w:r>
        <w:t xml:space="preserve">a </w:t>
      </w:r>
      <w:r w:rsidRPr="00753416">
        <w:t xml:space="preserve">90% probability to be associated </w:t>
      </w:r>
      <w:r>
        <w:t xml:space="preserve">only </w:t>
      </w:r>
      <w:r w:rsidRPr="00753416">
        <w:t>with</w:t>
      </w:r>
      <w:r>
        <w:t xml:space="preserve"> the</w:t>
      </w:r>
      <w:r w:rsidRPr="00753416">
        <w:t xml:space="preserve"> mangrove zone. </w:t>
      </w:r>
      <w:r>
        <w:t xml:space="preserve">This broader probability distribution with greater depth reflects increased uncertainty in environmental attribution, potentially due to organic carbon degradation over time. Such degradation weakens the distinctiveness of geochemical signals, reducing the model’s ability to differentiate among environmental zones (Figure 6). While δ¹³C and C/N values in all core samples aligned well with those from modern surface sediments, TOC values in four samples below 2 m PD deviated from the modern range, contributing to the multi-zone predictions by the LDA (Figure 4E, F). This deviation is likely the result of diagenetic loss of organic carbon in older sediments (Khan et al., 2015; 2019). </w:t>
      </w:r>
      <w:r w:rsidRPr="000B6D19">
        <w:t>Alternatively, anthropogenic disturbance, such as the systematic trimming of mangroves at the fringe, may have significantly altered the quantity and composition of organic matter inputs in this zone. This modification could have reduced organic carbon accumulation and disrupted the natural geochemical signatures, thereby diminishing the representativeness of contemporary samples as analogues for historical environmental conditions.</w:t>
      </w:r>
      <w:r>
        <w:t xml:space="preserve"> Nonetheless, the absence of systematic offsets in δ¹³C and C/N values supports the continued application of this approach for paleoenvironmental interpretation in mangroves of the PRD region. </w:t>
      </w:r>
    </w:p>
    <w:p w14:paraId="179FDCD8" w14:textId="77777777" w:rsidR="000505CF" w:rsidRPr="00753416" w:rsidRDefault="000505CF" w:rsidP="008C7BF1"/>
    <w:p w14:paraId="58F1D1E2" w14:textId="33B5A6DB" w:rsidR="00A02E63" w:rsidRDefault="00D63312" w:rsidP="008D3F36">
      <w:pPr>
        <w:pStyle w:val="Heading2"/>
      </w:pPr>
      <w:r w:rsidRPr="00753416">
        <w:t>5.</w:t>
      </w:r>
      <w:r w:rsidR="000505CF">
        <w:t>3</w:t>
      </w:r>
      <w:r w:rsidR="00683867" w:rsidRPr="00FE398C">
        <w:t xml:space="preserve"> </w:t>
      </w:r>
      <w:r w:rsidR="00683867">
        <w:t>The utility of informative prior</w:t>
      </w:r>
      <w:r w:rsidR="00FD191E">
        <w:t>s</w:t>
      </w:r>
      <w:r w:rsidR="00683867">
        <w:t xml:space="preserve"> in enhancing BTF performance</w:t>
      </w:r>
    </w:p>
    <w:p w14:paraId="748D8562" w14:textId="64EB195B" w:rsidR="008B35BF" w:rsidRDefault="00801549" w:rsidP="00084501">
      <w:r>
        <w:t xml:space="preserve">Alternative or complementary proxies </w:t>
      </w:r>
      <w:r w:rsidR="004A1350">
        <w:t>beyond</w:t>
      </w:r>
      <w:r>
        <w:t xml:space="preserve"> microfossils have been used to</w:t>
      </w:r>
      <w:r w:rsidR="00EF4440">
        <w:t xml:space="preserve"> constrai</w:t>
      </w:r>
      <w:r>
        <w:t xml:space="preserve">n past RSL </w:t>
      </w:r>
      <w:r w:rsidR="00EF4440">
        <w:t>(</w:t>
      </w:r>
      <w:r w:rsidR="003E4EA7">
        <w:t xml:space="preserve">e.g., </w:t>
      </w:r>
      <w:r w:rsidR="00EF4440">
        <w:t>Nelson, 2015; Plater et al., 2015</w:t>
      </w:r>
      <w:r w:rsidR="003E4EA7">
        <w:t>; Wilson et al., 2024</w:t>
      </w:r>
      <w:r w:rsidR="00EF4440">
        <w:t>). However, until the recent development of BTF</w:t>
      </w:r>
      <w:r>
        <w:t>s</w:t>
      </w:r>
      <w:r w:rsidR="00EF4440">
        <w:t xml:space="preserve"> (</w:t>
      </w:r>
      <w:r w:rsidR="00105640" w:rsidRPr="00753416">
        <w:t xml:space="preserve">e.g., </w:t>
      </w:r>
      <w:r w:rsidR="00EF4440">
        <w:t xml:space="preserve">Cahill et al., 2016), </w:t>
      </w:r>
      <w:r>
        <w:t xml:space="preserve">there has been no </w:t>
      </w:r>
      <w:r w:rsidR="00EF4440">
        <w:t xml:space="preserve">formal framework for integrating </w:t>
      </w:r>
      <w:r>
        <w:t xml:space="preserve">inferences from multiple </w:t>
      </w:r>
      <w:r w:rsidR="00EF4440">
        <w:t xml:space="preserve">proxies. </w:t>
      </w:r>
      <w:r w:rsidR="006B706F">
        <w:t xml:space="preserve">We </w:t>
      </w:r>
      <w:r w:rsidR="00BE285C">
        <w:t>demonstrate</w:t>
      </w:r>
      <w:r w:rsidR="006B706F">
        <w:t xml:space="preserve"> how informative priors from independent constraints – δ¹³C, TOC, C/N geochemistry, and microfossil BTF-derived predictions – improve</w:t>
      </w:r>
      <w:r w:rsidR="00BE285C">
        <w:t>s</w:t>
      </w:r>
      <w:r w:rsidR="006B706F">
        <w:t xml:space="preserve"> the accuracy and precision of RSL </w:t>
      </w:r>
      <w:r w:rsidR="006B706F" w:rsidRPr="00BE285C">
        <w:rPr>
          <w:rFonts w:cs="Segoe UI"/>
        </w:rPr>
        <w:t xml:space="preserve">reconstructions </w:t>
      </w:r>
      <w:r w:rsidR="006B706F" w:rsidRPr="00C8700C">
        <w:rPr>
          <w:rFonts w:cs="Segoe UI"/>
          <w:color w:val="262626"/>
          <w:shd w:val="clear" w:color="auto" w:fill="FFFFFF"/>
        </w:rPr>
        <w:t>in a mangrove setting</w:t>
      </w:r>
      <w:r w:rsidR="00B87EF3">
        <w:t>.</w:t>
      </w:r>
    </w:p>
    <w:p w14:paraId="51A103D6" w14:textId="6A7062DC" w:rsidR="00E9440D" w:rsidRPr="00753416" w:rsidRDefault="00B87EF3" w:rsidP="00084501">
      <w:r>
        <w:t xml:space="preserve"> </w:t>
      </w:r>
    </w:p>
    <w:p w14:paraId="406228CA" w14:textId="4749A910" w:rsidR="00BE285C" w:rsidRDefault="00BE285C" w:rsidP="00385DAF">
      <w:r w:rsidRPr="00BE285C">
        <w:t xml:space="preserve">Without incorporating priors and after excluding samples beyond dissimilarity index thresholds, both foraminifera-based (F-BTF) and diatom-based (D-BTF) reconstructions captured tide gauge observations within 1σ uncertainty bounds (Figure 8A, E). The F-BTF estimated an RSL rise from -0.36 to 0.07 m (1969–2022 CE) with a mean squared error (MSE) of 0.032 m², while the D-BTF estimated a rise from -0.21 to 0.12 m with a notably lower MSE </w:t>
      </w:r>
      <w:r w:rsidRPr="00BE285C">
        <w:lastRenderedPageBreak/>
        <w:t xml:space="preserve">of 0.01 m². Despite the D-BTF’s higher accuracy—attributable to its site-specific training set from MP—its predictive uncertainty increased markedly in earlier sediments, reaching up to 47% higher than the F-BTF at its maximum. This </w:t>
      </w:r>
      <w:proofErr w:type="gramStart"/>
      <w:r w:rsidRPr="00BE285C">
        <w:t>increase</w:t>
      </w:r>
      <w:proofErr w:type="gramEnd"/>
      <w:r w:rsidRPr="00BE285C">
        <w:t xml:space="preserve"> likely results from growing planktonic diatom influence and reduced elevation signal strength, which compromises precision in paleo marsh elevation (PME) estimates.</w:t>
      </w:r>
    </w:p>
    <w:p w14:paraId="3986AF71" w14:textId="77777777" w:rsidR="007A21CA" w:rsidRDefault="007A21CA" w:rsidP="00385DAF"/>
    <w:p w14:paraId="48C528EA" w14:textId="0D8EFA0A" w:rsidR="00BE285C" w:rsidRDefault="00BE285C" w:rsidP="00385DAF">
      <w:r w:rsidRPr="00BE285C">
        <w:t>Incorporating geochemical priors improved the F-BTF’s performance by reducing MSE by 18.4% and uncertainty by 9% (Figure 8B). This improvement primarily corrected bias in the upper core, where linear discriminant analysis (LDA) assigned high probabilities to a single mangrove zone, enabling more confident environmental constraints. In contrast, geochemical priors did not enhance D-BTF accuracy but improved precision by narrowing uncertainty intervals (Figure 8F). This limited benefit stems from broader, less definitive prior distributions in the lower core, where environmental assignments were uncertain and samples spanned multiple zones. These findings underscore that geochemical priors most effectively reduce prediction uncertainty when environmental zones are clearly delineated, consistent with prior studies (Cahill et al., 2016).</w:t>
      </w:r>
    </w:p>
    <w:p w14:paraId="6EC49F14" w14:textId="77777777" w:rsidR="00395C63" w:rsidRDefault="00395C63" w:rsidP="00385DAF"/>
    <w:p w14:paraId="40E97A31" w14:textId="5046FCD0" w:rsidR="00F85C44" w:rsidRDefault="00BE285C" w:rsidP="00385DAF">
      <w:r w:rsidRPr="00BE285C">
        <w:t>Given the complementary strengths and limitations of foraminifera and diatoms—balancing elevation signal strength and preservation biases—integrating their BTF predictions offers a promising avenue for improved RSL reconstructions.</w:t>
      </w:r>
      <w:r>
        <w:t xml:space="preserve"> </w:t>
      </w:r>
      <w:r w:rsidRPr="00BE285C">
        <w:t>Using D-BTF predictions as informative priors for the F-BTF halved the latter’s MSE from 0.032 to 0.014 m², while the D-BTF’s MSE remained stable at 0.01 m². This synergy was particularly evident between 2010 and 2020 CE, when benthic diatoms dominated, as D-BTF priors helped align F-BTF predictions more closely with tide gauge data (Figure 8C). However, limited preservation of foraminifera in deeper sediments constrained reciprocal improvements for the D-BTF, especially where planktonic diatoms prevailed (Figure 8G). Nonetheless, using BTF predictions as priors substantially enhanced precision, reducing uncertainty by 36% for the F-BTF and 44% for the D-BTF.</w:t>
      </w:r>
      <w:r w:rsidR="00C87BA4">
        <w:t xml:space="preserve"> </w:t>
      </w:r>
      <w:r w:rsidR="003A49A8">
        <w:t>Where possible, it is recommended to use prediction</w:t>
      </w:r>
      <w:r w:rsidR="00BD7F7B">
        <w:t>s</w:t>
      </w:r>
      <w:r w:rsidR="003A49A8">
        <w:t xml:space="preserve"> </w:t>
      </w:r>
      <w:r w:rsidR="00C0554E">
        <w:t>from</w:t>
      </w:r>
      <w:r w:rsidR="003A49A8">
        <w:t xml:space="preserve"> D-BTF to constrain</w:t>
      </w:r>
      <w:r w:rsidR="00C0554E">
        <w:t xml:space="preserve"> the</w:t>
      </w:r>
      <w:r w:rsidR="003A49A8">
        <w:t xml:space="preserve"> </w:t>
      </w:r>
      <w:r w:rsidR="00CE7498">
        <w:t xml:space="preserve">F-BTF </w:t>
      </w:r>
      <w:r w:rsidR="00924EAF">
        <w:t xml:space="preserve">when </w:t>
      </w:r>
      <w:r w:rsidR="00CE7498">
        <w:t xml:space="preserve">applied </w:t>
      </w:r>
      <w:r w:rsidR="00924EAF">
        <w:t>to</w:t>
      </w:r>
      <w:r w:rsidR="003A49A8">
        <w:t xml:space="preserve"> mangrove sediment</w:t>
      </w:r>
      <w:r w:rsidR="00924EAF">
        <w:t>s</w:t>
      </w:r>
      <w:r w:rsidR="003A49A8">
        <w:t xml:space="preserve">, although the </w:t>
      </w:r>
      <w:r w:rsidR="00CE7498">
        <w:t xml:space="preserve">balance between </w:t>
      </w:r>
      <w:r w:rsidR="00935634" w:rsidRPr="00935634">
        <w:t xml:space="preserve">time required for microfossil counting and </w:t>
      </w:r>
      <w:r w:rsidR="00C0554E">
        <w:t xml:space="preserve">the </w:t>
      </w:r>
      <w:r w:rsidR="00935634" w:rsidRPr="00935634">
        <w:t>overall model performance</w:t>
      </w:r>
      <w:r w:rsidR="00935634">
        <w:t xml:space="preserve"> </w:t>
      </w:r>
      <w:r w:rsidR="00C87BA4">
        <w:t>should also be consider</w:t>
      </w:r>
      <w:r w:rsidR="00E104A6">
        <w:t>ed</w:t>
      </w:r>
      <w:r w:rsidR="003A49A8">
        <w:t>.</w:t>
      </w:r>
      <w:r w:rsidR="00C87BA4">
        <w:t xml:space="preserve"> </w:t>
      </w:r>
    </w:p>
    <w:p w14:paraId="4538A52F" w14:textId="77777777" w:rsidR="00441BFF" w:rsidRPr="001B2703" w:rsidRDefault="00441BFF" w:rsidP="00084501">
      <w:pPr>
        <w:rPr>
          <w:strike/>
        </w:rPr>
      </w:pPr>
    </w:p>
    <w:p w14:paraId="31F5472C" w14:textId="2A389D70" w:rsidR="00F85C44" w:rsidRPr="00753416" w:rsidRDefault="00231742" w:rsidP="00CD2022">
      <w:proofErr w:type="gramStart"/>
      <w:r w:rsidRPr="00753416">
        <w:lastRenderedPageBreak/>
        <w:t>Notably</w:t>
      </w:r>
      <w:r w:rsidR="00305FD7">
        <w:t>,</w:t>
      </w:r>
      <w:r w:rsidR="00F36B81">
        <w:t xml:space="preserve"> </w:t>
      </w:r>
      <w:r w:rsidR="00305FD7" w:rsidRPr="00305FD7">
        <w:t xml:space="preserve"> the</w:t>
      </w:r>
      <w:proofErr w:type="gramEnd"/>
      <w:r w:rsidR="00305FD7" w:rsidRPr="00305FD7">
        <w:t xml:space="preserve"> development of BTFs offers a unique alternative approach for RSL </w:t>
      </w:r>
      <w:r w:rsidR="008C699B">
        <w:t xml:space="preserve">reconstruction </w:t>
      </w:r>
      <w:r w:rsidR="00305FD7" w:rsidRPr="00305FD7">
        <w:t xml:space="preserve">in far-field locations across South China, where </w:t>
      </w:r>
      <w:r w:rsidR="009908C7">
        <w:t>the</w:t>
      </w:r>
      <w:r w:rsidR="009908C7" w:rsidRPr="00305FD7">
        <w:t xml:space="preserve"> falling trajectory</w:t>
      </w:r>
      <w:r w:rsidR="002F74B6">
        <w:t xml:space="preserve"> of RSL</w:t>
      </w:r>
      <w:r w:rsidR="009908C7" w:rsidRPr="00305FD7">
        <w:t xml:space="preserve"> </w:t>
      </w:r>
      <w:r w:rsidR="008C699B">
        <w:t>in late Holocene</w:t>
      </w:r>
      <w:r w:rsidR="00FC48B3">
        <w:t xml:space="preserve"> (Zong 2004; Khan e</w:t>
      </w:r>
      <w:r w:rsidR="00B45DEB">
        <w:t>t</w:t>
      </w:r>
      <w:r w:rsidR="00FC48B3">
        <w:t xml:space="preserve"> al., 2015)</w:t>
      </w:r>
      <w:r w:rsidR="00305FD7" w:rsidRPr="00305FD7">
        <w:t xml:space="preserve"> has driven deltaic progradation and caused shifts in the position of the intertidal zone over time</w:t>
      </w:r>
      <w:r w:rsidR="00655F16">
        <w:t xml:space="preserve"> (</w:t>
      </w:r>
      <w:r w:rsidR="009C6822">
        <w:t xml:space="preserve">Zong et al., 2009; </w:t>
      </w:r>
      <w:r w:rsidR="00655F16">
        <w:t>Xiong et al., 2020)</w:t>
      </w:r>
      <w:r w:rsidR="00305FD7" w:rsidRPr="00305FD7">
        <w:t xml:space="preserve">. </w:t>
      </w:r>
      <w:r w:rsidR="002F74B6">
        <w:t>As such</w:t>
      </w:r>
      <w:r w:rsidR="00B078F2" w:rsidRPr="00B078F2">
        <w:t xml:space="preserve"> coastal evolution has inhibited the continuous accumulation of marsh peat, unlike in intermediate-field settings such as the U.S. North Atlantic coast (Engelhart et al., 2011; Kemp et al., 2013b; 2014), </w:t>
      </w:r>
      <w:r w:rsidR="00F25485" w:rsidRPr="00F25485">
        <w:t>persistent challenges arise in identifying intertidal facies</w:t>
      </w:r>
      <w:r w:rsidR="00B078F2" w:rsidRPr="00B078F2">
        <w:t xml:space="preserve"> particularly in distinguishing between mangrove and mudflat environments (</w:t>
      </w:r>
      <w:r w:rsidR="00105640" w:rsidRPr="00753416">
        <w:t xml:space="preserve">e.g., </w:t>
      </w:r>
      <w:r w:rsidR="00B078F2" w:rsidRPr="00B078F2">
        <w:t>Xiong et al., 2018; Fu et al., 2020).</w:t>
      </w:r>
      <w:r w:rsidR="00305FD7" w:rsidRPr="00305FD7">
        <w:t xml:space="preserve"> </w:t>
      </w:r>
      <w:r w:rsidR="00A77353" w:rsidRPr="00A77353">
        <w:t xml:space="preserve">By quantitatively examining the relationship between microfossil distributions and environmental variables, and relating their vertical zonation to tidal elevation, our approach enables effective differentiation between these facies and supports accurate and precise RSL reconstructions from older </w:t>
      </w:r>
      <w:proofErr w:type="spellStart"/>
      <w:r w:rsidR="00A77353" w:rsidRPr="00A77353">
        <w:t>progradational</w:t>
      </w:r>
      <w:proofErr w:type="spellEnd"/>
      <w:r w:rsidR="00A77353" w:rsidRPr="00A77353">
        <w:t xml:space="preserve"> sequences further inland within the</w:t>
      </w:r>
      <w:r w:rsidR="00A77353">
        <w:t xml:space="preserve"> </w:t>
      </w:r>
      <w:r w:rsidR="006024B1">
        <w:t>PRD</w:t>
      </w:r>
      <w:r w:rsidR="00305FD7" w:rsidRPr="00305FD7">
        <w:t>.</w:t>
      </w:r>
      <w:r w:rsidR="00305FD7" w:rsidRPr="00305FD7" w:rsidDel="00305FD7">
        <w:t xml:space="preserve"> </w:t>
      </w:r>
      <w:r w:rsidR="006C3265">
        <w:t xml:space="preserve"> </w:t>
      </w:r>
      <w:r w:rsidRPr="00753416">
        <w:t xml:space="preserve"> </w:t>
      </w:r>
    </w:p>
    <w:p w14:paraId="4EED4F15" w14:textId="77777777" w:rsidR="00197FDC" w:rsidRPr="00753416" w:rsidRDefault="00197FDC" w:rsidP="00324A73">
      <w:pPr>
        <w:rPr>
          <w:rFonts w:cs="Segoe UI"/>
          <w:color w:val="0D0D0D"/>
          <w:shd w:val="clear" w:color="auto" w:fill="FFFFFF"/>
        </w:rPr>
      </w:pPr>
    </w:p>
    <w:p w14:paraId="3C6D491E" w14:textId="0F07935D" w:rsidR="00C939FD" w:rsidRPr="00753416" w:rsidRDefault="00C939FD" w:rsidP="00E005F0">
      <w:pPr>
        <w:pStyle w:val="Heading1"/>
      </w:pPr>
      <w:r w:rsidRPr="00753416">
        <w:rPr>
          <w:rStyle w:val="IntenseEmphasis"/>
          <w:i w:val="0"/>
          <w:iCs w:val="0"/>
          <w:color w:val="000000" w:themeColor="text1"/>
        </w:rPr>
        <w:t>6. Conclusion</w:t>
      </w:r>
    </w:p>
    <w:p w14:paraId="6AEC92DF" w14:textId="36755EDD" w:rsidR="000335F8" w:rsidRPr="00753416" w:rsidRDefault="000335F8" w:rsidP="000335F8">
      <w:pPr>
        <w:rPr>
          <w:lang w:val="en-HK"/>
        </w:rPr>
      </w:pPr>
      <w:r w:rsidRPr="00753416">
        <w:rPr>
          <w:lang w:val="en-HK"/>
        </w:rPr>
        <w:t xml:space="preserve">We constructed a local modern training set using surface foraminifera and diatom samples from three transects in the eastern part of the PRD to develop BTFs for </w:t>
      </w:r>
      <w:r w:rsidR="00E020FA">
        <w:rPr>
          <w:lang w:val="en-HK"/>
        </w:rPr>
        <w:t>RSL</w:t>
      </w:r>
      <w:r w:rsidRPr="00753416">
        <w:rPr>
          <w:lang w:val="en-HK"/>
        </w:rPr>
        <w:t xml:space="preserve"> reconstruction. Our study highlights the modern distribution of intertidal foraminifera and diatoms in Mai Po and Sha Kiu, showing clear ecological partitioning across the intertidal zone. Higher elevation mangroves are characterised by agglutinated foraminifera and benthic diatoms, while lower elevation mudflats feature calcareous foraminifera and planktonic diatoms.</w:t>
      </w:r>
    </w:p>
    <w:p w14:paraId="7897BD37" w14:textId="77777777" w:rsidR="000335F8" w:rsidRPr="00753416" w:rsidRDefault="000335F8" w:rsidP="00CD2022">
      <w:pPr>
        <w:rPr>
          <w:lang w:val="en-HK"/>
        </w:rPr>
      </w:pPr>
    </w:p>
    <w:p w14:paraId="10CB75D1" w14:textId="4FC5205F" w:rsidR="000335F8" w:rsidRPr="00753416" w:rsidRDefault="00AA0918" w:rsidP="000335F8">
      <w:pPr>
        <w:rPr>
          <w:lang w:val="en-HK"/>
        </w:rPr>
      </w:pPr>
      <w:r w:rsidRPr="00AA0918">
        <w:rPr>
          <w:lang w:val="en-HK"/>
        </w:rPr>
        <w:t>The results from the BTFs indicate that bimodal and multimodal species distributions are more prevalent among diatoms</w:t>
      </w:r>
      <w:r w:rsidR="000335F8" w:rsidRPr="00753416">
        <w:rPr>
          <w:lang w:val="en-HK"/>
        </w:rPr>
        <w:t>, underscoring the utility of the Bayesian method for predicting RSL. The PAM analysis displays vertical zonation in foraminifera and diatom species, while CCA indicates that elevation is the primary control on foraminifera distribution, with salinity exerting a major influence on diatom distribution.</w:t>
      </w:r>
    </w:p>
    <w:p w14:paraId="4D65373A" w14:textId="77777777" w:rsidR="000335F8" w:rsidRPr="00753416" w:rsidRDefault="000335F8" w:rsidP="00CD2022">
      <w:pPr>
        <w:rPr>
          <w:lang w:val="en-HK"/>
        </w:rPr>
      </w:pPr>
    </w:p>
    <w:p w14:paraId="68738FB1" w14:textId="77ACFADD" w:rsidR="000335F8" w:rsidRPr="00753416" w:rsidRDefault="00622B5A" w:rsidP="000335F8">
      <w:pPr>
        <w:rPr>
          <w:lang w:val="en-HK"/>
        </w:rPr>
      </w:pPr>
      <w:r>
        <w:t>Without the incorporation of informative priors, the D-BTF exhibits higher accuracy but reduced precision in RSL predictions for earlier periods, primarily due to greater species diversity and the dominant influence of planktonic taxa. Although the F-BTF shows potential to produce accurate predictions, poor preservation of foraminiferal tests may limit its effectiveness in reconstructing RSL in the region.</w:t>
      </w:r>
      <w:r w:rsidR="000335F8" w:rsidRPr="00753416">
        <w:rPr>
          <w:lang w:val="en-HK"/>
        </w:rPr>
        <w:t xml:space="preserve"> Surface sediment geochemistry indicates </w:t>
      </w:r>
      <w:r w:rsidR="000335F8" w:rsidRPr="00753416">
        <w:rPr>
          <w:lang w:val="en-HK"/>
        </w:rPr>
        <w:lastRenderedPageBreak/>
        <w:t>mixing of organic sources across the intertidal zone, with LDA distinguishing between mangrove and mudflat environments based on δ</w:t>
      </w:r>
      <w:r w:rsidR="000335F8" w:rsidRPr="00753416">
        <w:rPr>
          <w:vertAlign w:val="superscript"/>
          <w:lang w:val="en-HK"/>
        </w:rPr>
        <w:t>13</w:t>
      </w:r>
      <w:r w:rsidR="000335F8" w:rsidRPr="00753416">
        <w:rPr>
          <w:lang w:val="en-HK"/>
        </w:rPr>
        <w:t xml:space="preserve">C, TOC, and C/N ratios. The elevation ranges inferred from these geochemical parameters </w:t>
      </w:r>
      <w:r w:rsidR="00136A43">
        <w:rPr>
          <w:lang w:val="en-HK"/>
        </w:rPr>
        <w:t>can be</w:t>
      </w:r>
      <w:r w:rsidR="000335F8" w:rsidRPr="00753416">
        <w:rPr>
          <w:lang w:val="en-HK"/>
        </w:rPr>
        <w:t xml:space="preserve"> used as informative priors in BTFs </w:t>
      </w:r>
      <w:r w:rsidR="00136A43">
        <w:rPr>
          <w:lang w:val="en-HK"/>
        </w:rPr>
        <w:t xml:space="preserve">to </w:t>
      </w:r>
      <w:r w:rsidR="00CA3FCE">
        <w:rPr>
          <w:lang w:val="en-HK"/>
        </w:rPr>
        <w:t xml:space="preserve">reduce </w:t>
      </w:r>
      <w:r w:rsidR="000335F8" w:rsidRPr="00753416">
        <w:rPr>
          <w:lang w:val="en-HK"/>
        </w:rPr>
        <w:t>prediction variability and uncertainty.</w:t>
      </w:r>
    </w:p>
    <w:p w14:paraId="6C40A318" w14:textId="77777777" w:rsidR="000335F8" w:rsidRPr="00753416" w:rsidRDefault="000335F8" w:rsidP="00CD2022">
      <w:pPr>
        <w:rPr>
          <w:lang w:val="en-HK"/>
        </w:rPr>
      </w:pPr>
    </w:p>
    <w:p w14:paraId="56B76930" w14:textId="0E515A6E" w:rsidR="000335F8" w:rsidRPr="000335F8" w:rsidRDefault="000335F8" w:rsidP="00CD2022">
      <w:pPr>
        <w:rPr>
          <w:lang w:val="en-HK"/>
        </w:rPr>
      </w:pPr>
      <w:r w:rsidRPr="00753416">
        <w:rPr>
          <w:lang w:val="en-HK"/>
        </w:rPr>
        <w:t>We assessed the performance of BTFs in RSL reconstruction by comparing their results to observed tide gauge data from Hong Kong. The 1σ uncertainty bounds of RSL reconstructions produced by BTFs with informative priors effectively captured tide gauge observations. Notably, RSL estimates based on samples predicted as mangrove zone, consistently captured tide gauge observations within their 1σ uncertainty bounds, regardless of the BTF used. This indicates that both BTFs perform best when estimating RSL from mangrove facies, demonstrating the</w:t>
      </w:r>
      <w:r w:rsidR="00C63DF7">
        <w:rPr>
          <w:lang w:val="en-HK"/>
        </w:rPr>
        <w:t>ir</w:t>
      </w:r>
      <w:r w:rsidRPr="00753416">
        <w:rPr>
          <w:lang w:val="en-HK"/>
        </w:rPr>
        <w:t xml:space="preserve"> ability to predict RSL across both mudflat–mangrove fringe and mangrove environments. </w:t>
      </w:r>
      <w:r w:rsidR="00186B94">
        <w:t xml:space="preserve">The D-BTF exhibited higher precision overall but also greater uncertainty when planktonic taxa were present in high abundances. However, the incorporation of informative priors significantly improved its precision under these conditions. </w:t>
      </w:r>
      <w:r w:rsidR="00A56384">
        <w:rPr>
          <w:lang w:val="en-HK"/>
        </w:rPr>
        <w:t>Our</w:t>
      </w:r>
      <w:r w:rsidRPr="00753416">
        <w:rPr>
          <w:lang w:val="en-HK"/>
        </w:rPr>
        <w:t xml:space="preserve"> practical test suggests that</w:t>
      </w:r>
      <w:r w:rsidR="001D7DB8">
        <w:rPr>
          <w:lang w:val="en-HK"/>
        </w:rPr>
        <w:t xml:space="preserve">, where foraminifera tests preserve and benthic diatom taxa prevails, </w:t>
      </w:r>
      <w:r w:rsidRPr="00753416">
        <w:rPr>
          <w:lang w:val="en-HK"/>
        </w:rPr>
        <w:t xml:space="preserve">incorporating informative priors </w:t>
      </w:r>
      <w:r w:rsidR="001D7DB8">
        <w:rPr>
          <w:lang w:val="en-HK"/>
        </w:rPr>
        <w:t>derived from</w:t>
      </w:r>
      <w:r w:rsidR="001D7DB8" w:rsidRPr="00753416">
        <w:rPr>
          <w:lang w:val="en-HK"/>
        </w:rPr>
        <w:t xml:space="preserve"> </w:t>
      </w:r>
      <w:r w:rsidRPr="00753416">
        <w:rPr>
          <w:lang w:val="en-HK"/>
        </w:rPr>
        <w:t>BTF</w:t>
      </w:r>
      <w:r w:rsidR="001D7DB8">
        <w:rPr>
          <w:lang w:val="en-HK"/>
        </w:rPr>
        <w:t xml:space="preserve"> predictions</w:t>
      </w:r>
      <w:r w:rsidR="0071473C">
        <w:rPr>
          <w:lang w:val="en-HK"/>
        </w:rPr>
        <w:t xml:space="preserve"> </w:t>
      </w:r>
      <w:r w:rsidRPr="00753416">
        <w:rPr>
          <w:lang w:val="en-HK"/>
        </w:rPr>
        <w:t>is the most effective approach for generating accurate and precise RSL reconstructions in the PRD.</w:t>
      </w:r>
    </w:p>
    <w:p w14:paraId="02D8F56B" w14:textId="25EF6217" w:rsidR="00C939FD" w:rsidRPr="00C939FD" w:rsidRDefault="00C939FD" w:rsidP="00E005F0">
      <w:r w:rsidRPr="00C939FD">
        <w:t xml:space="preserve"> </w:t>
      </w:r>
    </w:p>
    <w:p w14:paraId="5E82C682" w14:textId="149711C4" w:rsidR="008F2544" w:rsidRPr="008F2544" w:rsidRDefault="008F2544" w:rsidP="003A4897">
      <w:pPr>
        <w:pStyle w:val="Heading1"/>
      </w:pPr>
      <w:r w:rsidRPr="008F2544">
        <w:t>Acknowledgements:</w:t>
      </w:r>
    </w:p>
    <w:p w14:paraId="6045371B" w14:textId="1B8F933B" w:rsidR="002B7B05" w:rsidRDefault="002B7B05" w:rsidP="009E0D87">
      <w:r>
        <w:t>We extend our gratitude to Mr. Leo Lai, Mr. Charles Cheung, and Mr. Francis Liu for their tremendous effort and support during the early fieldwork of this project. This research was supported by the Research Grant Council of Hong Kong (Project no.: 27300221).</w:t>
      </w:r>
    </w:p>
    <w:p w14:paraId="6051D652" w14:textId="77777777" w:rsidR="00C76FDC" w:rsidRDefault="00C76FDC" w:rsidP="009E0D87"/>
    <w:p w14:paraId="01A3A24C" w14:textId="6DE14402" w:rsidR="00C97339" w:rsidRDefault="00C97339" w:rsidP="003A4897">
      <w:pPr>
        <w:pStyle w:val="Heading1"/>
      </w:pPr>
      <w:r w:rsidRPr="00DB1827">
        <w:t>Figure</w:t>
      </w:r>
      <w:r w:rsidR="00326663">
        <w:t>s</w:t>
      </w:r>
      <w:r w:rsidRPr="00DB1827">
        <w:t>:</w:t>
      </w:r>
    </w:p>
    <w:p w14:paraId="2DCC09FE" w14:textId="581BECA6" w:rsidR="00326663" w:rsidRDefault="00326663" w:rsidP="00326663">
      <w:r>
        <w:rPr>
          <w:noProof/>
        </w:rPr>
        <w:lastRenderedPageBreak/>
        <w:drawing>
          <wp:inline distT="0" distB="0" distL="0" distR="0" wp14:anchorId="42527ACA" wp14:editId="1A852C61">
            <wp:extent cx="5727384" cy="6691256"/>
            <wp:effectExtent l="0" t="0" r="0" b="0"/>
            <wp:docPr id="16385959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95987" name="Picture 1638595987"/>
                    <pic:cNvPicPr/>
                  </pic:nvPicPr>
                  <pic:blipFill rotWithShape="1">
                    <a:blip r:embed="rId8"/>
                    <a:srcRect t="8229" b="9211"/>
                    <a:stretch>
                      <a:fillRect/>
                    </a:stretch>
                  </pic:blipFill>
                  <pic:spPr bwMode="auto">
                    <a:xfrm>
                      <a:off x="0" y="0"/>
                      <a:ext cx="5727700" cy="6691626"/>
                    </a:xfrm>
                    <a:prstGeom prst="rect">
                      <a:avLst/>
                    </a:prstGeom>
                    <a:ln>
                      <a:noFill/>
                    </a:ln>
                    <a:extLst>
                      <a:ext uri="{53640926-AAD7-44D8-BBD7-CCE9431645EC}">
                        <a14:shadowObscured xmlns:a14="http://schemas.microsoft.com/office/drawing/2010/main"/>
                      </a:ext>
                    </a:extLst>
                  </pic:spPr>
                </pic:pic>
              </a:graphicData>
            </a:graphic>
          </wp:inline>
        </w:drawing>
      </w:r>
    </w:p>
    <w:p w14:paraId="2FDE332F" w14:textId="77777777" w:rsidR="00326663" w:rsidRPr="00326663" w:rsidRDefault="00326663" w:rsidP="00326663"/>
    <w:p w14:paraId="4A20266B" w14:textId="358EFF44" w:rsidR="00E005F0" w:rsidRDefault="00E005F0" w:rsidP="00E005F0">
      <w:pPr>
        <w:rPr>
          <w:rFonts w:cs="Segoe UI"/>
          <w:color w:val="000000" w:themeColor="text1"/>
          <w:szCs w:val="22"/>
        </w:rPr>
      </w:pPr>
      <w:r>
        <w:rPr>
          <w:rFonts w:cs="Segoe UI"/>
          <w:b/>
          <w:bCs/>
          <w:color w:val="000000" w:themeColor="text1"/>
          <w:szCs w:val="22"/>
        </w:rPr>
        <w:t>Figure</w:t>
      </w:r>
      <w:r w:rsidRPr="00FD3528">
        <w:rPr>
          <w:rFonts w:cs="Segoe UI"/>
          <w:b/>
          <w:bCs/>
          <w:color w:val="000000" w:themeColor="text1"/>
          <w:szCs w:val="22"/>
        </w:rPr>
        <w:t xml:space="preserve"> 1.</w:t>
      </w:r>
      <w:r>
        <w:rPr>
          <w:rFonts w:cs="Segoe UI"/>
          <w:b/>
          <w:bCs/>
          <w:color w:val="000000" w:themeColor="text1"/>
          <w:szCs w:val="22"/>
        </w:rPr>
        <w:t xml:space="preserve"> </w:t>
      </w:r>
      <w:r>
        <w:t>A</w:t>
      </w:r>
      <w:r w:rsidRPr="00226B6D">
        <w:rPr>
          <w:rFonts w:cs="Segoe UI"/>
          <w:color w:val="000000" w:themeColor="text1"/>
          <w:szCs w:val="22"/>
        </w:rPr>
        <w:t>) Regional geography of South China highlighting the location of</w:t>
      </w:r>
      <w:r w:rsidR="002B38F4">
        <w:rPr>
          <w:rFonts w:cs="Segoe UI"/>
          <w:color w:val="000000" w:themeColor="text1"/>
          <w:szCs w:val="22"/>
        </w:rPr>
        <w:t xml:space="preserve"> the</w:t>
      </w:r>
      <w:r>
        <w:rPr>
          <w:rFonts w:cs="Segoe UI"/>
          <w:color w:val="000000" w:themeColor="text1"/>
          <w:szCs w:val="22"/>
        </w:rPr>
        <w:t xml:space="preserve"> Pearl River Delta</w:t>
      </w:r>
      <w:r w:rsidRPr="00226B6D">
        <w:rPr>
          <w:rFonts w:cs="Segoe UI"/>
          <w:color w:val="000000" w:themeColor="text1"/>
          <w:szCs w:val="22"/>
        </w:rPr>
        <w:t>. B) Detailed map of the Pearl River Delta indicating</w:t>
      </w:r>
      <w:r>
        <w:rPr>
          <w:rFonts w:cs="Segoe UI"/>
          <w:color w:val="000000" w:themeColor="text1"/>
          <w:szCs w:val="22"/>
        </w:rPr>
        <w:t xml:space="preserve"> </w:t>
      </w:r>
      <w:r w:rsidRPr="00226B6D">
        <w:rPr>
          <w:rFonts w:cs="Segoe UI"/>
          <w:color w:val="000000" w:themeColor="text1"/>
          <w:szCs w:val="22"/>
        </w:rPr>
        <w:t>the</w:t>
      </w:r>
      <w:r>
        <w:rPr>
          <w:rFonts w:cs="Segoe UI"/>
          <w:color w:val="000000" w:themeColor="text1"/>
          <w:szCs w:val="22"/>
        </w:rPr>
        <w:t xml:space="preserve"> </w:t>
      </w:r>
      <w:r w:rsidRPr="00226B6D">
        <w:rPr>
          <w:rFonts w:cs="Segoe UI"/>
          <w:color w:val="000000" w:themeColor="text1"/>
          <w:szCs w:val="22"/>
        </w:rPr>
        <w:t>study site</w:t>
      </w:r>
      <w:r>
        <w:rPr>
          <w:rFonts w:cs="Segoe UI"/>
          <w:color w:val="000000" w:themeColor="text1"/>
          <w:szCs w:val="22"/>
        </w:rPr>
        <w:t xml:space="preserve"> at Deep Bay</w:t>
      </w:r>
      <w:r w:rsidRPr="00226B6D">
        <w:rPr>
          <w:rFonts w:cs="Segoe UI"/>
          <w:color w:val="000000" w:themeColor="text1"/>
          <w:szCs w:val="22"/>
        </w:rPr>
        <w:t>. C) Site map showing the locations of the surface sampling transects (MP_A, MP_B, and SK)</w:t>
      </w:r>
      <w:r>
        <w:rPr>
          <w:rFonts w:cs="Segoe UI"/>
          <w:color w:val="000000" w:themeColor="text1"/>
          <w:szCs w:val="22"/>
        </w:rPr>
        <w:t xml:space="preserve"> in Mai Po Nature Reserve and Sha Kiu</w:t>
      </w:r>
      <w:r w:rsidRPr="00226B6D">
        <w:rPr>
          <w:rFonts w:cs="Segoe UI"/>
          <w:color w:val="000000" w:themeColor="text1"/>
          <w:szCs w:val="22"/>
        </w:rPr>
        <w:t>, the short core MPSC01,</w:t>
      </w:r>
      <w:r>
        <w:rPr>
          <w:rFonts w:cs="Segoe UI"/>
          <w:color w:val="000000" w:themeColor="text1"/>
          <w:szCs w:val="22"/>
        </w:rPr>
        <w:t xml:space="preserve"> location of stratigraphic cores,</w:t>
      </w:r>
      <w:r w:rsidRPr="00226B6D">
        <w:rPr>
          <w:rFonts w:cs="Segoe UI"/>
          <w:color w:val="000000" w:themeColor="text1"/>
          <w:szCs w:val="22"/>
        </w:rPr>
        <w:t xml:space="preserve"> the nearest tide gauge at Tsim Bei Tsui, and the land surface elevation as represented by the LiDAR digital elevation model provided by the Hong Kong S.A.R government. </w:t>
      </w:r>
      <w:r>
        <w:rPr>
          <w:rFonts w:cs="Segoe UI"/>
          <w:color w:val="000000" w:themeColor="text1"/>
          <w:szCs w:val="22"/>
        </w:rPr>
        <w:t xml:space="preserve">Historical boundaries of </w:t>
      </w:r>
      <w:r>
        <w:rPr>
          <w:rFonts w:cs="Segoe UI"/>
          <w:color w:val="000000" w:themeColor="text1"/>
          <w:szCs w:val="22"/>
        </w:rPr>
        <w:lastRenderedPageBreak/>
        <w:t>mangrove in Mai Po Nature Reserved are labelled by black dash line</w:t>
      </w:r>
      <w:r w:rsidR="006A6B98">
        <w:rPr>
          <w:rFonts w:cs="Segoe UI"/>
          <w:color w:val="000000" w:themeColor="text1"/>
          <w:szCs w:val="22"/>
        </w:rPr>
        <w:t xml:space="preserve"> (See supplementary figure 1 for aerial images)</w:t>
      </w:r>
      <w:r>
        <w:rPr>
          <w:rFonts w:cs="Segoe UI"/>
          <w:color w:val="000000" w:themeColor="text1"/>
          <w:szCs w:val="22"/>
        </w:rPr>
        <w:t xml:space="preserve">. D) Stratigraphy of Mai Po Nature Reserve with radiocarbon and </w:t>
      </w:r>
      <w:r w:rsidRPr="001D4418">
        <w:rPr>
          <w:rFonts w:cs="Segoe UI"/>
          <w:color w:val="000000" w:themeColor="text1"/>
          <w:szCs w:val="22"/>
          <w:vertAlign w:val="superscript"/>
        </w:rPr>
        <w:t>210</w:t>
      </w:r>
      <w:r>
        <w:rPr>
          <w:rFonts w:cs="Segoe UI"/>
          <w:color w:val="000000" w:themeColor="text1"/>
          <w:szCs w:val="22"/>
        </w:rPr>
        <w:t>Pb-</w:t>
      </w:r>
      <w:r w:rsidRPr="001D4418">
        <w:rPr>
          <w:rFonts w:cs="Segoe UI"/>
          <w:color w:val="000000" w:themeColor="text1"/>
          <w:szCs w:val="22"/>
          <w:vertAlign w:val="superscript"/>
        </w:rPr>
        <w:t>137</w:t>
      </w:r>
      <w:r>
        <w:rPr>
          <w:rFonts w:cs="Segoe UI"/>
          <w:color w:val="000000" w:themeColor="text1"/>
          <w:szCs w:val="22"/>
        </w:rPr>
        <w:t xml:space="preserve">Cs ages reported in Sun et al. </w:t>
      </w:r>
      <w:r w:rsidR="00380FB3">
        <w:rPr>
          <w:rFonts w:cs="Segoe UI"/>
          <w:color w:val="000000" w:themeColor="text1"/>
          <w:szCs w:val="22"/>
        </w:rPr>
        <w:t>(</w:t>
      </w:r>
      <w:r>
        <w:rPr>
          <w:rFonts w:cs="Segoe UI"/>
          <w:color w:val="000000" w:themeColor="text1"/>
          <w:szCs w:val="22"/>
        </w:rPr>
        <w:t>202</w:t>
      </w:r>
      <w:r w:rsidR="000F79D7">
        <w:rPr>
          <w:rFonts w:cs="Segoe UI"/>
          <w:color w:val="000000" w:themeColor="text1"/>
          <w:szCs w:val="22"/>
        </w:rPr>
        <w:t>1</w:t>
      </w:r>
      <w:r w:rsidR="00380FB3">
        <w:rPr>
          <w:rFonts w:cs="Segoe UI"/>
          <w:color w:val="000000" w:themeColor="text1"/>
          <w:szCs w:val="22"/>
        </w:rPr>
        <w:t>) and this study</w:t>
      </w:r>
      <w:r>
        <w:rPr>
          <w:rFonts w:cs="Segoe UI"/>
          <w:color w:val="000000" w:themeColor="text1"/>
          <w:szCs w:val="22"/>
        </w:rPr>
        <w:t>. E</w:t>
      </w:r>
      <w:r w:rsidRPr="00226B6D">
        <w:rPr>
          <w:rFonts w:cs="Segoe UI"/>
          <w:color w:val="000000" w:themeColor="text1"/>
          <w:szCs w:val="22"/>
        </w:rPr>
        <w:t>) Elevation profile of the mangroves at the</w:t>
      </w:r>
      <w:r>
        <w:rPr>
          <w:rFonts w:cs="Segoe UI"/>
          <w:color w:val="000000" w:themeColor="text1"/>
          <w:szCs w:val="22"/>
        </w:rPr>
        <w:t xml:space="preserve"> study</w:t>
      </w:r>
      <w:r w:rsidRPr="00226B6D">
        <w:rPr>
          <w:rFonts w:cs="Segoe UI"/>
          <w:color w:val="000000" w:themeColor="text1"/>
          <w:szCs w:val="22"/>
        </w:rPr>
        <w:t xml:space="preserve"> site </w:t>
      </w:r>
      <w:r>
        <w:rPr>
          <w:rFonts w:cs="Segoe UI"/>
          <w:color w:val="000000" w:themeColor="text1"/>
          <w:szCs w:val="22"/>
        </w:rPr>
        <w:t xml:space="preserve">obtained from </w:t>
      </w:r>
      <w:r w:rsidRPr="00226B6D">
        <w:rPr>
          <w:rFonts w:cs="Segoe UI"/>
          <w:color w:val="000000" w:themeColor="text1"/>
          <w:szCs w:val="22"/>
        </w:rPr>
        <w:t>LiDAR DEM</w:t>
      </w:r>
      <w:r>
        <w:rPr>
          <w:rFonts w:cs="Segoe UI"/>
          <w:color w:val="000000" w:themeColor="text1"/>
          <w:szCs w:val="22"/>
        </w:rPr>
        <w:t xml:space="preserve"> provided from the Hong Kong S.A.R government</w:t>
      </w:r>
      <w:r w:rsidRPr="00226B6D">
        <w:rPr>
          <w:rFonts w:cs="Segoe UI"/>
          <w:color w:val="000000" w:themeColor="text1"/>
          <w:szCs w:val="22"/>
        </w:rPr>
        <w:t>, compared with a normal distribution curve.</w:t>
      </w:r>
      <w:r w:rsidR="00EF2F2E">
        <w:rPr>
          <w:rFonts w:cs="Segoe UI"/>
          <w:color w:val="000000" w:themeColor="text1"/>
          <w:szCs w:val="22"/>
        </w:rPr>
        <w:t xml:space="preserve"> The pixel count represented in the histogram is obtained from the LiDAR DEM using the software</w:t>
      </w:r>
      <w:r w:rsidR="005F5416">
        <w:rPr>
          <w:rFonts w:cs="Segoe UI"/>
          <w:color w:val="000000" w:themeColor="text1"/>
          <w:szCs w:val="22"/>
        </w:rPr>
        <w:t xml:space="preserve"> </w:t>
      </w:r>
      <w:r w:rsidR="005F5416" w:rsidRPr="005F5416">
        <w:rPr>
          <w:rFonts w:cs="Segoe UI"/>
          <w:color w:val="000000" w:themeColor="text1"/>
          <w:szCs w:val="22"/>
        </w:rPr>
        <w:t>ENVI®</w:t>
      </w:r>
      <w:r w:rsidR="005F5416">
        <w:rPr>
          <w:rFonts w:cs="Segoe UI"/>
          <w:color w:val="000000" w:themeColor="text1"/>
          <w:szCs w:val="22"/>
        </w:rPr>
        <w:t>.</w:t>
      </w:r>
    </w:p>
    <w:p w14:paraId="2CEDC652" w14:textId="11140951" w:rsidR="00E005F0" w:rsidRDefault="00326663" w:rsidP="00E005F0">
      <w:pPr>
        <w:rPr>
          <w:rFonts w:cs="Segoe UI"/>
          <w:color w:val="000000" w:themeColor="text1"/>
          <w:szCs w:val="22"/>
        </w:rPr>
      </w:pPr>
      <w:r>
        <w:rPr>
          <w:rFonts w:cs="Segoe UI"/>
          <w:noProof/>
          <w:color w:val="000000" w:themeColor="text1"/>
          <w:szCs w:val="22"/>
        </w:rPr>
        <w:drawing>
          <wp:inline distT="0" distB="0" distL="0" distR="0" wp14:anchorId="48B61CBA" wp14:editId="7F34B157">
            <wp:extent cx="5727700" cy="4047490"/>
            <wp:effectExtent l="0" t="0" r="0" b="0"/>
            <wp:docPr id="4049748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974895" name="Picture 404974895"/>
                    <pic:cNvPicPr/>
                  </pic:nvPicPr>
                  <pic:blipFill>
                    <a:blip r:embed="rId9"/>
                    <a:stretch>
                      <a:fillRect/>
                    </a:stretch>
                  </pic:blipFill>
                  <pic:spPr>
                    <a:xfrm>
                      <a:off x="0" y="0"/>
                      <a:ext cx="5727700" cy="4047490"/>
                    </a:xfrm>
                    <a:prstGeom prst="rect">
                      <a:avLst/>
                    </a:prstGeom>
                  </pic:spPr>
                </pic:pic>
              </a:graphicData>
            </a:graphic>
          </wp:inline>
        </w:drawing>
      </w:r>
    </w:p>
    <w:p w14:paraId="4E6EBE7F" w14:textId="7CF3409E" w:rsidR="00E005F0" w:rsidRDefault="00E005F0" w:rsidP="00E005F0">
      <w:pPr>
        <w:rPr>
          <w:rFonts w:cs="Segoe UI"/>
          <w:color w:val="000000" w:themeColor="text1"/>
          <w:szCs w:val="22"/>
        </w:rPr>
      </w:pPr>
      <w:r>
        <w:rPr>
          <w:rFonts w:cs="Segoe UI"/>
          <w:b/>
          <w:bCs/>
          <w:color w:val="000000" w:themeColor="text1"/>
          <w:szCs w:val="22"/>
        </w:rPr>
        <w:t>Figure</w:t>
      </w:r>
      <w:r w:rsidRPr="00FD3528">
        <w:rPr>
          <w:rFonts w:cs="Segoe UI"/>
          <w:b/>
          <w:bCs/>
          <w:color w:val="000000" w:themeColor="text1"/>
          <w:szCs w:val="22"/>
        </w:rPr>
        <w:t xml:space="preserve"> </w:t>
      </w:r>
      <w:r>
        <w:rPr>
          <w:rFonts w:cs="Segoe UI"/>
          <w:b/>
          <w:bCs/>
          <w:color w:val="000000" w:themeColor="text1"/>
          <w:szCs w:val="22"/>
        </w:rPr>
        <w:t>2</w:t>
      </w:r>
      <w:r w:rsidRPr="00FD3528">
        <w:rPr>
          <w:rFonts w:cs="Segoe UI"/>
          <w:b/>
          <w:bCs/>
          <w:color w:val="000000" w:themeColor="text1"/>
          <w:szCs w:val="22"/>
        </w:rPr>
        <w:t>.</w:t>
      </w:r>
      <w:r>
        <w:rPr>
          <w:rFonts w:cs="Segoe UI"/>
          <w:b/>
          <w:bCs/>
          <w:color w:val="000000" w:themeColor="text1"/>
          <w:szCs w:val="22"/>
        </w:rPr>
        <w:t xml:space="preserve"> </w:t>
      </w:r>
      <w:r w:rsidRPr="001D4418">
        <w:rPr>
          <w:rFonts w:cs="Segoe UI"/>
          <w:color w:val="000000" w:themeColor="text1"/>
          <w:szCs w:val="22"/>
        </w:rPr>
        <w:t xml:space="preserve">Surface sample transects showing the location of the sampling stations and major environmental zones relative to distance and elevation. A) Mai Po transect A (MP_A). B) Mai Po transect B (MP_B).  C) Sha Kiu </w:t>
      </w:r>
      <w:proofErr w:type="gramStart"/>
      <w:r w:rsidRPr="001D4418">
        <w:rPr>
          <w:rFonts w:cs="Segoe UI"/>
          <w:color w:val="000000" w:themeColor="text1"/>
          <w:szCs w:val="22"/>
        </w:rPr>
        <w:t>transect</w:t>
      </w:r>
      <w:proofErr w:type="gramEnd"/>
      <w:r w:rsidRPr="001D4418">
        <w:rPr>
          <w:rFonts w:cs="Segoe UI"/>
          <w:color w:val="000000" w:themeColor="text1"/>
          <w:szCs w:val="22"/>
        </w:rPr>
        <w:t xml:space="preserve"> (SK).</w:t>
      </w:r>
      <w:r>
        <w:rPr>
          <w:rFonts w:cs="Segoe UI"/>
          <w:color w:val="000000" w:themeColor="text1"/>
          <w:szCs w:val="22"/>
        </w:rPr>
        <w:t xml:space="preserve"> Salinity,</w:t>
      </w:r>
      <w:r w:rsidRPr="001D4418">
        <w:rPr>
          <w:rFonts w:cs="Segoe UI"/>
          <w:color w:val="000000" w:themeColor="text1"/>
          <w:szCs w:val="22"/>
        </w:rPr>
        <w:t xml:space="preserve"> total organic carbon content (TOC), </w:t>
      </w:r>
      <w:r w:rsidRPr="006670C6">
        <w:rPr>
          <w:rFonts w:cs="Segoe UI"/>
          <w:color w:val="000000" w:themeColor="text1"/>
          <w:szCs w:val="22"/>
        </w:rPr>
        <w:t>δ</w:t>
      </w:r>
      <w:r w:rsidRPr="004C6D3C">
        <w:rPr>
          <w:rFonts w:cs="Segoe UI"/>
          <w:color w:val="000000" w:themeColor="text1"/>
          <w:szCs w:val="22"/>
          <w:vertAlign w:val="superscript"/>
        </w:rPr>
        <w:t>13</w:t>
      </w:r>
      <w:r w:rsidRPr="006670C6">
        <w:rPr>
          <w:rFonts w:cs="Segoe UI"/>
          <w:color w:val="000000" w:themeColor="text1"/>
          <w:szCs w:val="22"/>
        </w:rPr>
        <w:t>C</w:t>
      </w:r>
      <w:r w:rsidRPr="001D4418">
        <w:rPr>
          <w:rFonts w:cs="Segoe UI"/>
          <w:color w:val="000000" w:themeColor="text1"/>
          <w:szCs w:val="22"/>
        </w:rPr>
        <w:t>, C</w:t>
      </w:r>
      <w:r>
        <w:rPr>
          <w:rFonts w:cs="Segoe UI"/>
          <w:color w:val="000000" w:themeColor="text1"/>
          <w:szCs w:val="22"/>
        </w:rPr>
        <w:t>/</w:t>
      </w:r>
      <w:r w:rsidRPr="001D4418">
        <w:rPr>
          <w:rFonts w:cs="Segoe UI"/>
          <w:color w:val="000000" w:themeColor="text1"/>
          <w:szCs w:val="22"/>
        </w:rPr>
        <w:t>N ratio</w:t>
      </w:r>
      <w:r>
        <w:rPr>
          <w:rFonts w:cs="Segoe UI"/>
          <w:color w:val="000000" w:themeColor="text1"/>
          <w:szCs w:val="22"/>
        </w:rPr>
        <w:t>,</w:t>
      </w:r>
      <w:r w:rsidRPr="001D4418">
        <w:rPr>
          <w:rFonts w:cs="Segoe UI"/>
          <w:color w:val="000000" w:themeColor="text1"/>
          <w:szCs w:val="22"/>
        </w:rPr>
        <w:t xml:space="preserve"> </w:t>
      </w:r>
      <w:r>
        <w:rPr>
          <w:rFonts w:cs="Segoe UI"/>
          <w:color w:val="000000" w:themeColor="text1"/>
          <w:szCs w:val="22"/>
        </w:rPr>
        <w:t>grain size composition</w:t>
      </w:r>
      <w:r w:rsidRPr="001D4418">
        <w:rPr>
          <w:rFonts w:cs="Segoe UI"/>
          <w:color w:val="000000" w:themeColor="text1"/>
          <w:szCs w:val="22"/>
        </w:rPr>
        <w:t>,</w:t>
      </w:r>
      <w:r>
        <w:rPr>
          <w:rFonts w:cs="Segoe UI"/>
          <w:color w:val="000000" w:themeColor="text1"/>
          <w:szCs w:val="22"/>
        </w:rPr>
        <w:t xml:space="preserve"> and sorting</w:t>
      </w:r>
      <w:r w:rsidRPr="001D4418">
        <w:rPr>
          <w:rFonts w:cs="Segoe UI"/>
          <w:color w:val="000000" w:themeColor="text1"/>
          <w:szCs w:val="22"/>
        </w:rPr>
        <w:t xml:space="preserve"> in each sampling station are plotted relative to distance.</w:t>
      </w:r>
    </w:p>
    <w:p w14:paraId="20D78697" w14:textId="0810829F" w:rsidR="00E005F0" w:rsidRDefault="00326663" w:rsidP="00E005F0">
      <w:pPr>
        <w:rPr>
          <w:rFonts w:cs="Segoe UI"/>
          <w:color w:val="000000" w:themeColor="text1"/>
          <w:szCs w:val="22"/>
        </w:rPr>
      </w:pPr>
      <w:r>
        <w:rPr>
          <w:rFonts w:cs="Segoe UI"/>
          <w:noProof/>
          <w:color w:val="000000" w:themeColor="text1"/>
          <w:szCs w:val="22"/>
        </w:rPr>
        <w:lastRenderedPageBreak/>
        <w:drawing>
          <wp:inline distT="0" distB="0" distL="0" distR="0" wp14:anchorId="7C6FCDF9" wp14:editId="6547EC43">
            <wp:extent cx="5727700" cy="4047490"/>
            <wp:effectExtent l="0" t="0" r="0" b="0"/>
            <wp:docPr id="15821761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176140" name="Picture 1582176140"/>
                    <pic:cNvPicPr/>
                  </pic:nvPicPr>
                  <pic:blipFill>
                    <a:blip r:embed="rId10"/>
                    <a:stretch>
                      <a:fillRect/>
                    </a:stretch>
                  </pic:blipFill>
                  <pic:spPr>
                    <a:xfrm>
                      <a:off x="0" y="0"/>
                      <a:ext cx="5727700" cy="4047490"/>
                    </a:xfrm>
                    <a:prstGeom prst="rect">
                      <a:avLst/>
                    </a:prstGeom>
                  </pic:spPr>
                </pic:pic>
              </a:graphicData>
            </a:graphic>
          </wp:inline>
        </w:drawing>
      </w:r>
    </w:p>
    <w:p w14:paraId="7726992D" w14:textId="0E23FA28" w:rsidR="00E005F0" w:rsidRPr="00826728" w:rsidRDefault="00E005F0" w:rsidP="00E005F0">
      <w:pPr>
        <w:rPr>
          <w:rFonts w:cs="Segoe UI"/>
          <w:color w:val="000000" w:themeColor="text1"/>
          <w:szCs w:val="22"/>
        </w:rPr>
      </w:pPr>
      <w:r>
        <w:rPr>
          <w:rFonts w:cs="Segoe UI"/>
          <w:b/>
          <w:bCs/>
          <w:color w:val="000000" w:themeColor="text1"/>
          <w:szCs w:val="22"/>
        </w:rPr>
        <w:t>Figure</w:t>
      </w:r>
      <w:r w:rsidRPr="00FD3528">
        <w:rPr>
          <w:rFonts w:cs="Segoe UI"/>
          <w:b/>
          <w:bCs/>
          <w:color w:val="000000" w:themeColor="text1"/>
          <w:szCs w:val="22"/>
        </w:rPr>
        <w:t xml:space="preserve"> </w:t>
      </w:r>
      <w:r>
        <w:rPr>
          <w:rFonts w:cs="Segoe UI"/>
          <w:b/>
          <w:bCs/>
          <w:color w:val="000000" w:themeColor="text1"/>
          <w:szCs w:val="22"/>
        </w:rPr>
        <w:t>3</w:t>
      </w:r>
      <w:r w:rsidRPr="00FD3528">
        <w:rPr>
          <w:rFonts w:cs="Segoe UI"/>
          <w:b/>
          <w:bCs/>
          <w:color w:val="000000" w:themeColor="text1"/>
          <w:szCs w:val="22"/>
        </w:rPr>
        <w:t>.</w:t>
      </w:r>
      <w:r>
        <w:rPr>
          <w:rFonts w:cs="Segoe UI"/>
          <w:b/>
          <w:bCs/>
          <w:color w:val="000000" w:themeColor="text1"/>
          <w:szCs w:val="22"/>
        </w:rPr>
        <w:t xml:space="preserve"> </w:t>
      </w:r>
      <w:r w:rsidRPr="008178AA">
        <w:rPr>
          <w:rFonts w:cs="Segoe UI"/>
          <w:color w:val="000000" w:themeColor="text1"/>
          <w:szCs w:val="22"/>
        </w:rPr>
        <w:t xml:space="preserve">Relationship between major diatom taxa and elevation </w:t>
      </w:r>
      <w:r>
        <w:rPr>
          <w:rFonts w:cs="Segoe UI"/>
          <w:color w:val="000000" w:themeColor="text1"/>
          <w:szCs w:val="22"/>
        </w:rPr>
        <w:t xml:space="preserve">and other environmental variables </w:t>
      </w:r>
      <w:r w:rsidRPr="008178AA">
        <w:rPr>
          <w:rFonts w:cs="Segoe UI"/>
          <w:color w:val="000000" w:themeColor="text1"/>
          <w:szCs w:val="22"/>
        </w:rPr>
        <w:t xml:space="preserve">in transect MP_A, MP_B and SK.  </w:t>
      </w:r>
      <w:r>
        <w:rPr>
          <w:rFonts w:cs="Segoe UI"/>
          <w:color w:val="000000" w:themeColor="text1"/>
          <w:szCs w:val="22"/>
        </w:rPr>
        <w:t>A) Vertical distribution of major foraminifera taxa coloured by site</w:t>
      </w:r>
      <w:r w:rsidR="00304442">
        <w:rPr>
          <w:rFonts w:cs="Segoe UI"/>
          <w:color w:val="000000" w:themeColor="text1"/>
          <w:szCs w:val="22"/>
        </w:rPr>
        <w:t xml:space="preserve"> according to their species optima</w:t>
      </w:r>
      <w:r>
        <w:rPr>
          <w:rFonts w:cs="Segoe UI"/>
          <w:color w:val="000000" w:themeColor="text1"/>
          <w:szCs w:val="22"/>
        </w:rPr>
        <w:t>. Elevation is referenced to</w:t>
      </w:r>
      <w:r w:rsidRPr="008178AA">
        <w:rPr>
          <w:rFonts w:cs="Segoe UI"/>
          <w:color w:val="000000" w:themeColor="text1"/>
          <w:szCs w:val="22"/>
        </w:rPr>
        <w:t xml:space="preserve"> Standardised Water Level Index (SWLI</w:t>
      </w:r>
      <w:r w:rsidR="009858B5">
        <w:rPr>
          <w:rFonts w:cs="Segoe UI"/>
          <w:color w:val="000000" w:themeColor="text1"/>
          <w:szCs w:val="22"/>
        </w:rPr>
        <w:t xml:space="preserve"> </w:t>
      </w:r>
      <w:r w:rsidR="009858B5">
        <w:rPr>
          <w:color w:val="000000" w:themeColor="text1"/>
        </w:rPr>
        <w:t>units</w:t>
      </w:r>
      <w:r w:rsidRPr="008178AA">
        <w:rPr>
          <w:rFonts w:cs="Segoe UI"/>
          <w:color w:val="000000" w:themeColor="text1"/>
          <w:szCs w:val="22"/>
        </w:rPr>
        <w:t xml:space="preserve">) where the value 100 represent mean tide level (MTL), and the value of 200 represents mean higher high water (MHHW). </w:t>
      </w:r>
      <w:r>
        <w:rPr>
          <w:rFonts w:cs="Segoe UI"/>
          <w:color w:val="000000" w:themeColor="text1"/>
          <w:szCs w:val="22"/>
        </w:rPr>
        <w:t xml:space="preserve"> B) Average silhouette of foraminifera groups divided by </w:t>
      </w:r>
      <w:r w:rsidRPr="00FD3528">
        <w:rPr>
          <w:rFonts w:cs="Segoe UI"/>
          <w:color w:val="000000" w:themeColor="text1"/>
          <w:szCs w:val="22"/>
        </w:rPr>
        <w:t>partitioning around med</w:t>
      </w:r>
      <w:r>
        <w:rPr>
          <w:rFonts w:cs="Segoe UI"/>
          <w:color w:val="000000" w:themeColor="text1"/>
          <w:szCs w:val="22"/>
        </w:rPr>
        <w:t>oi</w:t>
      </w:r>
      <w:r w:rsidRPr="00FD3528">
        <w:rPr>
          <w:rFonts w:cs="Segoe UI"/>
          <w:color w:val="000000" w:themeColor="text1"/>
          <w:szCs w:val="22"/>
        </w:rPr>
        <w:t>ds (PAM) cluster analysis</w:t>
      </w:r>
      <w:r>
        <w:rPr>
          <w:rFonts w:cs="Segoe UI"/>
          <w:color w:val="000000" w:themeColor="text1"/>
          <w:szCs w:val="22"/>
        </w:rPr>
        <w:t xml:space="preserve">. C) </w:t>
      </w:r>
      <w:r w:rsidRPr="003C18C0">
        <w:rPr>
          <w:rFonts w:cs="Segoe UI"/>
          <w:color w:val="000000" w:themeColor="text1"/>
          <w:szCs w:val="22"/>
        </w:rPr>
        <w:t xml:space="preserve">Foraminifera dataset divided into </w:t>
      </w:r>
      <w:r w:rsidR="00315887">
        <w:rPr>
          <w:rFonts w:cs="Segoe UI"/>
          <w:color w:val="000000" w:themeColor="text1"/>
          <w:szCs w:val="22"/>
        </w:rPr>
        <w:t>ten</w:t>
      </w:r>
      <w:r w:rsidRPr="003C18C0">
        <w:rPr>
          <w:rFonts w:cs="Segoe UI"/>
          <w:color w:val="000000" w:themeColor="text1"/>
          <w:szCs w:val="22"/>
        </w:rPr>
        <w:t xml:space="preserve"> groups </w:t>
      </w:r>
      <w:r>
        <w:rPr>
          <w:rFonts w:cs="Segoe UI"/>
          <w:color w:val="000000" w:themeColor="text1"/>
          <w:szCs w:val="22"/>
        </w:rPr>
        <w:t xml:space="preserve">by PAM </w:t>
      </w:r>
      <w:r w:rsidRPr="003C18C0">
        <w:rPr>
          <w:rFonts w:cs="Segoe UI"/>
          <w:color w:val="000000" w:themeColor="text1"/>
          <w:szCs w:val="22"/>
        </w:rPr>
        <w:t>and coloured by site</w:t>
      </w:r>
      <w:r w:rsidR="00315887">
        <w:rPr>
          <w:rFonts w:cs="Segoe UI"/>
          <w:color w:val="000000" w:themeColor="text1"/>
          <w:szCs w:val="22"/>
        </w:rPr>
        <w:t xml:space="preserve">, </w:t>
      </w:r>
      <w:r w:rsidR="007A7D00">
        <w:rPr>
          <w:rFonts w:cs="Segoe UI"/>
          <w:color w:val="000000" w:themeColor="text1"/>
          <w:szCs w:val="22"/>
        </w:rPr>
        <w:t xml:space="preserve">and assemblage of each group. </w:t>
      </w:r>
      <w:r>
        <w:rPr>
          <w:rFonts w:cs="Segoe UI"/>
          <w:color w:val="000000" w:themeColor="text1"/>
          <w:szCs w:val="22"/>
        </w:rPr>
        <w:t>D) Box plot of elevation range of foraminifera groups divided by PAM</w:t>
      </w:r>
      <w:r w:rsidR="002B7158">
        <w:rPr>
          <w:rFonts w:cs="Segoe UI"/>
          <w:color w:val="000000" w:themeColor="text1"/>
          <w:szCs w:val="22"/>
        </w:rPr>
        <w:t>, with sample labelled by site</w:t>
      </w:r>
      <w:r>
        <w:rPr>
          <w:rFonts w:cs="Segoe UI"/>
          <w:color w:val="000000" w:themeColor="text1"/>
          <w:szCs w:val="22"/>
        </w:rPr>
        <w:t xml:space="preserve">. E) </w:t>
      </w:r>
      <w:r w:rsidRPr="00460BD1">
        <w:rPr>
          <w:rFonts w:cs="Segoe UI"/>
          <w:color w:val="000000" w:themeColor="text1"/>
          <w:szCs w:val="22"/>
        </w:rPr>
        <w:t>Canonical Correspondence Analysis</w:t>
      </w:r>
      <w:r>
        <w:rPr>
          <w:rFonts w:cs="Segoe UI"/>
          <w:color w:val="000000" w:themeColor="text1"/>
          <w:szCs w:val="22"/>
        </w:rPr>
        <w:t xml:space="preserve"> (CCA)</w:t>
      </w:r>
      <w:r w:rsidRPr="00460BD1">
        <w:rPr>
          <w:rFonts w:cs="Segoe UI"/>
          <w:color w:val="000000" w:themeColor="text1"/>
          <w:szCs w:val="22"/>
        </w:rPr>
        <w:t xml:space="preserve"> biplots of</w:t>
      </w:r>
      <w:r>
        <w:rPr>
          <w:rFonts w:cs="Segoe UI"/>
          <w:color w:val="000000" w:themeColor="text1"/>
          <w:szCs w:val="22"/>
        </w:rPr>
        <w:t xml:space="preserve"> </w:t>
      </w:r>
      <w:r w:rsidRPr="00460BD1">
        <w:rPr>
          <w:rFonts w:cs="Segoe UI"/>
          <w:color w:val="000000" w:themeColor="text1"/>
          <w:szCs w:val="22"/>
        </w:rPr>
        <w:t>foraminifera species-environment from</w:t>
      </w:r>
      <w:r>
        <w:rPr>
          <w:rFonts w:cs="Segoe UI"/>
          <w:color w:val="000000" w:themeColor="text1"/>
          <w:szCs w:val="22"/>
        </w:rPr>
        <w:t xml:space="preserve"> all sites</w:t>
      </w:r>
      <w:r w:rsidRPr="00460BD1">
        <w:rPr>
          <w:rFonts w:cs="Segoe UI"/>
          <w:color w:val="000000" w:themeColor="text1"/>
          <w:szCs w:val="22"/>
        </w:rPr>
        <w:t xml:space="preserve">. Species abbreviations: </w:t>
      </w:r>
      <w:r w:rsidRPr="00F82211">
        <w:rPr>
          <w:rFonts w:cs="Segoe UI"/>
          <w:color w:val="000000" w:themeColor="text1"/>
          <w:szCs w:val="22"/>
        </w:rPr>
        <w:t>A</w:t>
      </w:r>
      <w:r w:rsidR="00035E3E">
        <w:rPr>
          <w:rFonts w:cs="Segoe UI"/>
          <w:color w:val="000000" w:themeColor="text1"/>
          <w:szCs w:val="22"/>
        </w:rPr>
        <w:t>m</w:t>
      </w:r>
      <w:r w:rsidRPr="00F82211">
        <w:rPr>
          <w:rFonts w:cs="Segoe UI"/>
          <w:color w:val="000000" w:themeColor="text1"/>
          <w:szCs w:val="22"/>
        </w:rPr>
        <w:t>bs</w:t>
      </w:r>
      <w:r w:rsidRPr="00FD3528">
        <w:rPr>
          <w:rFonts w:cs="Segoe UI"/>
          <w:i/>
          <w:iCs/>
          <w:color w:val="000000" w:themeColor="text1"/>
          <w:szCs w:val="22"/>
        </w:rPr>
        <w:t xml:space="preserve"> = </w:t>
      </w:r>
      <w:proofErr w:type="spellStart"/>
      <w:r w:rsidRPr="00FD3528">
        <w:rPr>
          <w:rFonts w:cs="Segoe UI"/>
          <w:i/>
          <w:iCs/>
          <w:color w:val="000000" w:themeColor="text1"/>
          <w:szCs w:val="22"/>
        </w:rPr>
        <w:t>Ammobaculites</w:t>
      </w:r>
      <w:proofErr w:type="spellEnd"/>
      <w:r w:rsidRPr="00FD3528">
        <w:rPr>
          <w:rFonts w:cs="Segoe UI"/>
          <w:i/>
          <w:iCs/>
          <w:color w:val="000000" w:themeColor="text1"/>
          <w:szCs w:val="22"/>
        </w:rPr>
        <w:t xml:space="preserve"> </w:t>
      </w:r>
      <w:r w:rsidRPr="001B2703">
        <w:rPr>
          <w:rFonts w:cs="Segoe UI"/>
          <w:color w:val="000000" w:themeColor="text1"/>
          <w:szCs w:val="22"/>
        </w:rPr>
        <w:t>spp.</w:t>
      </w:r>
      <w:r w:rsidRPr="00FD3528">
        <w:rPr>
          <w:rFonts w:cs="Segoe UI"/>
          <w:i/>
          <w:iCs/>
          <w:color w:val="000000" w:themeColor="text1"/>
          <w:szCs w:val="22"/>
        </w:rPr>
        <w:t xml:space="preserve">, </w:t>
      </w:r>
      <w:r w:rsidRPr="007A7D00">
        <w:rPr>
          <w:rFonts w:cs="Segoe UI"/>
          <w:color w:val="000000" w:themeColor="text1"/>
          <w:szCs w:val="22"/>
        </w:rPr>
        <w:t>A</w:t>
      </w:r>
      <w:r w:rsidR="00035E3E" w:rsidRPr="007A7D00">
        <w:rPr>
          <w:rFonts w:cs="Segoe UI"/>
          <w:color w:val="000000" w:themeColor="text1"/>
          <w:szCs w:val="22"/>
        </w:rPr>
        <w:t>ms</w:t>
      </w:r>
      <w:r w:rsidRPr="00FD3528">
        <w:rPr>
          <w:rFonts w:cs="Segoe UI"/>
          <w:i/>
          <w:iCs/>
          <w:color w:val="000000" w:themeColor="text1"/>
          <w:szCs w:val="22"/>
        </w:rPr>
        <w:t xml:space="preserve"> = Ammonia </w:t>
      </w:r>
      <w:r w:rsidRPr="001B2703">
        <w:rPr>
          <w:rFonts w:cs="Segoe UI"/>
          <w:color w:val="000000" w:themeColor="text1"/>
          <w:szCs w:val="22"/>
        </w:rPr>
        <w:t>spp.</w:t>
      </w:r>
      <w:r w:rsidRPr="00FD3528">
        <w:rPr>
          <w:rFonts w:cs="Segoe UI"/>
          <w:i/>
          <w:iCs/>
          <w:color w:val="000000" w:themeColor="text1"/>
          <w:szCs w:val="22"/>
        </w:rPr>
        <w:t xml:space="preserve">, </w:t>
      </w:r>
      <w:r w:rsidRPr="00F82211">
        <w:rPr>
          <w:rFonts w:cs="Segoe UI"/>
          <w:color w:val="000000" w:themeColor="text1"/>
          <w:szCs w:val="22"/>
        </w:rPr>
        <w:t>Arm</w:t>
      </w:r>
      <w:r w:rsidRPr="00FD3528">
        <w:rPr>
          <w:rFonts w:cs="Segoe UI"/>
          <w:i/>
          <w:iCs/>
          <w:color w:val="000000" w:themeColor="text1"/>
          <w:szCs w:val="22"/>
        </w:rPr>
        <w:t xml:space="preserve"> = </w:t>
      </w:r>
      <w:proofErr w:type="spellStart"/>
      <w:r w:rsidRPr="00FD3528">
        <w:rPr>
          <w:rFonts w:cs="Segoe UI"/>
          <w:i/>
          <w:iCs/>
          <w:szCs w:val="22"/>
        </w:rPr>
        <w:t>Arrenoparella</w:t>
      </w:r>
      <w:proofErr w:type="spellEnd"/>
      <w:r w:rsidRPr="00FD3528">
        <w:rPr>
          <w:rFonts w:cs="Segoe UI"/>
          <w:i/>
          <w:iCs/>
          <w:szCs w:val="22"/>
        </w:rPr>
        <w:t xml:space="preserve"> </w:t>
      </w:r>
      <w:proofErr w:type="spellStart"/>
      <w:r w:rsidRPr="00FD3528">
        <w:rPr>
          <w:rFonts w:cs="Segoe UI"/>
          <w:i/>
          <w:iCs/>
          <w:szCs w:val="22"/>
        </w:rPr>
        <w:t>mexicana</w:t>
      </w:r>
      <w:proofErr w:type="spellEnd"/>
      <w:r w:rsidRPr="00FD3528">
        <w:rPr>
          <w:rFonts w:cs="Segoe UI"/>
          <w:i/>
          <w:iCs/>
          <w:color w:val="000000" w:themeColor="text1"/>
          <w:szCs w:val="22"/>
        </w:rPr>
        <w:t>,</w:t>
      </w:r>
      <w:r>
        <w:rPr>
          <w:rFonts w:cs="Segoe UI"/>
          <w:i/>
          <w:iCs/>
          <w:color w:val="000000" w:themeColor="text1"/>
          <w:szCs w:val="22"/>
        </w:rPr>
        <w:t xml:space="preserve"> </w:t>
      </w:r>
      <w:proofErr w:type="spellStart"/>
      <w:r w:rsidR="007A7D00">
        <w:rPr>
          <w:rFonts w:cs="Segoe UI"/>
          <w:color w:val="000000" w:themeColor="text1"/>
          <w:szCs w:val="22"/>
        </w:rPr>
        <w:t>Gfi</w:t>
      </w:r>
      <w:proofErr w:type="spellEnd"/>
      <w:r w:rsidR="007A7D00">
        <w:rPr>
          <w:rFonts w:cs="Segoe UI"/>
          <w:color w:val="000000" w:themeColor="text1"/>
          <w:szCs w:val="22"/>
        </w:rPr>
        <w:t xml:space="preserve"> = </w:t>
      </w:r>
      <w:proofErr w:type="spellStart"/>
      <w:r w:rsidR="007A7D00">
        <w:rPr>
          <w:rFonts w:cs="Segoe UI"/>
          <w:i/>
          <w:iCs/>
          <w:color w:val="000000" w:themeColor="text1"/>
          <w:szCs w:val="22"/>
        </w:rPr>
        <w:t>Glomospirella</w:t>
      </w:r>
      <w:proofErr w:type="spellEnd"/>
      <w:r w:rsidR="007A7D00">
        <w:rPr>
          <w:rFonts w:cs="Segoe UI"/>
          <w:i/>
          <w:iCs/>
          <w:color w:val="000000" w:themeColor="text1"/>
          <w:szCs w:val="22"/>
        </w:rPr>
        <w:t xml:space="preserve"> </w:t>
      </w:r>
      <w:proofErr w:type="spellStart"/>
      <w:r w:rsidR="007A7D00" w:rsidRPr="007A7D00">
        <w:rPr>
          <w:rFonts w:cs="Segoe UI"/>
          <w:i/>
          <w:iCs/>
          <w:color w:val="000000" w:themeColor="text1"/>
          <w:szCs w:val="22"/>
        </w:rPr>
        <w:t>fijiensis</w:t>
      </w:r>
      <w:proofErr w:type="spellEnd"/>
      <w:r w:rsidR="007A7D00">
        <w:rPr>
          <w:rFonts w:cs="Segoe UI"/>
          <w:color w:val="000000" w:themeColor="text1"/>
          <w:szCs w:val="22"/>
        </w:rPr>
        <w:t xml:space="preserve">, </w:t>
      </w:r>
      <w:proofErr w:type="spellStart"/>
      <w:r w:rsidRPr="00F82211">
        <w:rPr>
          <w:rFonts w:cs="Segoe UI"/>
          <w:color w:val="000000" w:themeColor="text1"/>
          <w:szCs w:val="22"/>
        </w:rPr>
        <w:t>Hpw</w:t>
      </w:r>
      <w:proofErr w:type="spellEnd"/>
      <w:r w:rsidRPr="00FD3528">
        <w:rPr>
          <w:rFonts w:cs="Segoe UI"/>
          <w:i/>
          <w:iCs/>
          <w:color w:val="000000" w:themeColor="text1"/>
          <w:szCs w:val="22"/>
        </w:rPr>
        <w:t xml:space="preserve"> = </w:t>
      </w:r>
      <w:proofErr w:type="spellStart"/>
      <w:r w:rsidRPr="00FD3528">
        <w:rPr>
          <w:rFonts w:cs="Segoe UI"/>
          <w:i/>
          <w:iCs/>
          <w:szCs w:val="22"/>
        </w:rPr>
        <w:t>Haplophragmoides</w:t>
      </w:r>
      <w:proofErr w:type="spellEnd"/>
      <w:r w:rsidRPr="00FD3528">
        <w:rPr>
          <w:rFonts w:cs="Segoe UI"/>
          <w:i/>
          <w:iCs/>
          <w:szCs w:val="22"/>
        </w:rPr>
        <w:t xml:space="preserve"> </w:t>
      </w:r>
      <w:proofErr w:type="spellStart"/>
      <w:r w:rsidRPr="00FD3528">
        <w:rPr>
          <w:rFonts w:cs="Segoe UI"/>
          <w:i/>
          <w:iCs/>
          <w:szCs w:val="22"/>
        </w:rPr>
        <w:t>wilberti</w:t>
      </w:r>
      <w:proofErr w:type="spellEnd"/>
      <w:r w:rsidRPr="00FD3528">
        <w:rPr>
          <w:rFonts w:cs="Segoe UI"/>
          <w:i/>
          <w:iCs/>
          <w:color w:val="000000" w:themeColor="text1"/>
          <w:szCs w:val="22"/>
        </w:rPr>
        <w:t>,</w:t>
      </w:r>
      <w:r>
        <w:rPr>
          <w:rFonts w:cs="Segoe UI"/>
          <w:i/>
          <w:iCs/>
          <w:color w:val="000000" w:themeColor="text1"/>
          <w:szCs w:val="22"/>
        </w:rPr>
        <w:t xml:space="preserve"> </w:t>
      </w:r>
      <w:proofErr w:type="spellStart"/>
      <w:r w:rsidRPr="00F82211">
        <w:rPr>
          <w:rFonts w:cs="Segoe UI"/>
          <w:color w:val="000000" w:themeColor="text1"/>
          <w:szCs w:val="22"/>
        </w:rPr>
        <w:t>Ms</w:t>
      </w:r>
      <w:r w:rsidRPr="00FD3528">
        <w:rPr>
          <w:rFonts w:cs="Segoe UI"/>
          <w:i/>
          <w:iCs/>
          <w:color w:val="000000" w:themeColor="text1"/>
          <w:szCs w:val="22"/>
        </w:rPr>
        <w:t>p</w:t>
      </w:r>
      <w:proofErr w:type="spellEnd"/>
      <w:r w:rsidRPr="00FD3528">
        <w:rPr>
          <w:rFonts w:cs="Segoe UI"/>
          <w:i/>
          <w:iCs/>
          <w:color w:val="000000" w:themeColor="text1"/>
          <w:szCs w:val="22"/>
        </w:rPr>
        <w:t xml:space="preserve"> = </w:t>
      </w:r>
      <w:proofErr w:type="spellStart"/>
      <w:r w:rsidRPr="00FD3528">
        <w:rPr>
          <w:rFonts w:cs="Segoe UI"/>
          <w:i/>
          <w:iCs/>
          <w:color w:val="000000" w:themeColor="text1"/>
          <w:szCs w:val="22"/>
        </w:rPr>
        <w:t>Miliammina</w:t>
      </w:r>
      <w:proofErr w:type="spellEnd"/>
      <w:r w:rsidRPr="00FD3528">
        <w:rPr>
          <w:rFonts w:cs="Segoe UI"/>
          <w:i/>
          <w:iCs/>
          <w:color w:val="000000" w:themeColor="text1"/>
          <w:szCs w:val="22"/>
        </w:rPr>
        <w:t xml:space="preserve"> </w:t>
      </w:r>
      <w:r w:rsidRPr="001B2703">
        <w:rPr>
          <w:rFonts w:cs="Segoe UI"/>
          <w:color w:val="000000" w:themeColor="text1"/>
          <w:szCs w:val="22"/>
        </w:rPr>
        <w:t>spp</w:t>
      </w:r>
      <w:r w:rsidRPr="00FD3528">
        <w:rPr>
          <w:rFonts w:cs="Segoe UI"/>
          <w:i/>
          <w:iCs/>
          <w:color w:val="000000" w:themeColor="text1"/>
          <w:szCs w:val="22"/>
        </w:rPr>
        <w:t xml:space="preserve">., </w:t>
      </w:r>
      <w:proofErr w:type="spellStart"/>
      <w:r w:rsidRPr="00F82211">
        <w:rPr>
          <w:rFonts w:cs="Segoe UI"/>
          <w:color w:val="000000" w:themeColor="text1"/>
          <w:szCs w:val="22"/>
        </w:rPr>
        <w:t>Nns</w:t>
      </w:r>
      <w:proofErr w:type="spellEnd"/>
      <w:r w:rsidRPr="00FD3528">
        <w:rPr>
          <w:rFonts w:cs="Segoe UI"/>
          <w:i/>
          <w:iCs/>
          <w:color w:val="000000" w:themeColor="text1"/>
          <w:szCs w:val="22"/>
        </w:rPr>
        <w:t xml:space="preserve"> = </w:t>
      </w:r>
      <w:proofErr w:type="spellStart"/>
      <w:r w:rsidRPr="00FD3528">
        <w:rPr>
          <w:rFonts w:cs="Segoe UI"/>
          <w:i/>
          <w:iCs/>
          <w:color w:val="000000" w:themeColor="text1"/>
          <w:szCs w:val="22"/>
        </w:rPr>
        <w:t>Nonionella</w:t>
      </w:r>
      <w:proofErr w:type="spellEnd"/>
      <w:r w:rsidRPr="00FD3528">
        <w:rPr>
          <w:rFonts w:cs="Segoe UI"/>
          <w:i/>
          <w:iCs/>
          <w:color w:val="000000" w:themeColor="text1"/>
          <w:szCs w:val="22"/>
        </w:rPr>
        <w:t xml:space="preserve"> stella, </w:t>
      </w:r>
      <w:proofErr w:type="spellStart"/>
      <w:r w:rsidR="007A7D00">
        <w:rPr>
          <w:rFonts w:cs="Segoe UI"/>
          <w:color w:val="000000" w:themeColor="text1"/>
          <w:szCs w:val="22"/>
        </w:rPr>
        <w:t>Rsp</w:t>
      </w:r>
      <w:proofErr w:type="spellEnd"/>
      <w:r w:rsidR="007A7D00">
        <w:rPr>
          <w:rFonts w:cs="Segoe UI"/>
          <w:color w:val="000000" w:themeColor="text1"/>
          <w:szCs w:val="22"/>
        </w:rPr>
        <w:t xml:space="preserve"> = </w:t>
      </w:r>
      <w:r w:rsidR="007A7D00">
        <w:rPr>
          <w:rFonts w:cs="Segoe UI"/>
          <w:i/>
          <w:iCs/>
          <w:color w:val="000000" w:themeColor="text1"/>
          <w:szCs w:val="22"/>
        </w:rPr>
        <w:t xml:space="preserve">Rosalina </w:t>
      </w:r>
      <w:r w:rsidR="007A7D00">
        <w:rPr>
          <w:rFonts w:cs="Segoe UI"/>
          <w:color w:val="000000" w:themeColor="text1"/>
          <w:szCs w:val="22"/>
        </w:rPr>
        <w:t xml:space="preserve">sp.1, </w:t>
      </w:r>
      <w:r w:rsidRPr="00F82211">
        <w:rPr>
          <w:rFonts w:cs="Segoe UI"/>
          <w:color w:val="000000" w:themeColor="text1"/>
          <w:szCs w:val="22"/>
        </w:rPr>
        <w:t>Ti</w:t>
      </w:r>
      <w:r w:rsidR="007A7D00">
        <w:rPr>
          <w:rFonts w:cs="Segoe UI"/>
          <w:color w:val="000000" w:themeColor="text1"/>
          <w:szCs w:val="22"/>
        </w:rPr>
        <w:t>n</w:t>
      </w:r>
      <w:r w:rsidRPr="00FD3528">
        <w:rPr>
          <w:rFonts w:cs="Segoe UI"/>
          <w:i/>
          <w:iCs/>
          <w:color w:val="000000" w:themeColor="text1"/>
          <w:szCs w:val="22"/>
        </w:rPr>
        <w:t xml:space="preserve"> = </w:t>
      </w:r>
      <w:proofErr w:type="spellStart"/>
      <w:r w:rsidRPr="00FD3528">
        <w:rPr>
          <w:rFonts w:cs="Segoe UI"/>
          <w:i/>
          <w:iCs/>
          <w:color w:val="000000" w:themeColor="text1"/>
          <w:szCs w:val="22"/>
        </w:rPr>
        <w:t>Trochammina</w:t>
      </w:r>
      <w:proofErr w:type="spellEnd"/>
      <w:r w:rsidRPr="00FD3528">
        <w:rPr>
          <w:rFonts w:cs="Segoe UI"/>
          <w:i/>
          <w:iCs/>
          <w:color w:val="000000" w:themeColor="text1"/>
          <w:szCs w:val="22"/>
        </w:rPr>
        <w:t xml:space="preserve"> </w:t>
      </w:r>
      <w:proofErr w:type="spellStart"/>
      <w:r w:rsidRPr="00FD3528">
        <w:rPr>
          <w:rFonts w:cs="Segoe UI"/>
          <w:i/>
          <w:iCs/>
          <w:color w:val="000000" w:themeColor="text1"/>
          <w:szCs w:val="22"/>
        </w:rPr>
        <w:t>inflata</w:t>
      </w:r>
      <w:proofErr w:type="spellEnd"/>
      <w:r w:rsidRPr="00FD3528">
        <w:rPr>
          <w:rFonts w:cs="Segoe UI"/>
          <w:i/>
          <w:iCs/>
          <w:color w:val="000000" w:themeColor="text1"/>
          <w:szCs w:val="22"/>
        </w:rPr>
        <w:t>.</w:t>
      </w:r>
      <w:r>
        <w:rPr>
          <w:rFonts w:cs="Segoe UI"/>
          <w:color w:val="000000" w:themeColor="text1"/>
          <w:szCs w:val="22"/>
        </w:rPr>
        <w:t xml:space="preserve"> </w:t>
      </w:r>
      <w:r w:rsidR="00E111A3">
        <w:t>T</w:t>
      </w:r>
      <w:r w:rsidR="00380FF8">
        <w:t xml:space="preserve">axa such as </w:t>
      </w:r>
      <w:r w:rsidR="00380FF8" w:rsidRPr="00753416">
        <w:t>Tin</w:t>
      </w:r>
      <w:r w:rsidR="00380FF8">
        <w:t xml:space="preserve"> and</w:t>
      </w:r>
      <w:r w:rsidR="00380FF8" w:rsidRPr="00753416">
        <w:t xml:space="preserve"> Hwi</w:t>
      </w:r>
      <w:r w:rsidR="00380FF8" w:rsidRPr="00753416">
        <w:rPr>
          <w:i/>
          <w:iCs/>
        </w:rPr>
        <w:t xml:space="preserve"> </w:t>
      </w:r>
      <w:r w:rsidR="00380FF8" w:rsidRPr="00753416">
        <w:t xml:space="preserve">were associated with higher mud content, TOC, and elevation, and lower pH and salinity, </w:t>
      </w:r>
      <w:r w:rsidR="00380FF8">
        <w:t>whereas</w:t>
      </w:r>
      <w:r w:rsidR="00380FF8" w:rsidRPr="00753416">
        <w:t xml:space="preserve"> Ambs and </w:t>
      </w:r>
      <w:proofErr w:type="spellStart"/>
      <w:r w:rsidR="00380FF8" w:rsidRPr="00753416">
        <w:t>Nst</w:t>
      </w:r>
      <w:proofErr w:type="spellEnd"/>
      <w:r w:rsidR="00380FF8" w:rsidRPr="00753416">
        <w:t xml:space="preserve"> were associated with lower mud content, TOC, and elevation, and higher pH and salinity</w:t>
      </w:r>
      <w:r w:rsidR="00380FF8">
        <w:t xml:space="preserve">. </w:t>
      </w:r>
      <w:r>
        <w:rPr>
          <w:rFonts w:cs="Segoe UI"/>
          <w:color w:val="000000" w:themeColor="text1"/>
          <w:szCs w:val="22"/>
        </w:rPr>
        <w:t>F) Vertical distribution of major diatom taxa coloured by site. Elevation is referenced to</w:t>
      </w:r>
      <w:r w:rsidRPr="008178AA">
        <w:rPr>
          <w:rFonts w:cs="Segoe UI"/>
          <w:color w:val="000000" w:themeColor="text1"/>
          <w:szCs w:val="22"/>
        </w:rPr>
        <w:t xml:space="preserve"> SWLI</w:t>
      </w:r>
      <w:r w:rsidR="009858B5">
        <w:rPr>
          <w:rFonts w:cs="Segoe UI"/>
          <w:color w:val="000000" w:themeColor="text1"/>
          <w:szCs w:val="22"/>
        </w:rPr>
        <w:t xml:space="preserve"> </w:t>
      </w:r>
      <w:r w:rsidR="009858B5">
        <w:rPr>
          <w:color w:val="000000" w:themeColor="text1"/>
        </w:rPr>
        <w:t>units</w:t>
      </w:r>
      <w:r>
        <w:rPr>
          <w:rFonts w:cs="Segoe UI"/>
          <w:color w:val="000000" w:themeColor="text1"/>
          <w:szCs w:val="22"/>
        </w:rPr>
        <w:t xml:space="preserve">. </w:t>
      </w:r>
      <w:r w:rsidRPr="008178AA">
        <w:rPr>
          <w:rFonts w:cs="Segoe UI"/>
          <w:color w:val="000000" w:themeColor="text1"/>
          <w:szCs w:val="22"/>
        </w:rPr>
        <w:t xml:space="preserve"> </w:t>
      </w:r>
      <w:r w:rsidR="007776DB">
        <w:rPr>
          <w:rFonts w:cs="Segoe UI"/>
          <w:color w:val="000000" w:themeColor="text1"/>
          <w:szCs w:val="22"/>
        </w:rPr>
        <w:t>G</w:t>
      </w:r>
      <w:r>
        <w:rPr>
          <w:rFonts w:cs="Segoe UI"/>
          <w:color w:val="000000" w:themeColor="text1"/>
          <w:szCs w:val="22"/>
        </w:rPr>
        <w:t xml:space="preserve">) Average silhouette of diatom groups divided by </w:t>
      </w:r>
      <w:r w:rsidRPr="00FD3528">
        <w:rPr>
          <w:rFonts w:cs="Segoe UI"/>
          <w:color w:val="000000" w:themeColor="text1"/>
          <w:szCs w:val="22"/>
        </w:rPr>
        <w:t>PAM cluster analysis</w:t>
      </w:r>
      <w:r>
        <w:rPr>
          <w:rFonts w:cs="Segoe UI"/>
          <w:color w:val="000000" w:themeColor="text1"/>
          <w:szCs w:val="22"/>
        </w:rPr>
        <w:t xml:space="preserve">. </w:t>
      </w:r>
      <w:r w:rsidR="007776DB">
        <w:rPr>
          <w:rFonts w:cs="Segoe UI"/>
          <w:color w:val="000000" w:themeColor="text1"/>
          <w:szCs w:val="22"/>
        </w:rPr>
        <w:t>H</w:t>
      </w:r>
      <w:r>
        <w:rPr>
          <w:rFonts w:cs="Segoe UI"/>
          <w:color w:val="000000" w:themeColor="text1"/>
          <w:szCs w:val="22"/>
        </w:rPr>
        <w:t>) Diatom</w:t>
      </w:r>
      <w:r w:rsidRPr="003C18C0">
        <w:rPr>
          <w:rFonts w:cs="Segoe UI"/>
          <w:color w:val="000000" w:themeColor="text1"/>
          <w:szCs w:val="22"/>
        </w:rPr>
        <w:t xml:space="preserve"> dataset divided into </w:t>
      </w:r>
      <w:r>
        <w:rPr>
          <w:rFonts w:cs="Segoe UI"/>
          <w:color w:val="000000" w:themeColor="text1"/>
          <w:szCs w:val="22"/>
        </w:rPr>
        <w:lastRenderedPageBreak/>
        <w:t>two</w:t>
      </w:r>
      <w:r w:rsidRPr="003C18C0">
        <w:rPr>
          <w:rFonts w:cs="Segoe UI"/>
          <w:color w:val="000000" w:themeColor="text1"/>
          <w:szCs w:val="22"/>
        </w:rPr>
        <w:t xml:space="preserve"> groups </w:t>
      </w:r>
      <w:r>
        <w:rPr>
          <w:rFonts w:cs="Segoe UI"/>
          <w:color w:val="000000" w:themeColor="text1"/>
          <w:szCs w:val="22"/>
        </w:rPr>
        <w:t xml:space="preserve">by PAM </w:t>
      </w:r>
      <w:r w:rsidRPr="003C18C0">
        <w:rPr>
          <w:rFonts w:cs="Segoe UI"/>
          <w:color w:val="000000" w:themeColor="text1"/>
          <w:szCs w:val="22"/>
        </w:rPr>
        <w:t>and coloured by site</w:t>
      </w:r>
      <w:r>
        <w:rPr>
          <w:rFonts w:cs="Segoe UI"/>
          <w:color w:val="000000" w:themeColor="text1"/>
          <w:szCs w:val="22"/>
        </w:rPr>
        <w:t xml:space="preserve"> following the highest average silhouette width. </w:t>
      </w:r>
      <w:r w:rsidR="007776DB">
        <w:rPr>
          <w:rFonts w:cs="Segoe UI"/>
          <w:color w:val="000000" w:themeColor="text1"/>
          <w:szCs w:val="22"/>
        </w:rPr>
        <w:t>I</w:t>
      </w:r>
      <w:r>
        <w:rPr>
          <w:rFonts w:cs="Segoe UI"/>
          <w:color w:val="000000" w:themeColor="text1"/>
          <w:szCs w:val="22"/>
        </w:rPr>
        <w:t>) Box plot of elevation range of diatom groups divided by PAM</w:t>
      </w:r>
      <w:r w:rsidR="003C115F">
        <w:rPr>
          <w:rFonts w:cs="Segoe UI"/>
          <w:color w:val="000000" w:themeColor="text1"/>
          <w:szCs w:val="22"/>
        </w:rPr>
        <w:t>, with samples labelled by site</w:t>
      </w:r>
      <w:r>
        <w:rPr>
          <w:rFonts w:cs="Segoe UI"/>
          <w:color w:val="000000" w:themeColor="text1"/>
          <w:szCs w:val="22"/>
        </w:rPr>
        <w:t xml:space="preserve">. </w:t>
      </w:r>
      <w:r w:rsidR="007776DB">
        <w:rPr>
          <w:rFonts w:cs="Segoe UI"/>
          <w:color w:val="000000" w:themeColor="text1"/>
          <w:szCs w:val="22"/>
        </w:rPr>
        <w:t>J</w:t>
      </w:r>
      <w:r>
        <w:rPr>
          <w:rFonts w:cs="Segoe UI"/>
          <w:color w:val="000000" w:themeColor="text1"/>
          <w:szCs w:val="22"/>
        </w:rPr>
        <w:t xml:space="preserve">) </w:t>
      </w:r>
      <w:r w:rsidRPr="00460BD1">
        <w:rPr>
          <w:rFonts w:cs="Segoe UI"/>
          <w:color w:val="000000" w:themeColor="text1"/>
          <w:szCs w:val="22"/>
        </w:rPr>
        <w:t xml:space="preserve">Canonical </w:t>
      </w:r>
      <w:r>
        <w:rPr>
          <w:rFonts w:cs="Segoe UI"/>
          <w:color w:val="000000" w:themeColor="text1"/>
          <w:szCs w:val="22"/>
        </w:rPr>
        <w:t>CCA</w:t>
      </w:r>
      <w:r w:rsidRPr="00460BD1">
        <w:rPr>
          <w:rFonts w:cs="Segoe UI"/>
          <w:color w:val="000000" w:themeColor="text1"/>
          <w:szCs w:val="22"/>
        </w:rPr>
        <w:t xml:space="preserve"> biplots of </w:t>
      </w:r>
      <w:r>
        <w:rPr>
          <w:rFonts w:cs="Segoe UI"/>
          <w:color w:val="000000" w:themeColor="text1"/>
          <w:szCs w:val="22"/>
        </w:rPr>
        <w:t>diatom</w:t>
      </w:r>
      <w:r w:rsidRPr="00460BD1">
        <w:rPr>
          <w:rFonts w:cs="Segoe UI"/>
          <w:color w:val="000000" w:themeColor="text1"/>
          <w:szCs w:val="22"/>
        </w:rPr>
        <w:t xml:space="preserve"> species-environment from</w:t>
      </w:r>
      <w:r>
        <w:rPr>
          <w:rFonts w:cs="Segoe UI"/>
          <w:color w:val="000000" w:themeColor="text1"/>
          <w:szCs w:val="22"/>
        </w:rPr>
        <w:t xml:space="preserve"> all sites</w:t>
      </w:r>
      <w:r w:rsidRPr="00460BD1">
        <w:rPr>
          <w:rFonts w:cs="Segoe UI"/>
          <w:color w:val="000000" w:themeColor="text1"/>
          <w:szCs w:val="22"/>
        </w:rPr>
        <w:t xml:space="preserve">. Species abbreviations: </w:t>
      </w:r>
      <w:r w:rsidR="00164AFE">
        <w:rPr>
          <w:rFonts w:cs="Segoe UI"/>
          <w:color w:val="000000" w:themeColor="text1"/>
          <w:szCs w:val="22"/>
        </w:rPr>
        <w:t xml:space="preserve">Aal = </w:t>
      </w:r>
      <w:r w:rsidR="00164AFE">
        <w:rPr>
          <w:rFonts w:cs="Segoe UI"/>
          <w:i/>
          <w:iCs/>
          <w:color w:val="000000" w:themeColor="text1"/>
          <w:szCs w:val="22"/>
        </w:rPr>
        <w:t xml:space="preserve">Amphora </w:t>
      </w:r>
      <w:proofErr w:type="spellStart"/>
      <w:r w:rsidR="00164AFE">
        <w:rPr>
          <w:rFonts w:cs="Segoe UI"/>
          <w:i/>
          <w:iCs/>
          <w:color w:val="000000" w:themeColor="text1"/>
          <w:szCs w:val="22"/>
        </w:rPr>
        <w:t>allanta</w:t>
      </w:r>
      <w:proofErr w:type="spellEnd"/>
      <w:r w:rsidR="00164AFE">
        <w:rPr>
          <w:rFonts w:cs="Segoe UI"/>
          <w:i/>
          <w:iCs/>
          <w:color w:val="000000" w:themeColor="text1"/>
          <w:szCs w:val="22"/>
        </w:rPr>
        <w:t xml:space="preserve">, </w:t>
      </w:r>
      <w:proofErr w:type="spellStart"/>
      <w:r w:rsidR="00164AFE" w:rsidRPr="00AE61DE">
        <w:rPr>
          <w:rFonts w:cs="Segoe UI"/>
          <w:color w:val="000000" w:themeColor="text1"/>
          <w:szCs w:val="22"/>
        </w:rPr>
        <w:t>Dsu</w:t>
      </w:r>
      <w:proofErr w:type="spellEnd"/>
      <w:r w:rsidR="00164AFE" w:rsidRPr="00A21032">
        <w:rPr>
          <w:rFonts w:cs="Segoe UI"/>
          <w:i/>
          <w:iCs/>
          <w:color w:val="000000" w:themeColor="text1"/>
          <w:szCs w:val="22"/>
        </w:rPr>
        <w:t xml:space="preserve"> = </w:t>
      </w:r>
      <w:proofErr w:type="spellStart"/>
      <w:r w:rsidR="00164AFE" w:rsidRPr="00A21032">
        <w:rPr>
          <w:rFonts w:cs="Segoe UI"/>
          <w:i/>
          <w:iCs/>
          <w:color w:val="000000" w:themeColor="text1"/>
          <w:szCs w:val="22"/>
        </w:rPr>
        <w:t>Diploneis</w:t>
      </w:r>
      <w:proofErr w:type="spellEnd"/>
      <w:r w:rsidR="00164AFE" w:rsidRPr="00A21032">
        <w:rPr>
          <w:rFonts w:cs="Segoe UI"/>
          <w:i/>
          <w:iCs/>
          <w:color w:val="000000" w:themeColor="text1"/>
          <w:szCs w:val="22"/>
        </w:rPr>
        <w:t xml:space="preserve"> </w:t>
      </w:r>
      <w:proofErr w:type="spellStart"/>
      <w:r w:rsidR="00164AFE" w:rsidRPr="00A21032">
        <w:rPr>
          <w:rFonts w:cs="Segoe UI"/>
          <w:i/>
          <w:iCs/>
          <w:color w:val="000000" w:themeColor="text1"/>
          <w:szCs w:val="22"/>
        </w:rPr>
        <w:t>subovalis</w:t>
      </w:r>
      <w:proofErr w:type="spellEnd"/>
      <w:r w:rsidR="00164AFE" w:rsidRPr="00A21032">
        <w:rPr>
          <w:rFonts w:cs="Segoe UI"/>
          <w:i/>
          <w:iCs/>
          <w:color w:val="000000" w:themeColor="text1"/>
          <w:szCs w:val="22"/>
        </w:rPr>
        <w:t xml:space="preserve">, </w:t>
      </w:r>
      <w:r w:rsidR="00164AFE" w:rsidRPr="00AE61DE">
        <w:rPr>
          <w:rFonts w:cs="Segoe UI"/>
          <w:color w:val="000000" w:themeColor="text1"/>
          <w:szCs w:val="22"/>
        </w:rPr>
        <w:t>Gb</w:t>
      </w:r>
      <w:r w:rsidR="00164AFE" w:rsidRPr="00A21032">
        <w:rPr>
          <w:rFonts w:cs="Segoe UI"/>
          <w:i/>
          <w:iCs/>
          <w:color w:val="000000" w:themeColor="text1"/>
          <w:szCs w:val="22"/>
        </w:rPr>
        <w:t xml:space="preserve">e = </w:t>
      </w:r>
      <w:proofErr w:type="spellStart"/>
      <w:r w:rsidR="00164AFE" w:rsidRPr="00A21032">
        <w:rPr>
          <w:rFonts w:cs="Segoe UI"/>
          <w:i/>
          <w:iCs/>
          <w:color w:val="000000" w:themeColor="text1"/>
          <w:szCs w:val="22"/>
        </w:rPr>
        <w:t>Gyrosigma</w:t>
      </w:r>
      <w:proofErr w:type="spellEnd"/>
      <w:r w:rsidR="00164AFE" w:rsidRPr="00A21032">
        <w:rPr>
          <w:rFonts w:cs="Segoe UI"/>
          <w:i/>
          <w:iCs/>
          <w:color w:val="000000" w:themeColor="text1"/>
          <w:szCs w:val="22"/>
        </w:rPr>
        <w:t xml:space="preserve"> </w:t>
      </w:r>
      <w:proofErr w:type="spellStart"/>
      <w:r w:rsidR="00164AFE" w:rsidRPr="00A21032">
        <w:rPr>
          <w:rFonts w:cs="Segoe UI"/>
          <w:i/>
          <w:iCs/>
          <w:color w:val="000000" w:themeColor="text1"/>
          <w:szCs w:val="22"/>
        </w:rPr>
        <w:t>beaufortianum</w:t>
      </w:r>
      <w:proofErr w:type="spellEnd"/>
      <w:r w:rsidR="00164AFE" w:rsidRPr="00A21032">
        <w:rPr>
          <w:rFonts w:cs="Segoe UI"/>
          <w:i/>
          <w:iCs/>
          <w:color w:val="000000" w:themeColor="text1"/>
          <w:szCs w:val="22"/>
        </w:rPr>
        <w:t xml:space="preserve">, </w:t>
      </w:r>
      <w:r w:rsidR="00164AFE">
        <w:rPr>
          <w:rFonts w:cs="Segoe UI"/>
          <w:color w:val="000000" w:themeColor="text1"/>
          <w:szCs w:val="22"/>
        </w:rPr>
        <w:t xml:space="preserve">Hol = </w:t>
      </w:r>
      <w:proofErr w:type="spellStart"/>
      <w:r w:rsidR="00164AFE">
        <w:rPr>
          <w:rFonts w:cs="Segoe UI"/>
          <w:i/>
          <w:iCs/>
          <w:color w:val="000000" w:themeColor="text1"/>
          <w:szCs w:val="22"/>
        </w:rPr>
        <w:t>Halamphora</w:t>
      </w:r>
      <w:proofErr w:type="spellEnd"/>
      <w:r w:rsidR="00164AFE">
        <w:rPr>
          <w:rFonts w:cs="Segoe UI"/>
          <w:i/>
          <w:iCs/>
          <w:color w:val="000000" w:themeColor="text1"/>
          <w:szCs w:val="22"/>
        </w:rPr>
        <w:t xml:space="preserve"> </w:t>
      </w:r>
      <w:proofErr w:type="spellStart"/>
      <w:r w:rsidR="00164AFE" w:rsidRPr="001B2703">
        <w:rPr>
          <w:rFonts w:cs="Segoe UI"/>
          <w:color w:val="000000" w:themeColor="text1"/>
          <w:szCs w:val="22"/>
        </w:rPr>
        <w:t>holsatica</w:t>
      </w:r>
      <w:proofErr w:type="spellEnd"/>
      <w:r w:rsidR="00164AFE">
        <w:rPr>
          <w:rFonts w:cs="Segoe UI"/>
          <w:color w:val="000000" w:themeColor="text1"/>
          <w:szCs w:val="22"/>
        </w:rPr>
        <w:t xml:space="preserve">, </w:t>
      </w:r>
      <w:proofErr w:type="spellStart"/>
      <w:r w:rsidR="00164AFE" w:rsidRPr="00164AFE">
        <w:rPr>
          <w:rFonts w:cs="Segoe UI"/>
          <w:color w:val="000000" w:themeColor="text1"/>
          <w:szCs w:val="22"/>
        </w:rPr>
        <w:t>Lmu</w:t>
      </w:r>
      <w:proofErr w:type="spellEnd"/>
      <w:r w:rsidR="00164AFE">
        <w:rPr>
          <w:rFonts w:cs="Segoe UI"/>
          <w:color w:val="000000" w:themeColor="text1"/>
          <w:szCs w:val="22"/>
        </w:rPr>
        <w:t xml:space="preserve"> = </w:t>
      </w:r>
      <w:proofErr w:type="spellStart"/>
      <w:r w:rsidR="00164AFE" w:rsidRPr="00034EFE">
        <w:rPr>
          <w:rFonts w:cs="Segoe UI"/>
          <w:i/>
          <w:iCs/>
          <w:color w:val="000000" w:themeColor="text1"/>
          <w:szCs w:val="22"/>
        </w:rPr>
        <w:t>Luticola</w:t>
      </w:r>
      <w:proofErr w:type="spellEnd"/>
      <w:r w:rsidR="00164AFE" w:rsidRPr="00034EFE">
        <w:rPr>
          <w:rFonts w:cs="Segoe UI"/>
          <w:i/>
          <w:iCs/>
          <w:color w:val="000000" w:themeColor="text1"/>
          <w:szCs w:val="22"/>
        </w:rPr>
        <w:t xml:space="preserve"> mutica</w:t>
      </w:r>
      <w:r w:rsidR="00164AFE">
        <w:rPr>
          <w:rFonts w:cs="Segoe UI"/>
          <w:color w:val="000000" w:themeColor="text1"/>
          <w:szCs w:val="22"/>
        </w:rPr>
        <w:t xml:space="preserve">, Nmi = </w:t>
      </w:r>
      <w:proofErr w:type="spellStart"/>
      <w:r w:rsidR="00164AFE">
        <w:rPr>
          <w:rFonts w:cs="Segoe UI"/>
          <w:i/>
          <w:iCs/>
          <w:color w:val="000000" w:themeColor="text1"/>
          <w:szCs w:val="22"/>
        </w:rPr>
        <w:t>Navicula</w:t>
      </w:r>
      <w:proofErr w:type="spellEnd"/>
      <w:r w:rsidR="00164AFE">
        <w:rPr>
          <w:rFonts w:cs="Segoe UI"/>
          <w:i/>
          <w:iCs/>
          <w:color w:val="000000" w:themeColor="text1"/>
          <w:szCs w:val="22"/>
        </w:rPr>
        <w:t xml:space="preserve"> </w:t>
      </w:r>
      <w:proofErr w:type="spellStart"/>
      <w:r w:rsidR="00164AFE" w:rsidRPr="00164AFE">
        <w:rPr>
          <w:rFonts w:cs="Segoe UI"/>
          <w:i/>
          <w:iCs/>
          <w:color w:val="000000" w:themeColor="text1"/>
          <w:szCs w:val="22"/>
        </w:rPr>
        <w:t>microdi</w:t>
      </w:r>
      <w:r w:rsidR="00164AFE" w:rsidRPr="001B2703">
        <w:rPr>
          <w:rFonts w:cs="Segoe UI"/>
          <w:i/>
          <w:iCs/>
          <w:color w:val="000000" w:themeColor="text1"/>
          <w:szCs w:val="22"/>
        </w:rPr>
        <w:t>gi</w:t>
      </w:r>
      <w:r w:rsidR="00164AFE" w:rsidRPr="00164AFE">
        <w:rPr>
          <w:rFonts w:cs="Segoe UI"/>
          <w:i/>
          <w:iCs/>
          <w:color w:val="000000" w:themeColor="text1"/>
          <w:szCs w:val="22"/>
        </w:rPr>
        <w:t>toradiata</w:t>
      </w:r>
      <w:proofErr w:type="spellEnd"/>
      <w:r w:rsidR="00164AFE">
        <w:rPr>
          <w:rFonts w:cs="Segoe UI"/>
          <w:color w:val="000000" w:themeColor="text1"/>
          <w:szCs w:val="22"/>
        </w:rPr>
        <w:t xml:space="preserve">, </w:t>
      </w:r>
      <w:r w:rsidR="00675094" w:rsidRPr="00164AFE">
        <w:rPr>
          <w:rFonts w:cs="Segoe UI"/>
          <w:color w:val="000000" w:themeColor="text1"/>
          <w:szCs w:val="22"/>
        </w:rPr>
        <w:t>Cat</w:t>
      </w:r>
      <w:r w:rsidR="00675094" w:rsidRPr="00A21032">
        <w:rPr>
          <w:rFonts w:cs="Segoe UI"/>
          <w:i/>
          <w:iCs/>
          <w:color w:val="000000" w:themeColor="text1"/>
          <w:szCs w:val="22"/>
        </w:rPr>
        <w:t xml:space="preserve"> = Cyclotella </w:t>
      </w:r>
      <w:proofErr w:type="spellStart"/>
      <w:r w:rsidR="00675094" w:rsidRPr="00A21032">
        <w:rPr>
          <w:rFonts w:cs="Segoe UI"/>
          <w:i/>
          <w:iCs/>
          <w:color w:val="000000" w:themeColor="text1"/>
          <w:szCs w:val="22"/>
        </w:rPr>
        <w:t>atomus</w:t>
      </w:r>
      <w:proofErr w:type="spellEnd"/>
      <w:r w:rsidR="00675094" w:rsidRPr="00A21032">
        <w:rPr>
          <w:rFonts w:cs="Segoe UI"/>
          <w:i/>
          <w:iCs/>
          <w:color w:val="000000" w:themeColor="text1"/>
          <w:szCs w:val="22"/>
        </w:rPr>
        <w:t xml:space="preserve"> var. </w:t>
      </w:r>
      <w:proofErr w:type="spellStart"/>
      <w:r w:rsidR="00675094" w:rsidRPr="00A21032">
        <w:rPr>
          <w:rFonts w:cs="Segoe UI"/>
          <w:i/>
          <w:iCs/>
          <w:color w:val="000000" w:themeColor="text1"/>
          <w:szCs w:val="22"/>
        </w:rPr>
        <w:t>gracilis</w:t>
      </w:r>
      <w:proofErr w:type="spellEnd"/>
      <w:r w:rsidR="00675094" w:rsidRPr="00A21032">
        <w:rPr>
          <w:rFonts w:cs="Segoe UI"/>
          <w:i/>
          <w:iCs/>
          <w:color w:val="000000" w:themeColor="text1"/>
          <w:szCs w:val="22"/>
        </w:rPr>
        <w:t xml:space="preserve">, </w:t>
      </w:r>
      <w:r w:rsidR="00675094" w:rsidRPr="00AE61DE">
        <w:rPr>
          <w:rFonts w:cs="Segoe UI"/>
          <w:color w:val="000000" w:themeColor="text1"/>
          <w:szCs w:val="22"/>
        </w:rPr>
        <w:t>Cli</w:t>
      </w:r>
      <w:r w:rsidR="00675094" w:rsidRPr="00A21032">
        <w:rPr>
          <w:rFonts w:cs="Segoe UI"/>
          <w:i/>
          <w:iCs/>
          <w:color w:val="000000" w:themeColor="text1"/>
          <w:szCs w:val="22"/>
        </w:rPr>
        <w:t xml:space="preserve"> = Cyclotella </w:t>
      </w:r>
      <w:proofErr w:type="spellStart"/>
      <w:r w:rsidR="00675094" w:rsidRPr="00A21032">
        <w:rPr>
          <w:rFonts w:cs="Segoe UI"/>
          <w:i/>
          <w:iCs/>
          <w:color w:val="000000" w:themeColor="text1"/>
          <w:szCs w:val="22"/>
        </w:rPr>
        <w:t>litoralis</w:t>
      </w:r>
      <w:proofErr w:type="spellEnd"/>
      <w:r w:rsidRPr="00A21032">
        <w:rPr>
          <w:rFonts w:cs="Segoe UI"/>
          <w:i/>
          <w:iCs/>
          <w:color w:val="000000" w:themeColor="text1"/>
          <w:szCs w:val="22"/>
        </w:rPr>
        <w:t xml:space="preserve">, </w:t>
      </w:r>
      <w:proofErr w:type="spellStart"/>
      <w:r w:rsidRPr="00AE61DE">
        <w:rPr>
          <w:rFonts w:cs="Segoe UI"/>
          <w:color w:val="000000" w:themeColor="text1"/>
          <w:szCs w:val="22"/>
        </w:rPr>
        <w:t>Tce</w:t>
      </w:r>
      <w:proofErr w:type="spellEnd"/>
      <w:r>
        <w:rPr>
          <w:rFonts w:cs="Segoe UI"/>
          <w:i/>
          <w:iCs/>
          <w:color w:val="000000" w:themeColor="text1"/>
          <w:szCs w:val="22"/>
        </w:rPr>
        <w:t xml:space="preserve"> = </w:t>
      </w:r>
      <w:proofErr w:type="spellStart"/>
      <w:r w:rsidRPr="001A75B1">
        <w:rPr>
          <w:rFonts w:cs="Segoe UI"/>
          <w:i/>
          <w:iCs/>
          <w:color w:val="000000" w:themeColor="text1"/>
          <w:szCs w:val="22"/>
        </w:rPr>
        <w:t>Thalassiosira</w:t>
      </w:r>
      <w:proofErr w:type="spellEnd"/>
      <w:r w:rsidRPr="001A75B1">
        <w:rPr>
          <w:rFonts w:cs="Segoe UI"/>
          <w:i/>
          <w:iCs/>
          <w:color w:val="000000" w:themeColor="text1"/>
          <w:szCs w:val="22"/>
        </w:rPr>
        <w:t xml:space="preserve"> </w:t>
      </w:r>
      <w:proofErr w:type="spellStart"/>
      <w:r w:rsidRPr="001A75B1">
        <w:rPr>
          <w:rFonts w:cs="Segoe UI"/>
          <w:i/>
          <w:iCs/>
          <w:color w:val="000000" w:themeColor="text1"/>
          <w:szCs w:val="22"/>
        </w:rPr>
        <w:t>cedarkeyensis</w:t>
      </w:r>
      <w:proofErr w:type="spellEnd"/>
      <w:r>
        <w:rPr>
          <w:rFonts w:cs="Segoe UI"/>
          <w:i/>
          <w:iCs/>
          <w:color w:val="000000" w:themeColor="text1"/>
          <w:szCs w:val="22"/>
        </w:rPr>
        <w:t>.</w:t>
      </w:r>
      <w:r w:rsidR="00675094">
        <w:rPr>
          <w:rFonts w:cs="Segoe UI"/>
          <w:i/>
          <w:iCs/>
          <w:color w:val="000000" w:themeColor="text1"/>
          <w:szCs w:val="22"/>
        </w:rPr>
        <w:t xml:space="preserve"> </w:t>
      </w:r>
      <w:r w:rsidR="00731036">
        <w:rPr>
          <w:rFonts w:cs="Segoe UI"/>
          <w:color w:val="000000" w:themeColor="text1"/>
          <w:szCs w:val="22"/>
        </w:rPr>
        <w:t xml:space="preserve">Taxa </w:t>
      </w:r>
      <w:r w:rsidR="00731036">
        <w:t xml:space="preserve">such as </w:t>
      </w:r>
      <w:proofErr w:type="spellStart"/>
      <w:r w:rsidR="00731036">
        <w:t>Dsu</w:t>
      </w:r>
      <w:proofErr w:type="spellEnd"/>
      <w:r w:rsidR="00731036">
        <w:t xml:space="preserve">, </w:t>
      </w:r>
      <w:proofErr w:type="spellStart"/>
      <w:r w:rsidR="00731036">
        <w:t>Lmu</w:t>
      </w:r>
      <w:proofErr w:type="spellEnd"/>
      <w:r w:rsidR="00731036">
        <w:t>, and Tvi are associated with higher elevations and lower salinities</w:t>
      </w:r>
      <w:r w:rsidR="003B437A">
        <w:t>.</w:t>
      </w:r>
      <w:r w:rsidR="00731036">
        <w:rPr>
          <w:rFonts w:cs="Segoe UI"/>
          <w:color w:val="000000" w:themeColor="text1"/>
          <w:szCs w:val="22"/>
        </w:rPr>
        <w:t xml:space="preserve"> </w:t>
      </w:r>
      <w:r w:rsidR="00826728">
        <w:rPr>
          <w:rFonts w:cs="Segoe UI"/>
          <w:color w:val="000000" w:themeColor="text1"/>
          <w:szCs w:val="22"/>
        </w:rPr>
        <w:t xml:space="preserve">Only abbreviation of key species </w:t>
      </w:r>
      <w:proofErr w:type="gramStart"/>
      <w:r w:rsidR="00826728">
        <w:rPr>
          <w:rFonts w:cs="Segoe UI"/>
          <w:color w:val="000000" w:themeColor="text1"/>
          <w:szCs w:val="22"/>
        </w:rPr>
        <w:t>are</w:t>
      </w:r>
      <w:proofErr w:type="gramEnd"/>
      <w:r w:rsidR="00826728">
        <w:rPr>
          <w:rFonts w:cs="Segoe UI"/>
          <w:color w:val="000000" w:themeColor="text1"/>
          <w:szCs w:val="22"/>
        </w:rPr>
        <w:t xml:space="preserve"> shown here</w:t>
      </w:r>
      <w:r w:rsidR="00F243B3">
        <w:rPr>
          <w:rFonts w:cs="Segoe UI"/>
          <w:color w:val="000000" w:themeColor="text1"/>
          <w:szCs w:val="22"/>
        </w:rPr>
        <w:t>;</w:t>
      </w:r>
      <w:r w:rsidR="00826728">
        <w:rPr>
          <w:rFonts w:cs="Segoe UI"/>
          <w:color w:val="000000" w:themeColor="text1"/>
          <w:szCs w:val="22"/>
        </w:rPr>
        <w:t xml:space="preserve"> for abbreviation of all species, see Supplementary information </w:t>
      </w:r>
      <w:r w:rsidR="00BF6F6E">
        <w:rPr>
          <w:rFonts w:cs="Segoe UI"/>
          <w:color w:val="000000" w:themeColor="text1"/>
          <w:szCs w:val="22"/>
        </w:rPr>
        <w:t>2</w:t>
      </w:r>
      <w:r w:rsidR="00826728">
        <w:rPr>
          <w:rFonts w:cs="Segoe UI"/>
          <w:color w:val="000000" w:themeColor="text1"/>
          <w:szCs w:val="22"/>
        </w:rPr>
        <w:t xml:space="preserve">. </w:t>
      </w:r>
    </w:p>
    <w:p w14:paraId="1ECF4C49" w14:textId="3EC6A893" w:rsidR="00E005F0" w:rsidRPr="00226B6D" w:rsidRDefault="00326663" w:rsidP="00E005F0">
      <w:pPr>
        <w:rPr>
          <w:rFonts w:cs="Segoe UI"/>
          <w:color w:val="000000" w:themeColor="text1"/>
          <w:szCs w:val="22"/>
        </w:rPr>
      </w:pPr>
      <w:r>
        <w:rPr>
          <w:rFonts w:cs="Segoe UI"/>
          <w:noProof/>
          <w:color w:val="000000" w:themeColor="text1"/>
          <w:szCs w:val="22"/>
        </w:rPr>
        <w:drawing>
          <wp:inline distT="0" distB="0" distL="0" distR="0" wp14:anchorId="663DDBE7" wp14:editId="0EA575CC">
            <wp:extent cx="5727700" cy="4047490"/>
            <wp:effectExtent l="0" t="0" r="0" b="0"/>
            <wp:docPr id="12821676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167612" name="Picture 1282167612"/>
                    <pic:cNvPicPr/>
                  </pic:nvPicPr>
                  <pic:blipFill>
                    <a:blip r:embed="rId11"/>
                    <a:stretch>
                      <a:fillRect/>
                    </a:stretch>
                  </pic:blipFill>
                  <pic:spPr>
                    <a:xfrm>
                      <a:off x="0" y="0"/>
                      <a:ext cx="5727700" cy="4047490"/>
                    </a:xfrm>
                    <a:prstGeom prst="rect">
                      <a:avLst/>
                    </a:prstGeom>
                  </pic:spPr>
                </pic:pic>
              </a:graphicData>
            </a:graphic>
          </wp:inline>
        </w:drawing>
      </w:r>
    </w:p>
    <w:p w14:paraId="11AE4698" w14:textId="18BA2A0E" w:rsidR="00E005F0" w:rsidRDefault="00E005F0" w:rsidP="00E005F0">
      <w:pPr>
        <w:rPr>
          <w:rFonts w:cs="Segoe UI"/>
          <w:color w:val="000000" w:themeColor="text1"/>
          <w:szCs w:val="22"/>
        </w:rPr>
      </w:pPr>
      <w:r w:rsidRPr="006670C6">
        <w:rPr>
          <w:rFonts w:cs="Segoe UI"/>
          <w:b/>
          <w:bCs/>
          <w:color w:val="000000" w:themeColor="text1"/>
          <w:szCs w:val="22"/>
        </w:rPr>
        <w:t xml:space="preserve">Figure </w:t>
      </w:r>
      <w:r>
        <w:rPr>
          <w:rFonts w:cs="Segoe UI"/>
          <w:b/>
          <w:bCs/>
          <w:color w:val="000000" w:themeColor="text1"/>
          <w:szCs w:val="22"/>
        </w:rPr>
        <w:t>4</w:t>
      </w:r>
      <w:r w:rsidRPr="006670C6">
        <w:rPr>
          <w:rFonts w:cs="Segoe UI"/>
          <w:b/>
          <w:bCs/>
          <w:color w:val="000000" w:themeColor="text1"/>
          <w:szCs w:val="22"/>
        </w:rPr>
        <w:t>.</w:t>
      </w:r>
      <w:r>
        <w:t xml:space="preserve"> </w:t>
      </w:r>
      <w:r w:rsidRPr="006670C6">
        <w:rPr>
          <w:rFonts w:cs="Segoe UI"/>
          <w:color w:val="000000" w:themeColor="text1"/>
          <w:szCs w:val="22"/>
        </w:rPr>
        <w:t>Geochemistry of surface sediment, vegetation, core samples. A) δ</w:t>
      </w:r>
      <w:r w:rsidRPr="004C6D3C">
        <w:rPr>
          <w:rFonts w:cs="Segoe UI"/>
          <w:color w:val="000000" w:themeColor="text1"/>
          <w:szCs w:val="22"/>
          <w:vertAlign w:val="superscript"/>
        </w:rPr>
        <w:t>13</w:t>
      </w:r>
      <w:r w:rsidRPr="006670C6">
        <w:rPr>
          <w:rFonts w:cs="Segoe UI"/>
          <w:color w:val="000000" w:themeColor="text1"/>
          <w:szCs w:val="22"/>
        </w:rPr>
        <w:t>C and C/N vegetation endmembers from Sun et al. (2021) and Yu et al. (2010). Shaded boxes represent the range of values for mangrove, freshwater and terrestrial plant (green), C4 plants (orange), and marine algae and plant (blue). The ranges shown in A) are illustrated in B) to enable comparison between vegetation endmember and surface sediment samples collected from transect MP_A, MP_B and SK. C) Elevation range of</w:t>
      </w:r>
      <w:r w:rsidRPr="00AE61DE">
        <w:rPr>
          <w:rFonts w:cs="Segoe UI"/>
          <w:color w:val="000000" w:themeColor="text1"/>
          <w:szCs w:val="22"/>
        </w:rPr>
        <w:t xml:space="preserve"> modern samples from </w:t>
      </w:r>
      <w:r>
        <w:rPr>
          <w:rFonts w:cs="Segoe UI"/>
          <w:color w:val="000000" w:themeColor="text1"/>
          <w:szCs w:val="22"/>
        </w:rPr>
        <w:t>six categorised environmental zones (subtidal, mudflat, mangrove fringe, mangrove, terrestrial transition, terrestrial)</w:t>
      </w:r>
      <w:r w:rsidRPr="00AE61DE">
        <w:rPr>
          <w:rFonts w:cs="Segoe UI"/>
          <w:color w:val="000000" w:themeColor="text1"/>
          <w:szCs w:val="22"/>
        </w:rPr>
        <w:t xml:space="preserve"> used for Linear Discriminant Analysis (LDA).</w:t>
      </w:r>
      <w:r>
        <w:rPr>
          <w:rFonts w:cs="Segoe UI"/>
          <w:color w:val="000000" w:themeColor="text1"/>
          <w:szCs w:val="22"/>
        </w:rPr>
        <w:t xml:space="preserve"> Elevation is referenced to </w:t>
      </w:r>
      <w:r w:rsidRPr="008178AA">
        <w:rPr>
          <w:rFonts w:cs="Segoe UI"/>
          <w:color w:val="000000" w:themeColor="text1"/>
          <w:szCs w:val="22"/>
        </w:rPr>
        <w:t xml:space="preserve">Standardised </w:t>
      </w:r>
      <w:r w:rsidRPr="008178AA">
        <w:rPr>
          <w:rFonts w:cs="Segoe UI"/>
          <w:color w:val="000000" w:themeColor="text1"/>
          <w:szCs w:val="22"/>
        </w:rPr>
        <w:lastRenderedPageBreak/>
        <w:t>Water Level Index (SWLI</w:t>
      </w:r>
      <w:r w:rsidR="002B38F4">
        <w:rPr>
          <w:rFonts w:cs="Segoe UI"/>
          <w:color w:val="000000" w:themeColor="text1"/>
          <w:szCs w:val="22"/>
        </w:rPr>
        <w:t>)</w:t>
      </w:r>
      <w:r w:rsidR="009858B5">
        <w:rPr>
          <w:rFonts w:cs="Segoe UI"/>
          <w:color w:val="000000" w:themeColor="text1"/>
          <w:szCs w:val="22"/>
        </w:rPr>
        <w:t xml:space="preserve"> </w:t>
      </w:r>
      <w:r w:rsidR="009858B5">
        <w:rPr>
          <w:color w:val="000000" w:themeColor="text1"/>
        </w:rPr>
        <w:t>units</w:t>
      </w:r>
      <w:r>
        <w:rPr>
          <w:rFonts w:cs="Segoe UI"/>
          <w:color w:val="000000" w:themeColor="text1"/>
          <w:szCs w:val="22"/>
        </w:rPr>
        <w:t xml:space="preserve">. D) </w:t>
      </w:r>
      <w:r w:rsidRPr="006670C6">
        <w:rPr>
          <w:rFonts w:cs="Segoe UI"/>
          <w:color w:val="000000" w:themeColor="text1"/>
          <w:szCs w:val="22"/>
        </w:rPr>
        <w:t xml:space="preserve">Modern samples </w:t>
      </w:r>
      <w:r>
        <w:rPr>
          <w:rFonts w:cs="Segoe UI"/>
          <w:color w:val="000000" w:themeColor="text1"/>
          <w:szCs w:val="22"/>
        </w:rPr>
        <w:t xml:space="preserve">from the six categorised environmental zones </w:t>
      </w:r>
      <w:r w:rsidRPr="006670C6">
        <w:rPr>
          <w:rFonts w:cs="Segoe UI"/>
          <w:color w:val="000000" w:themeColor="text1"/>
          <w:szCs w:val="22"/>
        </w:rPr>
        <w:t xml:space="preserve">situated on the two discriminant axes derived from </w:t>
      </w:r>
      <w:r>
        <w:rPr>
          <w:rFonts w:cs="Segoe UI"/>
          <w:color w:val="000000" w:themeColor="text1"/>
          <w:szCs w:val="22"/>
        </w:rPr>
        <w:t>LDA</w:t>
      </w:r>
      <w:r w:rsidRPr="006670C6">
        <w:rPr>
          <w:rFonts w:cs="Segoe UI"/>
          <w:color w:val="000000" w:themeColor="text1"/>
          <w:szCs w:val="22"/>
        </w:rPr>
        <w:t xml:space="preserve"> of δ</w:t>
      </w:r>
      <w:r w:rsidRPr="004C6D3C">
        <w:rPr>
          <w:rFonts w:cs="Segoe UI"/>
          <w:color w:val="000000" w:themeColor="text1"/>
          <w:szCs w:val="22"/>
          <w:vertAlign w:val="superscript"/>
        </w:rPr>
        <w:t>13</w:t>
      </w:r>
      <w:r w:rsidRPr="006670C6">
        <w:rPr>
          <w:rFonts w:cs="Segoe UI"/>
          <w:color w:val="000000" w:themeColor="text1"/>
          <w:szCs w:val="22"/>
        </w:rPr>
        <w:t>C, TOC, C/N ratios. The placement of δ</w:t>
      </w:r>
      <w:r w:rsidRPr="004C6D3C">
        <w:rPr>
          <w:rFonts w:cs="Segoe UI"/>
          <w:color w:val="000000" w:themeColor="text1"/>
          <w:szCs w:val="22"/>
          <w:vertAlign w:val="superscript"/>
        </w:rPr>
        <w:t>13</w:t>
      </w:r>
      <w:r w:rsidRPr="006670C6">
        <w:rPr>
          <w:rFonts w:cs="Segoe UI"/>
          <w:color w:val="000000" w:themeColor="text1"/>
          <w:szCs w:val="22"/>
        </w:rPr>
        <w:t>C, TOC, C/N ratios are depicted on the discriminant axes.</w:t>
      </w:r>
      <w:r>
        <w:rPr>
          <w:rFonts w:cs="Segoe UI"/>
          <w:color w:val="000000" w:themeColor="text1"/>
          <w:szCs w:val="22"/>
        </w:rPr>
        <w:t xml:space="preserve"> E)</w:t>
      </w:r>
      <w:r w:rsidRPr="00AC0582">
        <w:rPr>
          <w:rFonts w:cs="Segoe UI"/>
          <w:color w:val="000000" w:themeColor="text1"/>
          <w:szCs w:val="22"/>
        </w:rPr>
        <w:t xml:space="preserve"> </w:t>
      </w:r>
      <w:r w:rsidRPr="006670C6">
        <w:rPr>
          <w:rFonts w:cs="Segoe UI"/>
          <w:color w:val="000000" w:themeColor="text1"/>
          <w:szCs w:val="22"/>
        </w:rPr>
        <w:t>δ</w:t>
      </w:r>
      <w:r w:rsidRPr="004C6D3C">
        <w:rPr>
          <w:rFonts w:cs="Segoe UI"/>
          <w:color w:val="000000" w:themeColor="text1"/>
          <w:szCs w:val="22"/>
          <w:vertAlign w:val="superscript"/>
        </w:rPr>
        <w:t>13</w:t>
      </w:r>
      <w:r w:rsidRPr="006670C6">
        <w:rPr>
          <w:rFonts w:cs="Segoe UI"/>
          <w:color w:val="000000" w:themeColor="text1"/>
          <w:szCs w:val="22"/>
        </w:rPr>
        <w:t>C</w:t>
      </w:r>
      <w:r w:rsidRPr="00AC0582">
        <w:rPr>
          <w:rFonts w:cs="Segoe UI"/>
          <w:color w:val="000000" w:themeColor="text1"/>
          <w:szCs w:val="22"/>
        </w:rPr>
        <w:t xml:space="preserve"> and TOC bi-plots of surface sediment samples collected from environment zone covered by the surface sampling transect. F) </w:t>
      </w:r>
      <w:r w:rsidRPr="006670C6">
        <w:rPr>
          <w:rFonts w:cs="Segoe UI"/>
          <w:color w:val="000000" w:themeColor="text1"/>
          <w:szCs w:val="22"/>
        </w:rPr>
        <w:t>δ</w:t>
      </w:r>
      <w:r w:rsidRPr="004C6D3C">
        <w:rPr>
          <w:rFonts w:cs="Segoe UI"/>
          <w:color w:val="000000" w:themeColor="text1"/>
          <w:szCs w:val="22"/>
          <w:vertAlign w:val="superscript"/>
        </w:rPr>
        <w:t>13</w:t>
      </w:r>
      <w:r w:rsidRPr="006670C6">
        <w:rPr>
          <w:rFonts w:cs="Segoe UI"/>
          <w:color w:val="000000" w:themeColor="text1"/>
          <w:szCs w:val="22"/>
        </w:rPr>
        <w:t>C</w:t>
      </w:r>
      <w:r w:rsidRPr="00AC0582">
        <w:rPr>
          <w:rFonts w:cs="Segoe UI"/>
          <w:color w:val="000000" w:themeColor="text1"/>
          <w:szCs w:val="22"/>
        </w:rPr>
        <w:t xml:space="preserve"> and </w:t>
      </w:r>
      <w:r>
        <w:rPr>
          <w:rFonts w:cs="Segoe UI"/>
          <w:color w:val="000000" w:themeColor="text1"/>
          <w:szCs w:val="22"/>
        </w:rPr>
        <w:t>C/N</w:t>
      </w:r>
      <w:r w:rsidRPr="00AC0582">
        <w:rPr>
          <w:rFonts w:cs="Segoe UI"/>
          <w:color w:val="000000" w:themeColor="text1"/>
          <w:szCs w:val="22"/>
        </w:rPr>
        <w:t xml:space="preserve"> biplot for of surface sediment samples collected from respective environment zones.  Data from core MPSC01 are plotted on E) and F), and colour coded in reference to their respective core depth.</w:t>
      </w:r>
    </w:p>
    <w:p w14:paraId="65D6DFED" w14:textId="67068079" w:rsidR="00E005F0" w:rsidRDefault="00326663" w:rsidP="00E005F0">
      <w:pPr>
        <w:rPr>
          <w:rFonts w:cs="Segoe UI"/>
          <w:color w:val="000000" w:themeColor="text1"/>
          <w:szCs w:val="22"/>
        </w:rPr>
      </w:pPr>
      <w:r>
        <w:rPr>
          <w:rFonts w:cs="Segoe UI"/>
          <w:noProof/>
          <w:color w:val="000000" w:themeColor="text1"/>
          <w:szCs w:val="22"/>
        </w:rPr>
        <w:drawing>
          <wp:inline distT="0" distB="0" distL="0" distR="0" wp14:anchorId="7F7B878E" wp14:editId="6B42164A">
            <wp:extent cx="5727700" cy="4047490"/>
            <wp:effectExtent l="0" t="0" r="0" b="0"/>
            <wp:docPr id="7397406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740656" name="Picture 739740656"/>
                    <pic:cNvPicPr/>
                  </pic:nvPicPr>
                  <pic:blipFill>
                    <a:blip r:embed="rId12"/>
                    <a:stretch>
                      <a:fillRect/>
                    </a:stretch>
                  </pic:blipFill>
                  <pic:spPr>
                    <a:xfrm>
                      <a:off x="0" y="0"/>
                      <a:ext cx="5727700" cy="4047490"/>
                    </a:xfrm>
                    <a:prstGeom prst="rect">
                      <a:avLst/>
                    </a:prstGeom>
                  </pic:spPr>
                </pic:pic>
              </a:graphicData>
            </a:graphic>
          </wp:inline>
        </w:drawing>
      </w:r>
    </w:p>
    <w:p w14:paraId="7F597577" w14:textId="3BCD81CF" w:rsidR="00E005F0" w:rsidRDefault="00E005F0" w:rsidP="00E005F0">
      <w:pPr>
        <w:rPr>
          <w:rFonts w:cs="Segoe UI"/>
          <w:color w:val="000000" w:themeColor="text1"/>
          <w:szCs w:val="22"/>
        </w:rPr>
      </w:pPr>
      <w:r w:rsidRPr="006670C6">
        <w:rPr>
          <w:rFonts w:cs="Segoe UI"/>
          <w:b/>
          <w:bCs/>
          <w:color w:val="000000" w:themeColor="text1"/>
          <w:szCs w:val="22"/>
        </w:rPr>
        <w:t xml:space="preserve">Figure </w:t>
      </w:r>
      <w:r>
        <w:rPr>
          <w:rFonts w:cs="Segoe UI"/>
          <w:b/>
          <w:bCs/>
          <w:color w:val="000000" w:themeColor="text1"/>
          <w:szCs w:val="22"/>
        </w:rPr>
        <w:t>5</w:t>
      </w:r>
      <w:r w:rsidRPr="006670C6">
        <w:rPr>
          <w:rFonts w:cs="Segoe UI"/>
          <w:b/>
          <w:bCs/>
          <w:color w:val="000000" w:themeColor="text1"/>
          <w:szCs w:val="22"/>
        </w:rPr>
        <w:t>.</w:t>
      </w:r>
      <w:r>
        <w:rPr>
          <w:rFonts w:cs="Segoe UI"/>
          <w:b/>
          <w:bCs/>
          <w:color w:val="000000" w:themeColor="text1"/>
          <w:szCs w:val="22"/>
        </w:rPr>
        <w:t xml:space="preserve"> </w:t>
      </w:r>
      <w:r>
        <w:rPr>
          <w:rFonts w:cs="Segoe UI"/>
          <w:color w:val="000000" w:themeColor="text1"/>
          <w:szCs w:val="22"/>
        </w:rPr>
        <w:t xml:space="preserve">Cross validation and species response curves from </w:t>
      </w:r>
      <w:r w:rsidR="002B38F4">
        <w:rPr>
          <w:rFonts w:cs="Segoe UI"/>
          <w:color w:val="000000" w:themeColor="text1"/>
          <w:szCs w:val="22"/>
        </w:rPr>
        <w:t xml:space="preserve">the </w:t>
      </w:r>
      <w:r w:rsidRPr="00861EAA">
        <w:rPr>
          <w:rFonts w:cs="Segoe UI"/>
          <w:color w:val="000000" w:themeColor="text1"/>
          <w:szCs w:val="22"/>
        </w:rPr>
        <w:t>Bayesian transfer functions. A) Observed elevation measured during the time of sample collection are compared with elevation predicted by Bayesian transfer function under 10-fold cross validation for the foraminifera (orange) diatom (green)</w:t>
      </w:r>
      <w:r w:rsidR="00D85416">
        <w:rPr>
          <w:rFonts w:cs="Segoe UI"/>
          <w:color w:val="000000" w:themeColor="text1"/>
          <w:szCs w:val="22"/>
        </w:rPr>
        <w:t xml:space="preserve"> </w:t>
      </w:r>
      <w:r w:rsidRPr="00861EAA">
        <w:rPr>
          <w:rFonts w:cs="Segoe UI"/>
          <w:color w:val="000000" w:themeColor="text1"/>
          <w:szCs w:val="22"/>
        </w:rPr>
        <w:t>modern training set.</w:t>
      </w:r>
      <w:r w:rsidR="00D85416">
        <w:rPr>
          <w:rFonts w:cs="Segoe UI"/>
          <w:color w:val="000000" w:themeColor="text1"/>
          <w:szCs w:val="22"/>
        </w:rPr>
        <w:t xml:space="preserve"> Vertical bars represent 2</w:t>
      </w:r>
      <w:r w:rsidR="00D85416" w:rsidRPr="00BF44B6">
        <w:rPr>
          <w:rFonts w:cs="Segoe UI"/>
          <w:color w:val="000000" w:themeColor="text1"/>
          <w:szCs w:val="22"/>
        </w:rPr>
        <w:t>σ</w:t>
      </w:r>
      <w:r w:rsidRPr="00861EAA">
        <w:rPr>
          <w:rFonts w:cs="Segoe UI"/>
          <w:color w:val="000000" w:themeColor="text1"/>
          <w:szCs w:val="22"/>
        </w:rPr>
        <w:t xml:space="preserve"> </w:t>
      </w:r>
      <w:r w:rsidR="00D85416">
        <w:rPr>
          <w:rFonts w:cs="Segoe UI"/>
          <w:color w:val="000000" w:themeColor="text1"/>
          <w:szCs w:val="22"/>
        </w:rPr>
        <w:t xml:space="preserve">uncertainty. </w:t>
      </w:r>
      <w:r w:rsidRPr="00861EAA">
        <w:rPr>
          <w:rFonts w:cs="Segoe UI"/>
          <w:color w:val="000000" w:themeColor="text1"/>
          <w:szCs w:val="22"/>
        </w:rPr>
        <w:t>Dashed line represents parity between observed and predicted values. Elevation is presented in standardised water index (SWLI</w:t>
      </w:r>
      <w:r w:rsidR="009858B5">
        <w:rPr>
          <w:rFonts w:cs="Segoe UI"/>
          <w:color w:val="000000" w:themeColor="text1"/>
          <w:szCs w:val="22"/>
        </w:rPr>
        <w:t xml:space="preserve"> </w:t>
      </w:r>
      <w:r w:rsidR="009858B5">
        <w:rPr>
          <w:color w:val="000000" w:themeColor="text1"/>
        </w:rPr>
        <w:t>units</w:t>
      </w:r>
      <w:r w:rsidRPr="00861EAA">
        <w:rPr>
          <w:rFonts w:cs="Segoe UI"/>
          <w:color w:val="000000" w:themeColor="text1"/>
          <w:szCs w:val="22"/>
        </w:rPr>
        <w:t>) where 100 represent mean tide level (MTL), and the value of 200 represents mean higher high water (MHHW). Residual</w:t>
      </w:r>
      <w:r w:rsidR="002B38F4">
        <w:rPr>
          <w:rFonts w:cs="Segoe UI"/>
          <w:color w:val="000000" w:themeColor="text1"/>
          <w:szCs w:val="22"/>
        </w:rPr>
        <w:t>s</w:t>
      </w:r>
      <w:r w:rsidRPr="00861EAA">
        <w:rPr>
          <w:rFonts w:cs="Segoe UI"/>
          <w:color w:val="000000" w:themeColor="text1"/>
          <w:szCs w:val="22"/>
        </w:rPr>
        <w:t xml:space="preserve"> are calculated by subtracting observed from predicted value</w:t>
      </w:r>
      <w:r w:rsidR="002B38F4">
        <w:rPr>
          <w:rFonts w:cs="Segoe UI"/>
          <w:color w:val="000000" w:themeColor="text1"/>
          <w:szCs w:val="22"/>
        </w:rPr>
        <w:t>s</w:t>
      </w:r>
      <w:r w:rsidRPr="00861EAA">
        <w:rPr>
          <w:rFonts w:cs="Segoe UI"/>
          <w:color w:val="000000" w:themeColor="text1"/>
          <w:szCs w:val="22"/>
        </w:rPr>
        <w:t xml:space="preserve">. </w:t>
      </w:r>
      <w:r>
        <w:rPr>
          <w:rFonts w:cs="Segoe UI"/>
          <w:color w:val="000000" w:themeColor="text1"/>
          <w:szCs w:val="22"/>
        </w:rPr>
        <w:t xml:space="preserve"> </w:t>
      </w:r>
      <w:r w:rsidR="00E86A71">
        <w:rPr>
          <w:rFonts w:cs="Segoe UI"/>
          <w:color w:val="000000" w:themeColor="text1"/>
          <w:szCs w:val="22"/>
        </w:rPr>
        <w:t>Samples exceed 2</w:t>
      </w:r>
      <w:r w:rsidR="00E86A71" w:rsidRPr="00BF44B6">
        <w:rPr>
          <w:rFonts w:cs="Segoe UI"/>
          <w:color w:val="000000" w:themeColor="text1"/>
          <w:szCs w:val="22"/>
        </w:rPr>
        <w:t>σ</w:t>
      </w:r>
      <w:r w:rsidR="00E86A71" w:rsidRPr="00861EAA">
        <w:rPr>
          <w:rFonts w:cs="Segoe UI"/>
          <w:color w:val="000000" w:themeColor="text1"/>
          <w:szCs w:val="22"/>
        </w:rPr>
        <w:t xml:space="preserve"> </w:t>
      </w:r>
      <w:r w:rsidR="00E86A71">
        <w:rPr>
          <w:rFonts w:cs="Segoe UI"/>
          <w:color w:val="000000" w:themeColor="text1"/>
          <w:szCs w:val="22"/>
        </w:rPr>
        <w:t xml:space="preserve">uncertainty are labelled in red colour. </w:t>
      </w:r>
      <w:r>
        <w:rPr>
          <w:rFonts w:cs="Segoe UI"/>
          <w:color w:val="000000" w:themeColor="text1"/>
          <w:szCs w:val="22"/>
        </w:rPr>
        <w:t xml:space="preserve">B) </w:t>
      </w:r>
      <w:r w:rsidRPr="007361F2">
        <w:rPr>
          <w:rFonts w:cs="Segoe UI"/>
          <w:color w:val="000000" w:themeColor="text1"/>
          <w:szCs w:val="22"/>
        </w:rPr>
        <w:t>Modern relationship between common foraminifera and diatom taxa and tidal elevation (SWLI</w:t>
      </w:r>
      <w:r w:rsidR="009858B5">
        <w:rPr>
          <w:rFonts w:cs="Segoe UI"/>
          <w:color w:val="000000" w:themeColor="text1"/>
          <w:szCs w:val="22"/>
        </w:rPr>
        <w:t xml:space="preserve"> units</w:t>
      </w:r>
      <w:r w:rsidRPr="007361F2">
        <w:rPr>
          <w:rFonts w:cs="Segoe UI"/>
          <w:color w:val="000000" w:themeColor="text1"/>
          <w:szCs w:val="22"/>
        </w:rPr>
        <w:t xml:space="preserve">) quantified by </w:t>
      </w:r>
      <w:r w:rsidR="002B38F4">
        <w:rPr>
          <w:rFonts w:cs="Segoe UI"/>
          <w:color w:val="000000" w:themeColor="text1"/>
          <w:szCs w:val="22"/>
        </w:rPr>
        <w:t xml:space="preserve">the </w:t>
      </w:r>
      <w:r w:rsidRPr="007361F2">
        <w:rPr>
          <w:rFonts w:cs="Segoe UI"/>
          <w:color w:val="000000" w:themeColor="text1"/>
          <w:szCs w:val="22"/>
        </w:rPr>
        <w:t xml:space="preserve">Bayesian transfer function. Circles represent </w:t>
      </w:r>
      <w:r w:rsidRPr="007361F2">
        <w:rPr>
          <w:rFonts w:cs="Segoe UI"/>
          <w:color w:val="000000" w:themeColor="text1"/>
          <w:szCs w:val="22"/>
        </w:rPr>
        <w:lastRenderedPageBreak/>
        <w:t>observed sample elevations, red solid line and grey shaded envelope represent the model mean and 95% credible interval respectively.</w:t>
      </w:r>
    </w:p>
    <w:p w14:paraId="6A518758" w14:textId="34FA4D9E" w:rsidR="00E005F0" w:rsidRDefault="00326663" w:rsidP="00E005F0">
      <w:pPr>
        <w:rPr>
          <w:rFonts w:cs="Segoe UI"/>
          <w:color w:val="000000" w:themeColor="text1"/>
          <w:szCs w:val="22"/>
        </w:rPr>
      </w:pPr>
      <w:r>
        <w:rPr>
          <w:rFonts w:cs="Segoe UI"/>
          <w:noProof/>
          <w:color w:val="000000" w:themeColor="text1"/>
          <w:szCs w:val="22"/>
        </w:rPr>
        <w:drawing>
          <wp:inline distT="0" distB="0" distL="0" distR="0" wp14:anchorId="01807D9E" wp14:editId="5CB77928">
            <wp:extent cx="5727700" cy="4047490"/>
            <wp:effectExtent l="0" t="0" r="0" b="0"/>
            <wp:docPr id="12916866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686617" name="Picture 1291686617"/>
                    <pic:cNvPicPr/>
                  </pic:nvPicPr>
                  <pic:blipFill>
                    <a:blip r:embed="rId13"/>
                    <a:stretch>
                      <a:fillRect/>
                    </a:stretch>
                  </pic:blipFill>
                  <pic:spPr>
                    <a:xfrm>
                      <a:off x="0" y="0"/>
                      <a:ext cx="5727700" cy="4047490"/>
                    </a:xfrm>
                    <a:prstGeom prst="rect">
                      <a:avLst/>
                    </a:prstGeom>
                  </pic:spPr>
                </pic:pic>
              </a:graphicData>
            </a:graphic>
          </wp:inline>
        </w:drawing>
      </w:r>
    </w:p>
    <w:p w14:paraId="1F73D970" w14:textId="1FCE09F3" w:rsidR="00FF57DA" w:rsidRDefault="00E005F0" w:rsidP="00FF57DA">
      <w:pPr>
        <w:rPr>
          <w:rFonts w:cs="Segoe UI"/>
          <w:color w:val="000000" w:themeColor="text1"/>
          <w:szCs w:val="22"/>
        </w:rPr>
      </w:pPr>
      <w:r w:rsidRPr="006670C6">
        <w:rPr>
          <w:rFonts w:cs="Segoe UI"/>
          <w:b/>
          <w:bCs/>
          <w:color w:val="000000" w:themeColor="text1"/>
          <w:szCs w:val="22"/>
        </w:rPr>
        <w:t>Figure</w:t>
      </w:r>
      <w:r>
        <w:rPr>
          <w:rFonts w:cs="Segoe UI"/>
          <w:b/>
          <w:bCs/>
          <w:color w:val="000000" w:themeColor="text1"/>
          <w:szCs w:val="22"/>
        </w:rPr>
        <w:t xml:space="preserve"> 6</w:t>
      </w:r>
      <w:r w:rsidRPr="006670C6">
        <w:rPr>
          <w:rFonts w:cs="Segoe UI"/>
          <w:b/>
          <w:bCs/>
          <w:color w:val="000000" w:themeColor="text1"/>
          <w:szCs w:val="22"/>
        </w:rPr>
        <w:t>.</w:t>
      </w:r>
      <w:r>
        <w:rPr>
          <w:rFonts w:cs="Segoe UI"/>
          <w:b/>
          <w:bCs/>
          <w:color w:val="000000" w:themeColor="text1"/>
          <w:szCs w:val="22"/>
        </w:rPr>
        <w:t xml:space="preserve"> </w:t>
      </w:r>
      <w:r w:rsidR="00E54BA6" w:rsidRPr="00A03BF1">
        <w:t>Stratigraphy</w:t>
      </w:r>
      <w:r w:rsidR="00E54BA6">
        <w:t xml:space="preserve">, lithology, total organic carbon (TOC) content, δ¹³C values, C/N ratios, LDA predictions of environmental zones, and the elevation range of </w:t>
      </w:r>
      <w:proofErr w:type="spellStart"/>
      <w:r w:rsidR="00E54BA6">
        <w:t>paleomangrove</w:t>
      </w:r>
      <w:proofErr w:type="spellEnd"/>
      <w:r w:rsidR="00E54BA6">
        <w:t xml:space="preserve"> elevation (PME) as predicted by LDA for core samples from MPSC01.</w:t>
      </w:r>
      <w:r w:rsidR="00FF57DA">
        <w:t xml:space="preserve"> The yellow envelope represents the full range of the predicted elevations, while the grey envelope indicates the mean ± 1σ of the elevation range. Tidal datums are marked with dashed lines, and the core top elevation is shown by a solid black line.</w:t>
      </w:r>
    </w:p>
    <w:p w14:paraId="328CC82B" w14:textId="1EB22702" w:rsidR="00E005F0" w:rsidRPr="000E6B36" w:rsidRDefault="00326663" w:rsidP="00E005F0">
      <w:pPr>
        <w:rPr>
          <w:rFonts w:cs="Segoe UI"/>
          <w:color w:val="000000" w:themeColor="text1"/>
          <w:szCs w:val="22"/>
        </w:rPr>
      </w:pPr>
      <w:r>
        <w:rPr>
          <w:rFonts w:cs="Segoe UI"/>
          <w:noProof/>
          <w:color w:val="000000" w:themeColor="text1"/>
          <w:szCs w:val="22"/>
        </w:rPr>
        <w:lastRenderedPageBreak/>
        <w:drawing>
          <wp:inline distT="0" distB="0" distL="0" distR="0" wp14:anchorId="338F449B" wp14:editId="1BA3E85B">
            <wp:extent cx="5727700" cy="4047490"/>
            <wp:effectExtent l="0" t="0" r="0" b="0"/>
            <wp:docPr id="808503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503151" name="Picture 808503151"/>
                    <pic:cNvPicPr/>
                  </pic:nvPicPr>
                  <pic:blipFill>
                    <a:blip r:embed="rId14"/>
                    <a:stretch>
                      <a:fillRect/>
                    </a:stretch>
                  </pic:blipFill>
                  <pic:spPr>
                    <a:xfrm>
                      <a:off x="0" y="0"/>
                      <a:ext cx="5727700" cy="4047490"/>
                    </a:xfrm>
                    <a:prstGeom prst="rect">
                      <a:avLst/>
                    </a:prstGeom>
                  </pic:spPr>
                </pic:pic>
              </a:graphicData>
            </a:graphic>
          </wp:inline>
        </w:drawing>
      </w:r>
    </w:p>
    <w:p w14:paraId="036857E4" w14:textId="6213A581" w:rsidR="00D755CD" w:rsidRDefault="00E005F0" w:rsidP="00E005F0">
      <w:pPr>
        <w:rPr>
          <w:rFonts w:cs="Segoe UI"/>
          <w:color w:val="000000" w:themeColor="text1"/>
          <w:szCs w:val="22"/>
        </w:rPr>
      </w:pPr>
      <w:r w:rsidRPr="006670C6">
        <w:rPr>
          <w:rFonts w:cs="Segoe UI"/>
          <w:b/>
          <w:bCs/>
          <w:color w:val="000000" w:themeColor="text1"/>
          <w:szCs w:val="22"/>
        </w:rPr>
        <w:t>Figure</w:t>
      </w:r>
      <w:r>
        <w:rPr>
          <w:rFonts w:cs="Segoe UI"/>
          <w:b/>
          <w:bCs/>
          <w:color w:val="000000" w:themeColor="text1"/>
          <w:szCs w:val="22"/>
        </w:rPr>
        <w:t xml:space="preserve"> 7. </w:t>
      </w:r>
      <w:r w:rsidR="00240C51" w:rsidRPr="00240C51">
        <w:t xml:space="preserve">Stratigraphy, lithology, chronology, foraminifera and diatom abundance, results of </w:t>
      </w:r>
      <w:proofErr w:type="spellStart"/>
      <w:r w:rsidR="00240C51" w:rsidRPr="00240C51">
        <w:t>paleomangrove</w:t>
      </w:r>
      <w:proofErr w:type="spellEnd"/>
      <w:r w:rsidR="00240C51" w:rsidRPr="00240C51">
        <w:t xml:space="preserve"> elevation </w:t>
      </w:r>
      <w:r w:rsidR="00BA78B9">
        <w:t xml:space="preserve">(PME) </w:t>
      </w:r>
      <w:r w:rsidR="00240C51" w:rsidRPr="00240C51">
        <w:t xml:space="preserve">reconstruction, dissimilarity index, and goodness-of-fit statistics from core MPSC1.  </w:t>
      </w:r>
      <w:r w:rsidR="00A471E6">
        <w:t xml:space="preserve">Core top elevation is represented by a solid black line, while the </w:t>
      </w:r>
      <w:r w:rsidR="001742A9">
        <w:t>green</w:t>
      </w:r>
      <w:r w:rsidR="00A471E6">
        <w:t xml:space="preserve"> envelope shows changes in mangrove accommodation space based on </w:t>
      </w:r>
      <w:r w:rsidR="00D8341F">
        <w:t xml:space="preserve">change in </w:t>
      </w:r>
      <w:r w:rsidR="00A471E6">
        <w:t>mean sea level</w:t>
      </w:r>
      <w:r w:rsidR="00D8341F">
        <w:t xml:space="preserve"> (MSL)</w:t>
      </w:r>
      <w:r w:rsidR="00A471E6">
        <w:t xml:space="preserve"> from 1963 to 2022.</w:t>
      </w:r>
      <w:r w:rsidR="00240C51">
        <w:rPr>
          <w:rFonts w:cs="Segoe UI"/>
          <w:color w:val="000000" w:themeColor="text1"/>
          <w:szCs w:val="22"/>
        </w:rPr>
        <w:t xml:space="preserve"> </w:t>
      </w:r>
      <w:r w:rsidR="00A471E6">
        <w:t>The elevation range for mangrove accommodation is derived from LiDAR data, indicating mangrove growth between mean tide level (MTL) and highest astronomical tide (HAT)</w:t>
      </w:r>
      <w:r w:rsidR="001742A9">
        <w:t xml:space="preserve">. For </w:t>
      </w:r>
      <w:r w:rsidR="00240C51">
        <w:t>the</w:t>
      </w:r>
      <w:r w:rsidR="001742A9" w:rsidRPr="001742A9">
        <w:t xml:space="preserve"> </w:t>
      </w:r>
      <w:r w:rsidR="001742A9">
        <w:t>dissimilarity index</w:t>
      </w:r>
      <w:r w:rsidR="00A471E6">
        <w:t>, the 20</w:t>
      </w:r>
      <w:r w:rsidR="00A471E6" w:rsidRPr="00C71EA2">
        <w:rPr>
          <w:vertAlign w:val="superscript"/>
        </w:rPr>
        <w:t>th</w:t>
      </w:r>
      <w:r w:rsidR="00A471E6">
        <w:t xml:space="preserve"> percentile of the foraminifera and </w:t>
      </w:r>
      <w:r w:rsidR="002D303B">
        <w:t>the 10</w:t>
      </w:r>
      <w:r w:rsidR="002D303B" w:rsidRPr="00C71EA2">
        <w:rPr>
          <w:vertAlign w:val="superscript"/>
        </w:rPr>
        <w:t>th</w:t>
      </w:r>
      <w:r w:rsidR="002D303B">
        <w:t xml:space="preserve"> percentile of the </w:t>
      </w:r>
      <w:r w:rsidR="00A471E6">
        <w:t>diatom dataset is normalized to 1, with values below 1 indicating a modern analogue and values above 1 suggesting the absence of a suitable modern counterpart</w:t>
      </w:r>
      <w:r w:rsidR="001742A9">
        <w:t>.</w:t>
      </w:r>
      <w:r w:rsidR="00A471E6">
        <w:t xml:space="preserve"> </w:t>
      </w:r>
      <w:r w:rsidR="001742A9">
        <w:t>For g</w:t>
      </w:r>
      <w:r w:rsidR="00A471E6">
        <w:t>oodness-of-fit statistics for core samples, the 95% threshold of squared residual lengths normalized to 1, values below 1 indicate a poor fit of the transfer function to elevation.</w:t>
      </w:r>
    </w:p>
    <w:p w14:paraId="4086B2AE" w14:textId="20A40996" w:rsidR="00D755CD" w:rsidRDefault="00326663" w:rsidP="00E005F0">
      <w:pPr>
        <w:rPr>
          <w:rFonts w:cs="Segoe UI"/>
          <w:b/>
          <w:bCs/>
          <w:color w:val="000000" w:themeColor="text1"/>
          <w:szCs w:val="22"/>
        </w:rPr>
      </w:pPr>
      <w:r>
        <w:rPr>
          <w:rFonts w:cs="Segoe UI"/>
          <w:b/>
          <w:bCs/>
          <w:noProof/>
          <w:color w:val="000000" w:themeColor="text1"/>
          <w:szCs w:val="22"/>
        </w:rPr>
        <w:lastRenderedPageBreak/>
        <w:drawing>
          <wp:inline distT="0" distB="0" distL="0" distR="0" wp14:anchorId="50108F84" wp14:editId="0B4C97B4">
            <wp:extent cx="5727700" cy="7056120"/>
            <wp:effectExtent l="0" t="0" r="0" b="0"/>
            <wp:docPr id="147724503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45034" name="Picture 1477245034"/>
                    <pic:cNvPicPr/>
                  </pic:nvPicPr>
                  <pic:blipFill>
                    <a:blip r:embed="rId15"/>
                    <a:stretch>
                      <a:fillRect/>
                    </a:stretch>
                  </pic:blipFill>
                  <pic:spPr>
                    <a:xfrm>
                      <a:off x="0" y="0"/>
                      <a:ext cx="5727700" cy="7056120"/>
                    </a:xfrm>
                    <a:prstGeom prst="rect">
                      <a:avLst/>
                    </a:prstGeom>
                  </pic:spPr>
                </pic:pic>
              </a:graphicData>
            </a:graphic>
          </wp:inline>
        </w:drawing>
      </w:r>
    </w:p>
    <w:p w14:paraId="53174BEE" w14:textId="1CADB027" w:rsidR="00E005F0" w:rsidRPr="00476A52" w:rsidRDefault="00D755CD" w:rsidP="00E005F0">
      <w:pPr>
        <w:rPr>
          <w:rFonts w:cs="Segoe UI"/>
          <w:color w:val="000000" w:themeColor="text1"/>
          <w:szCs w:val="22"/>
        </w:rPr>
      </w:pPr>
      <w:r w:rsidRPr="00B92EB6">
        <w:rPr>
          <w:rFonts w:cs="Segoe UI"/>
          <w:b/>
          <w:bCs/>
          <w:color w:val="000000" w:themeColor="text1"/>
          <w:szCs w:val="22"/>
        </w:rPr>
        <w:t>Figure 8</w:t>
      </w:r>
      <w:r w:rsidRPr="00C8700C">
        <w:rPr>
          <w:rFonts w:cs="Segoe UI"/>
          <w:b/>
          <w:bCs/>
          <w:color w:val="000000" w:themeColor="text1"/>
          <w:szCs w:val="22"/>
        </w:rPr>
        <w:t>.</w:t>
      </w:r>
      <w:r w:rsidRPr="00406990">
        <w:rPr>
          <w:rFonts w:cs="Segoe UI"/>
          <w:color w:val="000000" w:themeColor="text1"/>
          <w:szCs w:val="22"/>
        </w:rPr>
        <w:t xml:space="preserve"> A–G) Comparison of relative sea-level (RSL) reconstructions from foraminifera- and diatom- Bayesian transfer functions with tide gauge data from Hong Kong. Boxes represent ±1σ uncertainties for the reconstructions. Core samples of which dissimilarity index exceed predefined threshold are excluded in RSL reconstruction and not shown in form of boxes in the figure. Grey line represents prediction of Errors in Variables Integrated Gaussian Process (EIV-IGP) Model from tide gauge observations. Black circles represent RSL averaged from tide </w:t>
      </w:r>
      <w:r w:rsidRPr="00406990">
        <w:rPr>
          <w:rFonts w:cs="Segoe UI"/>
          <w:color w:val="000000" w:themeColor="text1"/>
          <w:szCs w:val="22"/>
        </w:rPr>
        <w:lastRenderedPageBreak/>
        <w:t>gauge data from Hong Kong, as shown in H). H) Changes in mean sea level (MSL) (±1σ) relative to 5-year average value from 2017 to 2022 of operating tide gauges in Hong Kong.</w:t>
      </w:r>
    </w:p>
    <w:p w14:paraId="527689B6" w14:textId="1831484B" w:rsidR="00E72DED" w:rsidRDefault="00A05F36" w:rsidP="004C47FD">
      <w:pPr>
        <w:pStyle w:val="Heading1"/>
        <w:rPr>
          <w:rStyle w:val="IntenseEmphasis"/>
          <w:i w:val="0"/>
          <w:iCs w:val="0"/>
          <w:color w:val="000000" w:themeColor="text1"/>
        </w:rPr>
      </w:pPr>
      <w:r>
        <w:rPr>
          <w:rStyle w:val="IntenseEmphasis"/>
          <w:color w:val="000000" w:themeColor="text1"/>
        </w:rPr>
        <w:br w:type="page"/>
      </w:r>
      <w:r w:rsidR="00E72DED" w:rsidRPr="00FA5226">
        <w:rPr>
          <w:rStyle w:val="IntenseEmphasis"/>
          <w:i w:val="0"/>
          <w:iCs w:val="0"/>
          <w:color w:val="000000" w:themeColor="text1"/>
        </w:rPr>
        <w:lastRenderedPageBreak/>
        <w:t>Data Availability</w:t>
      </w:r>
    </w:p>
    <w:p w14:paraId="2A1A705F" w14:textId="1F9594EE" w:rsidR="00E72DED" w:rsidRDefault="00E72DED" w:rsidP="00E72DED">
      <w:r>
        <w:t xml:space="preserve">The files of </w:t>
      </w:r>
      <w:r w:rsidR="00FA5226">
        <w:t>S</w:t>
      </w:r>
      <w:r>
        <w:t xml:space="preserve">upplementary </w:t>
      </w:r>
      <w:r w:rsidR="00FA5226">
        <w:t>I</w:t>
      </w:r>
      <w:r>
        <w:t>nformation 1 and 2 contain</w:t>
      </w:r>
      <w:r w:rsidRPr="00E72DED">
        <w:t xml:space="preserve"> </w:t>
      </w:r>
      <w:r>
        <w:t xml:space="preserve">chronology, </w:t>
      </w:r>
      <w:r w:rsidR="00A03494">
        <w:t xml:space="preserve">species response curves, </w:t>
      </w:r>
      <w:r w:rsidR="002D1599">
        <w:t>result of sensitivity tests</w:t>
      </w:r>
      <w:r w:rsidR="005B18DE">
        <w:t xml:space="preserve">, </w:t>
      </w:r>
      <w:r>
        <w:t xml:space="preserve">environmental parameters, </w:t>
      </w:r>
      <w:r w:rsidRPr="00E72DED">
        <w:t>δ</w:t>
      </w:r>
      <w:r w:rsidRPr="00FA5226">
        <w:rPr>
          <w:vertAlign w:val="superscript"/>
        </w:rPr>
        <w:t>13</w:t>
      </w:r>
      <w:r w:rsidRPr="00E72DED">
        <w:t>C,</w:t>
      </w:r>
      <w:r w:rsidR="00FA5226">
        <w:t xml:space="preserve"> </w:t>
      </w:r>
      <w:r w:rsidR="00FA5226" w:rsidRPr="00E72DED">
        <w:t>sediment</w:t>
      </w:r>
      <w:r w:rsidRPr="00E72DED">
        <w:t xml:space="preserve"> TOC and C/N and microfossil data.</w:t>
      </w:r>
    </w:p>
    <w:p w14:paraId="230F3DB9" w14:textId="77777777" w:rsidR="00E72DED" w:rsidRPr="00FA5226" w:rsidRDefault="00E72DED" w:rsidP="00FA5226"/>
    <w:p w14:paraId="71DBEF93" w14:textId="0187D156" w:rsidR="00457EC2" w:rsidRDefault="00457EC2" w:rsidP="004C47FD">
      <w:pPr>
        <w:pStyle w:val="Heading1"/>
      </w:pPr>
      <w:r w:rsidRPr="00A05F36">
        <w:rPr>
          <w:rStyle w:val="IntenseEmphasis"/>
          <w:color w:val="000000" w:themeColor="text1"/>
        </w:rPr>
        <w:t>Reference</w:t>
      </w:r>
    </w:p>
    <w:p w14:paraId="2A895353" w14:textId="18D31AF3" w:rsidR="003B74EF" w:rsidRDefault="003B74EF" w:rsidP="00381E0B">
      <w:pPr>
        <w:pStyle w:val="Reference"/>
      </w:pPr>
      <w:r>
        <w:t xml:space="preserve">Abd Malek, M. N., </w:t>
      </w:r>
      <w:proofErr w:type="spellStart"/>
      <w:r>
        <w:t>Frontalini</w:t>
      </w:r>
      <w:proofErr w:type="spellEnd"/>
      <w:r>
        <w:t>, F., Yahya, K., Talib, A., &amp; Zakaria, L. (2021). Taxonomical diversity of benthic foraminifera in mangrove sediments: initial insight into total diversity from Malaysia to worldwide mangrove forests records. </w:t>
      </w:r>
      <w:r>
        <w:rPr>
          <w:i/>
          <w:iCs/>
        </w:rPr>
        <w:t>Biodiversity and Conservation</w:t>
      </w:r>
      <w:r>
        <w:t>, </w:t>
      </w:r>
      <w:r>
        <w:rPr>
          <w:i/>
          <w:iCs/>
        </w:rPr>
        <w:t>30</w:t>
      </w:r>
      <w:r>
        <w:t>(7), 2033-2056.</w:t>
      </w:r>
    </w:p>
    <w:p w14:paraId="47F971A5" w14:textId="62B620CF" w:rsidR="006E78FE" w:rsidRDefault="006E78FE" w:rsidP="00381E0B">
      <w:pPr>
        <w:pStyle w:val="Reference"/>
      </w:pPr>
      <w:r>
        <w:t xml:space="preserve">Abu-Zied, R. H., </w:t>
      </w:r>
      <w:proofErr w:type="spellStart"/>
      <w:r>
        <w:t>Bantan</w:t>
      </w:r>
      <w:proofErr w:type="spellEnd"/>
      <w:r>
        <w:t xml:space="preserve">, R. A., </w:t>
      </w:r>
      <w:proofErr w:type="spellStart"/>
      <w:r>
        <w:t>Basaham</w:t>
      </w:r>
      <w:proofErr w:type="spellEnd"/>
      <w:r>
        <w:t xml:space="preserve">, A. S., El </w:t>
      </w:r>
      <w:proofErr w:type="spellStart"/>
      <w:r>
        <w:t>Mamoney</w:t>
      </w:r>
      <w:proofErr w:type="spellEnd"/>
      <w:r>
        <w:t>, M. H., &amp; Al-</w:t>
      </w:r>
      <w:proofErr w:type="spellStart"/>
      <w:r>
        <w:t>Washmi</w:t>
      </w:r>
      <w:proofErr w:type="spellEnd"/>
      <w:r>
        <w:t xml:space="preserve">, H. A. (2011). Composition, distribution, and taphonomy of nearshore benthic foraminifera of the </w:t>
      </w:r>
      <w:proofErr w:type="spellStart"/>
      <w:r>
        <w:t>Farasan</w:t>
      </w:r>
      <w:proofErr w:type="spellEnd"/>
      <w:r>
        <w:t xml:space="preserve"> Islands, southern Red Sea, Saudi Arabia. </w:t>
      </w:r>
      <w:r w:rsidRPr="00B56652">
        <w:t>The Journal of Foraminiferal Research</w:t>
      </w:r>
      <w:r>
        <w:t>, </w:t>
      </w:r>
      <w:r w:rsidRPr="00B56652">
        <w:t>41</w:t>
      </w:r>
      <w:r>
        <w:t>(4), 349-362.</w:t>
      </w:r>
    </w:p>
    <w:p w14:paraId="46E09278" w14:textId="25387BE3" w:rsidR="006E78FE" w:rsidRDefault="006E78FE" w:rsidP="00381E0B">
      <w:pPr>
        <w:pStyle w:val="Reference"/>
      </w:pPr>
      <w:r>
        <w:t xml:space="preserve">Amao, A. O., Kaminski, M. A., &amp; </w:t>
      </w:r>
      <w:proofErr w:type="spellStart"/>
      <w:r>
        <w:t>Setoyama</w:t>
      </w:r>
      <w:proofErr w:type="spellEnd"/>
      <w:r>
        <w:t>, E. (2016). Diversity of Foraminifera in a shallow restricted lagoon in Bahrain. </w:t>
      </w:r>
      <w:r w:rsidRPr="00B56652">
        <w:t>Micropaleontology</w:t>
      </w:r>
      <w:r>
        <w:t>, </w:t>
      </w:r>
      <w:r w:rsidRPr="00B56652">
        <w:t>62</w:t>
      </w:r>
      <w:r>
        <w:t>(3), 197-211.</w:t>
      </w:r>
    </w:p>
    <w:p w14:paraId="2A3C5C44" w14:textId="71880A65" w:rsidR="00A979AF" w:rsidRDefault="006F1A5C" w:rsidP="00381E0B">
      <w:pPr>
        <w:pStyle w:val="Reference"/>
      </w:pPr>
      <w:r w:rsidRPr="00AD13BD">
        <w:t xml:space="preserve">Ashe, E. L., Khan, N. S., Toth, L. T., Dutton, A., &amp; Kopp, R. E. (2022). A statistical framework for integrating nonparametric proxy distributions into geological reconstructions of relative sea level. Advances in Statistical Climatology, Meteorology and Oceanography, 8(1), 1-29. </w:t>
      </w:r>
    </w:p>
    <w:p w14:paraId="7FD04D12" w14:textId="3C3CBA2B" w:rsidR="006F1A5C" w:rsidRDefault="00A979AF" w:rsidP="00381E0B">
      <w:pPr>
        <w:pStyle w:val="Reference"/>
      </w:pPr>
      <w:proofErr w:type="spellStart"/>
      <w:r w:rsidRPr="001B2703">
        <w:t>Asteman</w:t>
      </w:r>
      <w:proofErr w:type="spellEnd"/>
      <w:r w:rsidRPr="001B2703">
        <w:t xml:space="preserve">, I. P., &amp; Schönfeld, J. (2016). Recent invasion of the foraminifer </w:t>
      </w:r>
      <w:proofErr w:type="spellStart"/>
      <w:r w:rsidRPr="001B2703">
        <w:t>Nonionella</w:t>
      </w:r>
      <w:proofErr w:type="spellEnd"/>
      <w:r w:rsidRPr="001B2703">
        <w:t xml:space="preserve"> stella Cushman &amp; Moyer, 1930 in northern European waters: evidence from the Skagerrak and its fjords. Journal of </w:t>
      </w:r>
      <w:proofErr w:type="spellStart"/>
      <w:r w:rsidRPr="001B2703">
        <w:t>Micropalaeontolgy</w:t>
      </w:r>
      <w:proofErr w:type="spellEnd"/>
      <w:r w:rsidRPr="001B2703">
        <w:t>, 35(1), 20-25.</w:t>
      </w:r>
    </w:p>
    <w:p w14:paraId="3FDDDFAE" w14:textId="231329A5" w:rsidR="00AA78F8" w:rsidRDefault="00AA78F8" w:rsidP="00381E0B">
      <w:pPr>
        <w:pStyle w:val="Reference"/>
      </w:pPr>
      <w:r>
        <w:t xml:space="preserve">Barbieri, R. (2001). </w:t>
      </w:r>
      <w:proofErr w:type="spellStart"/>
      <w:r>
        <w:t>Taphonomic</w:t>
      </w:r>
      <w:proofErr w:type="spellEnd"/>
      <w:r>
        <w:t xml:space="preserve"> implications of foraminiferal composition and abundance in intertidal mud flats, Colorado River Delta (Mexico). </w:t>
      </w:r>
      <w:r w:rsidRPr="00B56652">
        <w:t>Micropaleontology</w:t>
      </w:r>
      <w:r>
        <w:t>, </w:t>
      </w:r>
      <w:r w:rsidRPr="00B56652">
        <w:t>47</w:t>
      </w:r>
      <w:r>
        <w:t>(1), 73-86.</w:t>
      </w:r>
    </w:p>
    <w:p w14:paraId="044213DC" w14:textId="41E1546B" w:rsidR="002C70A3" w:rsidRDefault="002C70A3" w:rsidP="00381E0B">
      <w:pPr>
        <w:pStyle w:val="Reference"/>
      </w:pPr>
      <w:r>
        <w:t>Barlow, N. L., Shennan, I., Long, A. J., Gehrels, W. R., Saher, M. H., Woodroffe, S. A., &amp; Hillier, C. (2013). Salt marshes as late Holocene tide gauges. </w:t>
      </w:r>
      <w:r w:rsidRPr="00B56652">
        <w:t>Global and Planetary Change</w:t>
      </w:r>
      <w:r>
        <w:t>, </w:t>
      </w:r>
      <w:r w:rsidRPr="00B56652">
        <w:t>106</w:t>
      </w:r>
      <w:r>
        <w:t>, 90-110.</w:t>
      </w:r>
    </w:p>
    <w:p w14:paraId="6D9CE240" w14:textId="351A3ED9" w:rsidR="00242BD6" w:rsidRDefault="00242BD6" w:rsidP="00381E0B">
      <w:pPr>
        <w:pStyle w:val="Reference"/>
      </w:pPr>
      <w:r w:rsidRPr="00B56652">
        <w:t>Barlow, N. L., Long, A. J., Saher, M. H., Gehrels, W. R., Garnett, M. H., &amp; Scaife, R. G. (2014). Salt-marsh reconstructions of relative sea-level change in the North Atlantic during the last 2000 years. Quaternary Science Reviews, 99, 1-16.</w:t>
      </w:r>
    </w:p>
    <w:p w14:paraId="27173836" w14:textId="28696BBE" w:rsidR="002E0EA0" w:rsidRDefault="002E0EA0" w:rsidP="00381E0B">
      <w:pPr>
        <w:pStyle w:val="Reference"/>
      </w:pPr>
      <w:proofErr w:type="spellStart"/>
      <w:r>
        <w:t>Baranskaya</w:t>
      </w:r>
      <w:proofErr w:type="spellEnd"/>
      <w:r>
        <w:t>, A. V., Khan, N. S., Romanenko, F. A., Roy, K., Peltier, W. R., &amp; Horton, B. P. (2018). A postglacial relative sea-level database for the Russian Arctic coast. </w:t>
      </w:r>
      <w:r w:rsidRPr="00B56652">
        <w:t>Quaternary Science Reviews</w:t>
      </w:r>
      <w:r>
        <w:t>, </w:t>
      </w:r>
      <w:r w:rsidRPr="00B56652">
        <w:t>199</w:t>
      </w:r>
      <w:r>
        <w:t>, 188-205.</w:t>
      </w:r>
    </w:p>
    <w:p w14:paraId="74AC9898" w14:textId="6601B5E4" w:rsidR="00BB79DE" w:rsidRDefault="006F1A5C" w:rsidP="00381E0B">
      <w:pPr>
        <w:pStyle w:val="Reference"/>
      </w:pPr>
      <w:r w:rsidRPr="00AD13BD">
        <w:t xml:space="preserve">Barker, P., Fontes, J. C., &amp; Gasse, F. (1994). Experimental dissolution of diatom silica in concentrated salt solutions and implications for paleoenvironmental reconstruction. Limnology and Oceanography, 39(1), 99-110.   </w:t>
      </w:r>
    </w:p>
    <w:p w14:paraId="171F9B15" w14:textId="77C2BD85" w:rsidR="00BB79DE" w:rsidRDefault="00BB79DE" w:rsidP="00381E0B">
      <w:pPr>
        <w:pStyle w:val="Reference"/>
      </w:pPr>
      <w:r>
        <w:t xml:space="preserve">Berdin, R. D., </w:t>
      </w:r>
      <w:proofErr w:type="spellStart"/>
      <w:r>
        <w:t>Siringan</w:t>
      </w:r>
      <w:proofErr w:type="spellEnd"/>
      <w:r>
        <w:t>, F. P., &amp; Maeda, Y. (2003). Holocene relative sea-level changes and mangrove response in Southwest Bohol, Philippines. </w:t>
      </w:r>
      <w:r w:rsidRPr="00B56652">
        <w:t>Journal of Coastal Research</w:t>
      </w:r>
      <w:r>
        <w:t>, 304-313.</w:t>
      </w:r>
    </w:p>
    <w:p w14:paraId="664F4F4B" w14:textId="20DC64C6" w:rsidR="000077FB" w:rsidRDefault="000077FB" w:rsidP="00381E0B">
      <w:pPr>
        <w:pStyle w:val="Reference"/>
      </w:pPr>
      <w:r>
        <w:t xml:space="preserve">Berkeley, A., Perry, C. T., Smithers, S. G., Horton, B. P., &amp; Taylor, K. G. (2007). A review of the ecological and </w:t>
      </w:r>
      <w:proofErr w:type="spellStart"/>
      <w:r>
        <w:t>taphonomic</w:t>
      </w:r>
      <w:proofErr w:type="spellEnd"/>
      <w:r>
        <w:t xml:space="preserve"> controls on foraminiferal assemblage development in intertidal environments. </w:t>
      </w:r>
      <w:r w:rsidRPr="00B56652">
        <w:t>Earth-Science Reviews</w:t>
      </w:r>
      <w:r>
        <w:t>, </w:t>
      </w:r>
      <w:r w:rsidRPr="00B56652">
        <w:t>83</w:t>
      </w:r>
      <w:r>
        <w:t>(3-4), 205-230.</w:t>
      </w:r>
    </w:p>
    <w:p w14:paraId="00C01499" w14:textId="7261DDB5" w:rsidR="00324AF0" w:rsidRPr="00AD13BD" w:rsidRDefault="00324AF0" w:rsidP="00381E0B">
      <w:pPr>
        <w:pStyle w:val="Reference"/>
      </w:pPr>
      <w:r w:rsidRPr="00774BCC">
        <w:t xml:space="preserve">Berkeley, A., Perry, C. T., &amp; Smithers, S. G. (2009). </w:t>
      </w:r>
      <w:proofErr w:type="spellStart"/>
      <w:r w:rsidRPr="00774BCC">
        <w:t>Taphonomic</w:t>
      </w:r>
      <w:proofErr w:type="spellEnd"/>
      <w:r w:rsidRPr="00774BCC">
        <w:t xml:space="preserve"> signatures and patterns of test degradation on tropical, intertidal benthic foraminifera. Marine Micropaleontology, 73(3-4), 148-163.</w:t>
      </w:r>
    </w:p>
    <w:p w14:paraId="2CF44D2B" w14:textId="0B8E92FE" w:rsidR="006A586E" w:rsidRDefault="006A586E" w:rsidP="00381E0B">
      <w:pPr>
        <w:pStyle w:val="Reference"/>
      </w:pPr>
      <w:r>
        <w:t>Birks, H. J. B. (1995). Quantitative palaeoenvironmental reconstructions. </w:t>
      </w:r>
      <w:r w:rsidRPr="00B56652">
        <w:t>Statistical modelling of quaternary science data. Technical guide</w:t>
      </w:r>
      <w:r>
        <w:t>, </w:t>
      </w:r>
      <w:r w:rsidRPr="00B56652">
        <w:t>5</w:t>
      </w:r>
      <w:r>
        <w:t>, 161-254.</w:t>
      </w:r>
    </w:p>
    <w:p w14:paraId="563C277D" w14:textId="57C2E3EF" w:rsidR="003C6721" w:rsidRDefault="003C6721" w:rsidP="00381E0B">
      <w:pPr>
        <w:pStyle w:val="Reference"/>
      </w:pPr>
      <w:r>
        <w:t>Blaauw, M., &amp; Christen, J. A. (2011). Flexible paleoclimate age-depth models using an autoregressive gamma process.</w:t>
      </w:r>
    </w:p>
    <w:p w14:paraId="13B6A432" w14:textId="110D9555" w:rsidR="00515715" w:rsidRDefault="00515715" w:rsidP="00381E0B">
      <w:pPr>
        <w:pStyle w:val="Reference"/>
      </w:pPr>
      <w:r w:rsidRPr="00515715">
        <w:t>Blaauw, M., Christen, J. A., Lopez, M. A. A., Vazquez, J. E., Belding, T., Theiler, J., ... &amp; Blaauw, M. M. (2021). Package ‘</w:t>
      </w:r>
      <w:proofErr w:type="spellStart"/>
      <w:r w:rsidRPr="00515715">
        <w:t>rbacon</w:t>
      </w:r>
      <w:proofErr w:type="spellEnd"/>
      <w:r w:rsidRPr="00515715">
        <w:t>’.</w:t>
      </w:r>
    </w:p>
    <w:p w14:paraId="1D8F0A24" w14:textId="7A281BED" w:rsidR="000D14AD" w:rsidRDefault="000D14AD" w:rsidP="00381E0B">
      <w:pPr>
        <w:pStyle w:val="Reference"/>
      </w:pPr>
      <w:r w:rsidRPr="001B2703">
        <w:lastRenderedPageBreak/>
        <w:t>Cahill, N., Kemp, A. C., Horton, B. P., &amp; Parnell, A. C. (2016). A Bayesian hierarchical model for reconstructing relative sea level: from raw data to rates of change. Climate of the Past, 12(2), 525-542.</w:t>
      </w:r>
    </w:p>
    <w:p w14:paraId="0D5DDA67" w14:textId="7B78B29B" w:rsidR="00C96CB5" w:rsidRDefault="00C96CB5" w:rsidP="00381E0B">
      <w:pPr>
        <w:pStyle w:val="Reference"/>
      </w:pPr>
      <w:r w:rsidRPr="00C96CB5">
        <w:t>Cahill, N., Kemp, A. C., Horton, B. P., &amp; Parnell, A. C. (2016). A Bayesian hierarchical model for reconstructing relative sea level: from raw data to rates of change. </w:t>
      </w:r>
      <w:r w:rsidRPr="00B56652">
        <w:t>Climate of the Past</w:t>
      </w:r>
      <w:r w:rsidRPr="00C96CB5">
        <w:t>, </w:t>
      </w:r>
      <w:r w:rsidRPr="00B56652">
        <w:t>12</w:t>
      </w:r>
      <w:r w:rsidRPr="00C96CB5">
        <w:t>(2), 525-542.</w:t>
      </w:r>
    </w:p>
    <w:p w14:paraId="06D7BA46" w14:textId="2B877F3D" w:rsidR="00F2753A" w:rsidRDefault="00F2753A" w:rsidP="00381E0B">
      <w:pPr>
        <w:pStyle w:val="Reference"/>
      </w:pPr>
      <w:r>
        <w:t>Chen, C. P., Gao, Y. H., &amp; Lin, P. (2010). Geographical and seasonal patterns of epiphytic diatoms on a subtropical mangrove (</w:t>
      </w:r>
      <w:proofErr w:type="spellStart"/>
      <w:r>
        <w:t>Kandelia</w:t>
      </w:r>
      <w:proofErr w:type="spellEnd"/>
      <w:r>
        <w:t xml:space="preserve"> </w:t>
      </w:r>
      <w:proofErr w:type="spellStart"/>
      <w:r>
        <w:t>candel</w:t>
      </w:r>
      <w:proofErr w:type="spellEnd"/>
      <w:r>
        <w:t>) in southern China. </w:t>
      </w:r>
      <w:r w:rsidRPr="00B56652">
        <w:t>Ecological Indicators</w:t>
      </w:r>
      <w:r>
        <w:t>, </w:t>
      </w:r>
      <w:r w:rsidRPr="00B56652">
        <w:t>10</w:t>
      </w:r>
      <w:r>
        <w:t>(2), 143-147.</w:t>
      </w:r>
    </w:p>
    <w:p w14:paraId="14F1A38F" w14:textId="33F84C89" w:rsidR="006F1A5C" w:rsidRPr="00AD13BD" w:rsidRDefault="003327D5" w:rsidP="00381E0B">
      <w:pPr>
        <w:pStyle w:val="Reference"/>
      </w:pPr>
      <w:r>
        <w:t xml:space="preserve">Chen, H., Wang, J., Khan, N. S., </w:t>
      </w:r>
      <w:proofErr w:type="spellStart"/>
      <w:r>
        <w:t>Waxi</w:t>
      </w:r>
      <w:proofErr w:type="spellEnd"/>
      <w:r>
        <w:t xml:space="preserve">, L., Wu, J., Zhai, Y., </w:t>
      </w:r>
      <w:r w:rsidR="00A02335">
        <w:t xml:space="preserve">Zhang, Y., </w:t>
      </w:r>
      <w:r>
        <w:t>&amp; Horton, B. P. (2019). Early and late Holocene paleoenvironmental reconstruction of the Pearl River estuary, South China Sea using foraminiferal assemblages and stable carbon isotopes. </w:t>
      </w:r>
      <w:r w:rsidRPr="00B56652">
        <w:t>Estuarine, Coastal and Shelf Science</w:t>
      </w:r>
      <w:r>
        <w:t>, </w:t>
      </w:r>
      <w:r w:rsidRPr="00B56652">
        <w:t>222</w:t>
      </w:r>
      <w:r>
        <w:t>, 112-125.</w:t>
      </w:r>
      <w:r w:rsidR="006F1A5C" w:rsidRPr="00AD13BD">
        <w:t xml:space="preserve"> </w:t>
      </w:r>
    </w:p>
    <w:p w14:paraId="2AB09184" w14:textId="77777777" w:rsidR="006F1A5C" w:rsidRDefault="006F1A5C" w:rsidP="00381E0B">
      <w:pPr>
        <w:pStyle w:val="Reference"/>
      </w:pPr>
      <w:r w:rsidRPr="00AD13BD">
        <w:t xml:space="preserve">Chen, H., Wang, J., Dong, W., Huang, K., Zhang, K., &amp; Chen, Z. (2020). Late Holocene foraminiferal record from mangrove reserve, </w:t>
      </w:r>
      <w:proofErr w:type="spellStart"/>
      <w:r w:rsidRPr="00AD13BD">
        <w:t>Qi’ao</w:t>
      </w:r>
      <w:proofErr w:type="spellEnd"/>
      <w:r w:rsidRPr="00AD13BD">
        <w:t xml:space="preserve"> Island, Pearl River Estuary and its implications for paleoenvironment. Marine Geology &amp; Quaternary Geology, 40(3), 74-86.   </w:t>
      </w:r>
    </w:p>
    <w:p w14:paraId="2B069C5C" w14:textId="332DB75C" w:rsidR="002326D5" w:rsidRDefault="002326D5" w:rsidP="00381E0B">
      <w:pPr>
        <w:pStyle w:val="Reference"/>
      </w:pPr>
      <w:r>
        <w:t xml:space="preserve">Chiba, T., &amp; Sawai, Y. (2014). </w:t>
      </w:r>
      <w:proofErr w:type="spellStart"/>
      <w:r>
        <w:t>Reexamination</w:t>
      </w:r>
      <w:proofErr w:type="spellEnd"/>
      <w:r>
        <w:t xml:space="preserve"> and updating of diatom species for paleoenvironmental reconstructions. </w:t>
      </w:r>
      <w:r w:rsidRPr="00B56652">
        <w:t>Diatom</w:t>
      </w:r>
      <w:r>
        <w:t>, </w:t>
      </w:r>
      <w:r w:rsidRPr="00B56652">
        <w:t>30</w:t>
      </w:r>
      <w:r>
        <w:t>(Supplement), 17-30.</w:t>
      </w:r>
    </w:p>
    <w:p w14:paraId="04F01325" w14:textId="0D4EC93A" w:rsidR="00FB19B4" w:rsidRPr="00AD13BD" w:rsidRDefault="00FB19B4" w:rsidP="00381E0B">
      <w:pPr>
        <w:pStyle w:val="Reference"/>
      </w:pPr>
      <w:r w:rsidRPr="00FB19B4">
        <w:t>C</w:t>
      </w:r>
      <w:r>
        <w:t>hin</w:t>
      </w:r>
      <w:r w:rsidRPr="00FB19B4">
        <w:t xml:space="preserve"> T. G. &amp; C</w:t>
      </w:r>
      <w:r>
        <w:t>heng</w:t>
      </w:r>
      <w:r w:rsidRPr="00FB19B4">
        <w:t xml:space="preserve"> Z</w:t>
      </w:r>
      <w:r>
        <w:t>.</w:t>
      </w:r>
      <w:r w:rsidRPr="00FB19B4">
        <w:t xml:space="preserve"> </w:t>
      </w:r>
      <w:r w:rsidR="005B046C">
        <w:t>(</w:t>
      </w:r>
      <w:r w:rsidRPr="00FB19B4">
        <w:t>1979</w:t>
      </w:r>
      <w:r w:rsidR="005B046C">
        <w:t>)</w:t>
      </w:r>
      <w:r w:rsidRPr="00FB19B4">
        <w:t xml:space="preserve">. Notes on some new species and new records of diatoms from the Strait of Taiwan (Fujian Coast), China. I. </w:t>
      </w:r>
      <w:proofErr w:type="spellStart"/>
      <w:r w:rsidRPr="00FB19B4">
        <w:t>Navicula</w:t>
      </w:r>
      <w:proofErr w:type="spellEnd"/>
      <w:r w:rsidRPr="00FB19B4">
        <w:t xml:space="preserve"> and </w:t>
      </w:r>
      <w:proofErr w:type="spellStart"/>
      <w:r w:rsidRPr="00FB19B4">
        <w:t>Trachyneis</w:t>
      </w:r>
      <w:proofErr w:type="spellEnd"/>
      <w:r w:rsidRPr="00FB19B4">
        <w:t xml:space="preserve">. </w:t>
      </w:r>
      <w:proofErr w:type="spellStart"/>
      <w:r w:rsidRPr="00FB19B4">
        <w:t>Universitalis</w:t>
      </w:r>
      <w:proofErr w:type="spellEnd"/>
      <w:r w:rsidRPr="00FB19B4">
        <w:t xml:space="preserve"> </w:t>
      </w:r>
      <w:proofErr w:type="spellStart"/>
      <w:r w:rsidRPr="00FB19B4">
        <w:t>Amoiensis</w:t>
      </w:r>
      <w:proofErr w:type="spellEnd"/>
      <w:r w:rsidRPr="00FB19B4">
        <w:t xml:space="preserve"> Acta </w:t>
      </w:r>
      <w:proofErr w:type="spellStart"/>
      <w:r w:rsidRPr="00FB19B4">
        <w:t>Scientiarum</w:t>
      </w:r>
      <w:proofErr w:type="spellEnd"/>
      <w:r w:rsidRPr="00FB19B4">
        <w:t xml:space="preserve"> </w:t>
      </w:r>
      <w:proofErr w:type="spellStart"/>
      <w:r w:rsidRPr="00FB19B4">
        <w:t>Naturalium</w:t>
      </w:r>
      <w:proofErr w:type="spellEnd"/>
      <w:r w:rsidRPr="00FB19B4">
        <w:t>, 18(2)</w:t>
      </w:r>
      <w:r w:rsidR="002A5240">
        <w:t>,</w:t>
      </w:r>
      <w:r w:rsidRPr="00FB19B4">
        <w:t xml:space="preserve"> 143-152.</w:t>
      </w:r>
    </w:p>
    <w:p w14:paraId="68E041E6" w14:textId="72F14BBF" w:rsidR="006F1A5C" w:rsidRDefault="003A7C2D" w:rsidP="00381E0B">
      <w:pPr>
        <w:pStyle w:val="Reference"/>
      </w:pPr>
      <w:r>
        <w:t xml:space="preserve">Choi, K., Kim, D., &amp; Jo, J. (2020). </w:t>
      </w:r>
      <w:proofErr w:type="spellStart"/>
      <w:r>
        <w:t>Morphodynamic</w:t>
      </w:r>
      <w:proofErr w:type="spellEnd"/>
      <w:r>
        <w:t xml:space="preserve"> evolution of the macrotidal </w:t>
      </w:r>
      <w:proofErr w:type="spellStart"/>
      <w:r>
        <w:t>Sittaung</w:t>
      </w:r>
      <w:proofErr w:type="spellEnd"/>
      <w:r>
        <w:t xml:space="preserve"> River estuary, Myanmar: Tidal versus seasonal controls. </w:t>
      </w:r>
      <w:r w:rsidRPr="00B56652">
        <w:t>Marine Geology</w:t>
      </w:r>
      <w:r>
        <w:t>, </w:t>
      </w:r>
      <w:r w:rsidRPr="00B56652">
        <w:t>430</w:t>
      </w:r>
      <w:r>
        <w:t>, 106367.</w:t>
      </w:r>
      <w:r w:rsidR="006F1A5C" w:rsidRPr="00AD13BD">
        <w:t xml:space="preserve"> </w:t>
      </w:r>
    </w:p>
    <w:p w14:paraId="7A30F465" w14:textId="33B2DCEC" w:rsidR="00AD02CF" w:rsidRDefault="00AD02CF" w:rsidP="00381E0B">
      <w:pPr>
        <w:pStyle w:val="Reference"/>
      </w:pPr>
      <w:proofErr w:type="spellStart"/>
      <w:r w:rsidRPr="001B2703">
        <w:t>Cibic</w:t>
      </w:r>
      <w:proofErr w:type="spellEnd"/>
      <w:r w:rsidRPr="001B2703">
        <w:t xml:space="preserve">, T., </w:t>
      </w:r>
      <w:proofErr w:type="spellStart"/>
      <w:r w:rsidRPr="001B2703">
        <w:t>Comici</w:t>
      </w:r>
      <w:proofErr w:type="spellEnd"/>
      <w:r w:rsidRPr="001B2703">
        <w:t>, C., Bussani, A., &amp; Del Negro, P. (2012). Benthic diatom response to changing environmental conditions. Estuarine, Coastal and Shelf Science, 115, 158-169.</w:t>
      </w:r>
    </w:p>
    <w:p w14:paraId="6A12BBF8" w14:textId="77777777" w:rsidR="006F1A5C" w:rsidRPr="00AD13BD" w:rsidRDefault="006F1A5C" w:rsidP="00381E0B">
      <w:pPr>
        <w:pStyle w:val="Reference"/>
      </w:pPr>
      <w:r w:rsidRPr="00AD13BD">
        <w:t xml:space="preserve">Culver, S. J., &amp; Horton, B. P. (2005). Infaunal marsh foraminifera from the outer banks, North Carolina, USA. The Journal of Foraminiferal Research, 35(2), 148-170.   </w:t>
      </w:r>
    </w:p>
    <w:p w14:paraId="4198EE2E" w14:textId="77777777" w:rsidR="006F1A5C" w:rsidRPr="00AD13BD" w:rsidRDefault="006F1A5C" w:rsidP="00381E0B">
      <w:pPr>
        <w:pStyle w:val="Reference"/>
      </w:pPr>
      <w:r w:rsidRPr="00AD13BD">
        <w:t xml:space="preserve">Culver, S. J., </w:t>
      </w:r>
      <w:proofErr w:type="spellStart"/>
      <w:r w:rsidRPr="00AD13BD">
        <w:t>Leorri</w:t>
      </w:r>
      <w:proofErr w:type="spellEnd"/>
      <w:r w:rsidRPr="00AD13BD">
        <w:t xml:space="preserve">, E., Corbett, D. R., Mallinson, D. J., </w:t>
      </w:r>
      <w:proofErr w:type="spellStart"/>
      <w:r w:rsidRPr="00AD13BD">
        <w:t>Shazili</w:t>
      </w:r>
      <w:proofErr w:type="spellEnd"/>
      <w:r w:rsidRPr="00AD13BD">
        <w:t xml:space="preserve">, N. A. M., Mohammad, M. N., Parham, P. R., &amp; Yaacob, R. (2013). Infaunal mangrove swamp foraminifera in the Setiu wetland, Terengganu, Malaysia. The Journal of Foraminiferal Research, 43(3), 262-279.   </w:t>
      </w:r>
    </w:p>
    <w:p w14:paraId="06A45B7C" w14:textId="77777777" w:rsidR="006F1A5C" w:rsidRPr="00AD13BD" w:rsidRDefault="006F1A5C" w:rsidP="00381E0B">
      <w:pPr>
        <w:pStyle w:val="Reference"/>
      </w:pPr>
      <w:r w:rsidRPr="00AD13BD">
        <w:t xml:space="preserve">Culver, S. J., </w:t>
      </w:r>
      <w:proofErr w:type="spellStart"/>
      <w:r w:rsidRPr="00AD13BD">
        <w:t>Leorri</w:t>
      </w:r>
      <w:proofErr w:type="spellEnd"/>
      <w:r w:rsidRPr="00AD13BD">
        <w:t xml:space="preserve">, E., Mallinson, D. J., Corbett, D. R., &amp; </w:t>
      </w:r>
      <w:proofErr w:type="spellStart"/>
      <w:r w:rsidRPr="00AD13BD">
        <w:t>Shazili</w:t>
      </w:r>
      <w:proofErr w:type="spellEnd"/>
      <w:r w:rsidRPr="00AD13BD">
        <w:t xml:space="preserve">, N. A. M. (2015). Recent coastal evolution and sea-level rise, Setiu Wetland, Peninsular Malaysia. Palaeogeography, Palaeoclimatology, Palaeoecology, 417, 406-421.   </w:t>
      </w:r>
    </w:p>
    <w:p w14:paraId="6EB3B576" w14:textId="77777777" w:rsidR="006F1A5C" w:rsidRDefault="006F1A5C" w:rsidP="00381E0B">
      <w:pPr>
        <w:pStyle w:val="Reference"/>
      </w:pPr>
      <w:r w:rsidRPr="00AD13BD">
        <w:t xml:space="preserve">Culver, S. J., Mallinson, D. J., Corbett, D. R., </w:t>
      </w:r>
      <w:proofErr w:type="spellStart"/>
      <w:r w:rsidRPr="00AD13BD">
        <w:t>Leorri</w:t>
      </w:r>
      <w:proofErr w:type="spellEnd"/>
      <w:r w:rsidRPr="00AD13BD">
        <w:t xml:space="preserve">, E., Rouf, A. A., </w:t>
      </w:r>
      <w:proofErr w:type="spellStart"/>
      <w:r w:rsidRPr="00AD13BD">
        <w:t>Shazili</w:t>
      </w:r>
      <w:proofErr w:type="spellEnd"/>
      <w:r w:rsidRPr="00AD13BD">
        <w:t xml:space="preserve">, N. A. M., Yaacob, R., Whittaker, J. E., Buzas, M. A., &amp; Parham, P. R. (2012). Distribution of foraminifera in the Setiu estuary and lagoon, Terengganu, Malaysia. The Journal of Foraminiferal Research, 42(2), 109-133.  </w:t>
      </w:r>
    </w:p>
    <w:p w14:paraId="1ABA2B2C" w14:textId="2726CF97" w:rsidR="00825699" w:rsidRDefault="00825699" w:rsidP="00381E0B">
      <w:pPr>
        <w:pStyle w:val="Reference"/>
      </w:pPr>
      <w:r>
        <w:t xml:space="preserve">Dalrymple, R. W., Mackay, D. A., </w:t>
      </w:r>
      <w:proofErr w:type="spellStart"/>
      <w:r>
        <w:t>Ichaso</w:t>
      </w:r>
      <w:proofErr w:type="spellEnd"/>
      <w:r>
        <w:t xml:space="preserve">, A. A., &amp; Choi, K. S. (2012). Processes, </w:t>
      </w:r>
      <w:proofErr w:type="spellStart"/>
      <w:r>
        <w:t>morphodynamics</w:t>
      </w:r>
      <w:proofErr w:type="spellEnd"/>
      <w:r>
        <w:t>, and facies of tide-dominated estuaries. </w:t>
      </w:r>
      <w:r w:rsidRPr="00B56652">
        <w:t>Principles of tidal sedimentology</w:t>
      </w:r>
      <w:r>
        <w:t>, 79-107.</w:t>
      </w:r>
    </w:p>
    <w:p w14:paraId="42ED2216" w14:textId="5E000BFC" w:rsidR="009F6BD5" w:rsidRDefault="009F6BD5" w:rsidP="00381E0B">
      <w:pPr>
        <w:pStyle w:val="Reference"/>
      </w:pPr>
      <w:proofErr w:type="spellStart"/>
      <w:r>
        <w:t>Dashtgard</w:t>
      </w:r>
      <w:proofErr w:type="spellEnd"/>
      <w:r>
        <w:t>, S. E., MacEachern, J. A., Frey, S. E., &amp; Gingras, M. K. (2012). Tidal effects on the shoreface: towards a conceptual framework. </w:t>
      </w:r>
      <w:r w:rsidRPr="00B56652">
        <w:t>Sedimentary Geology</w:t>
      </w:r>
      <w:r>
        <w:t>, </w:t>
      </w:r>
      <w:r w:rsidRPr="00B56652">
        <w:t>279</w:t>
      </w:r>
      <w:r>
        <w:t>, 42-61.</w:t>
      </w:r>
    </w:p>
    <w:p w14:paraId="21C8B975" w14:textId="3D2D5415" w:rsidR="00F84EC2" w:rsidRPr="00AD13BD" w:rsidRDefault="00F84EC2" w:rsidP="00381E0B">
      <w:pPr>
        <w:pStyle w:val="Reference"/>
      </w:pPr>
      <w:r>
        <w:t>Dawson, S., Smith, D. E., Ruffman, A., &amp; Shi, S. (1996). The diatom biostratigraphy of tsunami sediments: examples from recent and middle Holocene events. </w:t>
      </w:r>
      <w:r w:rsidRPr="00B56652">
        <w:t>Physics and Chemistry of the Earth</w:t>
      </w:r>
      <w:r>
        <w:t>, </w:t>
      </w:r>
      <w:r w:rsidRPr="00B56652">
        <w:t>21</w:t>
      </w:r>
      <w:r>
        <w:t>(1-2), 87-92.</w:t>
      </w:r>
    </w:p>
    <w:p w14:paraId="2CD64320" w14:textId="1A80F8A6" w:rsidR="00F84EC2" w:rsidRDefault="006F1A5C" w:rsidP="00381E0B">
      <w:pPr>
        <w:pStyle w:val="Reference"/>
      </w:pPr>
      <w:r w:rsidRPr="00AD13BD">
        <w:t xml:space="preserve">Davis, A., Aitchison, J., Flood, P., Morton, B., Baker, R., &amp; Haworth, R. (2000). Late Holocene higher sea-level indicators from the South China coast. Marine Geology, 171(1-4), 1-5.   </w:t>
      </w:r>
    </w:p>
    <w:p w14:paraId="169DF7FB" w14:textId="1419106A" w:rsidR="00973B98" w:rsidRDefault="00973B98" w:rsidP="00381E0B">
      <w:pPr>
        <w:pStyle w:val="Reference"/>
      </w:pPr>
      <w:r>
        <w:t xml:space="preserve">De Dominicis, M., Wolf, J., </w:t>
      </w:r>
      <w:proofErr w:type="spellStart"/>
      <w:r>
        <w:t>Jevrejeva</w:t>
      </w:r>
      <w:proofErr w:type="spellEnd"/>
      <w:r>
        <w:t>, S., Zheng, P., &amp; Hu, Z. (2020). Future interactions between sea level rise, tides, and storm surges in the world's largest urban area. </w:t>
      </w:r>
      <w:r w:rsidRPr="00B56652">
        <w:t>Geophysical Research Letters</w:t>
      </w:r>
      <w:r>
        <w:t>, </w:t>
      </w:r>
      <w:r w:rsidRPr="00B56652">
        <w:t>47</w:t>
      </w:r>
      <w:r>
        <w:t>(4), e2020GL087002.</w:t>
      </w:r>
    </w:p>
    <w:p w14:paraId="44DD9338" w14:textId="05E24AEA" w:rsidR="009E586B" w:rsidRDefault="009E586B" w:rsidP="00381E0B">
      <w:pPr>
        <w:pStyle w:val="Reference"/>
      </w:pPr>
      <w:r w:rsidRPr="001B2703">
        <w:t xml:space="preserve">Dean, S., Horton, B. P., </w:t>
      </w:r>
      <w:proofErr w:type="spellStart"/>
      <w:r w:rsidRPr="001B2703">
        <w:t>Evelpidou</w:t>
      </w:r>
      <w:proofErr w:type="spellEnd"/>
      <w:r w:rsidRPr="001B2703">
        <w:t xml:space="preserve">, N., Cahill, N., Spada, G., &amp; Sivan, D. (2019). Can we detect centennial sea-level variations over the last three thousand years in Israeli archaeological </w:t>
      </w:r>
      <w:proofErr w:type="gramStart"/>
      <w:r w:rsidRPr="001B2703">
        <w:t>records?.</w:t>
      </w:r>
      <w:proofErr w:type="gramEnd"/>
      <w:r w:rsidRPr="001B2703">
        <w:t> Quaternary Science Reviews, 210, 125-135.</w:t>
      </w:r>
    </w:p>
    <w:p w14:paraId="3C1AE394" w14:textId="07F0D327" w:rsidR="002E451D" w:rsidRDefault="002E451D" w:rsidP="00381E0B">
      <w:pPr>
        <w:pStyle w:val="Reference"/>
      </w:pPr>
      <w:r>
        <w:lastRenderedPageBreak/>
        <w:t>Denys, L. (1991). </w:t>
      </w:r>
      <w:r w:rsidRPr="00C437D6">
        <w:t>A check-list of the diatoms in the Holocene deposits of the western Belgian coastal plain with a survey of their apparent ecological requirements</w:t>
      </w:r>
      <w:r>
        <w:t xml:space="preserve"> (p. 41). Brussel, Belgium: </w:t>
      </w:r>
      <w:proofErr w:type="spellStart"/>
      <w:r>
        <w:t>Ministerie</w:t>
      </w:r>
      <w:proofErr w:type="spellEnd"/>
      <w:r>
        <w:t xml:space="preserve"> van </w:t>
      </w:r>
      <w:proofErr w:type="spellStart"/>
      <w:r>
        <w:t>Economische</w:t>
      </w:r>
      <w:proofErr w:type="spellEnd"/>
      <w:r>
        <w:t xml:space="preserve"> Zaken.</w:t>
      </w:r>
    </w:p>
    <w:p w14:paraId="5DC442DF" w14:textId="6726303A" w:rsidR="009573F2" w:rsidRDefault="009573F2" w:rsidP="00381E0B">
      <w:pPr>
        <w:pStyle w:val="Reference"/>
      </w:pPr>
      <w:r w:rsidRPr="001B2703">
        <w:t>Dey, M., Ganguly, D., Chowdhury, C., Majumder, N., &amp; Jana, T. K. (2012). Intra-annual variation of modern foraminiferal assemblage in a tropical mangrove ecosystem in India. Wetlands, 32, 813-826.</w:t>
      </w:r>
    </w:p>
    <w:p w14:paraId="0F3A2C04" w14:textId="18FBDB25" w:rsidR="006F1A5C" w:rsidRDefault="00691140" w:rsidP="00381E0B">
      <w:pPr>
        <w:pStyle w:val="Reference"/>
      </w:pPr>
      <w:r w:rsidRPr="00691140">
        <w:t>Ding, X., Zheng, D., Chen, Y., Chao, J., &amp; Li, Z. (2001). Sea level change in Hong Kong from tide gauge measurements of 1954–1999. </w:t>
      </w:r>
      <w:r w:rsidRPr="00B56652">
        <w:t>Journal of Geodesy</w:t>
      </w:r>
      <w:r w:rsidRPr="00691140">
        <w:t>, </w:t>
      </w:r>
      <w:r w:rsidRPr="00B56652">
        <w:t>74</w:t>
      </w:r>
      <w:r w:rsidRPr="00691140">
        <w:t>, 683-689.</w:t>
      </w:r>
    </w:p>
    <w:p w14:paraId="2E49DA98" w14:textId="51003055" w:rsidR="005F75CD" w:rsidRDefault="005F75CD" w:rsidP="00381E0B">
      <w:pPr>
        <w:pStyle w:val="Reference"/>
      </w:pPr>
      <w:r>
        <w:t>Donnelly, J. P., Cleary, P., Newby, P., &amp; Ettinger, R. (2004). Coupling instrumental and geological records of sea</w:t>
      </w:r>
      <w:r w:rsidRPr="00B56652">
        <w:t>‐</w:t>
      </w:r>
      <w:r>
        <w:t>level change: Evidence from southern New England of an increase in the rate of sea</w:t>
      </w:r>
      <w:r w:rsidRPr="00B56652">
        <w:t>‐</w:t>
      </w:r>
      <w:r>
        <w:t>level rise in the late 19th century. </w:t>
      </w:r>
      <w:r w:rsidRPr="00B56652">
        <w:t>Geophysical Research Letters</w:t>
      </w:r>
      <w:r>
        <w:t>, </w:t>
      </w:r>
      <w:r w:rsidRPr="00B56652">
        <w:t>31</w:t>
      </w:r>
      <w:r>
        <w:t>(5).</w:t>
      </w:r>
    </w:p>
    <w:p w14:paraId="76D5C0E0" w14:textId="7E51DE9B" w:rsidR="00600E66" w:rsidRDefault="00600E66" w:rsidP="00381E0B">
      <w:pPr>
        <w:pStyle w:val="Reference"/>
      </w:pPr>
      <w:r>
        <w:t xml:space="preserve">Dura, T., Engelhart, S. E., </w:t>
      </w:r>
      <w:proofErr w:type="spellStart"/>
      <w:r>
        <w:t>Vacchi</w:t>
      </w:r>
      <w:proofErr w:type="spellEnd"/>
      <w:r>
        <w:t>, M., Horton, B. P., Kopp, R. E., Peltier, W. R., &amp; Bradley, S. (2016). The role of Holocene relative sea-level change in preserving records of subduction zone earthquakes. </w:t>
      </w:r>
      <w:r w:rsidRPr="00C437D6">
        <w:t>Current Climate Change Reports</w:t>
      </w:r>
      <w:r>
        <w:t>, </w:t>
      </w:r>
      <w:r w:rsidRPr="00C437D6">
        <w:t>2</w:t>
      </w:r>
      <w:r>
        <w:t>, 86-100.</w:t>
      </w:r>
    </w:p>
    <w:p w14:paraId="519EBC27" w14:textId="5E7293C0" w:rsidR="00263A32" w:rsidRDefault="00263A32" w:rsidP="00381E0B">
      <w:pPr>
        <w:pStyle w:val="Reference"/>
      </w:pPr>
      <w:r w:rsidRPr="001B2703">
        <w:t xml:space="preserve">Du, G., Yan, H., &amp; Dupuy, C. (2017). Microphytobenthos as an indicator of environmental quality status in intertidal flats: case study of coastal ecosystem in </w:t>
      </w:r>
      <w:proofErr w:type="spellStart"/>
      <w:r w:rsidRPr="001B2703">
        <w:t>Pertuis</w:t>
      </w:r>
      <w:proofErr w:type="spellEnd"/>
      <w:r w:rsidRPr="001B2703">
        <w:t xml:space="preserve"> Charentais, France. Estuarine, Coastal and Shelf Science, 196, 217-226.</w:t>
      </w:r>
    </w:p>
    <w:p w14:paraId="7A83E21E" w14:textId="1C6A6F19" w:rsidR="00F34C70" w:rsidRPr="00AD13BD" w:rsidRDefault="00F34C70" w:rsidP="00381E0B">
      <w:pPr>
        <w:pStyle w:val="Reference"/>
      </w:pPr>
      <w:r w:rsidRPr="009E18AA">
        <w:t xml:space="preserve">Engelhart, S., Peltier, W. R., &amp; Horton, B. P. (2011). Holocene relative sea-level changes and glacial isostatic adjustment of the US Atlantic coast. </w:t>
      </w:r>
      <w:r w:rsidRPr="00C437D6">
        <w:t>Geology</w:t>
      </w:r>
      <w:r w:rsidRPr="009E18AA">
        <w:t>,</w:t>
      </w:r>
      <w:r w:rsidRPr="00C437D6">
        <w:t xml:space="preserve"> 39</w:t>
      </w:r>
      <w:r w:rsidRPr="009E18AA">
        <w:t xml:space="preserve">(8), 751-754. </w:t>
      </w:r>
    </w:p>
    <w:p w14:paraId="3C65009C" w14:textId="77777777" w:rsidR="00B74156" w:rsidRDefault="006F1A5C" w:rsidP="00381E0B">
      <w:pPr>
        <w:pStyle w:val="Reference"/>
      </w:pPr>
      <w:r w:rsidRPr="00AD13BD">
        <w:t xml:space="preserve">Ettl, H., Gartner, G., Heynig, H., &amp; Mollenhauer, D. (1999). </w:t>
      </w:r>
      <w:proofErr w:type="spellStart"/>
      <w:r w:rsidRPr="00AD13BD">
        <w:t>Subwasserflora</w:t>
      </w:r>
      <w:proofErr w:type="spellEnd"/>
      <w:r w:rsidRPr="00AD13BD">
        <w:t xml:space="preserve"> von </w:t>
      </w:r>
      <w:proofErr w:type="spellStart"/>
      <w:r w:rsidRPr="00AD13BD">
        <w:t>mitteleuropa</w:t>
      </w:r>
      <w:proofErr w:type="spellEnd"/>
      <w:r w:rsidRPr="00AD13BD">
        <w:t xml:space="preserve">. </w:t>
      </w:r>
      <w:proofErr w:type="spellStart"/>
      <w:r w:rsidRPr="00AD13BD">
        <w:t>Cyanoprokaryota</w:t>
      </w:r>
      <w:proofErr w:type="spellEnd"/>
      <w:r w:rsidRPr="00AD13BD">
        <w:t xml:space="preserve">. Berlin: Verlag.   </w:t>
      </w:r>
    </w:p>
    <w:p w14:paraId="76AF9F70" w14:textId="5D78C5BB" w:rsidR="00F560EC" w:rsidRDefault="00F560EC" w:rsidP="00381E0B">
      <w:pPr>
        <w:pStyle w:val="Reference"/>
      </w:pPr>
      <w:r w:rsidRPr="001B2703">
        <w:t>Fisher, N. S. (1981). On the selection for heavy metal tolerance in diatoms from the Derwent Estuary, Tasmania. Marine and Freshwater Research, 32(4), 555-561.</w:t>
      </w:r>
    </w:p>
    <w:p w14:paraId="1FEEB3A2" w14:textId="1E766717" w:rsidR="006E78FE" w:rsidRDefault="006E78FE" w:rsidP="00381E0B">
      <w:pPr>
        <w:pStyle w:val="Reference"/>
      </w:pPr>
      <w:proofErr w:type="spellStart"/>
      <w:r>
        <w:t>Fajemila</w:t>
      </w:r>
      <w:proofErr w:type="spellEnd"/>
      <w:r>
        <w:t xml:space="preserve">, O. T., </w:t>
      </w:r>
      <w:proofErr w:type="spellStart"/>
      <w:r>
        <w:t>Sariaslan</w:t>
      </w:r>
      <w:proofErr w:type="spellEnd"/>
      <w:r>
        <w:t>, N., &amp; Langer, M. R. (2020). Spatial distribution of benthic foraminifera in the Lagos Lagoon (Nigeria): Tracing the impact of environmental perturbations. </w:t>
      </w:r>
      <w:proofErr w:type="spellStart"/>
      <w:r w:rsidRPr="00B56652">
        <w:t>PLoS</w:t>
      </w:r>
      <w:proofErr w:type="spellEnd"/>
      <w:r w:rsidRPr="00B56652">
        <w:t xml:space="preserve"> One</w:t>
      </w:r>
      <w:r>
        <w:t>, </w:t>
      </w:r>
      <w:r w:rsidRPr="00B56652">
        <w:t>15</w:t>
      </w:r>
      <w:r>
        <w:t>(12), e0243481.</w:t>
      </w:r>
    </w:p>
    <w:p w14:paraId="0BA52821" w14:textId="43982FBF" w:rsidR="006F1A5C" w:rsidRDefault="00C82DBB" w:rsidP="00381E0B">
      <w:pPr>
        <w:pStyle w:val="Reference"/>
      </w:pPr>
      <w:r>
        <w:t>Fan, D. (2011). Open-coast tidal flats. In </w:t>
      </w:r>
      <w:r w:rsidRPr="00C437D6">
        <w:t>Principles of tidal sedimentology</w:t>
      </w:r>
      <w:r>
        <w:t> (pp. 187-229). Dordrecht: Springer Netherlands.</w:t>
      </w:r>
      <w:r w:rsidR="006F1A5C" w:rsidRPr="00AD13BD">
        <w:t xml:space="preserve"> </w:t>
      </w:r>
    </w:p>
    <w:p w14:paraId="1C344D31" w14:textId="130C72D6" w:rsidR="004B156A" w:rsidRDefault="004B156A" w:rsidP="00381E0B">
      <w:pPr>
        <w:pStyle w:val="Reference"/>
      </w:pPr>
      <w:proofErr w:type="spellStart"/>
      <w:r>
        <w:t>Fontanier</w:t>
      </w:r>
      <w:proofErr w:type="spellEnd"/>
      <w:r>
        <w:t>, C., Jorissen, F. J., Licari, L., Alexandre, A., Anschutz, P., &amp; Carbonel, P. (2002). Live benthic foraminiferal faunas from the Bay of Biscay: faunal density, composition, and microhabitats. </w:t>
      </w:r>
      <w:r w:rsidRPr="00B56652">
        <w:t>Deep Sea Research Part I: Oceanographic Research Papers</w:t>
      </w:r>
      <w:r>
        <w:t>, </w:t>
      </w:r>
      <w:r w:rsidRPr="00B56652">
        <w:t>49</w:t>
      </w:r>
      <w:r>
        <w:t>(4), 751-785.</w:t>
      </w:r>
    </w:p>
    <w:p w14:paraId="7446F498" w14:textId="773B3B83" w:rsidR="00524188" w:rsidRDefault="00524188" w:rsidP="00381E0B">
      <w:pPr>
        <w:pStyle w:val="Reference"/>
      </w:pPr>
      <w:r>
        <w:t>Folk, R. L., &amp; Ward, W. C. (1957). Brazos River bar [Texas]; a study in the significance of grain size parameters. </w:t>
      </w:r>
      <w:r w:rsidRPr="00B56652">
        <w:t>Journal of sedimentary research</w:t>
      </w:r>
      <w:r>
        <w:t>, </w:t>
      </w:r>
      <w:r w:rsidRPr="00B56652">
        <w:t>27</w:t>
      </w:r>
      <w:r>
        <w:t>(1), 3-26.</w:t>
      </w:r>
    </w:p>
    <w:p w14:paraId="2EBD4FA3" w14:textId="150C3715" w:rsidR="00C517E7" w:rsidRPr="006C3265" w:rsidRDefault="00C517E7" w:rsidP="00381E0B">
      <w:pPr>
        <w:pStyle w:val="Reference"/>
      </w:pPr>
      <w:r>
        <w:t xml:space="preserve">Franceschini, G., Mc Millan, I. K., &amp; Compton, J. S. (2005). Foraminifera of Langebaan Lagoon salt marsh </w:t>
      </w:r>
      <w:r w:rsidRPr="006C3265">
        <w:t xml:space="preserve">and their application to the interpretation of late Pleistocene depositional environments at </w:t>
      </w:r>
      <w:proofErr w:type="spellStart"/>
      <w:r w:rsidRPr="006C3265">
        <w:t>Monwabisi</w:t>
      </w:r>
      <w:proofErr w:type="spellEnd"/>
      <w:r w:rsidRPr="006C3265">
        <w:t>, False Bay coast, South Africa. South African Journal of Geology, 108(2), 285-296.</w:t>
      </w:r>
    </w:p>
    <w:p w14:paraId="6FD31906" w14:textId="0BEB7D59" w:rsidR="00C906D4" w:rsidRDefault="00C906D4" w:rsidP="00381E0B">
      <w:pPr>
        <w:pStyle w:val="Reference"/>
      </w:pPr>
      <w:r w:rsidRPr="001B2703">
        <w:t xml:space="preserve">Franzo, A., </w:t>
      </w:r>
      <w:proofErr w:type="spellStart"/>
      <w:r w:rsidRPr="001B2703">
        <w:t>Cibic</w:t>
      </w:r>
      <w:proofErr w:type="spellEnd"/>
      <w:r w:rsidRPr="001B2703">
        <w:t xml:space="preserve">, T., Del Negro, P., &amp; </w:t>
      </w:r>
      <w:proofErr w:type="spellStart"/>
      <w:r w:rsidRPr="001B2703">
        <w:t>Solidoro</w:t>
      </w:r>
      <w:proofErr w:type="spellEnd"/>
      <w:r w:rsidRPr="001B2703">
        <w:t xml:space="preserve">, C. (2014). Microphytobenthic response to mussel farm </w:t>
      </w:r>
      <w:proofErr w:type="spellStart"/>
      <w:r w:rsidRPr="001B2703">
        <w:t>biodeposition</w:t>
      </w:r>
      <w:proofErr w:type="spellEnd"/>
      <w:r w:rsidRPr="001B2703">
        <w:t xml:space="preserve"> in coastal sediments of the northern Adriatic Sea. Marine Pollution Bulletin, 79(1-2), 379-388.</w:t>
      </w:r>
    </w:p>
    <w:p w14:paraId="10F642A3" w14:textId="40A407FC" w:rsidR="006C3265" w:rsidRPr="006C3265" w:rsidRDefault="006C3265" w:rsidP="00381E0B">
      <w:pPr>
        <w:pStyle w:val="Reference"/>
      </w:pPr>
      <w:r w:rsidRPr="005A65D2">
        <w:t>Fu, S., Xiong, H., Zong, Y., &amp; Huang, G. (2020). Reasons for the low sedimentation and slow progradation in the Pearl River delta, southern China, during the middle Holocene. Marine Geology, 423, 106133.</w:t>
      </w:r>
    </w:p>
    <w:p w14:paraId="7383412A" w14:textId="3FFE2C90" w:rsidR="0050374A" w:rsidRDefault="0050374A" w:rsidP="00381E0B">
      <w:pPr>
        <w:pStyle w:val="Reference"/>
      </w:pPr>
      <w:r>
        <w:t>Furukawa, Y. (2005). Biogeochemical consequences of infaunal activities. </w:t>
      </w:r>
      <w:r w:rsidRPr="00C437D6">
        <w:t>Interactions Between Macro</w:t>
      </w:r>
      <w:r w:rsidRPr="00B56652">
        <w:t>‐</w:t>
      </w:r>
      <w:r w:rsidRPr="00C437D6">
        <w:t>and Microorganisms in Marine Sediments</w:t>
      </w:r>
      <w:r>
        <w:t>, </w:t>
      </w:r>
      <w:r w:rsidRPr="00C437D6">
        <w:t>60</w:t>
      </w:r>
      <w:r>
        <w:t>, 159-177.</w:t>
      </w:r>
    </w:p>
    <w:p w14:paraId="139B747A" w14:textId="027C2263" w:rsidR="0085129C" w:rsidRDefault="0085129C" w:rsidP="00381E0B">
      <w:pPr>
        <w:pStyle w:val="Reference"/>
      </w:pPr>
      <w:r>
        <w:t>Garrett, E. (2010). The contemporary distribution of benthic foraminifera in the Pearl River estuary, southeast China, and their use in reconstructing mid</w:t>
      </w:r>
      <w:r w:rsidRPr="00B56652">
        <w:t>‐</w:t>
      </w:r>
      <w:r>
        <w:t>to late</w:t>
      </w:r>
      <w:r w:rsidRPr="00B56652">
        <w:t>‐</w:t>
      </w:r>
      <w:r>
        <w:t>Holocene fluvial flux (Doctoral dissertation, Durham University).</w:t>
      </w:r>
    </w:p>
    <w:p w14:paraId="5FD50A47" w14:textId="5BF4D8C1" w:rsidR="00405676" w:rsidRDefault="00405676" w:rsidP="00381E0B">
      <w:pPr>
        <w:pStyle w:val="Reference"/>
      </w:pPr>
      <w:r>
        <w:t>Gehrels, W. R. (1994). Determining relative sea-level change from salt-marsh foraminifera and plant zones on the coast of Maine, USA. </w:t>
      </w:r>
      <w:r w:rsidRPr="00C437D6">
        <w:t>Journal of Coastal Research</w:t>
      </w:r>
      <w:r>
        <w:t>, 990-1009.</w:t>
      </w:r>
    </w:p>
    <w:p w14:paraId="724B7BE9" w14:textId="59BB71E2" w:rsidR="00A733E3" w:rsidRDefault="00A733E3" w:rsidP="00381E0B">
      <w:pPr>
        <w:pStyle w:val="Reference"/>
      </w:pPr>
      <w:r w:rsidRPr="00A733E3">
        <w:t>Gehrels, W. R. (2000). Using foraminiferal transfer functions to produce high-resolution sea-level records from salt-marsh deposits, Maine, USA. The Holocene, 10(3), 367-376.</w:t>
      </w:r>
    </w:p>
    <w:p w14:paraId="267A1489" w14:textId="73FB9C86" w:rsidR="001E5F02" w:rsidRDefault="001E5F02" w:rsidP="001E5F02">
      <w:pPr>
        <w:pStyle w:val="Reference"/>
      </w:pPr>
      <w:r w:rsidRPr="00132246">
        <w:lastRenderedPageBreak/>
        <w:t xml:space="preserve">Gehrels, W.R., Roe, H.M., Charman, D.J., </w:t>
      </w:r>
      <w:r>
        <w:t>(</w:t>
      </w:r>
      <w:r w:rsidRPr="00132246">
        <w:t>2001</w:t>
      </w:r>
      <w:r>
        <w:t>)</w:t>
      </w:r>
      <w:r w:rsidRPr="00132246">
        <w:t>. Foraminifera, testate amoebae and diatoms as sea level indicators in UK salt marshes: a quantitative multi-proxy approach. Journal of Quaternary Science 16, 201–220.</w:t>
      </w:r>
    </w:p>
    <w:p w14:paraId="2DA3B8CE" w14:textId="2439C07E" w:rsidR="00A875A8" w:rsidRDefault="00A875A8" w:rsidP="00381E0B">
      <w:pPr>
        <w:pStyle w:val="Reference"/>
      </w:pPr>
      <w:r>
        <w:t>Gehrels, W. R., Hayward, B. W., Newnham, R. M., &amp; Southall, K. E. (2008). A 20th century acceleration of sea</w:t>
      </w:r>
      <w:r w:rsidRPr="00B56652">
        <w:t>‐</w:t>
      </w:r>
      <w:r>
        <w:t>level rise in New Zealand. </w:t>
      </w:r>
      <w:r w:rsidRPr="00B56652">
        <w:t>Geophysical Research Letters</w:t>
      </w:r>
      <w:r>
        <w:t>, </w:t>
      </w:r>
      <w:r w:rsidRPr="00B56652">
        <w:t>35</w:t>
      </w:r>
      <w:r>
        <w:t>(2).</w:t>
      </w:r>
    </w:p>
    <w:p w14:paraId="25F52B5C" w14:textId="77777777" w:rsidR="001E5F02" w:rsidRDefault="001E5F02" w:rsidP="001E5F02">
      <w:pPr>
        <w:pStyle w:val="Reference"/>
      </w:pPr>
      <w:r w:rsidRPr="00DE00CD">
        <w:t>Gerlach, M. J., Engelhart, S. E., Kemp, A. C., Moyer, R. P., Smoak, J. M., Bernhardt, C. E., &amp; Cahill, N. (2017). Reconstructing Common Era relative sea-level change on the Gulf Coast of Florida. Marine Geology, 390, 254-269.</w:t>
      </w:r>
    </w:p>
    <w:p w14:paraId="498D3BBE" w14:textId="77777777" w:rsidR="001E5F02" w:rsidRPr="00DE00CD" w:rsidRDefault="001E5F02" w:rsidP="001E5F02">
      <w:pPr>
        <w:pStyle w:val="Reference"/>
      </w:pPr>
      <w:r w:rsidRPr="00DE00CD">
        <w:t xml:space="preserve">Goldstein, S. T., &amp; Watkins, G. T. (1998). Elevation and the distribution of salt-marsh Foraminifera, St. Catherines Island, Georgia; a </w:t>
      </w:r>
      <w:proofErr w:type="spellStart"/>
      <w:r w:rsidRPr="00DE00CD">
        <w:t>taphonomic</w:t>
      </w:r>
      <w:proofErr w:type="spellEnd"/>
      <w:r w:rsidRPr="00DE00CD">
        <w:t xml:space="preserve"> approach. </w:t>
      </w:r>
      <w:proofErr w:type="spellStart"/>
      <w:r w:rsidRPr="00DE00CD">
        <w:t>Palaios</w:t>
      </w:r>
      <w:proofErr w:type="spellEnd"/>
      <w:r w:rsidRPr="00DE00CD">
        <w:t>, 13(6), 570-580.</w:t>
      </w:r>
    </w:p>
    <w:p w14:paraId="4A39C143" w14:textId="77777777" w:rsidR="001E5F02" w:rsidRDefault="001E5F02" w:rsidP="001E5F02">
      <w:pPr>
        <w:pStyle w:val="Reference"/>
      </w:pPr>
      <w:r w:rsidRPr="00DE00CD">
        <w:t>Goldstein, S. T., &amp; Watkins, G. T. (1999). Taphonomy of salt marsh foraminifera: an example from coastal Georgia. Palaeogeography, Palaeoclimatology, Palaeoecology, 149(1-4), 103-114.</w:t>
      </w:r>
    </w:p>
    <w:p w14:paraId="7EEDC647" w14:textId="29FC8DFA" w:rsidR="001E5F02" w:rsidRDefault="001E5F02" w:rsidP="001E5F02">
      <w:pPr>
        <w:pStyle w:val="Reference"/>
      </w:pPr>
      <w:r w:rsidRPr="00DE00CD">
        <w:t>Gomaa, F., Utter, D. R., Powers, C., Beaudoin, D. J., Edgcomb, V. P., Filipsson, H. L., Hansel, C. M., Wankel, S. D., Zhang, Y., &amp; Bernhard, J. M. (2021). Multiple integrated metabolic strategies allow foraminiferan protists to thrive in anoxic marine sediments. Science Advances, 7(22), eabf1586.</w:t>
      </w:r>
    </w:p>
    <w:p w14:paraId="71F95F63" w14:textId="192177E9" w:rsidR="002F1096" w:rsidRDefault="002F1096" w:rsidP="00381E0B">
      <w:pPr>
        <w:pStyle w:val="Reference"/>
      </w:pPr>
      <w:r w:rsidRPr="002F1096">
        <w:t xml:space="preserve">Guiry, M.D. &amp; Guiry, G.M. 2024. </w:t>
      </w:r>
      <w:proofErr w:type="spellStart"/>
      <w:r w:rsidRPr="002F1096">
        <w:t>AlgaeBase</w:t>
      </w:r>
      <w:proofErr w:type="spellEnd"/>
      <w:r w:rsidRPr="002F1096">
        <w:t>. World-wide electronic publication, University of Galway. https://www.algaebase.org</w:t>
      </w:r>
    </w:p>
    <w:p w14:paraId="137DC9DE" w14:textId="6AEEA5CE" w:rsidR="007644ED" w:rsidRPr="00AD13BD" w:rsidRDefault="007644ED" w:rsidP="00381E0B">
      <w:pPr>
        <w:pStyle w:val="Reference"/>
      </w:pPr>
      <w:r>
        <w:t xml:space="preserve">Giri, C., Ochieng, E., Tieszen, L. L., Zhu, Z., Singh, A., Loveland, T., </w:t>
      </w:r>
      <w:r w:rsidR="005E4EA8">
        <w:t>Masek, J.,</w:t>
      </w:r>
      <w:r>
        <w:t xml:space="preserve"> &amp; Duke, N. (2011). Status and distribution of mangrove forests of the world using earth observation satellite data. </w:t>
      </w:r>
      <w:r w:rsidRPr="00C437D6">
        <w:t>Global Ecology and Biogeography</w:t>
      </w:r>
      <w:r>
        <w:t>, </w:t>
      </w:r>
      <w:r w:rsidRPr="00C437D6">
        <w:t>20</w:t>
      </w:r>
      <w:r>
        <w:t>(1), 154-159.</w:t>
      </w:r>
    </w:p>
    <w:p w14:paraId="4BF82AE5" w14:textId="77777777" w:rsidR="006F1A5C" w:rsidRPr="00AD13BD" w:rsidRDefault="006F1A5C" w:rsidP="00381E0B">
      <w:pPr>
        <w:pStyle w:val="Reference"/>
      </w:pPr>
      <w:r w:rsidRPr="00AD13BD">
        <w:t xml:space="preserve">Goldstein, S. T., &amp; Watkins, G. T. (1999). Taphonomy of salt marsh foraminifera: an example from coastal Georgia. Palaeogeography, Palaeoclimatology, Palaeoecology, 149(1-4), 103-114.   </w:t>
      </w:r>
    </w:p>
    <w:p w14:paraId="206B29E8" w14:textId="460D2755" w:rsidR="006F1A5C" w:rsidRDefault="005372A5" w:rsidP="00381E0B">
      <w:pPr>
        <w:pStyle w:val="Reference"/>
      </w:pPr>
      <w:r w:rsidRPr="00854194">
        <w:t>Hart, M. B., Molina, G. S., Smart, C. W., &amp; Hall-Spencer, J. M. (2017). The distribution of foraminifera in the Fal Estuary (Cornwall). Geoscience in South-West England, 14, 129-139.</w:t>
      </w:r>
      <w:r w:rsidR="006F1A5C" w:rsidRPr="00AD13BD">
        <w:t xml:space="preserve">   </w:t>
      </w:r>
    </w:p>
    <w:p w14:paraId="47678EBF" w14:textId="4CB950B7" w:rsidR="000A49B1" w:rsidRDefault="000A49B1" w:rsidP="00381E0B">
      <w:pPr>
        <w:pStyle w:val="Reference"/>
      </w:pPr>
      <w:r>
        <w:t xml:space="preserve">Hassan, G. S., Espinosa, M. A., &amp; Isla, F. I. (2009). Diatom-based inference model for </w:t>
      </w:r>
      <w:proofErr w:type="spellStart"/>
      <w:r>
        <w:t>paleosalinity</w:t>
      </w:r>
      <w:proofErr w:type="spellEnd"/>
      <w:r>
        <w:t xml:space="preserve"> reconstructions in estuaries along the northeastern coast of Argentina. </w:t>
      </w:r>
      <w:r w:rsidRPr="00C437D6">
        <w:t>Palaeogeography, Palaeoclimatology, Palaeoecology</w:t>
      </w:r>
      <w:r>
        <w:t>, </w:t>
      </w:r>
      <w:r w:rsidRPr="00C437D6">
        <w:t>275</w:t>
      </w:r>
      <w:r>
        <w:t>(1-4), 77-91.</w:t>
      </w:r>
    </w:p>
    <w:p w14:paraId="5D5DD1A6" w14:textId="1B8FA209" w:rsidR="006706BD" w:rsidRDefault="006706BD" w:rsidP="00381E0B">
      <w:pPr>
        <w:pStyle w:val="Reference"/>
      </w:pPr>
      <w:r>
        <w:t>Hawkes, A. D., Horton, B. P., Nelson, A. R., &amp; Hill, D. F. (2010). The application of intertidal foraminifera to reconstruct coastal subsidence during the giant Cascadia earthquake of AD 1700 in Oregon, USA. </w:t>
      </w:r>
      <w:r w:rsidRPr="00B56652">
        <w:t>Quaternary International</w:t>
      </w:r>
      <w:r>
        <w:t>, </w:t>
      </w:r>
      <w:r w:rsidRPr="00B56652">
        <w:t>221</w:t>
      </w:r>
      <w:r>
        <w:t>(1-2), 116-140.</w:t>
      </w:r>
    </w:p>
    <w:p w14:paraId="643DC188" w14:textId="722D4C6E" w:rsidR="00956C68" w:rsidRDefault="00956C68" w:rsidP="00381E0B">
      <w:pPr>
        <w:pStyle w:val="Reference"/>
      </w:pPr>
      <w:r>
        <w:t>Hayward, B. W., &amp; Hollis, C. J. (1994). Brackish foraminifera in New Zealand; a taxonomic and ecologic review. </w:t>
      </w:r>
      <w:r w:rsidRPr="00B56652">
        <w:t>Micropaleontology</w:t>
      </w:r>
      <w:r>
        <w:t>, </w:t>
      </w:r>
      <w:r w:rsidRPr="00B56652">
        <w:t>40</w:t>
      </w:r>
      <w:r>
        <w:t>(3), 185-222.</w:t>
      </w:r>
    </w:p>
    <w:p w14:paraId="1B882BE2" w14:textId="73D0218E" w:rsidR="009870BD" w:rsidRDefault="009870BD" w:rsidP="00381E0B">
      <w:pPr>
        <w:pStyle w:val="Reference"/>
      </w:pPr>
      <w:r w:rsidRPr="001B2703">
        <w:t xml:space="preserve">Hayward, B. W., Figueira, B. O., </w:t>
      </w:r>
      <w:proofErr w:type="spellStart"/>
      <w:r w:rsidRPr="001B2703">
        <w:t>Sabaa</w:t>
      </w:r>
      <w:proofErr w:type="spellEnd"/>
      <w:r w:rsidRPr="001B2703">
        <w:t>, A. T., &amp; Buzas, M. A. (2014). Multi-year life spans of high salt marsh agglutinated foraminifera from New Zealand. Marine Micropaleontology, 109, 54-65.</w:t>
      </w:r>
    </w:p>
    <w:p w14:paraId="7607295D" w14:textId="2E9BC26E" w:rsidR="009D0FA0" w:rsidRDefault="009D0FA0" w:rsidP="00381E0B">
      <w:pPr>
        <w:pStyle w:val="Reference"/>
      </w:pPr>
      <w:r>
        <w:t>Hayward, B. W., Holzmann, M., Pawlowski, J., Parker, J. H., Kaushik, T., Toyofuku, M. S., &amp; Tsuchiya, M. (2021). Molecular and morphological taxonomy of living Ammonia and related taxa (Foraminifera) and their biogeography. </w:t>
      </w:r>
      <w:r w:rsidRPr="00B56652">
        <w:t>Micropaleontology</w:t>
      </w:r>
      <w:r>
        <w:t>, </w:t>
      </w:r>
      <w:r w:rsidRPr="00B56652">
        <w:t>67</w:t>
      </w:r>
      <w:r>
        <w:t>.</w:t>
      </w:r>
    </w:p>
    <w:p w14:paraId="6CC5DE7D" w14:textId="043CF13D" w:rsidR="00997CB3" w:rsidRDefault="00997CB3" w:rsidP="00381E0B">
      <w:pPr>
        <w:pStyle w:val="Reference"/>
      </w:pPr>
      <w:r>
        <w:t>Hill, T. C., Woodland, W. A., Spencer, C. D., &amp; Marriott, S. B. (2007). Holocene sea-level change in the Severn Estuary, southwest England: a diatom-based sea-level transfer function for macrotidal settings. </w:t>
      </w:r>
      <w:r w:rsidRPr="00B56652">
        <w:t>The Holocene</w:t>
      </w:r>
      <w:r>
        <w:t>, </w:t>
      </w:r>
      <w:r w:rsidRPr="00B56652">
        <w:t>17</w:t>
      </w:r>
      <w:r>
        <w:t>(5), 639-648.</w:t>
      </w:r>
    </w:p>
    <w:p w14:paraId="0A155841" w14:textId="3D028A31" w:rsidR="001A7930" w:rsidRPr="00B56652" w:rsidRDefault="001A7930" w:rsidP="00381E0B">
      <w:pPr>
        <w:pStyle w:val="Reference"/>
      </w:pPr>
      <w:r w:rsidRPr="00B56652">
        <w:t xml:space="preserve">Holgate, S. J., Matthews, A., Woodworth, P. L., Rickards, L. J., </w:t>
      </w:r>
      <w:proofErr w:type="spellStart"/>
      <w:r w:rsidRPr="00B56652">
        <w:t>Tamisiea</w:t>
      </w:r>
      <w:proofErr w:type="spellEnd"/>
      <w:r w:rsidRPr="00B56652">
        <w:t xml:space="preserve">, M. E., Bradshaw, E., Foden, P. R., Gordon, K. M., Jevrejeva, S., &amp; Pugh, J. (2012). New data systems and products at the permanent service for mean sea level. Journal of Coastal Research, 29(3), 493. </w:t>
      </w:r>
    </w:p>
    <w:p w14:paraId="65B3323A" w14:textId="3850AA44" w:rsidR="002A605E" w:rsidRDefault="002A605E" w:rsidP="00381E0B">
      <w:pPr>
        <w:pStyle w:val="Reference"/>
      </w:pPr>
      <w:r>
        <w:t>Hong, I. (2019). </w:t>
      </w:r>
      <w:r w:rsidRPr="00B56652">
        <w:t>Developing proxies to reconstruct the intensity and magnitude of prehistoric tropical cyclones and earthquakes</w:t>
      </w:r>
      <w:r>
        <w:t xml:space="preserve"> (Doctoral dissertation, Rutgers </w:t>
      </w:r>
      <w:proofErr w:type="gramStart"/>
      <w:r>
        <w:t>The</w:t>
      </w:r>
      <w:proofErr w:type="gramEnd"/>
      <w:r>
        <w:t xml:space="preserve"> State University of New Jersey, School of Graduate Studies).</w:t>
      </w:r>
    </w:p>
    <w:p w14:paraId="490F8D9C" w14:textId="6BA6F6F6" w:rsidR="006D4AEE" w:rsidRDefault="006D4AEE" w:rsidP="00381E0B">
      <w:pPr>
        <w:pStyle w:val="Reference"/>
      </w:pPr>
      <w:r>
        <w:t>Hong, I., Horton, B. P., Hawkes, A. D., O'Donnell III, R. J., Padgett, J. S., Dura, T., &amp; Engelhart, S. E. (2021). Diatoms of the intertidal environments of Willapa Bay, Washington, USA as a sea-level indicator. </w:t>
      </w:r>
      <w:r w:rsidRPr="00C437D6">
        <w:t>Marine Micropaleontology</w:t>
      </w:r>
      <w:r>
        <w:t>, </w:t>
      </w:r>
      <w:r w:rsidRPr="00C437D6">
        <w:t>167</w:t>
      </w:r>
      <w:r>
        <w:t>, 102033.</w:t>
      </w:r>
    </w:p>
    <w:p w14:paraId="18909518" w14:textId="32C874E3" w:rsidR="0080298E" w:rsidRDefault="0080298E" w:rsidP="00381E0B">
      <w:pPr>
        <w:pStyle w:val="Reference"/>
      </w:pPr>
      <w:r>
        <w:t xml:space="preserve">Hong Kong Observatory </w:t>
      </w:r>
      <w:r w:rsidRPr="007D0738">
        <w:t>(</w:t>
      </w:r>
      <w:r>
        <w:t>2020</w:t>
      </w:r>
      <w:r w:rsidRPr="007D0738">
        <w:t>). </w:t>
      </w:r>
      <w:r w:rsidRPr="00B56652">
        <w:t>Climate of Hong Kong</w:t>
      </w:r>
      <w:r w:rsidRPr="007D0738">
        <w:t>. https://www.hko.gov.hk/en/cis/climahk.htm</w:t>
      </w:r>
    </w:p>
    <w:p w14:paraId="74F076CF" w14:textId="0AF4CF55" w:rsidR="006C6468" w:rsidRDefault="006C6468" w:rsidP="00381E0B">
      <w:pPr>
        <w:pStyle w:val="Reference"/>
      </w:pPr>
      <w:r>
        <w:t>Horton, B. P., Edwards, R. J., &amp; Lloyd, J. M. (1999). A foraminiferal-based transfer function: implications for sea-level studies. </w:t>
      </w:r>
      <w:r w:rsidRPr="00C437D6">
        <w:t>The Journal of Foraminiferal Research</w:t>
      </w:r>
      <w:r>
        <w:t>, </w:t>
      </w:r>
      <w:r w:rsidRPr="00C437D6">
        <w:t>29</w:t>
      </w:r>
      <w:r>
        <w:t>(2), 117-129.</w:t>
      </w:r>
    </w:p>
    <w:p w14:paraId="0DD67D6B" w14:textId="66F980EC" w:rsidR="00E10CC8" w:rsidRDefault="00E10CC8" w:rsidP="00381E0B">
      <w:pPr>
        <w:pStyle w:val="Reference"/>
      </w:pPr>
      <w:r>
        <w:lastRenderedPageBreak/>
        <w:t xml:space="preserve">Horton, B. P. (1999). The distribution of contemporary intertidal foraminifera at </w:t>
      </w:r>
      <w:proofErr w:type="spellStart"/>
      <w:r>
        <w:t>Cowpen</w:t>
      </w:r>
      <w:proofErr w:type="spellEnd"/>
      <w:r>
        <w:t xml:space="preserve"> Marsh, Tees Estuary, UK: implications for studies of Holocene sea-level changes. </w:t>
      </w:r>
      <w:r w:rsidRPr="00C437D6">
        <w:t>Palaeogeography, Palaeoclimatology, Palaeoecology</w:t>
      </w:r>
      <w:r>
        <w:t>, </w:t>
      </w:r>
      <w:r w:rsidRPr="00C437D6">
        <w:t>149</w:t>
      </w:r>
      <w:r>
        <w:t>(1-4), 127-149.</w:t>
      </w:r>
    </w:p>
    <w:p w14:paraId="232E9C1F" w14:textId="348BB5FA" w:rsidR="008835CD" w:rsidRDefault="008835CD" w:rsidP="00381E0B">
      <w:pPr>
        <w:pStyle w:val="Reference"/>
      </w:pPr>
      <w:r>
        <w:t xml:space="preserve">Horton, B. P., &amp; Edwards, R. J. (2003). Seasonal distributions of foraminifera and their implications for sea-level studies, </w:t>
      </w:r>
      <w:proofErr w:type="spellStart"/>
      <w:r>
        <w:t>Cowpen</w:t>
      </w:r>
      <w:proofErr w:type="spellEnd"/>
      <w:r>
        <w:t xml:space="preserve"> Marsh, UK.</w:t>
      </w:r>
    </w:p>
    <w:p w14:paraId="111E86B3" w14:textId="79754F58" w:rsidR="00C517E7" w:rsidRPr="00AD13BD" w:rsidRDefault="00C517E7" w:rsidP="00381E0B">
      <w:pPr>
        <w:pStyle w:val="Reference"/>
      </w:pPr>
      <w:r>
        <w:t xml:space="preserve">Horton, B. P., Whittaker, J. E., Thomson, K. H., </w:t>
      </w:r>
      <w:proofErr w:type="spellStart"/>
      <w:r>
        <w:t>Hardbattle</w:t>
      </w:r>
      <w:proofErr w:type="spellEnd"/>
      <w:r>
        <w:t xml:space="preserve">, M. I., Kemp, A., Woodroffe, S. A., &amp; Wright, M. R. (2005). The development of a modern foraminiferal data set for sea-level reconstructions, </w:t>
      </w:r>
      <w:proofErr w:type="spellStart"/>
      <w:r>
        <w:t>Wakatobi</w:t>
      </w:r>
      <w:proofErr w:type="spellEnd"/>
      <w:r>
        <w:t xml:space="preserve"> Marine National Park, Southeast Sulawesi, Indonesia. </w:t>
      </w:r>
      <w:r w:rsidRPr="00C437D6">
        <w:t>The Journal of Foraminiferal Research</w:t>
      </w:r>
      <w:r>
        <w:t>, </w:t>
      </w:r>
      <w:r w:rsidRPr="00C437D6">
        <w:t>35</w:t>
      </w:r>
      <w:r>
        <w:t>(1), 1-14.</w:t>
      </w:r>
    </w:p>
    <w:p w14:paraId="5E052355" w14:textId="5782C038" w:rsidR="006F1A5C" w:rsidRPr="00AD13BD" w:rsidRDefault="006F1A5C" w:rsidP="00381E0B">
      <w:pPr>
        <w:pStyle w:val="Reference"/>
      </w:pPr>
      <w:r w:rsidRPr="00AD13BD">
        <w:t>Horton, B. P., Boreham, S., &amp; Hillier, C. (2006). The development and application of a diatom</w:t>
      </w:r>
      <w:r w:rsidRPr="00B56652">
        <w:t>‐</w:t>
      </w:r>
      <w:r w:rsidRPr="00AD13BD">
        <w:t xml:space="preserve">based quantitative reconstruction technique in forensic science. Journal of forensic sciences, 51(3), 643-650.   </w:t>
      </w:r>
    </w:p>
    <w:p w14:paraId="58C62073" w14:textId="579CEC73" w:rsidR="006F1A5C" w:rsidRDefault="006F1A5C" w:rsidP="00381E0B">
      <w:pPr>
        <w:pStyle w:val="Reference"/>
      </w:pPr>
      <w:r w:rsidRPr="00AD13BD">
        <w:t xml:space="preserve">Horton, B. P., &amp; Edwards, R. J. (2006). </w:t>
      </w:r>
      <w:proofErr w:type="gramStart"/>
      <w:r w:rsidRPr="00AD13BD">
        <w:t>Quantifying Holocene sea</w:t>
      </w:r>
      <w:proofErr w:type="gramEnd"/>
      <w:r w:rsidRPr="00AD13BD">
        <w:t xml:space="preserve"> level change using intertidal foraminifera: lessons from the British Isles. Departmental Papers (EES), 50.   </w:t>
      </w:r>
    </w:p>
    <w:p w14:paraId="017EC380" w14:textId="07C45214" w:rsidR="0066407A" w:rsidRDefault="0066407A" w:rsidP="00381E0B">
      <w:pPr>
        <w:pStyle w:val="Reference"/>
      </w:pPr>
      <w:r w:rsidRPr="0066407A">
        <w:t>Horton, B. P., Zong, Y., Hillier, C., &amp; Engelhart, S. (2007). Diatoms from Indonesian mangroves and their suitability as sea-level indicators for tropical environments. </w:t>
      </w:r>
      <w:r w:rsidRPr="00B56652">
        <w:t>Marine Micropaleontology</w:t>
      </w:r>
      <w:r w:rsidRPr="0066407A">
        <w:t>, </w:t>
      </w:r>
      <w:r w:rsidRPr="00B56652">
        <w:t>63</w:t>
      </w:r>
      <w:r w:rsidRPr="0066407A">
        <w:t>(3-4), 155-168.</w:t>
      </w:r>
    </w:p>
    <w:p w14:paraId="0115843F" w14:textId="0F9DC245" w:rsidR="00B1207F" w:rsidRDefault="00B1207F" w:rsidP="00381E0B">
      <w:pPr>
        <w:pStyle w:val="Reference"/>
      </w:pPr>
      <w:r>
        <w:t>Horton, B. P., &amp; Culver, S. J. (2008). Modern intertidal foraminifera of the Outer Banks, North Carolina, USA, and their applicability for sea-level studies. </w:t>
      </w:r>
      <w:r w:rsidRPr="00C437D6">
        <w:t>Journal of Coastal Research</w:t>
      </w:r>
      <w:r>
        <w:t>, </w:t>
      </w:r>
      <w:r w:rsidRPr="00C437D6">
        <w:t>24</w:t>
      </w:r>
      <w:r>
        <w:t>(5), 1110-1125</w:t>
      </w:r>
    </w:p>
    <w:p w14:paraId="24BB4AA0" w14:textId="77777777" w:rsidR="006F1A5C" w:rsidRPr="00AD13BD" w:rsidRDefault="006F1A5C" w:rsidP="00381E0B">
      <w:pPr>
        <w:pStyle w:val="Reference"/>
      </w:pPr>
      <w:r w:rsidRPr="00AD13BD">
        <w:t xml:space="preserve">Hu, J., Jia, G., Mai, B., &amp; Zhang, G. (2006). Distribution and sources of organic carbon, nitrogen and their isotopes in sediments of the subtropical Pearl River estuary and adjacent shelf, Southern China. Marine chemistry, 98(2-4), 274-285.   </w:t>
      </w:r>
    </w:p>
    <w:p w14:paraId="2FE7892B" w14:textId="47BD3B46" w:rsidR="006F1A5C" w:rsidRDefault="00814663" w:rsidP="00381E0B">
      <w:pPr>
        <w:pStyle w:val="Reference"/>
      </w:pPr>
      <w:r w:rsidRPr="00814663">
        <w:t xml:space="preserve">Huang, Y., Jiang, H., </w:t>
      </w:r>
      <w:proofErr w:type="spellStart"/>
      <w:r w:rsidRPr="00814663">
        <w:t>Sarnthein</w:t>
      </w:r>
      <w:proofErr w:type="spellEnd"/>
      <w:r w:rsidRPr="00814663">
        <w:t>, M., Knudsen, K. L., &amp; Li, D. (2009). Diatom response to changes in palaeoenvironments of the northern South China Sea during the last 15 000 years. </w:t>
      </w:r>
      <w:r w:rsidRPr="00B56652">
        <w:t>Marine Micropaleontology</w:t>
      </w:r>
      <w:r w:rsidRPr="00814663">
        <w:t>, </w:t>
      </w:r>
      <w:r w:rsidRPr="00B56652">
        <w:t>72</w:t>
      </w:r>
      <w:r w:rsidRPr="00814663">
        <w:t>(1-2), 99-109.</w:t>
      </w:r>
      <w:r w:rsidR="006F1A5C" w:rsidRPr="00AD13BD">
        <w:t xml:space="preserve">   </w:t>
      </w:r>
    </w:p>
    <w:p w14:paraId="542C79D7" w14:textId="6527321C" w:rsidR="00F66E3F" w:rsidRPr="00AD13BD" w:rsidRDefault="00F66E3F" w:rsidP="00381E0B">
      <w:pPr>
        <w:pStyle w:val="Reference"/>
      </w:pPr>
      <w:r>
        <w:t>Javaux, E. J., &amp; Scott, D. B. (2003). Illustration of modern benthic foraminifera from Bermuda and remarks on distribution in other subtropical/tropical areas. </w:t>
      </w:r>
      <w:proofErr w:type="spellStart"/>
      <w:r w:rsidRPr="00B56652">
        <w:t>Palaeontologia</w:t>
      </w:r>
      <w:proofErr w:type="spellEnd"/>
      <w:r w:rsidRPr="00B56652">
        <w:t xml:space="preserve"> electronica</w:t>
      </w:r>
      <w:r>
        <w:t>, </w:t>
      </w:r>
      <w:r w:rsidRPr="00B56652">
        <w:t>6</w:t>
      </w:r>
      <w:r>
        <w:t>(4), 29.</w:t>
      </w:r>
    </w:p>
    <w:p w14:paraId="42E27839" w14:textId="64D64FA8" w:rsidR="0056158F" w:rsidRDefault="0056158F" w:rsidP="00381E0B">
      <w:pPr>
        <w:pStyle w:val="Reference"/>
      </w:pPr>
      <w:proofErr w:type="spellStart"/>
      <w:r>
        <w:t>Juggins</w:t>
      </w:r>
      <w:proofErr w:type="spellEnd"/>
      <w:r>
        <w:t>, S., &amp; Birks, H. J. B. (2012). Quantitative environmental reconstructions from biological data. </w:t>
      </w:r>
      <w:r w:rsidRPr="00C437D6">
        <w:t>Tracking environmental change using lake sediments: Data handling and numerical techniques</w:t>
      </w:r>
      <w:r>
        <w:t>, 431-494.</w:t>
      </w:r>
    </w:p>
    <w:p w14:paraId="703C996D" w14:textId="77777777" w:rsidR="006F1A5C" w:rsidRDefault="006F1A5C" w:rsidP="00381E0B">
      <w:pPr>
        <w:pStyle w:val="Reference"/>
      </w:pPr>
      <w:r w:rsidRPr="00AD13BD">
        <w:t xml:space="preserve">Kemp, A. C., Horton, B. P., Corbett, D. R., Culver, S. J., Edwards, R. J., &amp; van de </w:t>
      </w:r>
      <w:proofErr w:type="spellStart"/>
      <w:r w:rsidRPr="00AD13BD">
        <w:t>Plassche</w:t>
      </w:r>
      <w:proofErr w:type="spellEnd"/>
      <w:r w:rsidRPr="00AD13BD">
        <w:t xml:space="preserve">, O. (2009). The relative utility of foraminifera and diatoms for reconstructing late Holocene sea-level change in North Carolina, USA. Quaternary Research, 71(1), 9-21.   </w:t>
      </w:r>
    </w:p>
    <w:p w14:paraId="394467E6" w14:textId="257C5E5B" w:rsidR="008702C1" w:rsidRPr="00B56652" w:rsidRDefault="008702C1" w:rsidP="00381E0B">
      <w:pPr>
        <w:pStyle w:val="Reference"/>
      </w:pPr>
      <w:r w:rsidRPr="00B56652">
        <w:t xml:space="preserve">Kemp, A. C., Horton, B. P., Vann, D. R., Engelhart, S. E., Pre, C. a. G., Vane, C. H., Nikitina, D., &amp; </w:t>
      </w:r>
      <w:proofErr w:type="spellStart"/>
      <w:r w:rsidRPr="00B56652">
        <w:t>Anisfeld</w:t>
      </w:r>
      <w:proofErr w:type="spellEnd"/>
      <w:r w:rsidRPr="00B56652">
        <w:t>, S. C. (201</w:t>
      </w:r>
      <w:r w:rsidR="00603E14" w:rsidRPr="00B56652">
        <w:t>2</w:t>
      </w:r>
      <w:r w:rsidRPr="00B56652">
        <w:t xml:space="preserve">). Quantitative vertical zonation of salt-marsh foraminifera for reconstructing former sea level; an example from New Jersey, USA. Quaternary Science Reviews, 54, 26–39. </w:t>
      </w:r>
    </w:p>
    <w:p w14:paraId="57224FA6" w14:textId="6EB93EAA" w:rsidR="00C8051B" w:rsidRDefault="00C8051B" w:rsidP="00381E0B">
      <w:pPr>
        <w:pStyle w:val="Reference"/>
      </w:pPr>
      <w:r>
        <w:t xml:space="preserve">Kemp, A. C., Telford, R. J., Horton, B. P., </w:t>
      </w:r>
      <w:proofErr w:type="spellStart"/>
      <w:r>
        <w:t>Anisfeld</w:t>
      </w:r>
      <w:proofErr w:type="spellEnd"/>
      <w:r>
        <w:t>, S. C., &amp; Sommerfield, C. K. (2013</w:t>
      </w:r>
      <w:r w:rsidR="00942B89">
        <w:t>a</w:t>
      </w:r>
      <w:r>
        <w:t xml:space="preserve">). </w:t>
      </w:r>
      <w:proofErr w:type="gramStart"/>
      <w:r>
        <w:t>Reconstructing Holocene sea</w:t>
      </w:r>
      <w:proofErr w:type="gramEnd"/>
      <w:r>
        <w:t xml:space="preserve"> level using salt</w:t>
      </w:r>
      <w:r w:rsidRPr="00B56652">
        <w:t>‐</w:t>
      </w:r>
      <w:r>
        <w:t>marsh foraminifera and transfer functions: lessons from New Jersey, USA. </w:t>
      </w:r>
      <w:r w:rsidRPr="00C437D6">
        <w:t>Journal of Quaternary Science</w:t>
      </w:r>
      <w:r>
        <w:t>, </w:t>
      </w:r>
      <w:r w:rsidRPr="00C437D6">
        <w:t>28</w:t>
      </w:r>
      <w:r>
        <w:t>(6), 617-629.</w:t>
      </w:r>
    </w:p>
    <w:p w14:paraId="2BF0E3A8" w14:textId="4F85F501" w:rsidR="00942B89" w:rsidRPr="00B56652" w:rsidRDefault="00942B89" w:rsidP="00381E0B">
      <w:pPr>
        <w:pStyle w:val="Reference"/>
      </w:pPr>
      <w:r w:rsidRPr="00B56652">
        <w:t xml:space="preserve">Kemp, A. C., Horton, B. P., Vane, C. H., Bernhardt, C. E., Corbett, D. R., Engelhart, S. E., </w:t>
      </w:r>
      <w:proofErr w:type="spellStart"/>
      <w:r w:rsidRPr="00B56652">
        <w:t>Anusfeld</w:t>
      </w:r>
      <w:proofErr w:type="spellEnd"/>
      <w:r w:rsidRPr="00B56652">
        <w:t>, S. C., Parnell, A. C., &amp; Cahill, N. (2013b). Sea-level change during the last 2500 years in New Jersey, USA. Quaternary Science Reviews, 81, 90-104.</w:t>
      </w:r>
    </w:p>
    <w:p w14:paraId="3A590CC6" w14:textId="2F3C99C2" w:rsidR="009361CD" w:rsidRDefault="009361CD" w:rsidP="00381E0B">
      <w:pPr>
        <w:pStyle w:val="Reference"/>
      </w:pPr>
      <w:r w:rsidRPr="00B56652">
        <w:t xml:space="preserve">Kemp, A. C., Bernhardt, C. E., Horton, B. P., Kopp, R. E., Vane, C. H., Peltier, W. R., Hawkes, A. D., Donnelly, J. P., Parnell, A. C., &amp; Cahill, N. (2014). Late Holocene sea- and land-level change on the U.S. southeastern Atlantic coast. Marine Geology, 357, 90–100. </w:t>
      </w:r>
    </w:p>
    <w:p w14:paraId="7CFC1BF6" w14:textId="605BCD0A" w:rsidR="003C4F70" w:rsidRDefault="003C4F70" w:rsidP="00381E0B">
      <w:pPr>
        <w:pStyle w:val="Reference"/>
      </w:pPr>
      <w:r>
        <w:t xml:space="preserve">Kemp, A. C., Hawkes, A. D., Donnelly, J. P., Vane, C. H., Horton, B. P., Hill, T. D., </w:t>
      </w:r>
      <w:proofErr w:type="spellStart"/>
      <w:r w:rsidR="00A62BF2">
        <w:t>Anisfield</w:t>
      </w:r>
      <w:proofErr w:type="spellEnd"/>
      <w:r w:rsidR="00A62BF2">
        <w:t>, S. C., Parnell, A. C.,</w:t>
      </w:r>
      <w:r>
        <w:t xml:space="preserve"> &amp; Cahill, N. (2015). Relative sea-level change in Connecticut (USA) during the last 2200 yrs. </w:t>
      </w:r>
      <w:r w:rsidRPr="00C437D6">
        <w:t>Earth and Planetary Science Letters</w:t>
      </w:r>
      <w:r>
        <w:t>, </w:t>
      </w:r>
      <w:r w:rsidRPr="00C437D6">
        <w:t>428</w:t>
      </w:r>
      <w:r>
        <w:t>, 217-229.</w:t>
      </w:r>
    </w:p>
    <w:p w14:paraId="2C369617" w14:textId="672F7CBF" w:rsidR="00D90B66" w:rsidRDefault="00D90B66" w:rsidP="00381E0B">
      <w:pPr>
        <w:pStyle w:val="Reference"/>
      </w:pPr>
      <w:r>
        <w:t>Kemp, A. C., &amp; Telford, R. J. (2015). Transfer functions. </w:t>
      </w:r>
      <w:r w:rsidRPr="00C437D6">
        <w:t>Handbook of sea</w:t>
      </w:r>
      <w:r w:rsidRPr="00B56652">
        <w:t>‐</w:t>
      </w:r>
      <w:r w:rsidRPr="00C437D6">
        <w:t>level research</w:t>
      </w:r>
      <w:r>
        <w:t>, 470-499.</w:t>
      </w:r>
    </w:p>
    <w:p w14:paraId="26E7E7DA" w14:textId="40B2A91C" w:rsidR="009361CD" w:rsidRDefault="009361CD" w:rsidP="00381E0B">
      <w:pPr>
        <w:pStyle w:val="Reference"/>
      </w:pPr>
      <w:r w:rsidRPr="005A65D2">
        <w:t xml:space="preserve">Kemp, A. C., Kegel, J. J., Culver, S. J., Barber, D. C., Mallinson, D. J., </w:t>
      </w:r>
      <w:proofErr w:type="spellStart"/>
      <w:r w:rsidRPr="005A65D2">
        <w:t>Leorri</w:t>
      </w:r>
      <w:proofErr w:type="spellEnd"/>
      <w:r w:rsidRPr="005A65D2">
        <w:t xml:space="preserve">, E., </w:t>
      </w:r>
      <w:r>
        <w:t>Bernhardt, C. E., Riggs, S. R., Woodson, A. L., Mulligan, R. P.,</w:t>
      </w:r>
      <w:r w:rsidRPr="005A65D2">
        <w:t xml:space="preserve"> &amp; Horton, B. P. (2017</w:t>
      </w:r>
      <w:r w:rsidR="00D7141E">
        <w:t>a</w:t>
      </w:r>
      <w:r w:rsidRPr="005A65D2">
        <w:t>). Extended late Holocene relative sea-level histories for North Carolina, USA. Quaternary Science Reviews, 160, 13-30.</w:t>
      </w:r>
    </w:p>
    <w:p w14:paraId="167580E9" w14:textId="59708DE2" w:rsidR="00F34C70" w:rsidRDefault="00F34C70" w:rsidP="00381E0B">
      <w:pPr>
        <w:pStyle w:val="Reference"/>
      </w:pPr>
      <w:r w:rsidRPr="009E18AA">
        <w:lastRenderedPageBreak/>
        <w:t>Kemp, A. C., Wright, A. J., Barnett, R. L., Hawkes, A. D., Charman, D. J., Sameshima, C., King, A. N., Mooney, H. C., Edwards, R. J., &amp; Horton, B. P. (2017</w:t>
      </w:r>
      <w:r w:rsidR="00D7141E">
        <w:t>b</w:t>
      </w:r>
      <w:r w:rsidRPr="009E18AA">
        <w:t xml:space="preserve">). Utility of salt-marsh foraminifera, testate amoebae and bulk-sediment δ13C values as sea-level indicators in Newfoundland, Canada. </w:t>
      </w:r>
      <w:r w:rsidRPr="00C437D6">
        <w:t>Marine micropaleontology</w:t>
      </w:r>
      <w:r w:rsidRPr="009E18AA">
        <w:t>,</w:t>
      </w:r>
      <w:r w:rsidRPr="00C437D6">
        <w:t xml:space="preserve"> 130</w:t>
      </w:r>
      <w:r w:rsidRPr="009E18AA">
        <w:t>, 43-59.</w:t>
      </w:r>
    </w:p>
    <w:p w14:paraId="6F45B241" w14:textId="42E37301" w:rsidR="00427A99" w:rsidRPr="00B56652" w:rsidRDefault="00427A99" w:rsidP="00381E0B">
      <w:pPr>
        <w:pStyle w:val="Reference"/>
      </w:pPr>
      <w:r w:rsidRPr="00B56652">
        <w:t xml:space="preserve">Kemp, A. C., Cahill, N., Engelhart, S. E., Hawkes, A. D., &amp; Wang, K. (2018a). Revising Estimates of Spatially Variable Subsidence during the A.D. 1700 Cascadia Earthquake Using a Bayesian Foraminiferal Transfer Function. Bulletin of the Seismological Society of America, 108(2), 654–673. </w:t>
      </w:r>
    </w:p>
    <w:p w14:paraId="4B87EA25" w14:textId="0726D411" w:rsidR="000F117A" w:rsidRDefault="00F34C70" w:rsidP="00B56652">
      <w:pPr>
        <w:pStyle w:val="Reference"/>
      </w:pPr>
      <w:r w:rsidRPr="009E18AA">
        <w:t>Kemp, A. C., Wright, A. J., Edwards, R. J., Barnett, R. L., Brain, M. J., Kopp, R. E., Cahill, N., Horton, B. P., Charman, D. J., &amp; Hawkes, A. D. (2018</w:t>
      </w:r>
      <w:r w:rsidR="00427A99">
        <w:t>b</w:t>
      </w:r>
      <w:r w:rsidRPr="009E18AA">
        <w:t>). Relative sea-level change in Newfoundland, Canada during the past</w:t>
      </w:r>
      <w:r w:rsidRPr="004C2672">
        <w:rPr>
          <w:rFonts w:ascii="Cambria Math" w:hAnsi="Cambria Math" w:cs="Cambria Math"/>
        </w:rPr>
        <w:t>∼</w:t>
      </w:r>
      <w:r w:rsidRPr="009E18AA">
        <w:t xml:space="preserve"> 3000 years. </w:t>
      </w:r>
      <w:r w:rsidRPr="00C437D6">
        <w:t>Quaternary science reviews</w:t>
      </w:r>
      <w:r w:rsidRPr="009E18AA">
        <w:t>,</w:t>
      </w:r>
      <w:r w:rsidRPr="00C437D6">
        <w:t xml:space="preserve"> 201</w:t>
      </w:r>
      <w:r w:rsidRPr="009E18AA">
        <w:t xml:space="preserve">, 89-110. </w:t>
      </w:r>
    </w:p>
    <w:p w14:paraId="496CE068" w14:textId="41E453D5" w:rsidR="009361CD" w:rsidRPr="00AD13BD" w:rsidRDefault="009361CD" w:rsidP="00381E0B">
      <w:pPr>
        <w:pStyle w:val="Reference"/>
      </w:pPr>
      <w:r w:rsidRPr="00E32DA7">
        <w:t>Kemp, A. C., Vane, C. H., Khan, N. S., Ellison, J., Engelhart, S. E., Horton, B. P.,</w:t>
      </w:r>
      <w:r w:rsidRPr="00DF790D">
        <w:t xml:space="preserve"> Nikitina, D</w:t>
      </w:r>
      <w:r>
        <w:t>.</w:t>
      </w:r>
      <w:r w:rsidRPr="00DF790D">
        <w:t>, Smith, S</w:t>
      </w:r>
      <w:r>
        <w:t xml:space="preserve">. </w:t>
      </w:r>
      <w:r w:rsidRPr="00DF790D">
        <w:t>R</w:t>
      </w:r>
      <w:r>
        <w:t>.</w:t>
      </w:r>
      <w:r w:rsidRPr="00DF790D">
        <w:t>, Rodrigues, L</w:t>
      </w:r>
      <w:r>
        <w:t>.</w:t>
      </w:r>
      <w:r w:rsidRPr="00DF790D">
        <w:t>J</w:t>
      </w:r>
      <w:r>
        <w:t>.</w:t>
      </w:r>
      <w:r w:rsidRPr="00DF790D">
        <w:t>,</w:t>
      </w:r>
      <w:r w:rsidRPr="00E32DA7">
        <w:t xml:space="preserve"> &amp; Moyer, R. P. (2019). Testing the utility of geochemical proxies to reconstruct </w:t>
      </w:r>
      <w:proofErr w:type="spellStart"/>
      <w:r w:rsidRPr="00E32DA7">
        <w:t>holocene</w:t>
      </w:r>
      <w:proofErr w:type="spellEnd"/>
      <w:r w:rsidRPr="00E32DA7">
        <w:t xml:space="preserve"> coastal environments and relative sea level: a case study from Hungry Bay, Bermuda.</w:t>
      </w:r>
    </w:p>
    <w:p w14:paraId="03C5BC08" w14:textId="2ABFCACD" w:rsidR="006F1A5C" w:rsidRPr="00AD13BD" w:rsidRDefault="006F1A5C" w:rsidP="00381E0B">
      <w:pPr>
        <w:pStyle w:val="Reference"/>
      </w:pPr>
      <w:r w:rsidRPr="00AD13BD">
        <w:t xml:space="preserve">Kemp, A. C., Wright, A. J., &amp; Cahill, N. (2020). Enough </w:t>
      </w:r>
      <w:proofErr w:type="spellStart"/>
      <w:r w:rsidRPr="00AD13BD">
        <w:t>i</w:t>
      </w:r>
      <w:proofErr w:type="spellEnd"/>
      <w:r w:rsidRPr="00AD13BD">
        <w:t xml:space="preserve"> Enough, or More is More? Testing the Influence of Foraminiferal Count Size on Reconstructions of Paleo-Marsh Elevation. Journal of Foraminiferal Research, 50(3), 266-278. </w:t>
      </w:r>
    </w:p>
    <w:p w14:paraId="28A020FD" w14:textId="1AD3E15B" w:rsidR="009361CD" w:rsidRDefault="009361CD" w:rsidP="00381E0B">
      <w:pPr>
        <w:pStyle w:val="Reference"/>
      </w:pPr>
      <w:r w:rsidRPr="00AD13BD">
        <w:t xml:space="preserve">Khan, N. S., Vane, C. H., Horton, B. P., Hillier, C., Riding, J. B., &amp; Kendrick, C. P. (2015). The application of δ13 C, TOC and C/N geochemistry to reconstruct Holocene relative sea levels and paleoenvironments in the Thames Estuary, UK. Journal of Quaternary Science, 30(5), 417-433. </w:t>
      </w:r>
    </w:p>
    <w:p w14:paraId="1CDABA3A" w14:textId="216492AC" w:rsidR="009702D3" w:rsidRDefault="009702D3" w:rsidP="00381E0B">
      <w:pPr>
        <w:pStyle w:val="Reference"/>
      </w:pPr>
      <w:r w:rsidRPr="00B92EB6">
        <w:t xml:space="preserve">Khan, N. S., Ashe, E., Shaw, T. A., </w:t>
      </w:r>
      <w:proofErr w:type="spellStart"/>
      <w:r w:rsidRPr="00B92EB6">
        <w:t>Vacchi</w:t>
      </w:r>
      <w:proofErr w:type="spellEnd"/>
      <w:r w:rsidRPr="00B92EB6">
        <w:t>, M., Walker, J., Peltier, W. R., Kopp, R. E., Horton, B. P. (2015). Holocene relative sea-level changes from near-, intermediate-, and far-field locations. Current Climate Change Reports, 1, 247-262.</w:t>
      </w:r>
    </w:p>
    <w:p w14:paraId="67A47734" w14:textId="4D17FD93" w:rsidR="0050374A" w:rsidRDefault="0050374A" w:rsidP="00381E0B">
      <w:pPr>
        <w:pStyle w:val="Reference"/>
      </w:pPr>
      <w:r>
        <w:t xml:space="preserve">Khan, N. S., Ashe, E., Horton, B. P., Dutton, A., Kopp, R. E., Brocard, G., </w:t>
      </w:r>
      <w:r w:rsidR="00E77294">
        <w:t>Engelhart, S. E., Hill, D. F., Peltier, W. R., Vane, C. H.,</w:t>
      </w:r>
      <w:r>
        <w:t xml:space="preserve"> &amp; Scatena, F. N. (2017). Drivers of Holocene sea-level change in the Caribbean. </w:t>
      </w:r>
      <w:r w:rsidRPr="00C437D6">
        <w:t>Quaternary Science Reviews</w:t>
      </w:r>
      <w:r>
        <w:t>, </w:t>
      </w:r>
      <w:r w:rsidRPr="00C437D6">
        <w:t>155</w:t>
      </w:r>
      <w:r>
        <w:t>, 13-36</w:t>
      </w:r>
    </w:p>
    <w:p w14:paraId="381CC8B2" w14:textId="7E511075" w:rsidR="0050374A" w:rsidRDefault="0050374A" w:rsidP="00381E0B">
      <w:pPr>
        <w:pStyle w:val="Reference"/>
      </w:pPr>
      <w:r>
        <w:t>Khan, N. S., Vane, C. H., Engelhart, S. E., Kendrick, C., &amp; Horton, B. P. (2019). The application of δ13C, TOC and C/N geochemistry of mangrove sediments to reconstruct Holocene paleoenvironments and relative sea levels, Puerto Rico. </w:t>
      </w:r>
      <w:r w:rsidRPr="00C437D6">
        <w:t>Marine Geology</w:t>
      </w:r>
      <w:r>
        <w:t>, </w:t>
      </w:r>
      <w:r w:rsidRPr="00C437D6">
        <w:t>415</w:t>
      </w:r>
      <w:r>
        <w:t>, 105963.</w:t>
      </w:r>
    </w:p>
    <w:p w14:paraId="7CEBCA35" w14:textId="3CA71AC3" w:rsidR="00AD0791" w:rsidRDefault="00D72A30" w:rsidP="00381E0B">
      <w:pPr>
        <w:pStyle w:val="Reference"/>
      </w:pPr>
      <w:r w:rsidRPr="00D72A30">
        <w:t xml:space="preserve">Khan, N. S., Horton, B. P., Engelhart, S., Rovere, A., </w:t>
      </w:r>
      <w:proofErr w:type="spellStart"/>
      <w:r w:rsidRPr="00D72A30">
        <w:t>Vacchi</w:t>
      </w:r>
      <w:proofErr w:type="spellEnd"/>
      <w:r w:rsidRPr="00D72A30">
        <w:t xml:space="preserve">, M., Ashe, E. L., </w:t>
      </w:r>
      <w:proofErr w:type="spellStart"/>
      <w:r w:rsidR="00A47C36" w:rsidRPr="00A47C36">
        <w:t>Törnqvist</w:t>
      </w:r>
      <w:proofErr w:type="spellEnd"/>
      <w:r w:rsidR="00A47C36">
        <w:t xml:space="preserve">, T. E., Dutton, A., </w:t>
      </w:r>
      <w:proofErr w:type="spellStart"/>
      <w:r w:rsidR="00A47C36">
        <w:t>Hijma</w:t>
      </w:r>
      <w:proofErr w:type="spellEnd"/>
      <w:r w:rsidR="00A47C36">
        <w:t>, M. P., Shennan, I</w:t>
      </w:r>
      <w:r w:rsidRPr="00D72A30">
        <w:t xml:space="preserve">. (2019). Inception of a global atlas of sea levels since </w:t>
      </w:r>
      <w:proofErr w:type="spellStart"/>
      <w:r w:rsidRPr="00D72A30">
        <w:t>theLast</w:t>
      </w:r>
      <w:proofErr w:type="spellEnd"/>
      <w:r w:rsidRPr="00D72A30">
        <w:t xml:space="preserve"> Glacial Maximum. Quaternary Science Reviews, 220, 359–371.</w:t>
      </w:r>
    </w:p>
    <w:p w14:paraId="79D5AFBB" w14:textId="74ED2B9F" w:rsidR="0038498C" w:rsidRPr="0038498C" w:rsidRDefault="0038498C" w:rsidP="00381E0B">
      <w:pPr>
        <w:pStyle w:val="Reference"/>
      </w:pPr>
      <w:r w:rsidRPr="00774BCC">
        <w:t xml:space="preserve">Khan, N. S., Ashe, E., Moyer, R. P., Kemp, A. C., Engelhart, S. E., Brain, M. J., </w:t>
      </w:r>
      <w:r>
        <w:t>Toth, L. T., Chappel, A., Christie, M., Kopp, R. E.,</w:t>
      </w:r>
      <w:r w:rsidRPr="00774BCC">
        <w:t xml:space="preserve"> &amp; Horton, B. P. (2022). Relative sea-level change in South Florida during the past~ 5000 years. Global and Planetary Change, 216, 103902.</w:t>
      </w:r>
    </w:p>
    <w:p w14:paraId="01A56C71" w14:textId="743A348F" w:rsidR="0050374A" w:rsidRDefault="008C0994" w:rsidP="00381E0B">
      <w:pPr>
        <w:pStyle w:val="Reference"/>
      </w:pPr>
      <w:r>
        <w:t>Kosugi, M. (1988). Classification of living diatom assemblages as the indicator of environments, and its application to reconstruction of paleoenvironments. </w:t>
      </w:r>
      <w:r w:rsidRPr="00B56652">
        <w:t>The Quaternary Research (</w:t>
      </w:r>
      <w:proofErr w:type="spellStart"/>
      <w:r w:rsidRPr="00B56652">
        <w:t>Daiyonki-Kenkyu</w:t>
      </w:r>
      <w:proofErr w:type="spellEnd"/>
      <w:r w:rsidRPr="00B56652">
        <w:t>)</w:t>
      </w:r>
      <w:r>
        <w:t>, </w:t>
      </w:r>
      <w:r w:rsidRPr="00B56652">
        <w:t>27</w:t>
      </w:r>
      <w:r>
        <w:t>(1), 1-20.</w:t>
      </w:r>
    </w:p>
    <w:p w14:paraId="1EE0C430" w14:textId="5680EB8A" w:rsidR="004342A2" w:rsidRPr="00AD13BD" w:rsidRDefault="004342A2" w:rsidP="00381E0B">
      <w:pPr>
        <w:pStyle w:val="Reference"/>
      </w:pPr>
      <w:r w:rsidRPr="00774BCC">
        <w:t>Kristensen, E., &amp; Kostka, J. E. (2005). Macrofaunal burrows and irrigation in marine sediment: microbiological and biogeochemical interactions. Interactions between macro‐and microorganisms in marine sediments, 60, 125-157.</w:t>
      </w:r>
    </w:p>
    <w:p w14:paraId="00B45723" w14:textId="77777777" w:rsidR="006F1A5C" w:rsidRDefault="006F1A5C" w:rsidP="00381E0B">
      <w:pPr>
        <w:pStyle w:val="Reference"/>
      </w:pPr>
      <w:r w:rsidRPr="00AD13BD">
        <w:t xml:space="preserve">Lange-Bertalot, H. (1995). </w:t>
      </w:r>
      <w:proofErr w:type="spellStart"/>
      <w:r w:rsidRPr="00AD13BD">
        <w:t>Iconographia</w:t>
      </w:r>
      <w:proofErr w:type="spellEnd"/>
      <w:r w:rsidRPr="00AD13BD">
        <w:t xml:space="preserve"> </w:t>
      </w:r>
      <w:proofErr w:type="spellStart"/>
      <w:r w:rsidRPr="00AD13BD">
        <w:t>Diatomologica</w:t>
      </w:r>
      <w:proofErr w:type="spellEnd"/>
      <w:r w:rsidRPr="00AD13BD">
        <w:t xml:space="preserve">. Annotated Diatom Micrographs, Vol. 1–23. In: </w:t>
      </w:r>
      <w:proofErr w:type="spellStart"/>
      <w:r w:rsidRPr="00AD13BD">
        <w:t>Koeltz</w:t>
      </w:r>
      <w:proofErr w:type="spellEnd"/>
      <w:r w:rsidRPr="00AD13BD">
        <w:t xml:space="preserve"> Scientific Books, Königstein. </w:t>
      </w:r>
    </w:p>
    <w:p w14:paraId="08F6F2B6" w14:textId="5E12CE67" w:rsidR="00C20373" w:rsidRDefault="00C20373" w:rsidP="00381E0B">
      <w:pPr>
        <w:pStyle w:val="Reference"/>
      </w:pPr>
      <w:r>
        <w:t>Langer, M. R., &amp; Lipps, J. H. (2006). Assembly and persistence of foraminifera in introduced mangroves on Moorea, French Polynesia. </w:t>
      </w:r>
      <w:r w:rsidRPr="00B56652">
        <w:t>Micropaleontology</w:t>
      </w:r>
      <w:r>
        <w:t>, </w:t>
      </w:r>
      <w:r w:rsidRPr="00B56652">
        <w:t>52</w:t>
      </w:r>
      <w:r>
        <w:t>(4), 343-355.</w:t>
      </w:r>
    </w:p>
    <w:p w14:paraId="714CA83D" w14:textId="1FCB23CC" w:rsidR="009F7A67" w:rsidRDefault="009F7A67" w:rsidP="00381E0B">
      <w:pPr>
        <w:pStyle w:val="Reference"/>
      </w:pPr>
      <w:r>
        <w:t xml:space="preserve">Le Cadre, V., Debenay, J. P., &amp; </w:t>
      </w:r>
      <w:proofErr w:type="spellStart"/>
      <w:r>
        <w:t>Lesourd</w:t>
      </w:r>
      <w:proofErr w:type="spellEnd"/>
      <w:r>
        <w:t xml:space="preserve">, M. (2003). Low pH effects on Ammonia </w:t>
      </w:r>
      <w:proofErr w:type="spellStart"/>
      <w:r>
        <w:t>beccarii</w:t>
      </w:r>
      <w:proofErr w:type="spellEnd"/>
      <w:r>
        <w:t xml:space="preserve"> test deformation: implications for using test deformations as a pollution indicator. </w:t>
      </w:r>
      <w:r w:rsidRPr="00C437D6">
        <w:t>The Journal of Foraminiferal Research</w:t>
      </w:r>
      <w:r>
        <w:t>, </w:t>
      </w:r>
      <w:r w:rsidRPr="00C437D6">
        <w:t>33</w:t>
      </w:r>
      <w:r>
        <w:t>(1), 1-9.</w:t>
      </w:r>
    </w:p>
    <w:p w14:paraId="3DE64CFF" w14:textId="0B4F87F6" w:rsidR="00F42A1F" w:rsidRPr="00AD13BD" w:rsidRDefault="00F42A1F" w:rsidP="00381E0B">
      <w:pPr>
        <w:pStyle w:val="Reference"/>
      </w:pPr>
      <w:r>
        <w:t>Lee, A. (1999). Sedimentary facies of fluvial marine transition environment at Pak Nai. Hong Kong Geologist 5, 12-19.</w:t>
      </w:r>
    </w:p>
    <w:p w14:paraId="7C6B2598" w14:textId="37561D57" w:rsidR="006F1A5C" w:rsidRDefault="006F1A5C" w:rsidP="00381E0B">
      <w:pPr>
        <w:pStyle w:val="Reference"/>
      </w:pPr>
      <w:r w:rsidRPr="00AD13BD">
        <w:t xml:space="preserve">Lee, S. (2000). Carbon dynamics of Deep Bay, eastern Pearl River estuary, China. II: Trophic relationship based on carbon-and nitrogen-stable isotopes. Marine Ecology Progress Series, 205, 1-10.  </w:t>
      </w:r>
    </w:p>
    <w:p w14:paraId="5BB0601E" w14:textId="27E29A5E" w:rsidR="00BC0555" w:rsidRPr="00AD13BD" w:rsidRDefault="00BC0555" w:rsidP="00381E0B">
      <w:pPr>
        <w:pStyle w:val="Reference"/>
      </w:pPr>
      <w:r>
        <w:lastRenderedPageBreak/>
        <w:t>Lei, Y., &amp; Li, T. (2016). Atlas of benthic foraminifera from China seas: The Bohai Sea and the Yellow Sea. Springer.</w:t>
      </w:r>
    </w:p>
    <w:p w14:paraId="5372A3D9" w14:textId="4D793374" w:rsidR="006706BD" w:rsidRDefault="006F1A5C" w:rsidP="00381E0B">
      <w:pPr>
        <w:pStyle w:val="Reference"/>
      </w:pPr>
      <w:r w:rsidRPr="00AD13BD">
        <w:t xml:space="preserve">Lei, Y., Li, T., Jian, Z., &amp; Nigam, R. (2017). Taxonomy and distribution of benthic foraminifera in an intertidal zone of the Yellow Sea, PR China: Correlations with sediment temperature and salinity. Marine micropaleontology, 133, 1-20. </w:t>
      </w:r>
    </w:p>
    <w:p w14:paraId="09A841FE" w14:textId="501BDCCA" w:rsidR="006F1A5C" w:rsidRPr="00AD13BD" w:rsidRDefault="006706BD" w:rsidP="00381E0B">
      <w:pPr>
        <w:pStyle w:val="Reference"/>
      </w:pPr>
      <w:r>
        <w:t xml:space="preserve">Leorri, E., &amp; </w:t>
      </w:r>
      <w:proofErr w:type="spellStart"/>
      <w:r>
        <w:t>Cearreta</w:t>
      </w:r>
      <w:proofErr w:type="spellEnd"/>
      <w:r>
        <w:t>, A. (2009). Recent sea-level changes in the southern Bay of Biscay: transfer function reconstructions from salt-marshes compared with instrumental data. </w:t>
      </w:r>
      <w:r w:rsidRPr="00B56652">
        <w:t>Scientia Marina</w:t>
      </w:r>
      <w:r>
        <w:t>, </w:t>
      </w:r>
      <w:r w:rsidRPr="00B56652">
        <w:t>73</w:t>
      </w:r>
      <w:r>
        <w:t>(2), 287-296.</w:t>
      </w:r>
      <w:r w:rsidR="006F1A5C" w:rsidRPr="00AD13BD">
        <w:t xml:space="preserve">   </w:t>
      </w:r>
    </w:p>
    <w:p w14:paraId="03AE483F" w14:textId="68B656C7" w:rsidR="006F1A5C" w:rsidRPr="00AD13BD" w:rsidRDefault="006F1A5C" w:rsidP="00381E0B">
      <w:pPr>
        <w:pStyle w:val="Reference"/>
      </w:pPr>
      <w:r w:rsidRPr="00AD13BD">
        <w:t xml:space="preserve">Li, M., Lee, S. (1998). Carbon dynamics of Deep Bay, eastern Pearl River Estuary, China. I: A mass balance budget and implications for shorebird conservation. Marine Ecology Progress Series, 172, 73-87.  </w:t>
      </w:r>
    </w:p>
    <w:p w14:paraId="147DE723" w14:textId="77777777" w:rsidR="00AF7B59" w:rsidRDefault="006F1A5C" w:rsidP="00381E0B">
      <w:pPr>
        <w:pStyle w:val="Reference"/>
      </w:pPr>
      <w:r w:rsidRPr="00AD13BD">
        <w:t xml:space="preserve">Li, Q., Wong, F. K. K., &amp; Fung, T. (2019). Classification of Mangrove Species Using Combined WordView-3 and LiDAR Data in Mai Po Nature Reserve, Hong Kong. Remote Sensing, 11(18), 2114.  </w:t>
      </w:r>
    </w:p>
    <w:p w14:paraId="14930E88" w14:textId="02A8DD42" w:rsidR="006F1A5C" w:rsidRDefault="00AF7B59" w:rsidP="00381E0B">
      <w:pPr>
        <w:pStyle w:val="Reference"/>
      </w:pPr>
      <w:r>
        <w:t xml:space="preserve">Li, R., Qiu, G. Y., Chai, M., Shen, X., &amp; Zan, Q. (2019b). Effects of conversion of mangroves into </w:t>
      </w:r>
      <w:proofErr w:type="spellStart"/>
      <w:r>
        <w:t>gei</w:t>
      </w:r>
      <w:proofErr w:type="spellEnd"/>
      <w:r>
        <w:t xml:space="preserve"> </w:t>
      </w:r>
      <w:proofErr w:type="spellStart"/>
      <w:r>
        <w:t>wai</w:t>
      </w:r>
      <w:proofErr w:type="spellEnd"/>
      <w:r>
        <w:t xml:space="preserve"> ponds on accumulation, speciation and risk of heavy metals in intertidal sediments. </w:t>
      </w:r>
      <w:r w:rsidRPr="005A1CCD">
        <w:t>Environmental geochemistry and health</w:t>
      </w:r>
      <w:r>
        <w:t>, </w:t>
      </w:r>
      <w:r w:rsidRPr="005A1CCD">
        <w:t>41</w:t>
      </w:r>
      <w:r>
        <w:t>, 159-174.</w:t>
      </w:r>
      <w:r w:rsidR="006F1A5C" w:rsidRPr="00AD13BD">
        <w:t xml:space="preserve"> </w:t>
      </w:r>
    </w:p>
    <w:p w14:paraId="5EBA0CA3" w14:textId="27A4F8D6" w:rsidR="00673FA7" w:rsidRDefault="00673FA7" w:rsidP="00381E0B">
      <w:pPr>
        <w:pStyle w:val="Reference"/>
      </w:pPr>
      <w:r w:rsidRPr="00673FA7">
        <w:t>Long, A. J., Barlow, N. L. M., Gehrels, W. R., Saher, M. H., Woodworth, P. L., Scaife, R. G., ... &amp; Cahill, N. (2014). Contrasting records of sea-level change in the eastern and western North Atlantic during the last 300 years. </w:t>
      </w:r>
      <w:r w:rsidRPr="00B56652">
        <w:t>Earth and Planetary Science Letters</w:t>
      </w:r>
      <w:r w:rsidRPr="00673FA7">
        <w:t>, </w:t>
      </w:r>
      <w:r w:rsidRPr="00B56652">
        <w:t>388</w:t>
      </w:r>
      <w:r w:rsidRPr="00673FA7">
        <w:t>, 110-122.</w:t>
      </w:r>
    </w:p>
    <w:p w14:paraId="2C818CE8" w14:textId="35F9B9FA" w:rsidR="00165869" w:rsidRDefault="00165869" w:rsidP="00381E0B">
      <w:pPr>
        <w:pStyle w:val="Reference"/>
      </w:pPr>
      <w:r w:rsidRPr="005A1CCD">
        <w:t xml:space="preserve">Nelson, A. R., Sawai, Y., Jennings, A. E., Bradley, L. A., Gerson, L., Sherrod, B. L., </w:t>
      </w:r>
      <w:proofErr w:type="spellStart"/>
      <w:r w:rsidR="00832096">
        <w:t>Sabean</w:t>
      </w:r>
      <w:proofErr w:type="spellEnd"/>
      <w:r w:rsidR="00832096">
        <w:t xml:space="preserve">, J., </w:t>
      </w:r>
      <w:r w:rsidRPr="005A1CCD">
        <w:t xml:space="preserve">&amp; Horton, B. P. (2008). Great-earthquake </w:t>
      </w:r>
      <w:proofErr w:type="spellStart"/>
      <w:r w:rsidRPr="005A1CCD">
        <w:t>paleogeodesy</w:t>
      </w:r>
      <w:proofErr w:type="spellEnd"/>
      <w:r w:rsidRPr="005A1CCD">
        <w:t xml:space="preserve"> and tsunamis of the past 2000 years at Alsea Bay, central Oregon coast, USA. Quaternary Science Reviews, 27(7-8), 747-768.</w:t>
      </w:r>
    </w:p>
    <w:p w14:paraId="67CF7033" w14:textId="76F2D26A" w:rsidR="003D7C72" w:rsidRDefault="003D7C72" w:rsidP="00381E0B">
      <w:pPr>
        <w:pStyle w:val="Reference"/>
      </w:pPr>
      <w:r w:rsidRPr="001B2703">
        <w:t>Nelson, A. R. (2015). Coastal sediments. Handbook of Sea‐Level Research, 47-65.</w:t>
      </w:r>
    </w:p>
    <w:p w14:paraId="55FDB371" w14:textId="0BDAC408" w:rsidR="002A66CA" w:rsidRDefault="002A66CA" w:rsidP="00381E0B">
      <w:pPr>
        <w:pStyle w:val="Reference"/>
      </w:pPr>
      <w:r w:rsidRPr="001B2703">
        <w:t>Papaspyrou, S., Diz, P., García-Robledo, E., Corzo, A., &amp; Jimenez-Arias, J. L. (2013). Benthic foraminiferal community changes and their relationship to environmental dynamics in intertidal muddy sediments (Bay of Cádiz, SW Spain). Marine Ecology Progress Series, 490, 121-135.</w:t>
      </w:r>
    </w:p>
    <w:p w14:paraId="33FD15F0" w14:textId="48607207" w:rsidR="00EF27C1" w:rsidRDefault="00072AD7" w:rsidP="00381E0B">
      <w:pPr>
        <w:pStyle w:val="Reference"/>
      </w:pPr>
      <w:r>
        <w:t>Pérez, A., Gutiérrez, D., Saldarriaga, M. S., &amp; Sanders, C. J. (2017). Hydrological controls on the biogeochemical dynamics in a Peruvian mangrove forest. </w:t>
      </w:r>
      <w:proofErr w:type="spellStart"/>
      <w:r w:rsidRPr="005A1CCD">
        <w:t>Hydrobiologia</w:t>
      </w:r>
      <w:proofErr w:type="spellEnd"/>
      <w:r>
        <w:t>, </w:t>
      </w:r>
      <w:r w:rsidRPr="005A1CCD">
        <w:t>803</w:t>
      </w:r>
      <w:r>
        <w:t>, 69-86.</w:t>
      </w:r>
    </w:p>
    <w:p w14:paraId="5E5E9255" w14:textId="4E2CD995" w:rsidR="00F00608" w:rsidRDefault="00F00608" w:rsidP="00381E0B">
      <w:pPr>
        <w:pStyle w:val="Reference"/>
      </w:pPr>
      <w:proofErr w:type="spellStart"/>
      <w:r w:rsidRPr="00F00608">
        <w:t>Maechler</w:t>
      </w:r>
      <w:proofErr w:type="spellEnd"/>
      <w:r w:rsidRPr="00F00608">
        <w:t xml:space="preserve">, M., </w:t>
      </w:r>
      <w:proofErr w:type="spellStart"/>
      <w:r w:rsidRPr="00F00608">
        <w:t>Rousseeuw</w:t>
      </w:r>
      <w:proofErr w:type="spellEnd"/>
      <w:r w:rsidRPr="00F00608">
        <w:t xml:space="preserve">, P.J., </w:t>
      </w:r>
      <w:proofErr w:type="spellStart"/>
      <w:r w:rsidRPr="00F00608">
        <w:t>Struyf</w:t>
      </w:r>
      <w:proofErr w:type="spellEnd"/>
      <w:r w:rsidRPr="00F00608">
        <w:t>, A., Hubert, M., 2012. Cluster: Cluster Analysis Basics and Extensions, R Package.</w:t>
      </w:r>
    </w:p>
    <w:p w14:paraId="257C26E5" w14:textId="77777777" w:rsidR="00B2077A" w:rsidRDefault="00F34C70" w:rsidP="00381E0B">
      <w:pPr>
        <w:pStyle w:val="Reference"/>
      </w:pPr>
      <w:r w:rsidRPr="009E18AA">
        <w:t xml:space="preserve">Majewski, J., Meltzner, A., Switzer, A., Shaw, T., Li, T., Bradley, S., Walker, J., Kopp, R. E., Samanta, D., &amp; </w:t>
      </w:r>
      <w:proofErr w:type="spellStart"/>
      <w:r w:rsidRPr="009E18AA">
        <w:t>Natawidjaja</w:t>
      </w:r>
      <w:proofErr w:type="spellEnd"/>
      <w:r w:rsidRPr="009E18AA">
        <w:t>, D. (2022). Extending Instrumental Sea</w:t>
      </w:r>
      <w:r w:rsidRPr="005A1CCD">
        <w:t>‐</w:t>
      </w:r>
      <w:r w:rsidRPr="009E18AA">
        <w:t xml:space="preserve">Level Records Using Coral Microatolls, an Example </w:t>
      </w:r>
      <w:proofErr w:type="gramStart"/>
      <w:r w:rsidRPr="009E18AA">
        <w:t>From</w:t>
      </w:r>
      <w:proofErr w:type="gramEnd"/>
      <w:r w:rsidRPr="009E18AA">
        <w:t xml:space="preserve"> Southeast Asia. </w:t>
      </w:r>
      <w:r w:rsidRPr="00C437D6">
        <w:t>Geophysical research letters</w:t>
      </w:r>
      <w:r w:rsidRPr="009E18AA">
        <w:t>,</w:t>
      </w:r>
      <w:r w:rsidRPr="00C437D6">
        <w:t xml:space="preserve"> 49</w:t>
      </w:r>
      <w:r w:rsidRPr="009E18AA">
        <w:t>(4), e2021GL095710.</w:t>
      </w:r>
    </w:p>
    <w:p w14:paraId="1032FEFE" w14:textId="25A0C58A" w:rsidR="00EF27C1" w:rsidRDefault="00B2077A" w:rsidP="00381E0B">
      <w:pPr>
        <w:pStyle w:val="Reference"/>
      </w:pPr>
      <w:r w:rsidRPr="001B2703">
        <w:t xml:space="preserve">Martins, M. V. A., Silva, F. S. d., Laut, L., </w:t>
      </w:r>
      <w:proofErr w:type="spellStart"/>
      <w:r w:rsidRPr="001B2703">
        <w:t>Frontalini</w:t>
      </w:r>
      <w:proofErr w:type="spellEnd"/>
      <w:r w:rsidRPr="001B2703">
        <w:t xml:space="preserve">, F., Clemente, I., Miranda, P., … &amp; Dias, J. (2015). Response of benthic foraminifera to organic matter quantity and quality and bioavailable concentrations of metals in </w:t>
      </w:r>
      <w:proofErr w:type="spellStart"/>
      <w:r w:rsidRPr="001B2703">
        <w:t>aveiro</w:t>
      </w:r>
      <w:proofErr w:type="spellEnd"/>
      <w:r w:rsidRPr="001B2703">
        <w:t xml:space="preserve"> lagoon (</w:t>
      </w:r>
      <w:proofErr w:type="spellStart"/>
      <w:r w:rsidRPr="001B2703">
        <w:t>portugal</w:t>
      </w:r>
      <w:proofErr w:type="spellEnd"/>
      <w:r w:rsidRPr="001B2703">
        <w:t xml:space="preserve">). </w:t>
      </w:r>
      <w:proofErr w:type="spellStart"/>
      <w:r w:rsidRPr="001B2703">
        <w:t>Plos</w:t>
      </w:r>
      <w:proofErr w:type="spellEnd"/>
      <w:r w:rsidRPr="001B2703">
        <w:t xml:space="preserve"> One, 10(2), e0118077.</w:t>
      </w:r>
      <w:r w:rsidR="00F34C70" w:rsidRPr="009E18AA">
        <w:t xml:space="preserve"> </w:t>
      </w:r>
    </w:p>
    <w:p w14:paraId="36B85A0A" w14:textId="77777777" w:rsidR="008A4EB4" w:rsidRDefault="00974C5E" w:rsidP="00381E0B">
      <w:pPr>
        <w:pStyle w:val="Reference"/>
      </w:pPr>
      <w:r>
        <w:t xml:space="preserve">Meng, M., Yu, K., </w:t>
      </w:r>
      <w:proofErr w:type="spellStart"/>
      <w:r>
        <w:t>Hallock</w:t>
      </w:r>
      <w:proofErr w:type="spellEnd"/>
      <w:r>
        <w:t>, P., &amp; Qin, G. (2020). Distribution of recent Foraminifera as depositional indicators in Yongle Atoll, Xisha Islands, South China Sea. </w:t>
      </w:r>
      <w:r w:rsidRPr="00B56652">
        <w:t>Marine Micropaleontology</w:t>
      </w:r>
      <w:r>
        <w:t>, </w:t>
      </w:r>
      <w:r w:rsidRPr="00B56652">
        <w:t>158</w:t>
      </w:r>
      <w:r>
        <w:t>, 101880.</w:t>
      </w:r>
    </w:p>
    <w:p w14:paraId="41F28711" w14:textId="7947D616" w:rsidR="006F1A5C" w:rsidRDefault="008A4EB4" w:rsidP="00381E0B">
      <w:pPr>
        <w:pStyle w:val="Reference"/>
      </w:pPr>
      <w:r>
        <w:t>Melville, D. S., &amp; Morton, B. (1983). </w:t>
      </w:r>
      <w:r w:rsidRPr="00B56652">
        <w:t>Mai Po Marshes</w:t>
      </w:r>
      <w:r>
        <w:t xml:space="preserve"> (pp. </w:t>
      </w:r>
      <w:proofErr w:type="spellStart"/>
      <w:r>
        <w:t>i</w:t>
      </w:r>
      <w:proofErr w:type="spellEnd"/>
      <w:r>
        <w:t>-iv). World Wildlife Fund Hong Kong.</w:t>
      </w:r>
      <w:r w:rsidR="006F1A5C" w:rsidRPr="00AD13BD">
        <w:t xml:space="preserve"> </w:t>
      </w:r>
    </w:p>
    <w:p w14:paraId="38E809DC" w14:textId="4C23F79E" w:rsidR="002C70A3" w:rsidRPr="0088540A" w:rsidRDefault="002C70A3" w:rsidP="00381E0B">
      <w:pPr>
        <w:pStyle w:val="Reference"/>
      </w:pPr>
      <w:r w:rsidRPr="0088540A">
        <w:t>Mills, H., Kirby, J., Holgate, S., &amp; Plater, A. (2013). The distribution of contemporary saltmarsh foraminifera in a macrotidal estuary: an assessment of their viability for sea-level studies. </w:t>
      </w:r>
      <w:r w:rsidRPr="00854194">
        <w:t xml:space="preserve">Journal of Ecosystem and </w:t>
      </w:r>
      <w:proofErr w:type="spellStart"/>
      <w:r w:rsidRPr="00854194">
        <w:t>Ecography</w:t>
      </w:r>
      <w:proofErr w:type="spellEnd"/>
      <w:r w:rsidRPr="0088540A">
        <w:t>, </w:t>
      </w:r>
      <w:r w:rsidRPr="00854194">
        <w:t>3</w:t>
      </w:r>
      <w:r w:rsidRPr="0088540A">
        <w:t>, 1-16.</w:t>
      </w:r>
    </w:p>
    <w:p w14:paraId="0B3BC03A" w14:textId="0F74ECCA" w:rsidR="0088540A" w:rsidRDefault="0088540A" w:rsidP="00381E0B">
      <w:pPr>
        <w:pStyle w:val="Reference"/>
      </w:pPr>
      <w:proofErr w:type="spellStart"/>
      <w:r>
        <w:t>Mojtahid</w:t>
      </w:r>
      <w:proofErr w:type="spellEnd"/>
      <w:r>
        <w:t xml:space="preserve">, M., Jorissen, F., </w:t>
      </w:r>
      <w:proofErr w:type="spellStart"/>
      <w:r>
        <w:t>Durrieu</w:t>
      </w:r>
      <w:proofErr w:type="spellEnd"/>
      <w:r>
        <w:t xml:space="preserve">, J., </w:t>
      </w:r>
      <w:proofErr w:type="spellStart"/>
      <w:r>
        <w:t>Galgani</w:t>
      </w:r>
      <w:proofErr w:type="spellEnd"/>
      <w:r>
        <w:t xml:space="preserve">, F., Howa, H., </w:t>
      </w:r>
      <w:proofErr w:type="spellStart"/>
      <w:r>
        <w:t>Redois</w:t>
      </w:r>
      <w:proofErr w:type="spellEnd"/>
      <w:r>
        <w:t>, F., &amp; Camps, R. (2006). Benthic foraminifera as bio-indicators of drill cutting disposal in tropical east Atlantic outer shelf environments. </w:t>
      </w:r>
      <w:r w:rsidRPr="00B56652">
        <w:t>Marine Micropaleontology</w:t>
      </w:r>
      <w:r>
        <w:t>, </w:t>
      </w:r>
      <w:r w:rsidRPr="00B56652">
        <w:t>61</w:t>
      </w:r>
      <w:r>
        <w:t>(1-3), 58-75.</w:t>
      </w:r>
    </w:p>
    <w:p w14:paraId="789BC02F" w14:textId="111EBA28" w:rsidR="004F4268" w:rsidRDefault="004F4268" w:rsidP="00381E0B">
      <w:pPr>
        <w:pStyle w:val="Reference"/>
      </w:pPr>
      <w:r>
        <w:t xml:space="preserve">Murray, J. W. (2007). Biodiversity of living benthic foraminifera: How many species are </w:t>
      </w:r>
      <w:proofErr w:type="gramStart"/>
      <w:r>
        <w:t>there?.</w:t>
      </w:r>
      <w:proofErr w:type="gramEnd"/>
      <w:r>
        <w:t> </w:t>
      </w:r>
      <w:r w:rsidRPr="00C437D6">
        <w:t>Marine Micropaleontology</w:t>
      </w:r>
      <w:r>
        <w:t>, </w:t>
      </w:r>
      <w:r w:rsidRPr="00C437D6">
        <w:t>64</w:t>
      </w:r>
      <w:r>
        <w:t>(3-4), 163-176.</w:t>
      </w:r>
    </w:p>
    <w:p w14:paraId="7D803FEF" w14:textId="1BA82E61" w:rsidR="00384CC8" w:rsidRDefault="00384CC8" w:rsidP="00381E0B">
      <w:pPr>
        <w:pStyle w:val="Reference"/>
      </w:pPr>
      <w:r>
        <w:t>Oksanen, J., Kindt, R., Legendre, P., O’Hara, B., Stevens, M. H. H., Oksanen, M. J., &amp; Suggests, M. A. S. S. (2007). The vegan package. </w:t>
      </w:r>
      <w:r w:rsidRPr="00C437D6">
        <w:t>Community ecology package</w:t>
      </w:r>
      <w:r>
        <w:t>, </w:t>
      </w:r>
      <w:r w:rsidRPr="00C437D6">
        <w:t>10</w:t>
      </w:r>
      <w:r>
        <w:t>(631-637), 719.</w:t>
      </w:r>
    </w:p>
    <w:p w14:paraId="4F7871F0" w14:textId="0636F5FD" w:rsidR="00E0442D" w:rsidRDefault="00E0442D" w:rsidP="00381E0B">
      <w:pPr>
        <w:pStyle w:val="Reference"/>
      </w:pPr>
      <w:r>
        <w:t>Pérez, A., Gutiérrez, D., Saldarriaga, M. S., &amp; Sanders, C. J. (2017). Hydrological controls on the biogeochemical dynamics in a Peruvian mangrove forest. </w:t>
      </w:r>
      <w:proofErr w:type="spellStart"/>
      <w:r w:rsidRPr="00B56652">
        <w:t>Hydrobiologia</w:t>
      </w:r>
      <w:proofErr w:type="spellEnd"/>
      <w:r>
        <w:t>, </w:t>
      </w:r>
      <w:r w:rsidRPr="00B56652">
        <w:t>803</w:t>
      </w:r>
      <w:r>
        <w:t>, 69-86.</w:t>
      </w:r>
    </w:p>
    <w:p w14:paraId="7EF87D9D" w14:textId="3E982593" w:rsidR="00744B10" w:rsidRDefault="00744B10" w:rsidP="00381E0B">
      <w:pPr>
        <w:pStyle w:val="Reference"/>
      </w:pPr>
      <w:r w:rsidRPr="001B2703">
        <w:lastRenderedPageBreak/>
        <w:t>Plater, A. J., Kirby, J. R., Boyle, J. F., Shaw, T., &amp; Mills, H. (2015). Loss on ignition and organic content. Handbook of Sea‐Level Research, 312-330.</w:t>
      </w:r>
    </w:p>
    <w:p w14:paraId="04C36A41" w14:textId="6E563750" w:rsidR="00AD606A" w:rsidRDefault="00AD606A" w:rsidP="00381E0B">
      <w:pPr>
        <w:pStyle w:val="Reference"/>
      </w:pPr>
      <w:r w:rsidRPr="00AD606A">
        <w:t>Plante, C. J., Hill-Spanik, K., Cook, M., &amp; Graham, C. (2021). Environmental and spatial influences on biogeography and community structure of saltmarsh benthic diatoms. Estuaries and Coasts, 44, 147-161.</w:t>
      </w:r>
    </w:p>
    <w:p w14:paraId="243A9FE0" w14:textId="23AD5A3E" w:rsidR="00C6714E" w:rsidRDefault="00C6714E" w:rsidP="00381E0B">
      <w:pPr>
        <w:pStyle w:val="Reference"/>
      </w:pPr>
      <w:r>
        <w:t>Qiao, L., Ren, C., Sun, X., Li, T., Gui, F., &amp; Zhao, A. (2023). Benthic foraminiferal community structure and diversity in intertidal zone near China Resources Wenzhou Power Plant. </w:t>
      </w:r>
      <w:r w:rsidRPr="00B56652">
        <w:t>Applied Ecology &amp; Environmental Research</w:t>
      </w:r>
      <w:r>
        <w:t>, </w:t>
      </w:r>
      <w:r w:rsidRPr="00B56652">
        <w:t>21</w:t>
      </w:r>
      <w:r>
        <w:t>(4).</w:t>
      </w:r>
    </w:p>
    <w:p w14:paraId="02423037" w14:textId="653A5642" w:rsidR="00D07B73" w:rsidRDefault="00D07B73" w:rsidP="00381E0B">
      <w:pPr>
        <w:pStyle w:val="Reference"/>
      </w:pPr>
      <w:r>
        <w:t>Qin, H. P., Su, Q., Khu, S. T., &amp; Tang, N. (2014). Water quality changes during rapid urbanization in the Shenzhen River Catchment: An integrated view of socio-economic and infrastructure development. </w:t>
      </w:r>
      <w:r w:rsidRPr="00B56652">
        <w:t>Sustainability</w:t>
      </w:r>
      <w:r>
        <w:t>, </w:t>
      </w:r>
      <w:r w:rsidRPr="00B56652">
        <w:t>6</w:t>
      </w:r>
      <w:r>
        <w:t>(10), 7433-7451.</w:t>
      </w:r>
    </w:p>
    <w:p w14:paraId="142E364B" w14:textId="1BABE607" w:rsidR="00F84EC2" w:rsidRDefault="00F84EC2" w:rsidP="00381E0B">
      <w:pPr>
        <w:pStyle w:val="Reference"/>
      </w:pPr>
      <w:r>
        <w:t xml:space="preserve">Razjigaeva, N. G., Ganzey, L. A., </w:t>
      </w:r>
      <w:proofErr w:type="spellStart"/>
      <w:r>
        <w:t>Grebennikova</w:t>
      </w:r>
      <w:proofErr w:type="spellEnd"/>
      <w:r>
        <w:t xml:space="preserve">, T. A., </w:t>
      </w:r>
      <w:proofErr w:type="spellStart"/>
      <w:r>
        <w:t>Arslanov</w:t>
      </w:r>
      <w:proofErr w:type="spellEnd"/>
      <w:r>
        <w:t xml:space="preserve">, K. A., Ivanova, E. D., </w:t>
      </w:r>
      <w:proofErr w:type="spellStart"/>
      <w:r>
        <w:t>Ganzey</w:t>
      </w:r>
      <w:proofErr w:type="spellEnd"/>
      <w:r>
        <w:t>, K. S., &amp; Kharlamov, A. A. (2018). Historical tsunami records on Russian Island, the Sea of Japan. </w:t>
      </w:r>
      <w:r w:rsidRPr="00B56652">
        <w:t>Pure and Applied Geophysics</w:t>
      </w:r>
      <w:r>
        <w:t>, </w:t>
      </w:r>
      <w:r w:rsidRPr="00B56652">
        <w:t>175</w:t>
      </w:r>
      <w:r>
        <w:t>, 1507-1523.</w:t>
      </w:r>
    </w:p>
    <w:p w14:paraId="28E8FE1D" w14:textId="5FC4F6C6" w:rsidR="00644782" w:rsidRDefault="00644782" w:rsidP="00381E0B">
      <w:pPr>
        <w:pStyle w:val="Reference"/>
      </w:pPr>
      <w:proofErr w:type="spellStart"/>
      <w:r w:rsidRPr="00F362F5">
        <w:t>Rdusseeun</w:t>
      </w:r>
      <w:proofErr w:type="spellEnd"/>
      <w:r w:rsidRPr="00F362F5">
        <w:t>, L. K. P. J., &amp; Kaufman</w:t>
      </w:r>
      <w:r>
        <w:t>, P. (1987). Clustering by means of medoids. In </w:t>
      </w:r>
      <w:r w:rsidRPr="00B56652">
        <w:t xml:space="preserve">Proceedings of the statistical data analysis based on the L1 norm conference, </w:t>
      </w:r>
      <w:proofErr w:type="spellStart"/>
      <w:r w:rsidRPr="00B56652">
        <w:t>neuchatel</w:t>
      </w:r>
      <w:proofErr w:type="spellEnd"/>
      <w:r w:rsidRPr="00B56652">
        <w:t xml:space="preserve">, </w:t>
      </w:r>
      <w:proofErr w:type="spellStart"/>
      <w:r w:rsidRPr="00B56652">
        <w:t>switzerland</w:t>
      </w:r>
      <w:proofErr w:type="spellEnd"/>
      <w:r>
        <w:t> (Vol. 31).</w:t>
      </w:r>
    </w:p>
    <w:p w14:paraId="0FB434BE" w14:textId="0458F218" w:rsidR="00F52FF6" w:rsidRDefault="00F52FF6" w:rsidP="00381E0B">
      <w:pPr>
        <w:pStyle w:val="Reference"/>
      </w:pPr>
      <w:r w:rsidRPr="00F52FF6">
        <w:t>Reimer, P. J., Brown, T. A., &amp; Reimer, R. W. (2004). Discussion: reporting and calibration of post-bomb 14C data. </w:t>
      </w:r>
      <w:r w:rsidRPr="00B56652">
        <w:t>Radiocarbon</w:t>
      </w:r>
      <w:r w:rsidRPr="00F52FF6">
        <w:t>, </w:t>
      </w:r>
      <w:r w:rsidRPr="00B56652">
        <w:t>46</w:t>
      </w:r>
      <w:r w:rsidRPr="00F52FF6">
        <w:t>(3), 1299-1304.</w:t>
      </w:r>
    </w:p>
    <w:p w14:paraId="540DBCA8" w14:textId="6A1554F9" w:rsidR="00CB6758" w:rsidRDefault="00CB6758" w:rsidP="00381E0B">
      <w:pPr>
        <w:pStyle w:val="Reference"/>
      </w:pPr>
      <w:r w:rsidRPr="00CB6758">
        <w:t xml:space="preserve">Reimer, P.J., Austin, W.E.N., Bard, E., Bayliss, A., Blackwell, P.G., Bronk Ramsey, C., Butzin, M., Cheng, H., Edwards, R.L., Friedrich, M., </w:t>
      </w:r>
      <w:proofErr w:type="spellStart"/>
      <w:r w:rsidRPr="00CB6758">
        <w:t>Grootes</w:t>
      </w:r>
      <w:proofErr w:type="spellEnd"/>
      <w:r w:rsidRPr="00CB6758">
        <w:t xml:space="preserve">, P.M., Guilderson, T.P., Hajdas, I., Heaton, T.J., Hogg, A.G., Hughen, K.A., Kromer, B., Manning, S.W., Muscheler, R., Palmer, J.G., Pearson, C., van der </w:t>
      </w:r>
      <w:proofErr w:type="spellStart"/>
      <w:r w:rsidRPr="00CB6758">
        <w:t>Plicht</w:t>
      </w:r>
      <w:proofErr w:type="spellEnd"/>
      <w:r w:rsidRPr="00CB6758">
        <w:t xml:space="preserve">, J., Reimer, R.W., Richards, D.A., Scott, E.M., </w:t>
      </w:r>
      <w:proofErr w:type="spellStart"/>
      <w:r w:rsidRPr="00CB6758">
        <w:t>Southon</w:t>
      </w:r>
      <w:proofErr w:type="spellEnd"/>
      <w:r w:rsidRPr="00CB6758">
        <w:t xml:space="preserve">, J.R., Turney, C.S.M., Wacker, L., </w:t>
      </w:r>
      <w:proofErr w:type="spellStart"/>
      <w:r w:rsidRPr="00CB6758">
        <w:t>Adolphi</w:t>
      </w:r>
      <w:proofErr w:type="spellEnd"/>
      <w:r w:rsidRPr="00CB6758">
        <w:t xml:space="preserve">, F., </w:t>
      </w:r>
      <w:proofErr w:type="spellStart"/>
      <w:r w:rsidRPr="00CB6758">
        <w:t>Büntgen</w:t>
      </w:r>
      <w:proofErr w:type="spellEnd"/>
      <w:r w:rsidRPr="00CB6758">
        <w:t xml:space="preserve">, U., Capano, M., Fahrni, S.M., Fogtmann-Schulz, A., Friedrich, R., </w:t>
      </w:r>
      <w:proofErr w:type="spellStart"/>
      <w:r w:rsidRPr="00CB6758">
        <w:t>K¨ohler</w:t>
      </w:r>
      <w:proofErr w:type="spellEnd"/>
      <w:r w:rsidRPr="00CB6758">
        <w:t xml:space="preserve">, P., Kudsk, S., Miyake, F., Olsen, J., Reinig, F., Sakamoto, M., Sookdeo, A., Talamo, S., 2020. The IntCal20 Northern Hemisphere radiocarbon age calibration curve (0–55 cal </w:t>
      </w:r>
      <w:proofErr w:type="spellStart"/>
      <w:r w:rsidRPr="00CB6758">
        <w:t>kBP</w:t>
      </w:r>
      <w:proofErr w:type="spellEnd"/>
      <w:r w:rsidRPr="00CB6758">
        <w:t>). Radiocarbon 62, 725–757.</w:t>
      </w:r>
    </w:p>
    <w:p w14:paraId="45FF9A68" w14:textId="6A13179B" w:rsidR="00B74156" w:rsidRDefault="00B74156" w:rsidP="00381E0B">
      <w:pPr>
        <w:pStyle w:val="Reference"/>
      </w:pPr>
      <w:r>
        <w:t>Roe, H. M., Doherty, C. T., Patterson, R. T., &amp; Swindles, G. T. (2009). Contemporary distributions of saltmarsh diatoms in the Seymour–Belize Inlet Complex, British Columbia, Canada: Implications for studies of sea-level change. </w:t>
      </w:r>
      <w:r w:rsidRPr="00B56652">
        <w:t>Marine Micropaleontology</w:t>
      </w:r>
      <w:r>
        <w:t>, </w:t>
      </w:r>
      <w:r w:rsidRPr="00B56652">
        <w:t>70</w:t>
      </w:r>
      <w:r>
        <w:t>(3-4), 134-150.</w:t>
      </w:r>
    </w:p>
    <w:p w14:paraId="079FF2E8" w14:textId="3DB7C959" w:rsidR="00823CA4" w:rsidRDefault="00823CA4" w:rsidP="00381E0B">
      <w:pPr>
        <w:pStyle w:val="Reference"/>
      </w:pPr>
      <w:r w:rsidRPr="001B2703">
        <w:t>Rossi, V., Barbieri, G., Vaiani, S. C., Cacciari, M., Bruno, L., Campo, B.,</w:t>
      </w:r>
      <w:r w:rsidR="00FA680A">
        <w:t xml:space="preserve"> Marvelli, S., </w:t>
      </w:r>
      <w:r w:rsidRPr="001B2703">
        <w:t xml:space="preserve">Amorosi, A. (2021). Millennial‐scale shifts in microtidal ecosystems during the </w:t>
      </w:r>
      <w:r w:rsidR="0062471F">
        <w:t>H</w:t>
      </w:r>
      <w:r w:rsidRPr="001B2703">
        <w:t xml:space="preserve">olocene: dynamics and drivers of change from the po plain coastal record (ne </w:t>
      </w:r>
      <w:r w:rsidR="0062471F">
        <w:t>I</w:t>
      </w:r>
      <w:r w:rsidRPr="001B2703">
        <w:t>taly).</w:t>
      </w:r>
      <w:r>
        <w:rPr>
          <w:rFonts w:ascii="Arial" w:hAnsi="Arial"/>
          <w:color w:val="000000"/>
          <w:spacing w:val="1"/>
          <w:sz w:val="21"/>
          <w:szCs w:val="21"/>
          <w:shd w:val="clear" w:color="auto" w:fill="F9F9F9"/>
        </w:rPr>
        <w:t xml:space="preserve"> </w:t>
      </w:r>
      <w:r w:rsidRPr="001B2703">
        <w:t xml:space="preserve">Journal of Quaternary Science, 36(6), 961-979. </w:t>
      </w:r>
    </w:p>
    <w:p w14:paraId="0C769F4E" w14:textId="32C5200B" w:rsidR="00AB5E40" w:rsidRDefault="00AB5E40" w:rsidP="00381E0B">
      <w:pPr>
        <w:pStyle w:val="Reference"/>
      </w:pPr>
      <w:r>
        <w:t>Round, F. E., &amp; Basson, P. W. (1997). A new diatom genus (</w:t>
      </w:r>
      <w:proofErr w:type="spellStart"/>
      <w:r>
        <w:t>Giffenia</w:t>
      </w:r>
      <w:proofErr w:type="spellEnd"/>
      <w:r>
        <w:t xml:space="preserve">) based on </w:t>
      </w:r>
      <w:proofErr w:type="spellStart"/>
      <w:r>
        <w:t>Nitzschia</w:t>
      </w:r>
      <w:proofErr w:type="spellEnd"/>
      <w:r>
        <w:t xml:space="preserve"> </w:t>
      </w:r>
      <w:proofErr w:type="spellStart"/>
      <w:r>
        <w:t>Coconeiformis</w:t>
      </w:r>
      <w:proofErr w:type="spellEnd"/>
      <w:r>
        <w:t xml:space="preserve"> Grun. and a note on </w:t>
      </w:r>
      <w:proofErr w:type="spellStart"/>
      <w:r>
        <w:t>Nitzschia</w:t>
      </w:r>
      <w:proofErr w:type="spellEnd"/>
      <w:r>
        <w:t xml:space="preserve"> (</w:t>
      </w:r>
      <w:proofErr w:type="spellStart"/>
      <w:r>
        <w:t>Tryblionella</w:t>
      </w:r>
      <w:proofErr w:type="spellEnd"/>
      <w:r>
        <w:t xml:space="preserve">) </w:t>
      </w:r>
      <w:proofErr w:type="spellStart"/>
      <w:r>
        <w:t>lanceola</w:t>
      </w:r>
      <w:proofErr w:type="spellEnd"/>
      <w:r>
        <w:t xml:space="preserve"> Grun.</w:t>
      </w:r>
      <w:r w:rsidRPr="00B56652">
        <w:t xml:space="preserve"> Diatom Research</w:t>
      </w:r>
      <w:r>
        <w:t>, </w:t>
      </w:r>
      <w:r w:rsidRPr="00B56652">
        <w:t>12</w:t>
      </w:r>
      <w:r>
        <w:t>(2), 347-355.</w:t>
      </w:r>
    </w:p>
    <w:p w14:paraId="6DA1629A" w14:textId="4F1C13D4" w:rsidR="00EA2703" w:rsidRDefault="00EA2703" w:rsidP="00381E0B">
      <w:pPr>
        <w:pStyle w:val="Reference"/>
      </w:pPr>
      <w:proofErr w:type="spellStart"/>
      <w:r>
        <w:t>Rousseeuw</w:t>
      </w:r>
      <w:proofErr w:type="spellEnd"/>
      <w:r>
        <w:t>, P. J. (1987). Silhouettes: a graphical aid to the interpretation and validation of cluster analysis. </w:t>
      </w:r>
      <w:r w:rsidRPr="00C437D6">
        <w:t>Journal of computational and applied mathematics</w:t>
      </w:r>
      <w:r>
        <w:t>, </w:t>
      </w:r>
      <w:r w:rsidRPr="00C437D6">
        <w:t>20</w:t>
      </w:r>
      <w:r>
        <w:t>, 53-65.</w:t>
      </w:r>
    </w:p>
    <w:p w14:paraId="1110F7AA" w14:textId="69450EBF" w:rsidR="004B50E4" w:rsidRPr="00AD13BD" w:rsidRDefault="004B50E4" w:rsidP="00381E0B">
      <w:pPr>
        <w:pStyle w:val="Reference"/>
      </w:pPr>
      <w:r w:rsidRPr="004B50E4">
        <w:t>Rush, G., McDarby, P., Edwards, R., Milker, Y., Garrett, E., &amp; Gehrels, W. R. (2021). Development of an intertidal foraminifera training set for the North Sea and an assessment of its application for Holocene sea-level reconstructions. </w:t>
      </w:r>
      <w:r w:rsidRPr="00B56652">
        <w:t>Marine Micropaleontology</w:t>
      </w:r>
      <w:r w:rsidRPr="004B50E4">
        <w:t>, </w:t>
      </w:r>
      <w:r w:rsidRPr="00B56652">
        <w:t>169</w:t>
      </w:r>
      <w:r w:rsidRPr="004B50E4">
        <w:t>, 102055.</w:t>
      </w:r>
    </w:p>
    <w:p w14:paraId="41FBC437" w14:textId="72264733" w:rsidR="00335915" w:rsidRDefault="00335915" w:rsidP="00381E0B">
      <w:pPr>
        <w:pStyle w:val="Reference"/>
      </w:pPr>
      <w:r>
        <w:t>Saunders, J. B. (1958). Recent foraminifera of mangrove swamps and river estuaries and their fossil counterparts in Trinidad. </w:t>
      </w:r>
      <w:r w:rsidRPr="00C437D6">
        <w:t>Micropaleontology</w:t>
      </w:r>
      <w:r>
        <w:t>, 79-92.</w:t>
      </w:r>
    </w:p>
    <w:p w14:paraId="303B9E54" w14:textId="3237F259" w:rsidR="00CB775E" w:rsidRPr="00AD13BD" w:rsidRDefault="00CB775E" w:rsidP="00381E0B">
      <w:pPr>
        <w:pStyle w:val="Reference"/>
      </w:pPr>
      <w:r>
        <w:t xml:space="preserve">Sawai, Y., Horton, B. P., &amp; Nagumo, T. (2004). The development of a diatom-based transfer function along the Pacific coast of eastern Hokkaido, northern Japan—an aid in </w:t>
      </w:r>
      <w:proofErr w:type="spellStart"/>
      <w:r>
        <w:t>paleoseismic</w:t>
      </w:r>
      <w:proofErr w:type="spellEnd"/>
      <w:r>
        <w:t xml:space="preserve"> studies of the Kuril subduction zone. </w:t>
      </w:r>
      <w:r w:rsidRPr="00C437D6">
        <w:t>Quaternary Science Reviews</w:t>
      </w:r>
      <w:r>
        <w:t>, </w:t>
      </w:r>
      <w:r w:rsidRPr="00C437D6">
        <w:t>23</w:t>
      </w:r>
      <w:r>
        <w:t>(23-24), 2467-2483.</w:t>
      </w:r>
    </w:p>
    <w:p w14:paraId="0BDEE52B" w14:textId="77777777" w:rsidR="006F1A5C" w:rsidRDefault="006F1A5C" w:rsidP="00381E0B">
      <w:pPr>
        <w:pStyle w:val="Reference"/>
      </w:pPr>
      <w:r w:rsidRPr="00AD13BD">
        <w:t xml:space="preserve">Sawai, Y., Horton, B. P., Kemp, A. C., Hawkes, A. D., Nagumo, T., &amp; Nelson, A. R. (2016). Relationships between diatoms and tidal environments in Oregon and Washington, USA. Diatom Research, 31(1), 17-38.   </w:t>
      </w:r>
    </w:p>
    <w:p w14:paraId="29313D5E" w14:textId="6A320BA0" w:rsidR="00F7653E" w:rsidRDefault="00F7653E" w:rsidP="00381E0B">
      <w:pPr>
        <w:pStyle w:val="Reference"/>
      </w:pPr>
      <w:r>
        <w:t xml:space="preserve">Scott, D. S., &amp; </w:t>
      </w:r>
      <w:proofErr w:type="spellStart"/>
      <w:r>
        <w:t>Medioli</w:t>
      </w:r>
      <w:proofErr w:type="spellEnd"/>
      <w:r>
        <w:t xml:space="preserve">, F. S. (1978). Vertical </w:t>
      </w:r>
      <w:proofErr w:type="spellStart"/>
      <w:r>
        <w:t>zonations</w:t>
      </w:r>
      <w:proofErr w:type="spellEnd"/>
      <w:r>
        <w:t xml:space="preserve"> of marsh foraminifera as accurate indicators of former sea-levels. </w:t>
      </w:r>
      <w:r w:rsidRPr="00C437D6">
        <w:t>Nature</w:t>
      </w:r>
      <w:r>
        <w:t>, </w:t>
      </w:r>
      <w:r w:rsidRPr="00C437D6">
        <w:t>272</w:t>
      </w:r>
      <w:r>
        <w:t>(5653), 528-531.</w:t>
      </w:r>
    </w:p>
    <w:p w14:paraId="533EDD42" w14:textId="5909FBDA" w:rsidR="004952F6" w:rsidRDefault="006F1A5C" w:rsidP="00381E0B">
      <w:pPr>
        <w:pStyle w:val="Reference"/>
      </w:pPr>
      <w:r w:rsidRPr="00AD13BD">
        <w:t xml:space="preserve">Scott, D. B., &amp; </w:t>
      </w:r>
      <w:proofErr w:type="spellStart"/>
      <w:r w:rsidRPr="00AD13BD">
        <w:t>Medioli</w:t>
      </w:r>
      <w:proofErr w:type="spellEnd"/>
      <w:r w:rsidRPr="00AD13BD">
        <w:t>, F. S. (1980</w:t>
      </w:r>
      <w:r w:rsidR="00117454">
        <w:t>b</w:t>
      </w:r>
      <w:r w:rsidRPr="00AD13BD">
        <w:t xml:space="preserve">). Quantitative studies of marsh foraminiferal distributions in Nova Scotia: implications for sea level studies.  </w:t>
      </w:r>
    </w:p>
    <w:p w14:paraId="3B00E597" w14:textId="352D88BE" w:rsidR="00117454" w:rsidRDefault="00117454" w:rsidP="00381E0B">
      <w:pPr>
        <w:pStyle w:val="Reference"/>
      </w:pPr>
      <w:r>
        <w:lastRenderedPageBreak/>
        <w:t xml:space="preserve">Scott, D. B., &amp; </w:t>
      </w:r>
      <w:proofErr w:type="spellStart"/>
      <w:r>
        <w:t>Medioli</w:t>
      </w:r>
      <w:proofErr w:type="spellEnd"/>
      <w:r>
        <w:t>, F. S. (1980a). Living vs. total foraminiferal populations: their relative usefulness in paleoecology. </w:t>
      </w:r>
      <w:r w:rsidRPr="00C437D6">
        <w:t xml:space="preserve">Journal of </w:t>
      </w:r>
      <w:proofErr w:type="spellStart"/>
      <w:r w:rsidRPr="00C437D6">
        <w:t>Paleontology</w:t>
      </w:r>
      <w:proofErr w:type="spellEnd"/>
      <w:r>
        <w:t>, 814-831.</w:t>
      </w:r>
    </w:p>
    <w:p w14:paraId="538AEDC6" w14:textId="36A23C47" w:rsidR="006F1A5C" w:rsidRDefault="004952F6" w:rsidP="00381E0B">
      <w:pPr>
        <w:pStyle w:val="Reference"/>
      </w:pPr>
      <w:r w:rsidRPr="00D477EE">
        <w:t>Shang, Z. W., Li, J. F., Freund, H., Shi, P. X., &amp; Wang, H. (2023). Quantitative relationship between surface sedimentary diatoms and water depth in North-Central Bohai Bay, China. China Geology, 6(1), 61-69.</w:t>
      </w:r>
      <w:r w:rsidR="006F1A5C" w:rsidRPr="004952F6">
        <w:t xml:space="preserve"> </w:t>
      </w:r>
    </w:p>
    <w:p w14:paraId="771EB9E1" w14:textId="42D1D907" w:rsidR="003044F9" w:rsidRDefault="003044F9" w:rsidP="00381E0B">
      <w:pPr>
        <w:pStyle w:val="Reference"/>
      </w:pPr>
      <w:r>
        <w:t>Simonsen, R. (1987). Atlas and catalogue of the diatom types of Friedrich Hustedt. Vol. 1 Catalogue X, 525 Vol. 2 Atlas, plates 1-395, Vol. 3 Atlas, plates 396-772 (pp. 1-3).</w:t>
      </w:r>
    </w:p>
    <w:p w14:paraId="609F39D2" w14:textId="2D2EA797" w:rsidR="00A247A7" w:rsidRDefault="00A247A7" w:rsidP="00381E0B">
      <w:pPr>
        <w:pStyle w:val="Reference"/>
      </w:pPr>
      <w:r>
        <w:t>Simpson, G. L. (2007). Analogue methods in palaeoecology: using the analogue package. </w:t>
      </w:r>
      <w:r w:rsidRPr="00B56652">
        <w:t>Journal of Statistical Software</w:t>
      </w:r>
      <w:r>
        <w:t>, </w:t>
      </w:r>
      <w:r w:rsidRPr="00B56652">
        <w:t>22</w:t>
      </w:r>
      <w:r>
        <w:t>, 1-29.</w:t>
      </w:r>
    </w:p>
    <w:p w14:paraId="07F9B479" w14:textId="73C30D01" w:rsidR="00D66368" w:rsidRPr="00AD13BD" w:rsidRDefault="00D66368" w:rsidP="00381E0B">
      <w:pPr>
        <w:pStyle w:val="Reference"/>
      </w:pPr>
      <w:r w:rsidRPr="00D66368">
        <w:t>Stearns, R. B., Engelhart, S. E., Kemp, A. C., Hill, T. D., Brain, M. J., &amp; Corbett, D. R. (2023). Within-region replication of late Holocene relative sea-level change: An example from southern New England, United States. </w:t>
      </w:r>
      <w:r w:rsidRPr="00B56652">
        <w:t>Quaternary Science Reviews</w:t>
      </w:r>
      <w:r w:rsidRPr="00D66368">
        <w:t>, </w:t>
      </w:r>
      <w:r w:rsidRPr="00B56652">
        <w:t>300</w:t>
      </w:r>
      <w:r w:rsidRPr="00D66368">
        <w:t>, 107868.</w:t>
      </w:r>
    </w:p>
    <w:p w14:paraId="4CBF3C48" w14:textId="77777777" w:rsidR="007E3537" w:rsidRDefault="006F1A5C" w:rsidP="00381E0B">
      <w:pPr>
        <w:pStyle w:val="Reference"/>
      </w:pPr>
      <w:r w:rsidRPr="00AD13BD">
        <w:t xml:space="preserve">Sun, Y., Xing, J., Zong, Y., &amp; Hong, G. (2017). Coastal responses and shoreline restoration after Holocene sea-level changes in Hong Kong, China. In Hydraulic Engineering V (pp. 115-120). CRC Press.  </w:t>
      </w:r>
    </w:p>
    <w:p w14:paraId="475E381D" w14:textId="67AF8A51" w:rsidR="00997771" w:rsidRDefault="00997771" w:rsidP="00381E0B">
      <w:pPr>
        <w:pStyle w:val="Reference"/>
      </w:pPr>
      <w:r>
        <w:t>Sun, Y., Xiong, H., Lee, M. T., Brodie, C., &amp; Zong, Y. (2021). Geochemical dynamics and depositional history from mangrove sediments within the Pearl River estuary. </w:t>
      </w:r>
      <w:r w:rsidRPr="00B56652">
        <w:t>Palaeogeography, Palaeoclimatology, Palaeoecology</w:t>
      </w:r>
      <w:r>
        <w:t>, </w:t>
      </w:r>
      <w:r w:rsidRPr="00B56652">
        <w:t>584</w:t>
      </w:r>
      <w:r>
        <w:t>, 110701.</w:t>
      </w:r>
    </w:p>
    <w:p w14:paraId="1C5A64A8" w14:textId="4F69BD48" w:rsidR="00E14FCE" w:rsidRDefault="007E3537" w:rsidP="00381E0B">
      <w:pPr>
        <w:pStyle w:val="Reference"/>
      </w:pPr>
      <w:r>
        <w:t xml:space="preserve">Tam, C. Y., Zong, Y., bin Hassan, K., bin Ismal, H., binti Jamil, H., Xiong, H., </w:t>
      </w:r>
      <w:r w:rsidR="009A5803">
        <w:t>Wu, P., Sun, Y., Huang, G.,</w:t>
      </w:r>
      <w:r>
        <w:t xml:space="preserve"> &amp; Zheng, Z. (2018). A below-the-present late Holocene relative sea level and the glacial isostatic adjustment during the Holocene in the Malay Peninsula. </w:t>
      </w:r>
      <w:r w:rsidRPr="00C437D6">
        <w:t>Quaternary Science Reviews</w:t>
      </w:r>
      <w:r>
        <w:t>, </w:t>
      </w:r>
      <w:r w:rsidRPr="00C437D6">
        <w:t>201</w:t>
      </w:r>
      <w:r>
        <w:t>, 206-222.</w:t>
      </w:r>
    </w:p>
    <w:p w14:paraId="33A0706E" w14:textId="24F02680" w:rsidR="00051FF8" w:rsidRDefault="00051FF8" w:rsidP="00381E0B">
      <w:pPr>
        <w:pStyle w:val="Reference"/>
      </w:pPr>
      <w:r w:rsidRPr="00051FF8">
        <w:t>Tang, D., Liu, X., Xia, Z., Hou, J., Yang, X., Li, P., &amp; Yuan, X. (2023). Sources of organic matter and carbon stocks in two mangrove sediment cores and surface sediment samples from Qinglan Bay, China. </w:t>
      </w:r>
      <w:r w:rsidRPr="00B56652">
        <w:t>Science of The Total Environment</w:t>
      </w:r>
      <w:r w:rsidRPr="00051FF8">
        <w:t>, </w:t>
      </w:r>
      <w:r w:rsidRPr="00B56652">
        <w:t>893</w:t>
      </w:r>
      <w:r w:rsidRPr="00051FF8">
        <w:t>, 164897.</w:t>
      </w:r>
    </w:p>
    <w:p w14:paraId="1380C137" w14:textId="786CADC9" w:rsidR="0028511A" w:rsidRDefault="0028511A" w:rsidP="00381E0B">
      <w:pPr>
        <w:pStyle w:val="Reference"/>
      </w:pPr>
      <w:r>
        <w:t>Ter Braak, C. J. (1986). Canonical correspondence analysis: a new eigenvector technique for multivariate direct gradient analysis. </w:t>
      </w:r>
      <w:r w:rsidRPr="00B56652">
        <w:t>Ecology</w:t>
      </w:r>
      <w:r>
        <w:t>, </w:t>
      </w:r>
      <w:r w:rsidRPr="00B56652">
        <w:t>67</w:t>
      </w:r>
      <w:r>
        <w:t>(5), 1167-1179.</w:t>
      </w:r>
    </w:p>
    <w:p w14:paraId="108551CA" w14:textId="66D6BDD9" w:rsidR="005877D8" w:rsidRDefault="005877D8" w:rsidP="00381E0B">
      <w:pPr>
        <w:pStyle w:val="Reference"/>
      </w:pPr>
      <w:r w:rsidRPr="00E32DA7">
        <w:t>Tue, N. T., Ngoc, N. T., Quy, T. D., Hamaoka, H., Nhuan, M. T., &amp; Omori, K. (2012). A cross-system analysis of sedimentary organic carbon in the mangrove ecosystems of Xuan Thuy National Park, Vietnam. Journal of Sea Research, 67(1), 69-76.</w:t>
      </w:r>
    </w:p>
    <w:p w14:paraId="6FA8890D" w14:textId="376BB4DE" w:rsidR="00D32850" w:rsidRPr="005877D8" w:rsidRDefault="00D32850" w:rsidP="00381E0B">
      <w:pPr>
        <w:pStyle w:val="Reference"/>
      </w:pPr>
      <w:r w:rsidRPr="00D32850">
        <w:t xml:space="preserve">Van der Werff, A., &amp; Huls, H. (1958). </w:t>
      </w:r>
      <w:proofErr w:type="spellStart"/>
      <w:r w:rsidRPr="00D32850">
        <w:t>Diatomeeenflora</w:t>
      </w:r>
      <w:proofErr w:type="spellEnd"/>
      <w:r w:rsidRPr="00D32850">
        <w:t xml:space="preserve"> van Nederland. 8 parts. </w:t>
      </w:r>
      <w:r w:rsidRPr="00B56652">
        <w:t xml:space="preserve">De </w:t>
      </w:r>
      <w:proofErr w:type="spellStart"/>
      <w:r w:rsidRPr="00B56652">
        <w:t>Hoef</w:t>
      </w:r>
      <w:proofErr w:type="spellEnd"/>
      <w:r w:rsidRPr="00B56652">
        <w:t>, The Netherlands</w:t>
      </w:r>
      <w:r w:rsidRPr="00D32850">
        <w:t>.</w:t>
      </w:r>
    </w:p>
    <w:p w14:paraId="39A64B65" w14:textId="5D8CE995" w:rsidR="006F1A5C" w:rsidRDefault="00E14FCE" w:rsidP="00381E0B">
      <w:pPr>
        <w:pStyle w:val="Reference"/>
      </w:pPr>
      <w:r>
        <w:t xml:space="preserve">Van de Vijver, B., </w:t>
      </w:r>
      <w:proofErr w:type="spellStart"/>
      <w:r>
        <w:t>Goeyers</w:t>
      </w:r>
      <w:proofErr w:type="spellEnd"/>
      <w:r>
        <w:t xml:space="preserve">, C., Ector, L., &amp; </w:t>
      </w:r>
      <w:proofErr w:type="spellStart"/>
      <w:r>
        <w:t>Kusber</w:t>
      </w:r>
      <w:proofErr w:type="spellEnd"/>
      <w:r>
        <w:t xml:space="preserve">, W. H. (2022). On the taxonomic identity of </w:t>
      </w:r>
      <w:proofErr w:type="spellStart"/>
      <w:r>
        <w:t>Humidophila</w:t>
      </w:r>
      <w:proofErr w:type="spellEnd"/>
      <w:r>
        <w:t xml:space="preserve"> </w:t>
      </w:r>
      <w:proofErr w:type="spellStart"/>
      <w:r>
        <w:t>contenta</w:t>
      </w:r>
      <w:proofErr w:type="spellEnd"/>
      <w:r>
        <w:t xml:space="preserve"> (Grunow) RL Lowe &amp; al. and H. biceps (Grunow) Furey &amp; </w:t>
      </w:r>
      <w:proofErr w:type="gramStart"/>
      <w:r>
        <w:t>al.(</w:t>
      </w:r>
      <w:proofErr w:type="spellStart"/>
      <w:proofErr w:type="gramEnd"/>
      <w:r>
        <w:t>Diadesmidaceae</w:t>
      </w:r>
      <w:proofErr w:type="spellEnd"/>
      <w:r>
        <w:t>, Bacillariophyta). </w:t>
      </w:r>
      <w:proofErr w:type="spellStart"/>
      <w:r w:rsidRPr="00B17316">
        <w:t>Notulae</w:t>
      </w:r>
      <w:proofErr w:type="spellEnd"/>
      <w:r w:rsidRPr="00B17316">
        <w:t xml:space="preserve"> </w:t>
      </w:r>
      <w:proofErr w:type="spellStart"/>
      <w:r w:rsidRPr="00B17316">
        <w:t>algarum</w:t>
      </w:r>
      <w:proofErr w:type="spellEnd"/>
      <w:r>
        <w:t>, </w:t>
      </w:r>
      <w:r w:rsidRPr="00B17316">
        <w:t>265</w:t>
      </w:r>
      <w:r>
        <w:t>, 1-11.</w:t>
      </w:r>
      <w:r w:rsidR="006F1A5C" w:rsidRPr="00AD13BD">
        <w:t xml:space="preserve"> </w:t>
      </w:r>
    </w:p>
    <w:p w14:paraId="3EEE37D7" w14:textId="27B3176E" w:rsidR="00175A93" w:rsidRDefault="00175A93" w:rsidP="00381E0B">
      <w:pPr>
        <w:pStyle w:val="Reference"/>
      </w:pPr>
      <w:r>
        <w:t>Venables, W. N., Ripley, B. D., Venables, W. N., &amp; Ripley, B. D. (2002). Exploratory multivariate analysis. </w:t>
      </w:r>
      <w:r w:rsidRPr="00B56652">
        <w:t>Modern applied statistics with S</w:t>
      </w:r>
      <w:r>
        <w:t>, 301-330.</w:t>
      </w:r>
    </w:p>
    <w:p w14:paraId="7986E4EC" w14:textId="2AC78D07" w:rsidR="007F2514" w:rsidRPr="00AD13BD" w:rsidRDefault="007F2514" w:rsidP="00381E0B">
      <w:pPr>
        <w:pStyle w:val="Reference"/>
      </w:pPr>
      <w:proofErr w:type="spellStart"/>
      <w:r>
        <w:t>Verleyen</w:t>
      </w:r>
      <w:proofErr w:type="spellEnd"/>
      <w:r>
        <w:t xml:space="preserve">, E., </w:t>
      </w:r>
      <w:proofErr w:type="spellStart"/>
      <w:r>
        <w:t>Vyverman</w:t>
      </w:r>
      <w:proofErr w:type="spellEnd"/>
      <w:r>
        <w:t xml:space="preserve">, W., Sterken, M., Hodgson, D. A., De Wever, A., </w:t>
      </w:r>
      <w:proofErr w:type="spellStart"/>
      <w:r>
        <w:t>Juggins</w:t>
      </w:r>
      <w:proofErr w:type="spellEnd"/>
      <w:r>
        <w:t>, S., ... &amp; Sabbe, K. (2009). The importance of dispersal related and local factors in shaping the taxonomic structure of diatom metacommunities. </w:t>
      </w:r>
      <w:r w:rsidRPr="00B56652">
        <w:t>Oikos</w:t>
      </w:r>
      <w:r>
        <w:t>, </w:t>
      </w:r>
      <w:r w:rsidRPr="00B56652">
        <w:t>118</w:t>
      </w:r>
      <w:r>
        <w:t>(8), 1239-1249.</w:t>
      </w:r>
    </w:p>
    <w:p w14:paraId="1A1278AE" w14:textId="77777777" w:rsidR="006F1A5C" w:rsidRDefault="006F1A5C" w:rsidP="00381E0B">
      <w:pPr>
        <w:pStyle w:val="Reference"/>
      </w:pPr>
      <w:r w:rsidRPr="00AD13BD">
        <w:t xml:space="preserve">Vos, P. C., &amp; De Wolf, H. (1993). Diatoms as a tool for reconstructing sedimentary environments in coastal wetlands; methodological aspects. </w:t>
      </w:r>
      <w:proofErr w:type="spellStart"/>
      <w:r w:rsidRPr="00AD13BD">
        <w:t>Hydrobiologia</w:t>
      </w:r>
      <w:proofErr w:type="spellEnd"/>
      <w:r w:rsidRPr="00AD13BD">
        <w:t xml:space="preserve">, 269(1), 285-296.   </w:t>
      </w:r>
    </w:p>
    <w:p w14:paraId="294D71A7" w14:textId="1D8D492E" w:rsidR="003F0A92" w:rsidRDefault="003F0A92" w:rsidP="00381E0B">
      <w:pPr>
        <w:pStyle w:val="Reference"/>
      </w:pPr>
      <w:r w:rsidRPr="003F0A92">
        <w:t>Walker, J. S., &amp; Cahill, N. (2024). Influence of Foraminifera Count Size and Rare Species on Transfer Function Results Used in Sea-Level Reconstructions. </w:t>
      </w:r>
      <w:r w:rsidRPr="00B56652">
        <w:t>Journal of Foraminiferal Research</w:t>
      </w:r>
      <w:r w:rsidRPr="003F0A92">
        <w:t>, </w:t>
      </w:r>
      <w:r w:rsidRPr="00B56652">
        <w:t>54</w:t>
      </w:r>
      <w:r w:rsidRPr="003F0A92">
        <w:t>(2), 107-116.</w:t>
      </w:r>
    </w:p>
    <w:p w14:paraId="291D8348" w14:textId="42CB1E8B" w:rsidR="008B11F8" w:rsidRDefault="008B11F8" w:rsidP="00381E0B">
      <w:pPr>
        <w:pStyle w:val="Reference"/>
      </w:pPr>
      <w:r>
        <w:t>Walton, W. R. (1952). Techniques for recognition of living foraminifera. </w:t>
      </w:r>
      <w:r w:rsidRPr="00C437D6">
        <w:t xml:space="preserve">Cushman Found. </w:t>
      </w:r>
      <w:proofErr w:type="spellStart"/>
      <w:r w:rsidRPr="00C437D6">
        <w:t>Foram</w:t>
      </w:r>
      <w:proofErr w:type="spellEnd"/>
      <w:r w:rsidRPr="00C437D6">
        <w:t>. Res. Contr.</w:t>
      </w:r>
      <w:r>
        <w:t>, </w:t>
      </w:r>
      <w:r w:rsidRPr="00C437D6">
        <w:t>3</w:t>
      </w:r>
      <w:r>
        <w:t>(2), 56-60.</w:t>
      </w:r>
    </w:p>
    <w:p w14:paraId="51F8A3B8" w14:textId="559EE600" w:rsidR="000D55A4" w:rsidRPr="00AD13BD" w:rsidRDefault="000D55A4" w:rsidP="00381E0B">
      <w:pPr>
        <w:pStyle w:val="Reference"/>
      </w:pPr>
      <w:proofErr w:type="spellStart"/>
      <w:r>
        <w:t>Watcham</w:t>
      </w:r>
      <w:proofErr w:type="spellEnd"/>
      <w:r>
        <w:t>, E. P., Shennan, I., &amp; Barlow, N. L. (2013). Scale considerations in using diatoms as indicators of sea</w:t>
      </w:r>
      <w:r w:rsidRPr="00B56652">
        <w:t>‐</w:t>
      </w:r>
      <w:r>
        <w:t>level change: Lessons from Alaska. </w:t>
      </w:r>
      <w:r w:rsidRPr="00B56652">
        <w:t>Journal of Quaternary Science</w:t>
      </w:r>
      <w:r>
        <w:t>, </w:t>
      </w:r>
      <w:r w:rsidRPr="00B56652">
        <w:t>28</w:t>
      </w:r>
      <w:r>
        <w:t>(2), 165-179.</w:t>
      </w:r>
    </w:p>
    <w:p w14:paraId="68EFA12B" w14:textId="77777777" w:rsidR="00CD3CC7" w:rsidRDefault="006F1A5C" w:rsidP="00381E0B">
      <w:pPr>
        <w:pStyle w:val="Reference"/>
      </w:pPr>
      <w:r w:rsidRPr="00AD13BD">
        <w:t xml:space="preserve">Wai, O., Wang, C., Li, Y. S., &amp; Li, X. (2004). The formation mechanisms of turbidity maximum in the Pearl River estuary, China. Marine Pollution Bulletin, 48(5-6), 441-448.  </w:t>
      </w:r>
    </w:p>
    <w:p w14:paraId="552FE595" w14:textId="6BD9A97E" w:rsidR="006F1A5C" w:rsidRDefault="00CD3CC7" w:rsidP="00381E0B">
      <w:pPr>
        <w:pStyle w:val="Reference"/>
      </w:pPr>
      <w:r>
        <w:t>Wang, Z., Zhuang, C., Saito, Y., Chen, J., Zhan, Q., &amp; Wang, X. (2012). Early mid-Holocene sea-level change and coastal environmental response on the southern Yangtze delta plain, China: implications for the rise of Neolithic culture. </w:t>
      </w:r>
      <w:r w:rsidRPr="00C437D6">
        <w:t>Quaternary Science Reviews</w:t>
      </w:r>
      <w:r>
        <w:t>, </w:t>
      </w:r>
      <w:r w:rsidRPr="00C437D6">
        <w:t>35</w:t>
      </w:r>
      <w:r>
        <w:t>, 51-62.</w:t>
      </w:r>
    </w:p>
    <w:p w14:paraId="22855B22" w14:textId="65DB1A6D" w:rsidR="00A52F7B" w:rsidRDefault="00A52F7B" w:rsidP="00381E0B">
      <w:pPr>
        <w:pStyle w:val="Reference"/>
      </w:pPr>
      <w:r>
        <w:lastRenderedPageBreak/>
        <w:t>Wentworth, C. K. (1922). A scale of grade and class terms for clastic sediments. </w:t>
      </w:r>
      <w:r w:rsidRPr="00B56652">
        <w:t>The journal of geology</w:t>
      </w:r>
      <w:r>
        <w:t>, </w:t>
      </w:r>
      <w:r w:rsidRPr="00B56652">
        <w:t>30</w:t>
      </w:r>
      <w:r>
        <w:t>(5), 377-392.</w:t>
      </w:r>
    </w:p>
    <w:p w14:paraId="69D12930" w14:textId="38E087F4" w:rsidR="007A20AE" w:rsidRDefault="007A20AE" w:rsidP="00381E0B">
      <w:pPr>
        <w:pStyle w:val="Reference"/>
      </w:pPr>
      <w:r>
        <w:t>Williams, S., Garrett, E., Moss, P., Bartlett, R., &amp; Gehrels, W. R. (2021). Development of a training set of contemporary salt-marsh Foraminifera for Late Holocene sea-level reconstructions in southeastern Australia. </w:t>
      </w:r>
      <w:r w:rsidRPr="00B56652">
        <w:t>Open Quaternary</w:t>
      </w:r>
      <w:r>
        <w:t>.</w:t>
      </w:r>
    </w:p>
    <w:p w14:paraId="262F927C" w14:textId="73F56996" w:rsidR="0075223D" w:rsidRDefault="0075223D" w:rsidP="00381E0B">
      <w:pPr>
        <w:pStyle w:val="Reference"/>
      </w:pPr>
      <w:r>
        <w:t>Willis, M., Zerbe, S., &amp; Breitung, W. (2006). Habitat survey, mapping, and assessment in the Mai Po nature reserve, Hong Kong (China). </w:t>
      </w:r>
      <w:r w:rsidRPr="00C437D6">
        <w:t xml:space="preserve">Archives of nature conservation and landscape research= </w:t>
      </w:r>
      <w:proofErr w:type="spellStart"/>
      <w:r w:rsidRPr="00C437D6">
        <w:t>Archiv</w:t>
      </w:r>
      <w:proofErr w:type="spellEnd"/>
      <w:r w:rsidRPr="00C437D6">
        <w:t xml:space="preserve"> für </w:t>
      </w:r>
      <w:proofErr w:type="spellStart"/>
      <w:r w:rsidRPr="00C437D6">
        <w:t>Naturschutz</w:t>
      </w:r>
      <w:proofErr w:type="spellEnd"/>
      <w:r w:rsidRPr="00C437D6">
        <w:t xml:space="preserve"> und </w:t>
      </w:r>
      <w:proofErr w:type="spellStart"/>
      <w:r w:rsidRPr="00C437D6">
        <w:t>Landschaftsforschung</w:t>
      </w:r>
      <w:proofErr w:type="spellEnd"/>
      <w:r>
        <w:t>, </w:t>
      </w:r>
      <w:r w:rsidRPr="00C437D6">
        <w:t>45</w:t>
      </w:r>
      <w:r>
        <w:t>(1), 53-70.</w:t>
      </w:r>
    </w:p>
    <w:p w14:paraId="375ED41B" w14:textId="410F11B6" w:rsidR="00AD0DDF" w:rsidRDefault="00AD0DDF" w:rsidP="00381E0B">
      <w:pPr>
        <w:pStyle w:val="Reference"/>
      </w:pPr>
      <w:r w:rsidRPr="00B92EB6">
        <w:t>Wilson, G. P., &amp; Lamb, A. L. (2012). An assessment of the utility of regional diatom‐based tidal‐level transfer functions. Journal of Quaternary Science, 27(4), 360-370.</w:t>
      </w:r>
    </w:p>
    <w:p w14:paraId="3FD80852" w14:textId="787F9C18" w:rsidR="004A4AFA" w:rsidRDefault="004A4AFA" w:rsidP="00381E0B">
      <w:pPr>
        <w:pStyle w:val="Reference"/>
      </w:pPr>
      <w:r w:rsidRPr="00C8700C">
        <w:t>Wilson, G. P., Lloyd, J. M., Khan, N. S., &amp; Kemp, A. C. (2024). Stable carbon isotopes and bulk-sediment geochemistry as indicators of relative sea-level change in tidal marshes, mangroves and isolation basins: Application and developments. Quaternary Science Reviews, 340, 108855.</w:t>
      </w:r>
    </w:p>
    <w:p w14:paraId="31DE93BD" w14:textId="27FD891F" w:rsidR="003044F9" w:rsidRDefault="003044F9" w:rsidP="00381E0B">
      <w:pPr>
        <w:pStyle w:val="Reference"/>
      </w:pPr>
      <w:r>
        <w:t xml:space="preserve">Witkowski, A. (2000). Diatom flora of marine coasts I. Lange-Bertalot, </w:t>
      </w:r>
      <w:proofErr w:type="spellStart"/>
      <w:r>
        <w:t>Iconographia</w:t>
      </w:r>
      <w:proofErr w:type="spellEnd"/>
      <w:r>
        <w:t xml:space="preserve"> </w:t>
      </w:r>
      <w:proofErr w:type="spellStart"/>
      <w:r>
        <w:t>Diatomologica</w:t>
      </w:r>
      <w:proofErr w:type="spellEnd"/>
      <w:r>
        <w:t xml:space="preserve"> Annotated Diatom Micrographs, 7, 925.</w:t>
      </w:r>
    </w:p>
    <w:p w14:paraId="230B358E" w14:textId="4EECECBC" w:rsidR="003B2645" w:rsidRDefault="003B2645" w:rsidP="00381E0B">
      <w:pPr>
        <w:pStyle w:val="Reference"/>
      </w:pPr>
      <w:r>
        <w:t>Woodroffe, S. A., Horton, B. P., Larcombe, P., &amp; Whittaker, J. E. (2005). Intertidal mangrove foraminifera from the central Great Barrier Reef shelf, Australia: implications for sea-level reconstruction. </w:t>
      </w:r>
      <w:r w:rsidRPr="00C437D6">
        <w:t>The Journal of Foraminiferal Research</w:t>
      </w:r>
      <w:r>
        <w:t>, </w:t>
      </w:r>
      <w:r w:rsidRPr="00C437D6">
        <w:t>35</w:t>
      </w:r>
      <w:r>
        <w:t>(3), 259-270.</w:t>
      </w:r>
    </w:p>
    <w:p w14:paraId="2C3FDE88" w14:textId="0EB4AA8B" w:rsidR="002A05EB" w:rsidRDefault="002A05EB" w:rsidP="00381E0B">
      <w:pPr>
        <w:pStyle w:val="Reference"/>
      </w:pPr>
      <w:r>
        <w:t>Wong, S. H., &amp; Li, Y. S. (1990). Hydrographic surveys and sedimentation in Deep Bay, Hong Kong. </w:t>
      </w:r>
      <w:r w:rsidRPr="00B56652">
        <w:t>Environmental Geology and Water Sciences</w:t>
      </w:r>
      <w:r>
        <w:t>, </w:t>
      </w:r>
      <w:r w:rsidRPr="00B56652">
        <w:t>15</w:t>
      </w:r>
      <w:r>
        <w:t>(2), 111-118.</w:t>
      </w:r>
    </w:p>
    <w:p w14:paraId="58D64FA3" w14:textId="7E31859F" w:rsidR="00E70B8A" w:rsidRDefault="00E70B8A" w:rsidP="00381E0B">
      <w:pPr>
        <w:pStyle w:val="Reference"/>
      </w:pPr>
      <w:r w:rsidRPr="00D755CD">
        <w:t>Woodroffe, S. A., &amp; Long, A. J. (2010). Reconstructing recent relative sea-level changes in West Greenland: Local diatom-based transfer functions are superior to regional models. Quaternary International, 221(1-2), 91-103.</w:t>
      </w:r>
    </w:p>
    <w:p w14:paraId="4BCA1E33" w14:textId="0F3542A5" w:rsidR="0052174E" w:rsidRDefault="0052174E" w:rsidP="00381E0B">
      <w:pPr>
        <w:pStyle w:val="Reference"/>
      </w:pPr>
      <w:r>
        <w:t xml:space="preserve">Wright, A. J., Edwards, R. J., &amp; van de </w:t>
      </w:r>
      <w:proofErr w:type="spellStart"/>
      <w:r>
        <w:t>Plassche</w:t>
      </w:r>
      <w:proofErr w:type="spellEnd"/>
      <w:r>
        <w:t>, O. (2011). Reassessing transfer-function performance in sea-level reconstruction based on benthic salt-marsh foraminifera from the Atlantic coast of NE North America. </w:t>
      </w:r>
      <w:r w:rsidRPr="00B56652">
        <w:t>Marine Micropaleontology</w:t>
      </w:r>
      <w:r>
        <w:t>, </w:t>
      </w:r>
      <w:r w:rsidRPr="00B56652">
        <w:t>81</w:t>
      </w:r>
      <w:r>
        <w:t>(1-2), 43-62.</w:t>
      </w:r>
    </w:p>
    <w:p w14:paraId="7AC8DBDB" w14:textId="218447F2" w:rsidR="002F37C8" w:rsidRDefault="002F37C8" w:rsidP="00381E0B">
      <w:pPr>
        <w:pStyle w:val="Reference"/>
      </w:pPr>
      <w:r w:rsidRPr="001B2703">
        <w:t xml:space="preserve">Wukovits, J., Enge, A. J., Wanek, W., Watzka, M., &amp; Heinz, P. (2017). Increased temperature causes different carbon and nitrogen processing patterns in two common intertidal foraminifera (ammonia </w:t>
      </w:r>
      <w:proofErr w:type="spellStart"/>
      <w:r w:rsidRPr="001B2703">
        <w:t>tepida</w:t>
      </w:r>
      <w:proofErr w:type="spellEnd"/>
      <w:r w:rsidRPr="001B2703">
        <w:t xml:space="preserve"> and </w:t>
      </w:r>
      <w:proofErr w:type="spellStart"/>
      <w:r w:rsidRPr="001B2703">
        <w:t>haynesina</w:t>
      </w:r>
      <w:proofErr w:type="spellEnd"/>
      <w:r w:rsidRPr="001B2703">
        <w:t xml:space="preserve"> germanica). </w:t>
      </w:r>
      <w:proofErr w:type="spellStart"/>
      <w:r w:rsidRPr="001B2703">
        <w:t>Biogeosciences</w:t>
      </w:r>
      <w:proofErr w:type="spellEnd"/>
      <w:r w:rsidRPr="001B2703">
        <w:t>, 14(11), 2815-2829.</w:t>
      </w:r>
    </w:p>
    <w:p w14:paraId="20167A1E" w14:textId="15F84A16" w:rsidR="00411C5E" w:rsidRDefault="00411C5E" w:rsidP="00381E0B">
      <w:pPr>
        <w:pStyle w:val="Reference"/>
      </w:pPr>
      <w:r w:rsidRPr="001B2703">
        <w:t xml:space="preserve">Wukovits, J., </w:t>
      </w:r>
      <w:proofErr w:type="spellStart"/>
      <w:r w:rsidRPr="001B2703">
        <w:t>Oberrauch</w:t>
      </w:r>
      <w:proofErr w:type="spellEnd"/>
      <w:r w:rsidRPr="001B2703">
        <w:t xml:space="preserve">, M., Enge, A. J., &amp; Heinz, P. (2018). The distinct roles of two intertidal foraminiferal species in phytodetrital carbon and nitrogen fluxes – results from laboratory feeding experiments. </w:t>
      </w:r>
      <w:proofErr w:type="spellStart"/>
      <w:r w:rsidRPr="001B2703">
        <w:t>Biogeosciences</w:t>
      </w:r>
      <w:proofErr w:type="spellEnd"/>
      <w:r w:rsidRPr="001B2703">
        <w:t>, 15(20), 6185-6198.</w:t>
      </w:r>
    </w:p>
    <w:p w14:paraId="7154003E" w14:textId="4EB43DDD" w:rsidR="007F485F" w:rsidRPr="00B56652" w:rsidRDefault="007F485F" w:rsidP="00381E0B">
      <w:pPr>
        <w:pStyle w:val="Reference"/>
      </w:pPr>
      <w:r w:rsidRPr="00B56652">
        <w:t xml:space="preserve">Wu, M., Zong, Y., Mok, K., Cheung, K., Xiong, H., &amp; Huang, G. (2017). Holocene hydrological and sea surface temperature changes in the northern coast of the South China Sea. Journal of Asian Earth Sciences, 135, 268–280. </w:t>
      </w:r>
    </w:p>
    <w:p w14:paraId="7ED0B1AB" w14:textId="1B290902" w:rsidR="00E50540" w:rsidRDefault="00E50540" w:rsidP="00381E0B">
      <w:pPr>
        <w:pStyle w:val="Reference"/>
      </w:pPr>
      <w:r>
        <w:t xml:space="preserve">Wu, X., Zhang, L., Hu, B. X., Wang, Y., &amp; Xu, Z. (2020). Isotopic and </w:t>
      </w:r>
      <w:proofErr w:type="spellStart"/>
      <w:r>
        <w:t>hydrochemical</w:t>
      </w:r>
      <w:proofErr w:type="spellEnd"/>
      <w:r>
        <w:t xml:space="preserve"> evidence for the salinity origin in the coastal aquifers of the Pearl River Delta, Guangzhou, China. </w:t>
      </w:r>
      <w:r w:rsidRPr="00B56652">
        <w:t>Journal of Contaminant Hydrology</w:t>
      </w:r>
      <w:r>
        <w:t>, </w:t>
      </w:r>
      <w:r w:rsidRPr="00B56652">
        <w:t>235</w:t>
      </w:r>
      <w:r>
        <w:t>, 103732.</w:t>
      </w:r>
    </w:p>
    <w:p w14:paraId="17C4FB1C" w14:textId="6035368E" w:rsidR="00BB653E" w:rsidRPr="00AD13BD" w:rsidRDefault="00BB653E" w:rsidP="00381E0B">
      <w:pPr>
        <w:pStyle w:val="Reference"/>
      </w:pPr>
      <w:r>
        <w:t xml:space="preserve">WWF-Hong Kong. (2024). </w:t>
      </w:r>
      <w:r w:rsidRPr="00B56652">
        <w:rPr>
          <w:i/>
          <w:iCs/>
        </w:rPr>
        <w:t>Mai Po Management Plan 2024-2029</w:t>
      </w:r>
      <w:r>
        <w:t xml:space="preserve">. Retrieved from </w:t>
      </w:r>
      <w:hyperlink r:id="rId16" w:tgtFrame="_new" w:history="1">
        <w:r w:rsidRPr="00B56652">
          <w:t>https://wwfhk.awsassets.panda.org/downloads/mpmp-2024-2029-external-version-june-7.pdf</w:t>
        </w:r>
      </w:hyperlink>
    </w:p>
    <w:p w14:paraId="43C42961" w14:textId="73B61BA7" w:rsidR="00F34C70" w:rsidRDefault="006F1A5C" w:rsidP="00381E0B">
      <w:pPr>
        <w:pStyle w:val="Reference"/>
      </w:pPr>
      <w:r w:rsidRPr="00AD13BD">
        <w:t xml:space="preserve">Xiong, H., Zong, Y., Qian, P., Huang, G., &amp; Fu, S. (2018). Holocene sea-level history of the northern coast of South China Sea. Quaternary science reviews, 194, 12-26. </w:t>
      </w:r>
    </w:p>
    <w:p w14:paraId="17F2C85F" w14:textId="0B14FD0F" w:rsidR="006F1A5C" w:rsidRDefault="00F34C70" w:rsidP="00381E0B">
      <w:pPr>
        <w:pStyle w:val="Reference"/>
      </w:pPr>
      <w:r w:rsidRPr="009E18AA">
        <w:t xml:space="preserve">Xiong, H., Zong, Y., Li, T., Long, T., Huang, G., &amp; Fu, S. (2020). Coastal GIA processes revealed by the early to middle Holocene sea-level history of east China. </w:t>
      </w:r>
      <w:r w:rsidRPr="00C437D6">
        <w:t>Quaternary science reviews</w:t>
      </w:r>
      <w:r w:rsidRPr="009E18AA">
        <w:t>,</w:t>
      </w:r>
      <w:r w:rsidRPr="00C437D6">
        <w:t xml:space="preserve"> 233</w:t>
      </w:r>
      <w:r w:rsidRPr="009E18AA">
        <w:t xml:space="preserve">, 106249. </w:t>
      </w:r>
    </w:p>
    <w:p w14:paraId="2995DA3E" w14:textId="21ACAFCB" w:rsidR="00655F16" w:rsidRDefault="00655F16" w:rsidP="00381E0B">
      <w:pPr>
        <w:pStyle w:val="Reference"/>
      </w:pPr>
      <w:r w:rsidRPr="00655F16">
        <w:t>Xiong, H., Zong, Y., Huang, G., &amp; Fu, S. (2020). Human drivers accelerated the advance of Pearl River deltaic shoreline in the past 7500 years. Quaternary Science Reviews, 246, 106545.</w:t>
      </w:r>
    </w:p>
    <w:p w14:paraId="313749CA" w14:textId="1B993173" w:rsidR="00925D6E" w:rsidRDefault="00925D6E" w:rsidP="00381E0B">
      <w:pPr>
        <w:pStyle w:val="Reference"/>
      </w:pPr>
      <w:r w:rsidRPr="00AF57DE">
        <w:t>Xu, S. J. L., Chan, S. C. Y., Wong, B. Y. K., Zhou, H. C., Li, F. L., Tam, N. F. Y., &amp; Lee, F. W. F. (2022). Relationship between phytoplankton community and water parameters in planted fringing mangrove area in South China. Science of the Total Environment, 817, 152838.</w:t>
      </w:r>
    </w:p>
    <w:p w14:paraId="60B08BEB" w14:textId="27E2E6A3" w:rsidR="00306FFA" w:rsidRPr="00925D6E" w:rsidRDefault="00306FFA" w:rsidP="00381E0B">
      <w:pPr>
        <w:pStyle w:val="Reference"/>
      </w:pPr>
      <w:r w:rsidRPr="00306FFA">
        <w:t>Yin, K., Xu, S., Huang, W., &amp; Xie, Y. (2017). Effects of sea level rise and typhoon intensity on storm surge and waves in Pearl River Estuary. </w:t>
      </w:r>
      <w:r w:rsidRPr="00B56652">
        <w:t>Ocean Engineering</w:t>
      </w:r>
      <w:r w:rsidRPr="00306FFA">
        <w:t>, </w:t>
      </w:r>
      <w:r w:rsidRPr="00B56652">
        <w:t>136</w:t>
      </w:r>
      <w:r w:rsidRPr="00306FFA">
        <w:t>, 80-93.</w:t>
      </w:r>
    </w:p>
    <w:p w14:paraId="715C2ADC" w14:textId="3F3CE24B" w:rsidR="00C6714E" w:rsidRDefault="006F1A5C" w:rsidP="00381E0B">
      <w:pPr>
        <w:pStyle w:val="Reference"/>
      </w:pPr>
      <w:r w:rsidRPr="00AD13BD">
        <w:lastRenderedPageBreak/>
        <w:t xml:space="preserve">Yu, F., Zong, Y., Lloyd, J. M., Huang, G., Leng, M. J., Kendrick, C., Lamb, A. L., &amp; Yim, W. W. S. (2010). Bulk organic δ13C and C/N as indicators for sediment sources in the Pearl River delta and estuary, southern China. Estuarine, Coastal and Shelf Science, 87(4), 618-630. </w:t>
      </w:r>
    </w:p>
    <w:p w14:paraId="00C5CB17" w14:textId="77777777" w:rsidR="006D0690" w:rsidRDefault="00C6714E" w:rsidP="00381E0B">
      <w:pPr>
        <w:pStyle w:val="Reference"/>
      </w:pPr>
      <w:r>
        <w:t>Yuan, J., Ding, X., Cao, K., Pan, X., &amp; Yin, P. (2023). The environmental significance and low-oxygen indicator potential of benthic foraminiferal assemblages in surface sediments off the Changjiang River (Yangtze River) Estuary, China. </w:t>
      </w:r>
      <w:r w:rsidRPr="00B56652">
        <w:t>Marine Geology</w:t>
      </w:r>
      <w:r>
        <w:t>, </w:t>
      </w:r>
      <w:r w:rsidRPr="00B56652">
        <w:t>457</w:t>
      </w:r>
      <w:r>
        <w:t>, 107007.</w:t>
      </w:r>
      <w:r w:rsidR="006F1A5C" w:rsidRPr="00AD13BD">
        <w:t xml:space="preserve">  </w:t>
      </w:r>
    </w:p>
    <w:p w14:paraId="3E8473DB" w14:textId="241F3921" w:rsidR="006F1A5C" w:rsidRDefault="006F1A5C" w:rsidP="00381E0B">
      <w:pPr>
        <w:pStyle w:val="Reference"/>
      </w:pPr>
      <w:r w:rsidRPr="00AD13BD">
        <w:t xml:space="preserve">Zong, Y. (1997). Mid-and late-Holocene sea-level changes in </w:t>
      </w:r>
      <w:proofErr w:type="spellStart"/>
      <w:r w:rsidRPr="00AD13BD">
        <w:t>Roudsea</w:t>
      </w:r>
      <w:proofErr w:type="spellEnd"/>
      <w:r w:rsidRPr="00AD13BD">
        <w:t xml:space="preserve"> Marsh, northwest England: a diatom </w:t>
      </w:r>
      <w:proofErr w:type="spellStart"/>
      <w:r w:rsidRPr="00AD13BD">
        <w:t>biostratigraphical</w:t>
      </w:r>
      <w:proofErr w:type="spellEnd"/>
      <w:r w:rsidRPr="00AD13BD">
        <w:t xml:space="preserve"> investigation. The Holocene, 7(3), 311-323.   </w:t>
      </w:r>
    </w:p>
    <w:p w14:paraId="24A144AD" w14:textId="7F92577C" w:rsidR="008B36F4" w:rsidRDefault="00BC1DD3" w:rsidP="00381E0B">
      <w:pPr>
        <w:pStyle w:val="Reference"/>
      </w:pPr>
      <w:r>
        <w:t>Zong, Y., &amp; Horton, B. P. (1998). Diatom zones across intertidal flats and coastal saltmarshes in Britain. </w:t>
      </w:r>
      <w:r w:rsidRPr="00B56652">
        <w:t>Diatom Research</w:t>
      </w:r>
      <w:r>
        <w:t>, </w:t>
      </w:r>
      <w:r w:rsidRPr="00B56652">
        <w:t>13</w:t>
      </w:r>
      <w:r>
        <w:t>(2), 375-394.</w:t>
      </w:r>
    </w:p>
    <w:p w14:paraId="066E7B45" w14:textId="5AEE0DA6" w:rsidR="00FC48B3" w:rsidRDefault="00FC48B3" w:rsidP="00381E0B">
      <w:pPr>
        <w:pStyle w:val="Reference"/>
      </w:pPr>
      <w:r w:rsidRPr="00FC48B3">
        <w:t>Zong, Y. (2004). Mid-Holocene sea-level highstand along the Southeast Coast of China. Quaternary International, 117(1), 55-67.</w:t>
      </w:r>
    </w:p>
    <w:p w14:paraId="0B00457A" w14:textId="1CF07806" w:rsidR="0029727C" w:rsidRDefault="0029727C" w:rsidP="00381E0B">
      <w:pPr>
        <w:pStyle w:val="Reference"/>
      </w:pPr>
      <w:r w:rsidRPr="00B92EB6">
        <w:t>Zong, Y., Huang, G., Switzer, A. D., Yu, F., &amp; Yim, W. S. (2009). An evolutionary model for the Holocene formation of the Pearl River delta, China. The Holocene, 19(1), 129-142.</w:t>
      </w:r>
    </w:p>
    <w:sectPr w:rsidR="0029727C" w:rsidSect="00A70148">
      <w:footerReference w:type="even" r:id="rId17"/>
      <w:footerReference w:type="default" r:id="rId18"/>
      <w:pgSz w:w="11900" w:h="16840"/>
      <w:pgMar w:top="1440" w:right="1440" w:bottom="1440" w:left="1440" w:header="708" w:footer="708"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FA5F62A" w14:textId="77777777" w:rsidR="00023B57" w:rsidRDefault="00023B57" w:rsidP="00800A49">
      <w:pPr>
        <w:spacing w:line="240" w:lineRule="auto"/>
      </w:pPr>
      <w:r>
        <w:separator/>
      </w:r>
    </w:p>
  </w:endnote>
  <w:endnote w:type="continuationSeparator" w:id="0">
    <w:p w14:paraId="31699386" w14:textId="77777777" w:rsidR="00023B57" w:rsidRDefault="00023B57" w:rsidP="00800A4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Helvetica Neue">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584583025"/>
      <w:docPartObj>
        <w:docPartGallery w:val="Page Numbers (Bottom of Page)"/>
        <w:docPartUnique/>
      </w:docPartObj>
    </w:sdtPr>
    <w:sdtContent>
      <w:p w14:paraId="5EDE4FF4" w14:textId="7D61EFDF" w:rsidR="00800A49" w:rsidRDefault="00800A49" w:rsidP="00C8679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132E27" w14:textId="77777777" w:rsidR="00800A49" w:rsidRDefault="00800A49">
    <w:pPr>
      <w:pStyle w:val="Footer"/>
    </w:pPr>
  </w:p>
  <w:p w14:paraId="28397123" w14:textId="77777777" w:rsidR="00787166" w:rsidRDefault="0078716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652284549"/>
      <w:docPartObj>
        <w:docPartGallery w:val="Page Numbers (Bottom of Page)"/>
        <w:docPartUnique/>
      </w:docPartObj>
    </w:sdtPr>
    <w:sdtContent>
      <w:p w14:paraId="2B1982E1" w14:textId="5B7D230B" w:rsidR="00800A49" w:rsidRDefault="00800A49" w:rsidP="00C86794">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694F21F" w14:textId="77777777" w:rsidR="00800A49" w:rsidRDefault="00800A49">
    <w:pPr>
      <w:pStyle w:val="Footer"/>
    </w:pPr>
  </w:p>
  <w:p w14:paraId="31B0CEE9" w14:textId="77777777" w:rsidR="00787166" w:rsidRDefault="0078716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2B3460A" w14:textId="77777777" w:rsidR="00023B57" w:rsidRDefault="00023B57" w:rsidP="00800A49">
      <w:pPr>
        <w:spacing w:line="240" w:lineRule="auto"/>
      </w:pPr>
      <w:r>
        <w:separator/>
      </w:r>
    </w:p>
  </w:footnote>
  <w:footnote w:type="continuationSeparator" w:id="0">
    <w:p w14:paraId="020FB4BF" w14:textId="77777777" w:rsidR="00023B57" w:rsidRDefault="00023B57" w:rsidP="00800A49">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E3CF9"/>
    <w:multiLevelType w:val="hybridMultilevel"/>
    <w:tmpl w:val="D116B8F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22571CC"/>
    <w:multiLevelType w:val="hybridMultilevel"/>
    <w:tmpl w:val="C85E639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1DAA4976"/>
    <w:multiLevelType w:val="hybridMultilevel"/>
    <w:tmpl w:val="DC80A37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B1325D0"/>
    <w:multiLevelType w:val="hybridMultilevel"/>
    <w:tmpl w:val="A5309F0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31A963A7"/>
    <w:multiLevelType w:val="multilevel"/>
    <w:tmpl w:val="731A2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76835976"/>
    <w:multiLevelType w:val="hybridMultilevel"/>
    <w:tmpl w:val="02889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83744303">
    <w:abstractNumId w:val="4"/>
  </w:num>
  <w:num w:numId="2" w16cid:durableId="267011719">
    <w:abstractNumId w:val="5"/>
  </w:num>
  <w:num w:numId="3" w16cid:durableId="1469326355">
    <w:abstractNumId w:val="2"/>
  </w:num>
  <w:num w:numId="4" w16cid:durableId="1778211175">
    <w:abstractNumId w:val="0"/>
  </w:num>
  <w:num w:numId="5" w16cid:durableId="811480178">
    <w:abstractNumId w:val="3"/>
  </w:num>
  <w:num w:numId="6" w16cid:durableId="18887128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955erfxp5wp9zve92x4xtw2k0aw0zas2zrvt&quot;&gt;My EndNote Library&lt;record-ids&gt;&lt;item&gt;235&lt;/item&gt;&lt;item&gt;243&lt;/item&gt;&lt;item&gt;275&lt;/item&gt;&lt;item&gt;315&lt;/item&gt;&lt;item&gt;510&lt;/item&gt;&lt;item&gt;574&lt;/item&gt;&lt;item&gt;580&lt;/item&gt;&lt;item&gt;666&lt;/item&gt;&lt;item&gt;747&lt;/item&gt;&lt;item&gt;751&lt;/item&gt;&lt;item&gt;752&lt;/item&gt;&lt;item&gt;912&lt;/item&gt;&lt;/record-ids&gt;&lt;/item&gt;&lt;/Libraries&gt;"/>
  </w:docVars>
  <w:rsids>
    <w:rsidRoot w:val="00780408"/>
    <w:rsid w:val="000003EC"/>
    <w:rsid w:val="000004CE"/>
    <w:rsid w:val="000008C4"/>
    <w:rsid w:val="00000E09"/>
    <w:rsid w:val="0000132A"/>
    <w:rsid w:val="000019FB"/>
    <w:rsid w:val="00002571"/>
    <w:rsid w:val="00002772"/>
    <w:rsid w:val="000027C0"/>
    <w:rsid w:val="00002C7C"/>
    <w:rsid w:val="00002E9E"/>
    <w:rsid w:val="00003B7E"/>
    <w:rsid w:val="00003F85"/>
    <w:rsid w:val="0000419C"/>
    <w:rsid w:val="00004439"/>
    <w:rsid w:val="00004A3F"/>
    <w:rsid w:val="00004B83"/>
    <w:rsid w:val="00004C5F"/>
    <w:rsid w:val="0000504A"/>
    <w:rsid w:val="0000506E"/>
    <w:rsid w:val="00005099"/>
    <w:rsid w:val="00005250"/>
    <w:rsid w:val="00005532"/>
    <w:rsid w:val="00006F8A"/>
    <w:rsid w:val="000077FB"/>
    <w:rsid w:val="00007D69"/>
    <w:rsid w:val="00010239"/>
    <w:rsid w:val="00010705"/>
    <w:rsid w:val="000117F7"/>
    <w:rsid w:val="00011F26"/>
    <w:rsid w:val="0001281B"/>
    <w:rsid w:val="00013508"/>
    <w:rsid w:val="000136D6"/>
    <w:rsid w:val="00013AE4"/>
    <w:rsid w:val="00013BD0"/>
    <w:rsid w:val="0001435D"/>
    <w:rsid w:val="00014E4A"/>
    <w:rsid w:val="000152CB"/>
    <w:rsid w:val="00015A5F"/>
    <w:rsid w:val="00015A61"/>
    <w:rsid w:val="0001622E"/>
    <w:rsid w:val="00016274"/>
    <w:rsid w:val="000163A7"/>
    <w:rsid w:val="000170AD"/>
    <w:rsid w:val="00017879"/>
    <w:rsid w:val="0001798C"/>
    <w:rsid w:val="00020ECF"/>
    <w:rsid w:val="00021BDE"/>
    <w:rsid w:val="00021C3C"/>
    <w:rsid w:val="00022400"/>
    <w:rsid w:val="00022E3F"/>
    <w:rsid w:val="0002321D"/>
    <w:rsid w:val="00023590"/>
    <w:rsid w:val="00023905"/>
    <w:rsid w:val="00023B57"/>
    <w:rsid w:val="00023BC1"/>
    <w:rsid w:val="00023FC9"/>
    <w:rsid w:val="00024978"/>
    <w:rsid w:val="00024C18"/>
    <w:rsid w:val="00025459"/>
    <w:rsid w:val="00025528"/>
    <w:rsid w:val="00025C77"/>
    <w:rsid w:val="00027BB5"/>
    <w:rsid w:val="00027E29"/>
    <w:rsid w:val="00027E9D"/>
    <w:rsid w:val="000302D6"/>
    <w:rsid w:val="0003039E"/>
    <w:rsid w:val="0003147C"/>
    <w:rsid w:val="0003149A"/>
    <w:rsid w:val="00031881"/>
    <w:rsid w:val="00031B48"/>
    <w:rsid w:val="00032671"/>
    <w:rsid w:val="00032D87"/>
    <w:rsid w:val="00032F5C"/>
    <w:rsid w:val="0003315A"/>
    <w:rsid w:val="000335F8"/>
    <w:rsid w:val="00033AFE"/>
    <w:rsid w:val="000342DD"/>
    <w:rsid w:val="00034EFE"/>
    <w:rsid w:val="00035088"/>
    <w:rsid w:val="000356B8"/>
    <w:rsid w:val="00035E3E"/>
    <w:rsid w:val="0003602A"/>
    <w:rsid w:val="0003628E"/>
    <w:rsid w:val="000364E4"/>
    <w:rsid w:val="0003659A"/>
    <w:rsid w:val="00036628"/>
    <w:rsid w:val="00036D83"/>
    <w:rsid w:val="00036F2F"/>
    <w:rsid w:val="00037377"/>
    <w:rsid w:val="000374B3"/>
    <w:rsid w:val="00041524"/>
    <w:rsid w:val="00042167"/>
    <w:rsid w:val="000421C3"/>
    <w:rsid w:val="0004238C"/>
    <w:rsid w:val="00042396"/>
    <w:rsid w:val="00042630"/>
    <w:rsid w:val="000427B7"/>
    <w:rsid w:val="000429E9"/>
    <w:rsid w:val="000433B8"/>
    <w:rsid w:val="00043481"/>
    <w:rsid w:val="000439BA"/>
    <w:rsid w:val="00043E4C"/>
    <w:rsid w:val="00043F62"/>
    <w:rsid w:val="0004415C"/>
    <w:rsid w:val="000447CC"/>
    <w:rsid w:val="00045009"/>
    <w:rsid w:val="00045DDF"/>
    <w:rsid w:val="00046B70"/>
    <w:rsid w:val="00046E76"/>
    <w:rsid w:val="00046ECF"/>
    <w:rsid w:val="00046F89"/>
    <w:rsid w:val="000505CF"/>
    <w:rsid w:val="00050CA7"/>
    <w:rsid w:val="00051367"/>
    <w:rsid w:val="000515A7"/>
    <w:rsid w:val="000515B5"/>
    <w:rsid w:val="000516AB"/>
    <w:rsid w:val="00051C47"/>
    <w:rsid w:val="00051FF8"/>
    <w:rsid w:val="00052D95"/>
    <w:rsid w:val="000537A0"/>
    <w:rsid w:val="00053A90"/>
    <w:rsid w:val="00053BEB"/>
    <w:rsid w:val="00054480"/>
    <w:rsid w:val="00055382"/>
    <w:rsid w:val="000554C7"/>
    <w:rsid w:val="00055711"/>
    <w:rsid w:val="0005571A"/>
    <w:rsid w:val="00056DE9"/>
    <w:rsid w:val="00056DF8"/>
    <w:rsid w:val="000577B2"/>
    <w:rsid w:val="00057EA5"/>
    <w:rsid w:val="00060780"/>
    <w:rsid w:val="00060C0E"/>
    <w:rsid w:val="000613DC"/>
    <w:rsid w:val="00061527"/>
    <w:rsid w:val="00061812"/>
    <w:rsid w:val="000618E6"/>
    <w:rsid w:val="00062242"/>
    <w:rsid w:val="00062385"/>
    <w:rsid w:val="00064312"/>
    <w:rsid w:val="000644A8"/>
    <w:rsid w:val="00064AB9"/>
    <w:rsid w:val="00064FBF"/>
    <w:rsid w:val="000653D9"/>
    <w:rsid w:val="00065420"/>
    <w:rsid w:val="000655FC"/>
    <w:rsid w:val="00065F4D"/>
    <w:rsid w:val="0006614F"/>
    <w:rsid w:val="00066439"/>
    <w:rsid w:val="000668DF"/>
    <w:rsid w:val="00066C42"/>
    <w:rsid w:val="00067426"/>
    <w:rsid w:val="000679C9"/>
    <w:rsid w:val="00067C57"/>
    <w:rsid w:val="00067D5A"/>
    <w:rsid w:val="00067DCA"/>
    <w:rsid w:val="0007006C"/>
    <w:rsid w:val="00070B33"/>
    <w:rsid w:val="00070BA1"/>
    <w:rsid w:val="000710B9"/>
    <w:rsid w:val="000715EB"/>
    <w:rsid w:val="00071883"/>
    <w:rsid w:val="000718AE"/>
    <w:rsid w:val="00071ABE"/>
    <w:rsid w:val="000720D9"/>
    <w:rsid w:val="000728DD"/>
    <w:rsid w:val="00072AD7"/>
    <w:rsid w:val="00073413"/>
    <w:rsid w:val="000737E8"/>
    <w:rsid w:val="00073BF1"/>
    <w:rsid w:val="00073DF5"/>
    <w:rsid w:val="00074099"/>
    <w:rsid w:val="0007430D"/>
    <w:rsid w:val="00074C36"/>
    <w:rsid w:val="0007526F"/>
    <w:rsid w:val="00075487"/>
    <w:rsid w:val="000757BB"/>
    <w:rsid w:val="00075EC1"/>
    <w:rsid w:val="00075F9B"/>
    <w:rsid w:val="000765B2"/>
    <w:rsid w:val="000768AB"/>
    <w:rsid w:val="000769EC"/>
    <w:rsid w:val="00076AE4"/>
    <w:rsid w:val="000771E3"/>
    <w:rsid w:val="0007765E"/>
    <w:rsid w:val="00077741"/>
    <w:rsid w:val="0008048F"/>
    <w:rsid w:val="00080BFA"/>
    <w:rsid w:val="00081196"/>
    <w:rsid w:val="00082C55"/>
    <w:rsid w:val="0008336A"/>
    <w:rsid w:val="0008359A"/>
    <w:rsid w:val="0008427B"/>
    <w:rsid w:val="000844CF"/>
    <w:rsid w:val="00084501"/>
    <w:rsid w:val="0008506B"/>
    <w:rsid w:val="0008550B"/>
    <w:rsid w:val="00085B87"/>
    <w:rsid w:val="00085FCE"/>
    <w:rsid w:val="00086273"/>
    <w:rsid w:val="000864F3"/>
    <w:rsid w:val="0008720C"/>
    <w:rsid w:val="000875AE"/>
    <w:rsid w:val="0008784D"/>
    <w:rsid w:val="00087DC4"/>
    <w:rsid w:val="00090098"/>
    <w:rsid w:val="00090639"/>
    <w:rsid w:val="000906A7"/>
    <w:rsid w:val="0009070F"/>
    <w:rsid w:val="00090B69"/>
    <w:rsid w:val="00092049"/>
    <w:rsid w:val="0009271A"/>
    <w:rsid w:val="00092CC6"/>
    <w:rsid w:val="00093118"/>
    <w:rsid w:val="0009331E"/>
    <w:rsid w:val="000935EF"/>
    <w:rsid w:val="00093F8B"/>
    <w:rsid w:val="000949B7"/>
    <w:rsid w:val="00094AAD"/>
    <w:rsid w:val="00094E3A"/>
    <w:rsid w:val="00095019"/>
    <w:rsid w:val="000956FF"/>
    <w:rsid w:val="00095C2A"/>
    <w:rsid w:val="0009666B"/>
    <w:rsid w:val="0009676F"/>
    <w:rsid w:val="00097060"/>
    <w:rsid w:val="0009767F"/>
    <w:rsid w:val="00097714"/>
    <w:rsid w:val="00097D79"/>
    <w:rsid w:val="000A17C8"/>
    <w:rsid w:val="000A1970"/>
    <w:rsid w:val="000A21A7"/>
    <w:rsid w:val="000A31DB"/>
    <w:rsid w:val="000A33FF"/>
    <w:rsid w:val="000A34C4"/>
    <w:rsid w:val="000A3795"/>
    <w:rsid w:val="000A4134"/>
    <w:rsid w:val="000A43AF"/>
    <w:rsid w:val="000A49B1"/>
    <w:rsid w:val="000A4AB2"/>
    <w:rsid w:val="000A4B56"/>
    <w:rsid w:val="000A4CB5"/>
    <w:rsid w:val="000A604D"/>
    <w:rsid w:val="000A65C2"/>
    <w:rsid w:val="000A6BF5"/>
    <w:rsid w:val="000A73C6"/>
    <w:rsid w:val="000A7745"/>
    <w:rsid w:val="000A7906"/>
    <w:rsid w:val="000A7FC2"/>
    <w:rsid w:val="000B01E4"/>
    <w:rsid w:val="000B095A"/>
    <w:rsid w:val="000B0D3E"/>
    <w:rsid w:val="000B0F2B"/>
    <w:rsid w:val="000B0FF0"/>
    <w:rsid w:val="000B17E3"/>
    <w:rsid w:val="000B24E7"/>
    <w:rsid w:val="000B2C5E"/>
    <w:rsid w:val="000B2EBA"/>
    <w:rsid w:val="000B2F04"/>
    <w:rsid w:val="000B3912"/>
    <w:rsid w:val="000B3DA6"/>
    <w:rsid w:val="000B3FDC"/>
    <w:rsid w:val="000B4335"/>
    <w:rsid w:val="000B4766"/>
    <w:rsid w:val="000B4A03"/>
    <w:rsid w:val="000B53E5"/>
    <w:rsid w:val="000B54DF"/>
    <w:rsid w:val="000B54FD"/>
    <w:rsid w:val="000B57E4"/>
    <w:rsid w:val="000B6D19"/>
    <w:rsid w:val="000B7C62"/>
    <w:rsid w:val="000C00AD"/>
    <w:rsid w:val="000C0C32"/>
    <w:rsid w:val="000C0DB0"/>
    <w:rsid w:val="000C1001"/>
    <w:rsid w:val="000C1D08"/>
    <w:rsid w:val="000C29AC"/>
    <w:rsid w:val="000C2F32"/>
    <w:rsid w:val="000C36F1"/>
    <w:rsid w:val="000C3748"/>
    <w:rsid w:val="000C37C7"/>
    <w:rsid w:val="000C3D88"/>
    <w:rsid w:val="000C4147"/>
    <w:rsid w:val="000C42EC"/>
    <w:rsid w:val="000C48EF"/>
    <w:rsid w:val="000C4B68"/>
    <w:rsid w:val="000C4F79"/>
    <w:rsid w:val="000C51E8"/>
    <w:rsid w:val="000C54C7"/>
    <w:rsid w:val="000C61A1"/>
    <w:rsid w:val="000C6639"/>
    <w:rsid w:val="000C6713"/>
    <w:rsid w:val="000C6751"/>
    <w:rsid w:val="000C69CD"/>
    <w:rsid w:val="000C6FC3"/>
    <w:rsid w:val="000C708A"/>
    <w:rsid w:val="000C747F"/>
    <w:rsid w:val="000C7625"/>
    <w:rsid w:val="000C762A"/>
    <w:rsid w:val="000C7AC4"/>
    <w:rsid w:val="000C7CCD"/>
    <w:rsid w:val="000C7DCF"/>
    <w:rsid w:val="000D060B"/>
    <w:rsid w:val="000D07E9"/>
    <w:rsid w:val="000D0FB6"/>
    <w:rsid w:val="000D14AD"/>
    <w:rsid w:val="000D1705"/>
    <w:rsid w:val="000D21BF"/>
    <w:rsid w:val="000D27EF"/>
    <w:rsid w:val="000D2E76"/>
    <w:rsid w:val="000D3215"/>
    <w:rsid w:val="000D3677"/>
    <w:rsid w:val="000D37D5"/>
    <w:rsid w:val="000D3E83"/>
    <w:rsid w:val="000D4667"/>
    <w:rsid w:val="000D493E"/>
    <w:rsid w:val="000D4CC3"/>
    <w:rsid w:val="000D50A3"/>
    <w:rsid w:val="000D50BB"/>
    <w:rsid w:val="000D51A2"/>
    <w:rsid w:val="000D52CD"/>
    <w:rsid w:val="000D5433"/>
    <w:rsid w:val="000D55A4"/>
    <w:rsid w:val="000D568B"/>
    <w:rsid w:val="000D579D"/>
    <w:rsid w:val="000D5D39"/>
    <w:rsid w:val="000D6602"/>
    <w:rsid w:val="000D7280"/>
    <w:rsid w:val="000D73EE"/>
    <w:rsid w:val="000D7FC7"/>
    <w:rsid w:val="000E013F"/>
    <w:rsid w:val="000E0159"/>
    <w:rsid w:val="000E037D"/>
    <w:rsid w:val="000E053A"/>
    <w:rsid w:val="000E10A9"/>
    <w:rsid w:val="000E15B1"/>
    <w:rsid w:val="000E21DB"/>
    <w:rsid w:val="000E21FF"/>
    <w:rsid w:val="000E29F2"/>
    <w:rsid w:val="000E3664"/>
    <w:rsid w:val="000E3B5C"/>
    <w:rsid w:val="000E3C40"/>
    <w:rsid w:val="000E3C46"/>
    <w:rsid w:val="000E3CF8"/>
    <w:rsid w:val="000E4112"/>
    <w:rsid w:val="000E41E6"/>
    <w:rsid w:val="000E4847"/>
    <w:rsid w:val="000E4B6D"/>
    <w:rsid w:val="000E4C1F"/>
    <w:rsid w:val="000E54B2"/>
    <w:rsid w:val="000E556A"/>
    <w:rsid w:val="000E57B2"/>
    <w:rsid w:val="000E5A08"/>
    <w:rsid w:val="000E5DDF"/>
    <w:rsid w:val="000E6672"/>
    <w:rsid w:val="000E67BB"/>
    <w:rsid w:val="000E6834"/>
    <w:rsid w:val="000E6D8F"/>
    <w:rsid w:val="000E6DBF"/>
    <w:rsid w:val="000E71CE"/>
    <w:rsid w:val="000E7B79"/>
    <w:rsid w:val="000F09B4"/>
    <w:rsid w:val="000F117A"/>
    <w:rsid w:val="000F152F"/>
    <w:rsid w:val="000F1927"/>
    <w:rsid w:val="000F1E5B"/>
    <w:rsid w:val="000F253B"/>
    <w:rsid w:val="000F2BA4"/>
    <w:rsid w:val="000F3ED9"/>
    <w:rsid w:val="000F4E26"/>
    <w:rsid w:val="000F5DA0"/>
    <w:rsid w:val="000F6103"/>
    <w:rsid w:val="000F65C9"/>
    <w:rsid w:val="000F6C25"/>
    <w:rsid w:val="000F79D7"/>
    <w:rsid w:val="000F7B29"/>
    <w:rsid w:val="000F7CD5"/>
    <w:rsid w:val="001000D8"/>
    <w:rsid w:val="00100109"/>
    <w:rsid w:val="001004B6"/>
    <w:rsid w:val="001006FA"/>
    <w:rsid w:val="0010093E"/>
    <w:rsid w:val="00100F95"/>
    <w:rsid w:val="001019C3"/>
    <w:rsid w:val="00101C3D"/>
    <w:rsid w:val="00101CBA"/>
    <w:rsid w:val="00101F5B"/>
    <w:rsid w:val="00102515"/>
    <w:rsid w:val="00102A77"/>
    <w:rsid w:val="00102B00"/>
    <w:rsid w:val="00102CBF"/>
    <w:rsid w:val="00104046"/>
    <w:rsid w:val="001040B2"/>
    <w:rsid w:val="00104384"/>
    <w:rsid w:val="0010453D"/>
    <w:rsid w:val="00104558"/>
    <w:rsid w:val="00104B01"/>
    <w:rsid w:val="0010535D"/>
    <w:rsid w:val="00105640"/>
    <w:rsid w:val="00105AF1"/>
    <w:rsid w:val="00105C3B"/>
    <w:rsid w:val="0010663C"/>
    <w:rsid w:val="00106815"/>
    <w:rsid w:val="00106E46"/>
    <w:rsid w:val="001073DA"/>
    <w:rsid w:val="001076F5"/>
    <w:rsid w:val="0010772B"/>
    <w:rsid w:val="00107EBB"/>
    <w:rsid w:val="0011087D"/>
    <w:rsid w:val="00111720"/>
    <w:rsid w:val="00111EFA"/>
    <w:rsid w:val="0011275E"/>
    <w:rsid w:val="00112F0A"/>
    <w:rsid w:val="00113A12"/>
    <w:rsid w:val="00113B65"/>
    <w:rsid w:val="00113C89"/>
    <w:rsid w:val="00113CBF"/>
    <w:rsid w:val="00114E12"/>
    <w:rsid w:val="00115DE8"/>
    <w:rsid w:val="00116D20"/>
    <w:rsid w:val="00117321"/>
    <w:rsid w:val="00117454"/>
    <w:rsid w:val="00117617"/>
    <w:rsid w:val="00120817"/>
    <w:rsid w:val="001216CD"/>
    <w:rsid w:val="001221B7"/>
    <w:rsid w:val="00122827"/>
    <w:rsid w:val="001232BF"/>
    <w:rsid w:val="00123813"/>
    <w:rsid w:val="001238B1"/>
    <w:rsid w:val="0012407E"/>
    <w:rsid w:val="00124088"/>
    <w:rsid w:val="00124C76"/>
    <w:rsid w:val="00124FA7"/>
    <w:rsid w:val="001250DF"/>
    <w:rsid w:val="0012540D"/>
    <w:rsid w:val="0012572C"/>
    <w:rsid w:val="00125D29"/>
    <w:rsid w:val="00125D8C"/>
    <w:rsid w:val="00125F84"/>
    <w:rsid w:val="0012632E"/>
    <w:rsid w:val="0012659F"/>
    <w:rsid w:val="00126D51"/>
    <w:rsid w:val="001270ED"/>
    <w:rsid w:val="00127FFD"/>
    <w:rsid w:val="001300C5"/>
    <w:rsid w:val="00130C47"/>
    <w:rsid w:val="0013204A"/>
    <w:rsid w:val="00132246"/>
    <w:rsid w:val="001322A6"/>
    <w:rsid w:val="0013429B"/>
    <w:rsid w:val="001347AC"/>
    <w:rsid w:val="001348A1"/>
    <w:rsid w:val="00134A3D"/>
    <w:rsid w:val="00134C5B"/>
    <w:rsid w:val="00134CF4"/>
    <w:rsid w:val="00134E6F"/>
    <w:rsid w:val="00134ECC"/>
    <w:rsid w:val="00135049"/>
    <w:rsid w:val="00135FFA"/>
    <w:rsid w:val="00136137"/>
    <w:rsid w:val="001368EF"/>
    <w:rsid w:val="00136A43"/>
    <w:rsid w:val="00136B5E"/>
    <w:rsid w:val="00136C1E"/>
    <w:rsid w:val="0013775A"/>
    <w:rsid w:val="001402C0"/>
    <w:rsid w:val="001409A5"/>
    <w:rsid w:val="00141195"/>
    <w:rsid w:val="00141283"/>
    <w:rsid w:val="001415BB"/>
    <w:rsid w:val="001419D7"/>
    <w:rsid w:val="00141E78"/>
    <w:rsid w:val="001426BF"/>
    <w:rsid w:val="001432EC"/>
    <w:rsid w:val="001435D7"/>
    <w:rsid w:val="001437DD"/>
    <w:rsid w:val="00143CFC"/>
    <w:rsid w:val="0014439E"/>
    <w:rsid w:val="001447B1"/>
    <w:rsid w:val="00144837"/>
    <w:rsid w:val="00144CD2"/>
    <w:rsid w:val="00144E48"/>
    <w:rsid w:val="001452B2"/>
    <w:rsid w:val="00145543"/>
    <w:rsid w:val="00145EFA"/>
    <w:rsid w:val="001460F6"/>
    <w:rsid w:val="00146120"/>
    <w:rsid w:val="00146759"/>
    <w:rsid w:val="0014686D"/>
    <w:rsid w:val="00146CAC"/>
    <w:rsid w:val="001472AA"/>
    <w:rsid w:val="00147D93"/>
    <w:rsid w:val="00150D01"/>
    <w:rsid w:val="00150F8A"/>
    <w:rsid w:val="001518EF"/>
    <w:rsid w:val="00151BE2"/>
    <w:rsid w:val="00152040"/>
    <w:rsid w:val="00152047"/>
    <w:rsid w:val="00152130"/>
    <w:rsid w:val="00152C1B"/>
    <w:rsid w:val="001538E3"/>
    <w:rsid w:val="00153C99"/>
    <w:rsid w:val="00154042"/>
    <w:rsid w:val="00154109"/>
    <w:rsid w:val="0015434D"/>
    <w:rsid w:val="0015472B"/>
    <w:rsid w:val="0015505F"/>
    <w:rsid w:val="00155290"/>
    <w:rsid w:val="00155DE3"/>
    <w:rsid w:val="00156083"/>
    <w:rsid w:val="00157237"/>
    <w:rsid w:val="001607B1"/>
    <w:rsid w:val="00160A25"/>
    <w:rsid w:val="00160C7B"/>
    <w:rsid w:val="001615D7"/>
    <w:rsid w:val="00162366"/>
    <w:rsid w:val="001627EA"/>
    <w:rsid w:val="001635A3"/>
    <w:rsid w:val="0016398D"/>
    <w:rsid w:val="00163A92"/>
    <w:rsid w:val="00164AAF"/>
    <w:rsid w:val="00164AFE"/>
    <w:rsid w:val="00164C6F"/>
    <w:rsid w:val="00165183"/>
    <w:rsid w:val="00165499"/>
    <w:rsid w:val="0016574A"/>
    <w:rsid w:val="00165869"/>
    <w:rsid w:val="00165898"/>
    <w:rsid w:val="00165B34"/>
    <w:rsid w:val="00165F3B"/>
    <w:rsid w:val="00166BB6"/>
    <w:rsid w:val="00166C4C"/>
    <w:rsid w:val="00166DE2"/>
    <w:rsid w:val="00167866"/>
    <w:rsid w:val="00167AD3"/>
    <w:rsid w:val="001701ED"/>
    <w:rsid w:val="001702D8"/>
    <w:rsid w:val="00170A05"/>
    <w:rsid w:val="00170BF8"/>
    <w:rsid w:val="00171754"/>
    <w:rsid w:val="00172315"/>
    <w:rsid w:val="00172AE5"/>
    <w:rsid w:val="0017333C"/>
    <w:rsid w:val="00173B15"/>
    <w:rsid w:val="00173E10"/>
    <w:rsid w:val="001740AD"/>
    <w:rsid w:val="001742A9"/>
    <w:rsid w:val="0017456E"/>
    <w:rsid w:val="001746DC"/>
    <w:rsid w:val="001747FB"/>
    <w:rsid w:val="00175015"/>
    <w:rsid w:val="0017577D"/>
    <w:rsid w:val="00175A93"/>
    <w:rsid w:val="00176B4F"/>
    <w:rsid w:val="00176FF1"/>
    <w:rsid w:val="0017702D"/>
    <w:rsid w:val="00177122"/>
    <w:rsid w:val="00177A87"/>
    <w:rsid w:val="00177EFE"/>
    <w:rsid w:val="00180220"/>
    <w:rsid w:val="00181FEA"/>
    <w:rsid w:val="00182588"/>
    <w:rsid w:val="00182A52"/>
    <w:rsid w:val="00182EE3"/>
    <w:rsid w:val="00183C4A"/>
    <w:rsid w:val="00184757"/>
    <w:rsid w:val="001863BC"/>
    <w:rsid w:val="00186B94"/>
    <w:rsid w:val="00186FB0"/>
    <w:rsid w:val="0018713F"/>
    <w:rsid w:val="001872BC"/>
    <w:rsid w:val="001878BE"/>
    <w:rsid w:val="00187B2B"/>
    <w:rsid w:val="00187BF5"/>
    <w:rsid w:val="0019054D"/>
    <w:rsid w:val="0019057B"/>
    <w:rsid w:val="00190C05"/>
    <w:rsid w:val="001911FE"/>
    <w:rsid w:val="00192E43"/>
    <w:rsid w:val="0019345D"/>
    <w:rsid w:val="00193B70"/>
    <w:rsid w:val="00193C1A"/>
    <w:rsid w:val="00194D99"/>
    <w:rsid w:val="00195542"/>
    <w:rsid w:val="001955EE"/>
    <w:rsid w:val="00195671"/>
    <w:rsid w:val="00195B9F"/>
    <w:rsid w:val="0019669A"/>
    <w:rsid w:val="00196A12"/>
    <w:rsid w:val="00197ADF"/>
    <w:rsid w:val="00197C67"/>
    <w:rsid w:val="00197FDC"/>
    <w:rsid w:val="001A02AF"/>
    <w:rsid w:val="001A0315"/>
    <w:rsid w:val="001A032B"/>
    <w:rsid w:val="001A0A3A"/>
    <w:rsid w:val="001A0A4C"/>
    <w:rsid w:val="001A0D78"/>
    <w:rsid w:val="001A0DD6"/>
    <w:rsid w:val="001A1900"/>
    <w:rsid w:val="001A1958"/>
    <w:rsid w:val="001A1D40"/>
    <w:rsid w:val="001A2403"/>
    <w:rsid w:val="001A2820"/>
    <w:rsid w:val="001A2EDA"/>
    <w:rsid w:val="001A366C"/>
    <w:rsid w:val="001A3F35"/>
    <w:rsid w:val="001A4396"/>
    <w:rsid w:val="001A4480"/>
    <w:rsid w:val="001A4D20"/>
    <w:rsid w:val="001A54FC"/>
    <w:rsid w:val="001A5764"/>
    <w:rsid w:val="001A608B"/>
    <w:rsid w:val="001A61B3"/>
    <w:rsid w:val="001A62FD"/>
    <w:rsid w:val="001A6AF2"/>
    <w:rsid w:val="001A6F84"/>
    <w:rsid w:val="001A70E7"/>
    <w:rsid w:val="001A7930"/>
    <w:rsid w:val="001B0356"/>
    <w:rsid w:val="001B06CF"/>
    <w:rsid w:val="001B0951"/>
    <w:rsid w:val="001B0DDA"/>
    <w:rsid w:val="001B0F17"/>
    <w:rsid w:val="001B0F58"/>
    <w:rsid w:val="001B105E"/>
    <w:rsid w:val="001B14E5"/>
    <w:rsid w:val="001B15D2"/>
    <w:rsid w:val="001B1B3A"/>
    <w:rsid w:val="001B229C"/>
    <w:rsid w:val="001B2623"/>
    <w:rsid w:val="001B2703"/>
    <w:rsid w:val="001B270E"/>
    <w:rsid w:val="001B2809"/>
    <w:rsid w:val="001B2939"/>
    <w:rsid w:val="001B2B14"/>
    <w:rsid w:val="001B2E71"/>
    <w:rsid w:val="001B407B"/>
    <w:rsid w:val="001B4595"/>
    <w:rsid w:val="001B4EB3"/>
    <w:rsid w:val="001B5107"/>
    <w:rsid w:val="001B5200"/>
    <w:rsid w:val="001B5953"/>
    <w:rsid w:val="001B5BAF"/>
    <w:rsid w:val="001B5FD1"/>
    <w:rsid w:val="001B63A0"/>
    <w:rsid w:val="001B6496"/>
    <w:rsid w:val="001B73EA"/>
    <w:rsid w:val="001B7D18"/>
    <w:rsid w:val="001C0A59"/>
    <w:rsid w:val="001C0A92"/>
    <w:rsid w:val="001C13EE"/>
    <w:rsid w:val="001C140D"/>
    <w:rsid w:val="001C14B7"/>
    <w:rsid w:val="001C18D5"/>
    <w:rsid w:val="001C18D9"/>
    <w:rsid w:val="001C19D2"/>
    <w:rsid w:val="001C1DFC"/>
    <w:rsid w:val="001C2264"/>
    <w:rsid w:val="001C2445"/>
    <w:rsid w:val="001C30EC"/>
    <w:rsid w:val="001C3A11"/>
    <w:rsid w:val="001C42B6"/>
    <w:rsid w:val="001C4792"/>
    <w:rsid w:val="001C4BEF"/>
    <w:rsid w:val="001C4C55"/>
    <w:rsid w:val="001C535A"/>
    <w:rsid w:val="001C5469"/>
    <w:rsid w:val="001C5F59"/>
    <w:rsid w:val="001C6A07"/>
    <w:rsid w:val="001C6CB4"/>
    <w:rsid w:val="001C6CDB"/>
    <w:rsid w:val="001C76B1"/>
    <w:rsid w:val="001C7D2C"/>
    <w:rsid w:val="001C7D55"/>
    <w:rsid w:val="001C7F75"/>
    <w:rsid w:val="001D0022"/>
    <w:rsid w:val="001D01FF"/>
    <w:rsid w:val="001D02AB"/>
    <w:rsid w:val="001D04A3"/>
    <w:rsid w:val="001D057A"/>
    <w:rsid w:val="001D057B"/>
    <w:rsid w:val="001D127F"/>
    <w:rsid w:val="001D161F"/>
    <w:rsid w:val="001D199C"/>
    <w:rsid w:val="001D1AEE"/>
    <w:rsid w:val="001D1D8C"/>
    <w:rsid w:val="001D1E12"/>
    <w:rsid w:val="001D22E5"/>
    <w:rsid w:val="001D2581"/>
    <w:rsid w:val="001D2BE3"/>
    <w:rsid w:val="001D2BF6"/>
    <w:rsid w:val="001D358A"/>
    <w:rsid w:val="001D5BD4"/>
    <w:rsid w:val="001D6C03"/>
    <w:rsid w:val="001D6E9F"/>
    <w:rsid w:val="001D757E"/>
    <w:rsid w:val="001D776B"/>
    <w:rsid w:val="001D7DB8"/>
    <w:rsid w:val="001D7EB9"/>
    <w:rsid w:val="001E0A67"/>
    <w:rsid w:val="001E15DD"/>
    <w:rsid w:val="001E1860"/>
    <w:rsid w:val="001E1BB7"/>
    <w:rsid w:val="001E2041"/>
    <w:rsid w:val="001E213A"/>
    <w:rsid w:val="001E23C6"/>
    <w:rsid w:val="001E2CF9"/>
    <w:rsid w:val="001E2E2F"/>
    <w:rsid w:val="001E2F97"/>
    <w:rsid w:val="001E34F5"/>
    <w:rsid w:val="001E374E"/>
    <w:rsid w:val="001E3899"/>
    <w:rsid w:val="001E38C1"/>
    <w:rsid w:val="001E3976"/>
    <w:rsid w:val="001E3994"/>
    <w:rsid w:val="001E3A0F"/>
    <w:rsid w:val="001E3C9C"/>
    <w:rsid w:val="001E3DB5"/>
    <w:rsid w:val="001E3F4B"/>
    <w:rsid w:val="001E4693"/>
    <w:rsid w:val="001E475B"/>
    <w:rsid w:val="001E486A"/>
    <w:rsid w:val="001E5687"/>
    <w:rsid w:val="001E59E0"/>
    <w:rsid w:val="001E5F02"/>
    <w:rsid w:val="001E63E4"/>
    <w:rsid w:val="001E64E4"/>
    <w:rsid w:val="001E7260"/>
    <w:rsid w:val="001E7490"/>
    <w:rsid w:val="001E77FC"/>
    <w:rsid w:val="001E7E2B"/>
    <w:rsid w:val="001F0FD5"/>
    <w:rsid w:val="001F119C"/>
    <w:rsid w:val="001F180C"/>
    <w:rsid w:val="001F1B8F"/>
    <w:rsid w:val="001F1CDA"/>
    <w:rsid w:val="001F25C6"/>
    <w:rsid w:val="001F385D"/>
    <w:rsid w:val="001F40A7"/>
    <w:rsid w:val="001F4556"/>
    <w:rsid w:val="001F4A87"/>
    <w:rsid w:val="001F4FEE"/>
    <w:rsid w:val="001F52AF"/>
    <w:rsid w:val="001F5B42"/>
    <w:rsid w:val="001F5E6E"/>
    <w:rsid w:val="001F63FF"/>
    <w:rsid w:val="001F6525"/>
    <w:rsid w:val="001F6730"/>
    <w:rsid w:val="001F6B9F"/>
    <w:rsid w:val="001F6CF3"/>
    <w:rsid w:val="001F702F"/>
    <w:rsid w:val="001F787D"/>
    <w:rsid w:val="001F7F65"/>
    <w:rsid w:val="00200061"/>
    <w:rsid w:val="002001A7"/>
    <w:rsid w:val="002005E7"/>
    <w:rsid w:val="00200679"/>
    <w:rsid w:val="002007B1"/>
    <w:rsid w:val="00200FA3"/>
    <w:rsid w:val="002011E9"/>
    <w:rsid w:val="0020285E"/>
    <w:rsid w:val="00202A0F"/>
    <w:rsid w:val="00203194"/>
    <w:rsid w:val="0020362E"/>
    <w:rsid w:val="002036EC"/>
    <w:rsid w:val="00204285"/>
    <w:rsid w:val="002046F8"/>
    <w:rsid w:val="002048AF"/>
    <w:rsid w:val="00204ACF"/>
    <w:rsid w:val="00204B58"/>
    <w:rsid w:val="00205144"/>
    <w:rsid w:val="00205B7C"/>
    <w:rsid w:val="0020696F"/>
    <w:rsid w:val="00210F17"/>
    <w:rsid w:val="00210F6A"/>
    <w:rsid w:val="00211074"/>
    <w:rsid w:val="00211C34"/>
    <w:rsid w:val="00212161"/>
    <w:rsid w:val="00212302"/>
    <w:rsid w:val="0021268B"/>
    <w:rsid w:val="0021381D"/>
    <w:rsid w:val="00213B7A"/>
    <w:rsid w:val="00213F8D"/>
    <w:rsid w:val="00214A2A"/>
    <w:rsid w:val="00215435"/>
    <w:rsid w:val="00215B66"/>
    <w:rsid w:val="00215E7A"/>
    <w:rsid w:val="002162CF"/>
    <w:rsid w:val="0021644D"/>
    <w:rsid w:val="002165BF"/>
    <w:rsid w:val="00217436"/>
    <w:rsid w:val="00217A78"/>
    <w:rsid w:val="00220045"/>
    <w:rsid w:val="002205AB"/>
    <w:rsid w:val="002206AC"/>
    <w:rsid w:val="00220B45"/>
    <w:rsid w:val="00220CA0"/>
    <w:rsid w:val="00220DF3"/>
    <w:rsid w:val="00220EB0"/>
    <w:rsid w:val="002215AB"/>
    <w:rsid w:val="0022164F"/>
    <w:rsid w:val="00222103"/>
    <w:rsid w:val="0022266C"/>
    <w:rsid w:val="00222B87"/>
    <w:rsid w:val="00223811"/>
    <w:rsid w:val="00223D34"/>
    <w:rsid w:val="002243F1"/>
    <w:rsid w:val="002246A5"/>
    <w:rsid w:val="00224B93"/>
    <w:rsid w:val="002254CE"/>
    <w:rsid w:val="00225AD9"/>
    <w:rsid w:val="0022639F"/>
    <w:rsid w:val="002265B6"/>
    <w:rsid w:val="002265F7"/>
    <w:rsid w:val="00226770"/>
    <w:rsid w:val="00227138"/>
    <w:rsid w:val="002271F5"/>
    <w:rsid w:val="00227CA3"/>
    <w:rsid w:val="00227E53"/>
    <w:rsid w:val="00230C7B"/>
    <w:rsid w:val="00231559"/>
    <w:rsid w:val="00231590"/>
    <w:rsid w:val="00231742"/>
    <w:rsid w:val="00231E37"/>
    <w:rsid w:val="00231E92"/>
    <w:rsid w:val="00231EA6"/>
    <w:rsid w:val="00232017"/>
    <w:rsid w:val="0023239A"/>
    <w:rsid w:val="002326D5"/>
    <w:rsid w:val="002331DB"/>
    <w:rsid w:val="002337B5"/>
    <w:rsid w:val="00233F63"/>
    <w:rsid w:val="00234B4D"/>
    <w:rsid w:val="00234D40"/>
    <w:rsid w:val="002353B3"/>
    <w:rsid w:val="00235429"/>
    <w:rsid w:val="00235750"/>
    <w:rsid w:val="0023575D"/>
    <w:rsid w:val="0023598A"/>
    <w:rsid w:val="0023664E"/>
    <w:rsid w:val="00236784"/>
    <w:rsid w:val="00236BE5"/>
    <w:rsid w:val="00237602"/>
    <w:rsid w:val="002376A4"/>
    <w:rsid w:val="002403B0"/>
    <w:rsid w:val="00240AB2"/>
    <w:rsid w:val="00240C51"/>
    <w:rsid w:val="00240CC5"/>
    <w:rsid w:val="00240D8E"/>
    <w:rsid w:val="002413F0"/>
    <w:rsid w:val="00242BD6"/>
    <w:rsid w:val="00242FCE"/>
    <w:rsid w:val="0024372D"/>
    <w:rsid w:val="00244034"/>
    <w:rsid w:val="002441C7"/>
    <w:rsid w:val="0024451F"/>
    <w:rsid w:val="00244E83"/>
    <w:rsid w:val="0024536D"/>
    <w:rsid w:val="0024561A"/>
    <w:rsid w:val="00245805"/>
    <w:rsid w:val="00245B0C"/>
    <w:rsid w:val="00246068"/>
    <w:rsid w:val="0024762C"/>
    <w:rsid w:val="0024794B"/>
    <w:rsid w:val="00247AB2"/>
    <w:rsid w:val="00247C0F"/>
    <w:rsid w:val="002503AF"/>
    <w:rsid w:val="0025060D"/>
    <w:rsid w:val="00250A2B"/>
    <w:rsid w:val="00251191"/>
    <w:rsid w:val="002512F2"/>
    <w:rsid w:val="00251AAA"/>
    <w:rsid w:val="00251B2B"/>
    <w:rsid w:val="00251C14"/>
    <w:rsid w:val="00252198"/>
    <w:rsid w:val="00252388"/>
    <w:rsid w:val="00252F75"/>
    <w:rsid w:val="00253DAF"/>
    <w:rsid w:val="00253DE7"/>
    <w:rsid w:val="002548C6"/>
    <w:rsid w:val="00254A3A"/>
    <w:rsid w:val="00254F15"/>
    <w:rsid w:val="00255580"/>
    <w:rsid w:val="0025570B"/>
    <w:rsid w:val="00255948"/>
    <w:rsid w:val="00255A23"/>
    <w:rsid w:val="00255C8D"/>
    <w:rsid w:val="00255F1E"/>
    <w:rsid w:val="00256999"/>
    <w:rsid w:val="00256A0D"/>
    <w:rsid w:val="0025726A"/>
    <w:rsid w:val="0025760E"/>
    <w:rsid w:val="002578EE"/>
    <w:rsid w:val="0026007F"/>
    <w:rsid w:val="00260694"/>
    <w:rsid w:val="00260922"/>
    <w:rsid w:val="002610F1"/>
    <w:rsid w:val="002623D5"/>
    <w:rsid w:val="00262520"/>
    <w:rsid w:val="0026302F"/>
    <w:rsid w:val="0026351F"/>
    <w:rsid w:val="002636D3"/>
    <w:rsid w:val="00263A32"/>
    <w:rsid w:val="00263AA4"/>
    <w:rsid w:val="0026424A"/>
    <w:rsid w:val="002645E1"/>
    <w:rsid w:val="00264645"/>
    <w:rsid w:val="0026494A"/>
    <w:rsid w:val="00264C44"/>
    <w:rsid w:val="00264FDA"/>
    <w:rsid w:val="00265A6F"/>
    <w:rsid w:val="00265F2E"/>
    <w:rsid w:val="002660B5"/>
    <w:rsid w:val="0026615C"/>
    <w:rsid w:val="002664B1"/>
    <w:rsid w:val="002669CC"/>
    <w:rsid w:val="00266E35"/>
    <w:rsid w:val="002674FB"/>
    <w:rsid w:val="002677DB"/>
    <w:rsid w:val="00267BE6"/>
    <w:rsid w:val="00267D17"/>
    <w:rsid w:val="002702EF"/>
    <w:rsid w:val="00270412"/>
    <w:rsid w:val="00270751"/>
    <w:rsid w:val="002709CA"/>
    <w:rsid w:val="00270EA2"/>
    <w:rsid w:val="00270FFD"/>
    <w:rsid w:val="0027107E"/>
    <w:rsid w:val="002712D4"/>
    <w:rsid w:val="00271A13"/>
    <w:rsid w:val="00271F49"/>
    <w:rsid w:val="00272EF4"/>
    <w:rsid w:val="00272FDB"/>
    <w:rsid w:val="002734B2"/>
    <w:rsid w:val="00273930"/>
    <w:rsid w:val="00273D43"/>
    <w:rsid w:val="00274BA6"/>
    <w:rsid w:val="00274E4C"/>
    <w:rsid w:val="00274F32"/>
    <w:rsid w:val="002750C1"/>
    <w:rsid w:val="002751B6"/>
    <w:rsid w:val="00275CB1"/>
    <w:rsid w:val="002766DB"/>
    <w:rsid w:val="002777B5"/>
    <w:rsid w:val="00277855"/>
    <w:rsid w:val="0028023B"/>
    <w:rsid w:val="002804DB"/>
    <w:rsid w:val="00280923"/>
    <w:rsid w:val="0028105F"/>
    <w:rsid w:val="002811EA"/>
    <w:rsid w:val="0028122B"/>
    <w:rsid w:val="00281A0F"/>
    <w:rsid w:val="00281BB0"/>
    <w:rsid w:val="00282267"/>
    <w:rsid w:val="00282615"/>
    <w:rsid w:val="0028348A"/>
    <w:rsid w:val="002838EC"/>
    <w:rsid w:val="00283AF3"/>
    <w:rsid w:val="00284249"/>
    <w:rsid w:val="00284588"/>
    <w:rsid w:val="002846D2"/>
    <w:rsid w:val="00284726"/>
    <w:rsid w:val="00284753"/>
    <w:rsid w:val="002848F9"/>
    <w:rsid w:val="0028511A"/>
    <w:rsid w:val="0028534E"/>
    <w:rsid w:val="002856E4"/>
    <w:rsid w:val="00287513"/>
    <w:rsid w:val="002875B5"/>
    <w:rsid w:val="00287ABF"/>
    <w:rsid w:val="0029101E"/>
    <w:rsid w:val="0029133B"/>
    <w:rsid w:val="00291C61"/>
    <w:rsid w:val="00291D6E"/>
    <w:rsid w:val="00292727"/>
    <w:rsid w:val="0029339D"/>
    <w:rsid w:val="00293886"/>
    <w:rsid w:val="0029405C"/>
    <w:rsid w:val="00294823"/>
    <w:rsid w:val="00295472"/>
    <w:rsid w:val="00295F7D"/>
    <w:rsid w:val="002966C7"/>
    <w:rsid w:val="00296C55"/>
    <w:rsid w:val="00296C82"/>
    <w:rsid w:val="0029727C"/>
    <w:rsid w:val="00297B97"/>
    <w:rsid w:val="00297C5A"/>
    <w:rsid w:val="002A05EB"/>
    <w:rsid w:val="002A0773"/>
    <w:rsid w:val="002A097A"/>
    <w:rsid w:val="002A0A17"/>
    <w:rsid w:val="002A0D1B"/>
    <w:rsid w:val="002A12B5"/>
    <w:rsid w:val="002A12C0"/>
    <w:rsid w:val="002A1B32"/>
    <w:rsid w:val="002A26B2"/>
    <w:rsid w:val="002A2F39"/>
    <w:rsid w:val="002A3682"/>
    <w:rsid w:val="002A39DB"/>
    <w:rsid w:val="002A3A4E"/>
    <w:rsid w:val="002A42AE"/>
    <w:rsid w:val="002A449D"/>
    <w:rsid w:val="002A4563"/>
    <w:rsid w:val="002A49A9"/>
    <w:rsid w:val="002A4CC4"/>
    <w:rsid w:val="002A4F6F"/>
    <w:rsid w:val="002A50F5"/>
    <w:rsid w:val="002A5240"/>
    <w:rsid w:val="002A5866"/>
    <w:rsid w:val="002A5A92"/>
    <w:rsid w:val="002A5E8B"/>
    <w:rsid w:val="002A5F0F"/>
    <w:rsid w:val="002A605E"/>
    <w:rsid w:val="002A625A"/>
    <w:rsid w:val="002A6449"/>
    <w:rsid w:val="002A66CA"/>
    <w:rsid w:val="002A6890"/>
    <w:rsid w:val="002A6CD2"/>
    <w:rsid w:val="002A7473"/>
    <w:rsid w:val="002A78B5"/>
    <w:rsid w:val="002A79B7"/>
    <w:rsid w:val="002A7D5B"/>
    <w:rsid w:val="002B04DC"/>
    <w:rsid w:val="002B08BE"/>
    <w:rsid w:val="002B0C5D"/>
    <w:rsid w:val="002B0F9F"/>
    <w:rsid w:val="002B1C12"/>
    <w:rsid w:val="002B1E77"/>
    <w:rsid w:val="002B22DD"/>
    <w:rsid w:val="002B2446"/>
    <w:rsid w:val="002B28DA"/>
    <w:rsid w:val="002B29D7"/>
    <w:rsid w:val="002B2BF5"/>
    <w:rsid w:val="002B323D"/>
    <w:rsid w:val="002B33B3"/>
    <w:rsid w:val="002B38F4"/>
    <w:rsid w:val="002B3984"/>
    <w:rsid w:val="002B3F27"/>
    <w:rsid w:val="002B43DC"/>
    <w:rsid w:val="002B44A8"/>
    <w:rsid w:val="002B4579"/>
    <w:rsid w:val="002B473A"/>
    <w:rsid w:val="002B4AA2"/>
    <w:rsid w:val="002B4BAE"/>
    <w:rsid w:val="002B4DE5"/>
    <w:rsid w:val="002B52A1"/>
    <w:rsid w:val="002B53B5"/>
    <w:rsid w:val="002B53C8"/>
    <w:rsid w:val="002B5440"/>
    <w:rsid w:val="002B5596"/>
    <w:rsid w:val="002B5CEA"/>
    <w:rsid w:val="002B5E84"/>
    <w:rsid w:val="002B62DC"/>
    <w:rsid w:val="002B64B4"/>
    <w:rsid w:val="002B6620"/>
    <w:rsid w:val="002B6874"/>
    <w:rsid w:val="002B6B44"/>
    <w:rsid w:val="002B7158"/>
    <w:rsid w:val="002B71B8"/>
    <w:rsid w:val="002B724C"/>
    <w:rsid w:val="002B762C"/>
    <w:rsid w:val="002B7B05"/>
    <w:rsid w:val="002B7E36"/>
    <w:rsid w:val="002B7E89"/>
    <w:rsid w:val="002C1DC4"/>
    <w:rsid w:val="002C20FA"/>
    <w:rsid w:val="002C302D"/>
    <w:rsid w:val="002C3499"/>
    <w:rsid w:val="002C3508"/>
    <w:rsid w:val="002C3FF8"/>
    <w:rsid w:val="002C4553"/>
    <w:rsid w:val="002C5C9F"/>
    <w:rsid w:val="002C6574"/>
    <w:rsid w:val="002C6A6D"/>
    <w:rsid w:val="002C6E54"/>
    <w:rsid w:val="002C6ED0"/>
    <w:rsid w:val="002C705F"/>
    <w:rsid w:val="002C70A3"/>
    <w:rsid w:val="002D0197"/>
    <w:rsid w:val="002D1300"/>
    <w:rsid w:val="002D1599"/>
    <w:rsid w:val="002D1E5F"/>
    <w:rsid w:val="002D233D"/>
    <w:rsid w:val="002D303B"/>
    <w:rsid w:val="002D3076"/>
    <w:rsid w:val="002D3155"/>
    <w:rsid w:val="002D4891"/>
    <w:rsid w:val="002D502A"/>
    <w:rsid w:val="002D578B"/>
    <w:rsid w:val="002D578D"/>
    <w:rsid w:val="002D5C65"/>
    <w:rsid w:val="002D5E75"/>
    <w:rsid w:val="002D6126"/>
    <w:rsid w:val="002D6185"/>
    <w:rsid w:val="002D6793"/>
    <w:rsid w:val="002D743A"/>
    <w:rsid w:val="002D7EF0"/>
    <w:rsid w:val="002E01DC"/>
    <w:rsid w:val="002E07DE"/>
    <w:rsid w:val="002E0EA0"/>
    <w:rsid w:val="002E1EB7"/>
    <w:rsid w:val="002E216E"/>
    <w:rsid w:val="002E2789"/>
    <w:rsid w:val="002E3007"/>
    <w:rsid w:val="002E33F4"/>
    <w:rsid w:val="002E3600"/>
    <w:rsid w:val="002E4106"/>
    <w:rsid w:val="002E44EE"/>
    <w:rsid w:val="002E451D"/>
    <w:rsid w:val="002E45C7"/>
    <w:rsid w:val="002E46AC"/>
    <w:rsid w:val="002E47ED"/>
    <w:rsid w:val="002E486F"/>
    <w:rsid w:val="002E4C48"/>
    <w:rsid w:val="002E4FBC"/>
    <w:rsid w:val="002E5948"/>
    <w:rsid w:val="002E5ED3"/>
    <w:rsid w:val="002E62CA"/>
    <w:rsid w:val="002E739E"/>
    <w:rsid w:val="002E7718"/>
    <w:rsid w:val="002E7B20"/>
    <w:rsid w:val="002F02F8"/>
    <w:rsid w:val="002F1096"/>
    <w:rsid w:val="002F14D9"/>
    <w:rsid w:val="002F23A1"/>
    <w:rsid w:val="002F27B3"/>
    <w:rsid w:val="002F2D0E"/>
    <w:rsid w:val="002F2F49"/>
    <w:rsid w:val="002F37C8"/>
    <w:rsid w:val="002F3B95"/>
    <w:rsid w:val="002F606E"/>
    <w:rsid w:val="002F626C"/>
    <w:rsid w:val="002F633A"/>
    <w:rsid w:val="002F6AE2"/>
    <w:rsid w:val="002F6D1C"/>
    <w:rsid w:val="002F74B6"/>
    <w:rsid w:val="002F7565"/>
    <w:rsid w:val="002F7C34"/>
    <w:rsid w:val="002F7E5B"/>
    <w:rsid w:val="002F7E5E"/>
    <w:rsid w:val="002F7E88"/>
    <w:rsid w:val="003000DD"/>
    <w:rsid w:val="003000FC"/>
    <w:rsid w:val="0030019C"/>
    <w:rsid w:val="00300C91"/>
    <w:rsid w:val="003011F4"/>
    <w:rsid w:val="00301567"/>
    <w:rsid w:val="003015FA"/>
    <w:rsid w:val="00301BEA"/>
    <w:rsid w:val="003025F7"/>
    <w:rsid w:val="0030284D"/>
    <w:rsid w:val="00302AFC"/>
    <w:rsid w:val="00303EBE"/>
    <w:rsid w:val="00304442"/>
    <w:rsid w:val="003044F9"/>
    <w:rsid w:val="00304D4A"/>
    <w:rsid w:val="00304E57"/>
    <w:rsid w:val="00305389"/>
    <w:rsid w:val="003053C6"/>
    <w:rsid w:val="00305DAC"/>
    <w:rsid w:val="00305FD7"/>
    <w:rsid w:val="00305FE8"/>
    <w:rsid w:val="003064CB"/>
    <w:rsid w:val="00306E9A"/>
    <w:rsid w:val="00306FB5"/>
    <w:rsid w:val="00306FFA"/>
    <w:rsid w:val="003073A5"/>
    <w:rsid w:val="003075D4"/>
    <w:rsid w:val="003076F7"/>
    <w:rsid w:val="00307859"/>
    <w:rsid w:val="003079B4"/>
    <w:rsid w:val="00307C00"/>
    <w:rsid w:val="0031027D"/>
    <w:rsid w:val="003109AC"/>
    <w:rsid w:val="00310AE3"/>
    <w:rsid w:val="003120D4"/>
    <w:rsid w:val="003132ED"/>
    <w:rsid w:val="0031398B"/>
    <w:rsid w:val="00313BCE"/>
    <w:rsid w:val="00314402"/>
    <w:rsid w:val="00314534"/>
    <w:rsid w:val="00315210"/>
    <w:rsid w:val="003154F8"/>
    <w:rsid w:val="00315887"/>
    <w:rsid w:val="00315C7A"/>
    <w:rsid w:val="003162A4"/>
    <w:rsid w:val="0031648B"/>
    <w:rsid w:val="00316678"/>
    <w:rsid w:val="00316710"/>
    <w:rsid w:val="00316C6B"/>
    <w:rsid w:val="0031770F"/>
    <w:rsid w:val="00317CA5"/>
    <w:rsid w:val="003204DD"/>
    <w:rsid w:val="00320584"/>
    <w:rsid w:val="003205CD"/>
    <w:rsid w:val="003206E8"/>
    <w:rsid w:val="003216DA"/>
    <w:rsid w:val="00321883"/>
    <w:rsid w:val="00321E49"/>
    <w:rsid w:val="003220A2"/>
    <w:rsid w:val="00322185"/>
    <w:rsid w:val="0032286E"/>
    <w:rsid w:val="00322ADE"/>
    <w:rsid w:val="00322D84"/>
    <w:rsid w:val="00323196"/>
    <w:rsid w:val="003246DF"/>
    <w:rsid w:val="00324A73"/>
    <w:rsid w:val="00324AF0"/>
    <w:rsid w:val="00325622"/>
    <w:rsid w:val="00325D20"/>
    <w:rsid w:val="00326663"/>
    <w:rsid w:val="00326802"/>
    <w:rsid w:val="003269AA"/>
    <w:rsid w:val="00326B1D"/>
    <w:rsid w:val="00326B7D"/>
    <w:rsid w:val="00326F11"/>
    <w:rsid w:val="00327088"/>
    <w:rsid w:val="00327208"/>
    <w:rsid w:val="00327A47"/>
    <w:rsid w:val="00327A96"/>
    <w:rsid w:val="00327BBE"/>
    <w:rsid w:val="00327E54"/>
    <w:rsid w:val="00327FED"/>
    <w:rsid w:val="003300F5"/>
    <w:rsid w:val="00330294"/>
    <w:rsid w:val="0033087F"/>
    <w:rsid w:val="003310D6"/>
    <w:rsid w:val="00331936"/>
    <w:rsid w:val="00331DC5"/>
    <w:rsid w:val="0033271E"/>
    <w:rsid w:val="003327D5"/>
    <w:rsid w:val="00332E88"/>
    <w:rsid w:val="00333CFE"/>
    <w:rsid w:val="0033405F"/>
    <w:rsid w:val="003340D2"/>
    <w:rsid w:val="00335173"/>
    <w:rsid w:val="003355CB"/>
    <w:rsid w:val="00335915"/>
    <w:rsid w:val="00335CC8"/>
    <w:rsid w:val="00336547"/>
    <w:rsid w:val="00337689"/>
    <w:rsid w:val="0033775C"/>
    <w:rsid w:val="003378AE"/>
    <w:rsid w:val="003408E4"/>
    <w:rsid w:val="0034133E"/>
    <w:rsid w:val="00341503"/>
    <w:rsid w:val="00341CEE"/>
    <w:rsid w:val="00342409"/>
    <w:rsid w:val="0034288E"/>
    <w:rsid w:val="00342AD5"/>
    <w:rsid w:val="00342EDE"/>
    <w:rsid w:val="003439DF"/>
    <w:rsid w:val="00343A41"/>
    <w:rsid w:val="003441EA"/>
    <w:rsid w:val="0034437D"/>
    <w:rsid w:val="00344BBB"/>
    <w:rsid w:val="00346368"/>
    <w:rsid w:val="00346ED7"/>
    <w:rsid w:val="0034709F"/>
    <w:rsid w:val="0034744C"/>
    <w:rsid w:val="00347DCB"/>
    <w:rsid w:val="00347F84"/>
    <w:rsid w:val="003504B5"/>
    <w:rsid w:val="0035055A"/>
    <w:rsid w:val="00350BCA"/>
    <w:rsid w:val="00350D3A"/>
    <w:rsid w:val="00351C48"/>
    <w:rsid w:val="0035202A"/>
    <w:rsid w:val="003522FD"/>
    <w:rsid w:val="00353080"/>
    <w:rsid w:val="00353C97"/>
    <w:rsid w:val="00353DBF"/>
    <w:rsid w:val="00355469"/>
    <w:rsid w:val="00355A92"/>
    <w:rsid w:val="00355D41"/>
    <w:rsid w:val="003563F4"/>
    <w:rsid w:val="00356461"/>
    <w:rsid w:val="00356542"/>
    <w:rsid w:val="00360E52"/>
    <w:rsid w:val="0036114E"/>
    <w:rsid w:val="00361771"/>
    <w:rsid w:val="00361BEE"/>
    <w:rsid w:val="003620FE"/>
    <w:rsid w:val="003623E9"/>
    <w:rsid w:val="003625AC"/>
    <w:rsid w:val="003627AE"/>
    <w:rsid w:val="00362D28"/>
    <w:rsid w:val="0036314D"/>
    <w:rsid w:val="003631A1"/>
    <w:rsid w:val="003633DE"/>
    <w:rsid w:val="00363684"/>
    <w:rsid w:val="003638D9"/>
    <w:rsid w:val="00363E14"/>
    <w:rsid w:val="00363E93"/>
    <w:rsid w:val="0036472E"/>
    <w:rsid w:val="00364B9F"/>
    <w:rsid w:val="003656AB"/>
    <w:rsid w:val="00365896"/>
    <w:rsid w:val="00366364"/>
    <w:rsid w:val="00366A3B"/>
    <w:rsid w:val="00366D7E"/>
    <w:rsid w:val="00367472"/>
    <w:rsid w:val="00367489"/>
    <w:rsid w:val="003674B8"/>
    <w:rsid w:val="00367DF1"/>
    <w:rsid w:val="00370D3E"/>
    <w:rsid w:val="003710A9"/>
    <w:rsid w:val="00371301"/>
    <w:rsid w:val="00372AD7"/>
    <w:rsid w:val="00372B9A"/>
    <w:rsid w:val="003732B5"/>
    <w:rsid w:val="00373412"/>
    <w:rsid w:val="0037356D"/>
    <w:rsid w:val="00373A00"/>
    <w:rsid w:val="00373FDD"/>
    <w:rsid w:val="00374592"/>
    <w:rsid w:val="00374D22"/>
    <w:rsid w:val="00375C4C"/>
    <w:rsid w:val="00375FC5"/>
    <w:rsid w:val="0037616E"/>
    <w:rsid w:val="00377128"/>
    <w:rsid w:val="003771AA"/>
    <w:rsid w:val="0037799A"/>
    <w:rsid w:val="00377F6D"/>
    <w:rsid w:val="003801C8"/>
    <w:rsid w:val="00380DC9"/>
    <w:rsid w:val="00380FB3"/>
    <w:rsid w:val="00380FF8"/>
    <w:rsid w:val="00381063"/>
    <w:rsid w:val="003812CA"/>
    <w:rsid w:val="00381662"/>
    <w:rsid w:val="00381772"/>
    <w:rsid w:val="00381E0B"/>
    <w:rsid w:val="003829B6"/>
    <w:rsid w:val="00382D00"/>
    <w:rsid w:val="0038343B"/>
    <w:rsid w:val="00384055"/>
    <w:rsid w:val="0038423A"/>
    <w:rsid w:val="003848C7"/>
    <w:rsid w:val="0038498C"/>
    <w:rsid w:val="00384CC8"/>
    <w:rsid w:val="0038565A"/>
    <w:rsid w:val="003858D5"/>
    <w:rsid w:val="003858D6"/>
    <w:rsid w:val="00385912"/>
    <w:rsid w:val="003859F7"/>
    <w:rsid w:val="00385BDF"/>
    <w:rsid w:val="00385C60"/>
    <w:rsid w:val="00385DAF"/>
    <w:rsid w:val="00385F09"/>
    <w:rsid w:val="00387DFE"/>
    <w:rsid w:val="003900C6"/>
    <w:rsid w:val="00390406"/>
    <w:rsid w:val="00390A0E"/>
    <w:rsid w:val="00390B3C"/>
    <w:rsid w:val="003911C7"/>
    <w:rsid w:val="00391D9F"/>
    <w:rsid w:val="003936FD"/>
    <w:rsid w:val="003937C0"/>
    <w:rsid w:val="00393D57"/>
    <w:rsid w:val="003943B8"/>
    <w:rsid w:val="003949B4"/>
    <w:rsid w:val="00395AC2"/>
    <w:rsid w:val="00395C63"/>
    <w:rsid w:val="003961AD"/>
    <w:rsid w:val="0039631B"/>
    <w:rsid w:val="00396B32"/>
    <w:rsid w:val="00396CB1"/>
    <w:rsid w:val="00396CD9"/>
    <w:rsid w:val="00396F5A"/>
    <w:rsid w:val="00397551"/>
    <w:rsid w:val="00397921"/>
    <w:rsid w:val="00397954"/>
    <w:rsid w:val="00397AAA"/>
    <w:rsid w:val="003A0783"/>
    <w:rsid w:val="003A0811"/>
    <w:rsid w:val="003A10FA"/>
    <w:rsid w:val="003A15E7"/>
    <w:rsid w:val="003A1600"/>
    <w:rsid w:val="003A162A"/>
    <w:rsid w:val="003A16CD"/>
    <w:rsid w:val="003A1934"/>
    <w:rsid w:val="003A19B6"/>
    <w:rsid w:val="003A1D6A"/>
    <w:rsid w:val="003A1FC0"/>
    <w:rsid w:val="003A231A"/>
    <w:rsid w:val="003A2406"/>
    <w:rsid w:val="003A2794"/>
    <w:rsid w:val="003A3D5E"/>
    <w:rsid w:val="003A40BE"/>
    <w:rsid w:val="003A46E0"/>
    <w:rsid w:val="003A4897"/>
    <w:rsid w:val="003A49A8"/>
    <w:rsid w:val="003A4D2F"/>
    <w:rsid w:val="003A59DB"/>
    <w:rsid w:val="003A59EF"/>
    <w:rsid w:val="003A5F07"/>
    <w:rsid w:val="003A6805"/>
    <w:rsid w:val="003A6D71"/>
    <w:rsid w:val="003A6EA8"/>
    <w:rsid w:val="003A75F8"/>
    <w:rsid w:val="003A7C2D"/>
    <w:rsid w:val="003A7D7B"/>
    <w:rsid w:val="003B0372"/>
    <w:rsid w:val="003B0E1C"/>
    <w:rsid w:val="003B1771"/>
    <w:rsid w:val="003B1E1B"/>
    <w:rsid w:val="003B2645"/>
    <w:rsid w:val="003B2E7E"/>
    <w:rsid w:val="003B3AF5"/>
    <w:rsid w:val="003B3E2A"/>
    <w:rsid w:val="003B3E99"/>
    <w:rsid w:val="003B3FFB"/>
    <w:rsid w:val="003B4151"/>
    <w:rsid w:val="003B437A"/>
    <w:rsid w:val="003B498E"/>
    <w:rsid w:val="003B4C59"/>
    <w:rsid w:val="003B4D5E"/>
    <w:rsid w:val="003B5053"/>
    <w:rsid w:val="003B5400"/>
    <w:rsid w:val="003B5F7A"/>
    <w:rsid w:val="003B6182"/>
    <w:rsid w:val="003B68EA"/>
    <w:rsid w:val="003B6D5C"/>
    <w:rsid w:val="003B7163"/>
    <w:rsid w:val="003B7293"/>
    <w:rsid w:val="003B74EF"/>
    <w:rsid w:val="003B7E82"/>
    <w:rsid w:val="003C0590"/>
    <w:rsid w:val="003C0AD0"/>
    <w:rsid w:val="003C0F20"/>
    <w:rsid w:val="003C115F"/>
    <w:rsid w:val="003C12E6"/>
    <w:rsid w:val="003C12EB"/>
    <w:rsid w:val="003C14EE"/>
    <w:rsid w:val="003C15B3"/>
    <w:rsid w:val="003C1E58"/>
    <w:rsid w:val="003C1F2B"/>
    <w:rsid w:val="003C1F68"/>
    <w:rsid w:val="003C228B"/>
    <w:rsid w:val="003C3E53"/>
    <w:rsid w:val="003C4B61"/>
    <w:rsid w:val="003C4B72"/>
    <w:rsid w:val="003C4F70"/>
    <w:rsid w:val="003C544F"/>
    <w:rsid w:val="003C54FA"/>
    <w:rsid w:val="003C56CB"/>
    <w:rsid w:val="003C6721"/>
    <w:rsid w:val="003C6DA2"/>
    <w:rsid w:val="003C717A"/>
    <w:rsid w:val="003C7267"/>
    <w:rsid w:val="003C7273"/>
    <w:rsid w:val="003C7ED8"/>
    <w:rsid w:val="003D023E"/>
    <w:rsid w:val="003D102A"/>
    <w:rsid w:val="003D1064"/>
    <w:rsid w:val="003D17A8"/>
    <w:rsid w:val="003D1A92"/>
    <w:rsid w:val="003D1BD1"/>
    <w:rsid w:val="003D20F2"/>
    <w:rsid w:val="003D238C"/>
    <w:rsid w:val="003D2775"/>
    <w:rsid w:val="003D354F"/>
    <w:rsid w:val="003D3FC8"/>
    <w:rsid w:val="003D41CF"/>
    <w:rsid w:val="003D4766"/>
    <w:rsid w:val="003D4B2F"/>
    <w:rsid w:val="003D55D3"/>
    <w:rsid w:val="003D7C72"/>
    <w:rsid w:val="003E057E"/>
    <w:rsid w:val="003E069A"/>
    <w:rsid w:val="003E0761"/>
    <w:rsid w:val="003E1838"/>
    <w:rsid w:val="003E1BD0"/>
    <w:rsid w:val="003E2A2D"/>
    <w:rsid w:val="003E3771"/>
    <w:rsid w:val="003E3C87"/>
    <w:rsid w:val="003E44F5"/>
    <w:rsid w:val="003E4C97"/>
    <w:rsid w:val="003E4CB9"/>
    <w:rsid w:val="003E4EA7"/>
    <w:rsid w:val="003E5783"/>
    <w:rsid w:val="003E57D2"/>
    <w:rsid w:val="003E5BF2"/>
    <w:rsid w:val="003E5D04"/>
    <w:rsid w:val="003E624C"/>
    <w:rsid w:val="003E65B0"/>
    <w:rsid w:val="003E6DE1"/>
    <w:rsid w:val="003E6FE2"/>
    <w:rsid w:val="003E7115"/>
    <w:rsid w:val="003E7683"/>
    <w:rsid w:val="003E79EB"/>
    <w:rsid w:val="003E7D7E"/>
    <w:rsid w:val="003F009C"/>
    <w:rsid w:val="003F085E"/>
    <w:rsid w:val="003F0A92"/>
    <w:rsid w:val="003F0D1E"/>
    <w:rsid w:val="003F1296"/>
    <w:rsid w:val="003F1302"/>
    <w:rsid w:val="003F142C"/>
    <w:rsid w:val="003F1904"/>
    <w:rsid w:val="003F1934"/>
    <w:rsid w:val="003F1B91"/>
    <w:rsid w:val="003F1E8E"/>
    <w:rsid w:val="003F1F40"/>
    <w:rsid w:val="003F2000"/>
    <w:rsid w:val="003F2ACB"/>
    <w:rsid w:val="003F2E38"/>
    <w:rsid w:val="003F319E"/>
    <w:rsid w:val="003F536E"/>
    <w:rsid w:val="003F53AD"/>
    <w:rsid w:val="003F5678"/>
    <w:rsid w:val="003F5A8D"/>
    <w:rsid w:val="003F5D50"/>
    <w:rsid w:val="003F65CB"/>
    <w:rsid w:val="003F69E8"/>
    <w:rsid w:val="003F7178"/>
    <w:rsid w:val="003F74F7"/>
    <w:rsid w:val="003F7AD2"/>
    <w:rsid w:val="003F7D99"/>
    <w:rsid w:val="003F7E2D"/>
    <w:rsid w:val="003F7EA9"/>
    <w:rsid w:val="004009DE"/>
    <w:rsid w:val="00401474"/>
    <w:rsid w:val="004017CA"/>
    <w:rsid w:val="004027A3"/>
    <w:rsid w:val="004028A6"/>
    <w:rsid w:val="00402CD9"/>
    <w:rsid w:val="00402F96"/>
    <w:rsid w:val="00403B51"/>
    <w:rsid w:val="00403D65"/>
    <w:rsid w:val="004046E1"/>
    <w:rsid w:val="004049FE"/>
    <w:rsid w:val="00404C71"/>
    <w:rsid w:val="00404D15"/>
    <w:rsid w:val="00404F1E"/>
    <w:rsid w:val="00405676"/>
    <w:rsid w:val="00405A13"/>
    <w:rsid w:val="00405C4C"/>
    <w:rsid w:val="00405CA3"/>
    <w:rsid w:val="00405E70"/>
    <w:rsid w:val="004060A4"/>
    <w:rsid w:val="0040630C"/>
    <w:rsid w:val="00406E50"/>
    <w:rsid w:val="0040713C"/>
    <w:rsid w:val="0040762A"/>
    <w:rsid w:val="004079CF"/>
    <w:rsid w:val="00407BA6"/>
    <w:rsid w:val="00407C28"/>
    <w:rsid w:val="00407CCA"/>
    <w:rsid w:val="00407F74"/>
    <w:rsid w:val="0041068E"/>
    <w:rsid w:val="0041176D"/>
    <w:rsid w:val="00411C5E"/>
    <w:rsid w:val="004128CB"/>
    <w:rsid w:val="00412A31"/>
    <w:rsid w:val="00413875"/>
    <w:rsid w:val="00413CCD"/>
    <w:rsid w:val="0041465D"/>
    <w:rsid w:val="004152C0"/>
    <w:rsid w:val="0041540C"/>
    <w:rsid w:val="00415AAE"/>
    <w:rsid w:val="00416268"/>
    <w:rsid w:val="0041633F"/>
    <w:rsid w:val="004166E5"/>
    <w:rsid w:val="0041683A"/>
    <w:rsid w:val="0041691A"/>
    <w:rsid w:val="0041764E"/>
    <w:rsid w:val="00417FDA"/>
    <w:rsid w:val="00420761"/>
    <w:rsid w:val="00420CBB"/>
    <w:rsid w:val="00420CC2"/>
    <w:rsid w:val="00420CDB"/>
    <w:rsid w:val="00421583"/>
    <w:rsid w:val="004216E4"/>
    <w:rsid w:val="00423365"/>
    <w:rsid w:val="00423966"/>
    <w:rsid w:val="00423984"/>
    <w:rsid w:val="004245FE"/>
    <w:rsid w:val="00424CC3"/>
    <w:rsid w:val="004256F6"/>
    <w:rsid w:val="00425A33"/>
    <w:rsid w:val="00425C02"/>
    <w:rsid w:val="00426065"/>
    <w:rsid w:val="004269CE"/>
    <w:rsid w:val="00426A1B"/>
    <w:rsid w:val="00426A65"/>
    <w:rsid w:val="004272E7"/>
    <w:rsid w:val="004274ED"/>
    <w:rsid w:val="004279CD"/>
    <w:rsid w:val="00427A99"/>
    <w:rsid w:val="004302E9"/>
    <w:rsid w:val="00430BF0"/>
    <w:rsid w:val="00431374"/>
    <w:rsid w:val="004316A7"/>
    <w:rsid w:val="004320FB"/>
    <w:rsid w:val="00432393"/>
    <w:rsid w:val="0043276F"/>
    <w:rsid w:val="00432A98"/>
    <w:rsid w:val="00433BB6"/>
    <w:rsid w:val="004340D6"/>
    <w:rsid w:val="004341A1"/>
    <w:rsid w:val="004342A2"/>
    <w:rsid w:val="00434A68"/>
    <w:rsid w:val="00435E8C"/>
    <w:rsid w:val="00436131"/>
    <w:rsid w:val="004366AE"/>
    <w:rsid w:val="00436C5C"/>
    <w:rsid w:val="00436CCE"/>
    <w:rsid w:val="00437189"/>
    <w:rsid w:val="004377A2"/>
    <w:rsid w:val="00437888"/>
    <w:rsid w:val="00440127"/>
    <w:rsid w:val="0044057E"/>
    <w:rsid w:val="00440B41"/>
    <w:rsid w:val="00440BC5"/>
    <w:rsid w:val="00440D3F"/>
    <w:rsid w:val="00441130"/>
    <w:rsid w:val="00441BFF"/>
    <w:rsid w:val="00442B38"/>
    <w:rsid w:val="00443464"/>
    <w:rsid w:val="004438AB"/>
    <w:rsid w:val="0044395C"/>
    <w:rsid w:val="00443F7A"/>
    <w:rsid w:val="00444590"/>
    <w:rsid w:val="004446F9"/>
    <w:rsid w:val="00444BD1"/>
    <w:rsid w:val="00444DBA"/>
    <w:rsid w:val="00444DEA"/>
    <w:rsid w:val="00444FC4"/>
    <w:rsid w:val="004451C8"/>
    <w:rsid w:val="00445375"/>
    <w:rsid w:val="00445438"/>
    <w:rsid w:val="00445959"/>
    <w:rsid w:val="00445D7E"/>
    <w:rsid w:val="00445DA8"/>
    <w:rsid w:val="0044603F"/>
    <w:rsid w:val="0044634F"/>
    <w:rsid w:val="0044722A"/>
    <w:rsid w:val="00447EA0"/>
    <w:rsid w:val="004502AE"/>
    <w:rsid w:val="00450AF3"/>
    <w:rsid w:val="00451A85"/>
    <w:rsid w:val="00451C06"/>
    <w:rsid w:val="00451D4E"/>
    <w:rsid w:val="00451F9B"/>
    <w:rsid w:val="004522DA"/>
    <w:rsid w:val="00452491"/>
    <w:rsid w:val="004524BC"/>
    <w:rsid w:val="0045270A"/>
    <w:rsid w:val="004528BE"/>
    <w:rsid w:val="00452EB2"/>
    <w:rsid w:val="00452F1E"/>
    <w:rsid w:val="00454063"/>
    <w:rsid w:val="00454434"/>
    <w:rsid w:val="00454E22"/>
    <w:rsid w:val="00455077"/>
    <w:rsid w:val="00455FB1"/>
    <w:rsid w:val="00456097"/>
    <w:rsid w:val="004564A9"/>
    <w:rsid w:val="0045671A"/>
    <w:rsid w:val="00456A8A"/>
    <w:rsid w:val="00456B19"/>
    <w:rsid w:val="0045731C"/>
    <w:rsid w:val="004573EE"/>
    <w:rsid w:val="004574D2"/>
    <w:rsid w:val="004574E9"/>
    <w:rsid w:val="00457A75"/>
    <w:rsid w:val="00457B45"/>
    <w:rsid w:val="00457EC2"/>
    <w:rsid w:val="00460293"/>
    <w:rsid w:val="00461422"/>
    <w:rsid w:val="0046162F"/>
    <w:rsid w:val="004618A2"/>
    <w:rsid w:val="00461D62"/>
    <w:rsid w:val="00461F7B"/>
    <w:rsid w:val="00462CEF"/>
    <w:rsid w:val="00462D03"/>
    <w:rsid w:val="00462E71"/>
    <w:rsid w:val="0046352B"/>
    <w:rsid w:val="0046457D"/>
    <w:rsid w:val="004645F2"/>
    <w:rsid w:val="00464AC7"/>
    <w:rsid w:val="00464F95"/>
    <w:rsid w:val="00465551"/>
    <w:rsid w:val="0046556E"/>
    <w:rsid w:val="00465A47"/>
    <w:rsid w:val="00465C7A"/>
    <w:rsid w:val="00465CF0"/>
    <w:rsid w:val="0046608E"/>
    <w:rsid w:val="004665C2"/>
    <w:rsid w:val="00466E4E"/>
    <w:rsid w:val="004672C4"/>
    <w:rsid w:val="004674C8"/>
    <w:rsid w:val="00467819"/>
    <w:rsid w:val="00467EDF"/>
    <w:rsid w:val="00467F46"/>
    <w:rsid w:val="004706B5"/>
    <w:rsid w:val="00470A1F"/>
    <w:rsid w:val="00470A25"/>
    <w:rsid w:val="0047177E"/>
    <w:rsid w:val="00471F7A"/>
    <w:rsid w:val="00472130"/>
    <w:rsid w:val="00472476"/>
    <w:rsid w:val="0047302F"/>
    <w:rsid w:val="0047331A"/>
    <w:rsid w:val="00473BA1"/>
    <w:rsid w:val="00473D1D"/>
    <w:rsid w:val="00473D20"/>
    <w:rsid w:val="004745A1"/>
    <w:rsid w:val="00474799"/>
    <w:rsid w:val="004757E8"/>
    <w:rsid w:val="00476402"/>
    <w:rsid w:val="00476760"/>
    <w:rsid w:val="00476D41"/>
    <w:rsid w:val="004773CB"/>
    <w:rsid w:val="0047751D"/>
    <w:rsid w:val="004778D9"/>
    <w:rsid w:val="00477A06"/>
    <w:rsid w:val="00477A7E"/>
    <w:rsid w:val="00477EBC"/>
    <w:rsid w:val="00480666"/>
    <w:rsid w:val="0048092E"/>
    <w:rsid w:val="00480D86"/>
    <w:rsid w:val="00480E5E"/>
    <w:rsid w:val="004815E9"/>
    <w:rsid w:val="00481836"/>
    <w:rsid w:val="00482D8F"/>
    <w:rsid w:val="00483401"/>
    <w:rsid w:val="00483BFB"/>
    <w:rsid w:val="00483C1D"/>
    <w:rsid w:val="00483C46"/>
    <w:rsid w:val="00483E58"/>
    <w:rsid w:val="00483ECB"/>
    <w:rsid w:val="00484073"/>
    <w:rsid w:val="0048429D"/>
    <w:rsid w:val="00484A4D"/>
    <w:rsid w:val="00485C8B"/>
    <w:rsid w:val="00485D10"/>
    <w:rsid w:val="00485D82"/>
    <w:rsid w:val="00486550"/>
    <w:rsid w:val="00486645"/>
    <w:rsid w:val="00486F11"/>
    <w:rsid w:val="00487417"/>
    <w:rsid w:val="00487DEB"/>
    <w:rsid w:val="00487EF4"/>
    <w:rsid w:val="00491301"/>
    <w:rsid w:val="00491FA3"/>
    <w:rsid w:val="004925C0"/>
    <w:rsid w:val="0049274B"/>
    <w:rsid w:val="00492787"/>
    <w:rsid w:val="00492795"/>
    <w:rsid w:val="004929AA"/>
    <w:rsid w:val="00492A61"/>
    <w:rsid w:val="00493201"/>
    <w:rsid w:val="00493676"/>
    <w:rsid w:val="004952F6"/>
    <w:rsid w:val="004956B0"/>
    <w:rsid w:val="00495F30"/>
    <w:rsid w:val="0049644C"/>
    <w:rsid w:val="00496AA9"/>
    <w:rsid w:val="004970ED"/>
    <w:rsid w:val="0049793A"/>
    <w:rsid w:val="00497AD3"/>
    <w:rsid w:val="00497B33"/>
    <w:rsid w:val="00497DD0"/>
    <w:rsid w:val="00497F15"/>
    <w:rsid w:val="00497F7A"/>
    <w:rsid w:val="004A0684"/>
    <w:rsid w:val="004A09A8"/>
    <w:rsid w:val="004A0A0D"/>
    <w:rsid w:val="004A0FB6"/>
    <w:rsid w:val="004A1350"/>
    <w:rsid w:val="004A1923"/>
    <w:rsid w:val="004A1A4C"/>
    <w:rsid w:val="004A1B0F"/>
    <w:rsid w:val="004A28F9"/>
    <w:rsid w:val="004A2C99"/>
    <w:rsid w:val="004A2D08"/>
    <w:rsid w:val="004A3741"/>
    <w:rsid w:val="004A42DE"/>
    <w:rsid w:val="004A4A97"/>
    <w:rsid w:val="004A4AFA"/>
    <w:rsid w:val="004A4D7E"/>
    <w:rsid w:val="004A4F1C"/>
    <w:rsid w:val="004A51E2"/>
    <w:rsid w:val="004A537E"/>
    <w:rsid w:val="004A6625"/>
    <w:rsid w:val="004A6771"/>
    <w:rsid w:val="004A68B5"/>
    <w:rsid w:val="004A6CC2"/>
    <w:rsid w:val="004A6D60"/>
    <w:rsid w:val="004A7123"/>
    <w:rsid w:val="004A7456"/>
    <w:rsid w:val="004A7C07"/>
    <w:rsid w:val="004A7C83"/>
    <w:rsid w:val="004A7E0D"/>
    <w:rsid w:val="004A7F4A"/>
    <w:rsid w:val="004B038D"/>
    <w:rsid w:val="004B0390"/>
    <w:rsid w:val="004B09E3"/>
    <w:rsid w:val="004B0D0B"/>
    <w:rsid w:val="004B114C"/>
    <w:rsid w:val="004B14AB"/>
    <w:rsid w:val="004B156A"/>
    <w:rsid w:val="004B203F"/>
    <w:rsid w:val="004B3096"/>
    <w:rsid w:val="004B32F0"/>
    <w:rsid w:val="004B38DE"/>
    <w:rsid w:val="004B3CB1"/>
    <w:rsid w:val="004B3D5A"/>
    <w:rsid w:val="004B3D78"/>
    <w:rsid w:val="004B3DB0"/>
    <w:rsid w:val="004B3EE6"/>
    <w:rsid w:val="004B4D74"/>
    <w:rsid w:val="004B4E9C"/>
    <w:rsid w:val="004B50E4"/>
    <w:rsid w:val="004B5C37"/>
    <w:rsid w:val="004B78EE"/>
    <w:rsid w:val="004B7B40"/>
    <w:rsid w:val="004B7BAC"/>
    <w:rsid w:val="004C0693"/>
    <w:rsid w:val="004C0A6B"/>
    <w:rsid w:val="004C0D7A"/>
    <w:rsid w:val="004C1BFB"/>
    <w:rsid w:val="004C1C33"/>
    <w:rsid w:val="004C1E58"/>
    <w:rsid w:val="004C2672"/>
    <w:rsid w:val="004C270F"/>
    <w:rsid w:val="004C2930"/>
    <w:rsid w:val="004C2B50"/>
    <w:rsid w:val="004C366D"/>
    <w:rsid w:val="004C37EA"/>
    <w:rsid w:val="004C3BEA"/>
    <w:rsid w:val="004C403B"/>
    <w:rsid w:val="004C411A"/>
    <w:rsid w:val="004C46D6"/>
    <w:rsid w:val="004C47FD"/>
    <w:rsid w:val="004C4904"/>
    <w:rsid w:val="004C5112"/>
    <w:rsid w:val="004C51BA"/>
    <w:rsid w:val="004C5629"/>
    <w:rsid w:val="004C565E"/>
    <w:rsid w:val="004C61E7"/>
    <w:rsid w:val="004C6C7C"/>
    <w:rsid w:val="004C74B9"/>
    <w:rsid w:val="004C7804"/>
    <w:rsid w:val="004C7CAC"/>
    <w:rsid w:val="004D00C3"/>
    <w:rsid w:val="004D01FD"/>
    <w:rsid w:val="004D020D"/>
    <w:rsid w:val="004D0300"/>
    <w:rsid w:val="004D0CED"/>
    <w:rsid w:val="004D1501"/>
    <w:rsid w:val="004D1844"/>
    <w:rsid w:val="004D1AA2"/>
    <w:rsid w:val="004D1B4B"/>
    <w:rsid w:val="004D1CDB"/>
    <w:rsid w:val="004D2205"/>
    <w:rsid w:val="004D23A9"/>
    <w:rsid w:val="004D2953"/>
    <w:rsid w:val="004D2DA9"/>
    <w:rsid w:val="004D2ECB"/>
    <w:rsid w:val="004D3E23"/>
    <w:rsid w:val="004D3E25"/>
    <w:rsid w:val="004D3EC8"/>
    <w:rsid w:val="004D43C6"/>
    <w:rsid w:val="004D5589"/>
    <w:rsid w:val="004D609A"/>
    <w:rsid w:val="004D63C6"/>
    <w:rsid w:val="004D6CCF"/>
    <w:rsid w:val="004D77C2"/>
    <w:rsid w:val="004E0460"/>
    <w:rsid w:val="004E0864"/>
    <w:rsid w:val="004E0B89"/>
    <w:rsid w:val="004E105B"/>
    <w:rsid w:val="004E13B3"/>
    <w:rsid w:val="004E1E30"/>
    <w:rsid w:val="004E2CDA"/>
    <w:rsid w:val="004E2D5F"/>
    <w:rsid w:val="004E2DB1"/>
    <w:rsid w:val="004E39F5"/>
    <w:rsid w:val="004E3A36"/>
    <w:rsid w:val="004E458B"/>
    <w:rsid w:val="004E486D"/>
    <w:rsid w:val="004E4A26"/>
    <w:rsid w:val="004E4B94"/>
    <w:rsid w:val="004E4D6C"/>
    <w:rsid w:val="004E54CC"/>
    <w:rsid w:val="004E57A1"/>
    <w:rsid w:val="004E57B6"/>
    <w:rsid w:val="004E5ABF"/>
    <w:rsid w:val="004E703A"/>
    <w:rsid w:val="004E7819"/>
    <w:rsid w:val="004E7960"/>
    <w:rsid w:val="004E7BBA"/>
    <w:rsid w:val="004E7D39"/>
    <w:rsid w:val="004E7F94"/>
    <w:rsid w:val="004F063C"/>
    <w:rsid w:val="004F0A24"/>
    <w:rsid w:val="004F0B11"/>
    <w:rsid w:val="004F116D"/>
    <w:rsid w:val="004F1514"/>
    <w:rsid w:val="004F1753"/>
    <w:rsid w:val="004F1CAC"/>
    <w:rsid w:val="004F2111"/>
    <w:rsid w:val="004F229D"/>
    <w:rsid w:val="004F28B5"/>
    <w:rsid w:val="004F28E9"/>
    <w:rsid w:val="004F2A56"/>
    <w:rsid w:val="004F2D65"/>
    <w:rsid w:val="004F3763"/>
    <w:rsid w:val="004F3903"/>
    <w:rsid w:val="004F4268"/>
    <w:rsid w:val="004F4FE2"/>
    <w:rsid w:val="004F52E5"/>
    <w:rsid w:val="004F5583"/>
    <w:rsid w:val="004F5616"/>
    <w:rsid w:val="004F57CC"/>
    <w:rsid w:val="004F5B70"/>
    <w:rsid w:val="004F6E51"/>
    <w:rsid w:val="004F6EFB"/>
    <w:rsid w:val="004F7292"/>
    <w:rsid w:val="004F7312"/>
    <w:rsid w:val="004F7717"/>
    <w:rsid w:val="004F783C"/>
    <w:rsid w:val="004F79F0"/>
    <w:rsid w:val="005001CC"/>
    <w:rsid w:val="0050049E"/>
    <w:rsid w:val="00500A1E"/>
    <w:rsid w:val="00500AF3"/>
    <w:rsid w:val="00501361"/>
    <w:rsid w:val="00502C74"/>
    <w:rsid w:val="00502DA9"/>
    <w:rsid w:val="0050374A"/>
    <w:rsid w:val="00503992"/>
    <w:rsid w:val="00503B39"/>
    <w:rsid w:val="00504090"/>
    <w:rsid w:val="00504DEB"/>
    <w:rsid w:val="00504E8C"/>
    <w:rsid w:val="00504EED"/>
    <w:rsid w:val="005054C2"/>
    <w:rsid w:val="00505764"/>
    <w:rsid w:val="00505826"/>
    <w:rsid w:val="00505D7E"/>
    <w:rsid w:val="00505EEC"/>
    <w:rsid w:val="005060D3"/>
    <w:rsid w:val="005061F9"/>
    <w:rsid w:val="00506212"/>
    <w:rsid w:val="0050681E"/>
    <w:rsid w:val="00506A08"/>
    <w:rsid w:val="00506A69"/>
    <w:rsid w:val="00507568"/>
    <w:rsid w:val="0050790F"/>
    <w:rsid w:val="005111E0"/>
    <w:rsid w:val="00511443"/>
    <w:rsid w:val="005117A7"/>
    <w:rsid w:val="00511FC2"/>
    <w:rsid w:val="0051224E"/>
    <w:rsid w:val="005137AD"/>
    <w:rsid w:val="005137BA"/>
    <w:rsid w:val="00514ADB"/>
    <w:rsid w:val="00515058"/>
    <w:rsid w:val="00515687"/>
    <w:rsid w:val="00515715"/>
    <w:rsid w:val="005157F7"/>
    <w:rsid w:val="0051581F"/>
    <w:rsid w:val="00515E1C"/>
    <w:rsid w:val="00516051"/>
    <w:rsid w:val="00516171"/>
    <w:rsid w:val="00516272"/>
    <w:rsid w:val="00516BA2"/>
    <w:rsid w:val="00516F65"/>
    <w:rsid w:val="0051710D"/>
    <w:rsid w:val="0051719C"/>
    <w:rsid w:val="005178D6"/>
    <w:rsid w:val="00517F3E"/>
    <w:rsid w:val="00520186"/>
    <w:rsid w:val="005204F6"/>
    <w:rsid w:val="005205B5"/>
    <w:rsid w:val="0052069E"/>
    <w:rsid w:val="00520930"/>
    <w:rsid w:val="00521043"/>
    <w:rsid w:val="00521621"/>
    <w:rsid w:val="0052174E"/>
    <w:rsid w:val="00521A5D"/>
    <w:rsid w:val="00521E2C"/>
    <w:rsid w:val="00522DBB"/>
    <w:rsid w:val="005232C2"/>
    <w:rsid w:val="0052346A"/>
    <w:rsid w:val="005238E0"/>
    <w:rsid w:val="00524070"/>
    <w:rsid w:val="0052411D"/>
    <w:rsid w:val="00524188"/>
    <w:rsid w:val="005247F0"/>
    <w:rsid w:val="00524809"/>
    <w:rsid w:val="00524EBF"/>
    <w:rsid w:val="00525C81"/>
    <w:rsid w:val="00526169"/>
    <w:rsid w:val="0052631F"/>
    <w:rsid w:val="0052653E"/>
    <w:rsid w:val="005266A5"/>
    <w:rsid w:val="00527181"/>
    <w:rsid w:val="00527507"/>
    <w:rsid w:val="00527522"/>
    <w:rsid w:val="00527939"/>
    <w:rsid w:val="00527D18"/>
    <w:rsid w:val="00530150"/>
    <w:rsid w:val="0053048F"/>
    <w:rsid w:val="00530889"/>
    <w:rsid w:val="00531820"/>
    <w:rsid w:val="00531C98"/>
    <w:rsid w:val="005323F6"/>
    <w:rsid w:val="005326FB"/>
    <w:rsid w:val="005329E4"/>
    <w:rsid w:val="00532F50"/>
    <w:rsid w:val="00532FC4"/>
    <w:rsid w:val="00533834"/>
    <w:rsid w:val="005338D1"/>
    <w:rsid w:val="00533AAC"/>
    <w:rsid w:val="00533C49"/>
    <w:rsid w:val="00534226"/>
    <w:rsid w:val="00534888"/>
    <w:rsid w:val="00535BCC"/>
    <w:rsid w:val="00535DCE"/>
    <w:rsid w:val="00535F37"/>
    <w:rsid w:val="00536869"/>
    <w:rsid w:val="00536B3D"/>
    <w:rsid w:val="00536BF1"/>
    <w:rsid w:val="00536FB1"/>
    <w:rsid w:val="005372A5"/>
    <w:rsid w:val="00537CA8"/>
    <w:rsid w:val="00537F9F"/>
    <w:rsid w:val="00540357"/>
    <w:rsid w:val="00540D58"/>
    <w:rsid w:val="00540D5E"/>
    <w:rsid w:val="00540E6C"/>
    <w:rsid w:val="00541E7B"/>
    <w:rsid w:val="005428C7"/>
    <w:rsid w:val="005434E5"/>
    <w:rsid w:val="00543F8A"/>
    <w:rsid w:val="00544514"/>
    <w:rsid w:val="005446B6"/>
    <w:rsid w:val="00544740"/>
    <w:rsid w:val="005454B3"/>
    <w:rsid w:val="00545656"/>
    <w:rsid w:val="00545E7B"/>
    <w:rsid w:val="005460B0"/>
    <w:rsid w:val="005464F5"/>
    <w:rsid w:val="00550A5A"/>
    <w:rsid w:val="00550D89"/>
    <w:rsid w:val="0055133D"/>
    <w:rsid w:val="005514E6"/>
    <w:rsid w:val="00551C0C"/>
    <w:rsid w:val="0055285E"/>
    <w:rsid w:val="00552899"/>
    <w:rsid w:val="005532F3"/>
    <w:rsid w:val="005535C9"/>
    <w:rsid w:val="00553869"/>
    <w:rsid w:val="00553A62"/>
    <w:rsid w:val="0055422C"/>
    <w:rsid w:val="005543E0"/>
    <w:rsid w:val="005549E6"/>
    <w:rsid w:val="00554D6E"/>
    <w:rsid w:val="00555425"/>
    <w:rsid w:val="00555C99"/>
    <w:rsid w:val="00556062"/>
    <w:rsid w:val="00556459"/>
    <w:rsid w:val="005568AB"/>
    <w:rsid w:val="00556C5B"/>
    <w:rsid w:val="00556DE9"/>
    <w:rsid w:val="0055767A"/>
    <w:rsid w:val="005578A7"/>
    <w:rsid w:val="005601EE"/>
    <w:rsid w:val="00560F50"/>
    <w:rsid w:val="005613D5"/>
    <w:rsid w:val="0056158F"/>
    <w:rsid w:val="00561CF5"/>
    <w:rsid w:val="00562546"/>
    <w:rsid w:val="00562E9F"/>
    <w:rsid w:val="00564C10"/>
    <w:rsid w:val="00564F3B"/>
    <w:rsid w:val="005655A7"/>
    <w:rsid w:val="005658C3"/>
    <w:rsid w:val="00565EFE"/>
    <w:rsid w:val="00566AD1"/>
    <w:rsid w:val="00566AD3"/>
    <w:rsid w:val="00566B8E"/>
    <w:rsid w:val="005701F6"/>
    <w:rsid w:val="00571184"/>
    <w:rsid w:val="005712B6"/>
    <w:rsid w:val="0057201E"/>
    <w:rsid w:val="005724F4"/>
    <w:rsid w:val="005727B2"/>
    <w:rsid w:val="005729F1"/>
    <w:rsid w:val="00572A30"/>
    <w:rsid w:val="00572FC7"/>
    <w:rsid w:val="0057313D"/>
    <w:rsid w:val="0057354D"/>
    <w:rsid w:val="00573812"/>
    <w:rsid w:val="00574741"/>
    <w:rsid w:val="0057500C"/>
    <w:rsid w:val="00575A10"/>
    <w:rsid w:val="00575F2A"/>
    <w:rsid w:val="00575F57"/>
    <w:rsid w:val="00576435"/>
    <w:rsid w:val="00576C52"/>
    <w:rsid w:val="00577108"/>
    <w:rsid w:val="005771C8"/>
    <w:rsid w:val="0057792F"/>
    <w:rsid w:val="005779C5"/>
    <w:rsid w:val="00577A0B"/>
    <w:rsid w:val="00577E5A"/>
    <w:rsid w:val="00580520"/>
    <w:rsid w:val="00580FD0"/>
    <w:rsid w:val="00581A0F"/>
    <w:rsid w:val="00582360"/>
    <w:rsid w:val="0058300F"/>
    <w:rsid w:val="005830AC"/>
    <w:rsid w:val="005833A6"/>
    <w:rsid w:val="005836C5"/>
    <w:rsid w:val="00583B53"/>
    <w:rsid w:val="00583DE3"/>
    <w:rsid w:val="005843B1"/>
    <w:rsid w:val="005844DF"/>
    <w:rsid w:val="0058471F"/>
    <w:rsid w:val="0058498D"/>
    <w:rsid w:val="00584A9C"/>
    <w:rsid w:val="0058528C"/>
    <w:rsid w:val="00586A7C"/>
    <w:rsid w:val="00586C66"/>
    <w:rsid w:val="0058750F"/>
    <w:rsid w:val="00587605"/>
    <w:rsid w:val="005877D8"/>
    <w:rsid w:val="005905EE"/>
    <w:rsid w:val="0059080A"/>
    <w:rsid w:val="00590A0E"/>
    <w:rsid w:val="00590A6A"/>
    <w:rsid w:val="00590FBA"/>
    <w:rsid w:val="00591655"/>
    <w:rsid w:val="005919F3"/>
    <w:rsid w:val="00591DEB"/>
    <w:rsid w:val="00592266"/>
    <w:rsid w:val="00592E1B"/>
    <w:rsid w:val="00592FF2"/>
    <w:rsid w:val="00593564"/>
    <w:rsid w:val="0059374B"/>
    <w:rsid w:val="005938AC"/>
    <w:rsid w:val="00593EE1"/>
    <w:rsid w:val="005940DF"/>
    <w:rsid w:val="00594221"/>
    <w:rsid w:val="00594788"/>
    <w:rsid w:val="005947D2"/>
    <w:rsid w:val="00594AD1"/>
    <w:rsid w:val="00595120"/>
    <w:rsid w:val="00595238"/>
    <w:rsid w:val="0059530F"/>
    <w:rsid w:val="005953BF"/>
    <w:rsid w:val="00595D47"/>
    <w:rsid w:val="005967D8"/>
    <w:rsid w:val="005967F6"/>
    <w:rsid w:val="0059681A"/>
    <w:rsid w:val="00596A71"/>
    <w:rsid w:val="0059724D"/>
    <w:rsid w:val="00597296"/>
    <w:rsid w:val="005974C2"/>
    <w:rsid w:val="005A02B8"/>
    <w:rsid w:val="005A02DF"/>
    <w:rsid w:val="005A033A"/>
    <w:rsid w:val="005A0418"/>
    <w:rsid w:val="005A0567"/>
    <w:rsid w:val="005A0CA5"/>
    <w:rsid w:val="005A1028"/>
    <w:rsid w:val="005A12F4"/>
    <w:rsid w:val="005A1BE2"/>
    <w:rsid w:val="005A1CCD"/>
    <w:rsid w:val="005A3E16"/>
    <w:rsid w:val="005A4392"/>
    <w:rsid w:val="005A4688"/>
    <w:rsid w:val="005A4FF8"/>
    <w:rsid w:val="005A501D"/>
    <w:rsid w:val="005A5572"/>
    <w:rsid w:val="005A65D2"/>
    <w:rsid w:val="005A6ACC"/>
    <w:rsid w:val="005A6EFD"/>
    <w:rsid w:val="005A7437"/>
    <w:rsid w:val="005A7AFB"/>
    <w:rsid w:val="005A7B9A"/>
    <w:rsid w:val="005B0413"/>
    <w:rsid w:val="005B046C"/>
    <w:rsid w:val="005B08DD"/>
    <w:rsid w:val="005B095E"/>
    <w:rsid w:val="005B0B47"/>
    <w:rsid w:val="005B140D"/>
    <w:rsid w:val="005B18DE"/>
    <w:rsid w:val="005B1C17"/>
    <w:rsid w:val="005B2326"/>
    <w:rsid w:val="005B26E9"/>
    <w:rsid w:val="005B2DD3"/>
    <w:rsid w:val="005B342E"/>
    <w:rsid w:val="005B36FE"/>
    <w:rsid w:val="005B45C6"/>
    <w:rsid w:val="005B4E9F"/>
    <w:rsid w:val="005B562B"/>
    <w:rsid w:val="005B56E1"/>
    <w:rsid w:val="005B581D"/>
    <w:rsid w:val="005B5B06"/>
    <w:rsid w:val="005B610F"/>
    <w:rsid w:val="005C0078"/>
    <w:rsid w:val="005C00E6"/>
    <w:rsid w:val="005C0640"/>
    <w:rsid w:val="005C10BB"/>
    <w:rsid w:val="005C1397"/>
    <w:rsid w:val="005C16B3"/>
    <w:rsid w:val="005C177B"/>
    <w:rsid w:val="005C1A27"/>
    <w:rsid w:val="005C25C6"/>
    <w:rsid w:val="005C2689"/>
    <w:rsid w:val="005C2F35"/>
    <w:rsid w:val="005C2F8C"/>
    <w:rsid w:val="005C37DC"/>
    <w:rsid w:val="005C3EA4"/>
    <w:rsid w:val="005C4C3D"/>
    <w:rsid w:val="005C5934"/>
    <w:rsid w:val="005C5B6E"/>
    <w:rsid w:val="005C6631"/>
    <w:rsid w:val="005C6A25"/>
    <w:rsid w:val="005C7170"/>
    <w:rsid w:val="005C71BC"/>
    <w:rsid w:val="005D0AAC"/>
    <w:rsid w:val="005D136E"/>
    <w:rsid w:val="005D1D99"/>
    <w:rsid w:val="005D1E7A"/>
    <w:rsid w:val="005D201D"/>
    <w:rsid w:val="005D2B91"/>
    <w:rsid w:val="005D31A2"/>
    <w:rsid w:val="005D32F9"/>
    <w:rsid w:val="005D3A06"/>
    <w:rsid w:val="005D3B23"/>
    <w:rsid w:val="005D4139"/>
    <w:rsid w:val="005D4C99"/>
    <w:rsid w:val="005D5504"/>
    <w:rsid w:val="005D5C40"/>
    <w:rsid w:val="005D6009"/>
    <w:rsid w:val="005D7034"/>
    <w:rsid w:val="005D7380"/>
    <w:rsid w:val="005D7703"/>
    <w:rsid w:val="005D782D"/>
    <w:rsid w:val="005D78C5"/>
    <w:rsid w:val="005E1B99"/>
    <w:rsid w:val="005E2240"/>
    <w:rsid w:val="005E2651"/>
    <w:rsid w:val="005E306D"/>
    <w:rsid w:val="005E3442"/>
    <w:rsid w:val="005E38A2"/>
    <w:rsid w:val="005E3EAE"/>
    <w:rsid w:val="005E447A"/>
    <w:rsid w:val="005E46D1"/>
    <w:rsid w:val="005E4937"/>
    <w:rsid w:val="005E4EA8"/>
    <w:rsid w:val="005E4F92"/>
    <w:rsid w:val="005E4FC0"/>
    <w:rsid w:val="005E51A0"/>
    <w:rsid w:val="005E51C3"/>
    <w:rsid w:val="005E64A7"/>
    <w:rsid w:val="005E689C"/>
    <w:rsid w:val="005E6D30"/>
    <w:rsid w:val="005E7330"/>
    <w:rsid w:val="005E7C9B"/>
    <w:rsid w:val="005F0529"/>
    <w:rsid w:val="005F0747"/>
    <w:rsid w:val="005F0F1D"/>
    <w:rsid w:val="005F1240"/>
    <w:rsid w:val="005F219B"/>
    <w:rsid w:val="005F32F3"/>
    <w:rsid w:val="005F35E1"/>
    <w:rsid w:val="005F390E"/>
    <w:rsid w:val="005F3DF3"/>
    <w:rsid w:val="005F40FE"/>
    <w:rsid w:val="005F411A"/>
    <w:rsid w:val="005F4ACA"/>
    <w:rsid w:val="005F4E20"/>
    <w:rsid w:val="005F5416"/>
    <w:rsid w:val="005F5A4F"/>
    <w:rsid w:val="005F6274"/>
    <w:rsid w:val="005F6969"/>
    <w:rsid w:val="005F756B"/>
    <w:rsid w:val="005F75CD"/>
    <w:rsid w:val="005F7709"/>
    <w:rsid w:val="006002F6"/>
    <w:rsid w:val="00600623"/>
    <w:rsid w:val="006009F0"/>
    <w:rsid w:val="00600E66"/>
    <w:rsid w:val="0060142E"/>
    <w:rsid w:val="00601485"/>
    <w:rsid w:val="0060224A"/>
    <w:rsid w:val="006023E5"/>
    <w:rsid w:val="006024B1"/>
    <w:rsid w:val="00602A22"/>
    <w:rsid w:val="00602E90"/>
    <w:rsid w:val="00602FEE"/>
    <w:rsid w:val="0060347C"/>
    <w:rsid w:val="006034B4"/>
    <w:rsid w:val="006034F7"/>
    <w:rsid w:val="00603D7F"/>
    <w:rsid w:val="00603E14"/>
    <w:rsid w:val="006041E3"/>
    <w:rsid w:val="00604347"/>
    <w:rsid w:val="00604778"/>
    <w:rsid w:val="006049A6"/>
    <w:rsid w:val="00604AED"/>
    <w:rsid w:val="00604D46"/>
    <w:rsid w:val="00604E0B"/>
    <w:rsid w:val="0060571F"/>
    <w:rsid w:val="006058E0"/>
    <w:rsid w:val="006059C0"/>
    <w:rsid w:val="00605DB6"/>
    <w:rsid w:val="00605F9A"/>
    <w:rsid w:val="00606102"/>
    <w:rsid w:val="0060624E"/>
    <w:rsid w:val="00606579"/>
    <w:rsid w:val="006066AA"/>
    <w:rsid w:val="00606911"/>
    <w:rsid w:val="00606B52"/>
    <w:rsid w:val="006078D0"/>
    <w:rsid w:val="00610106"/>
    <w:rsid w:val="00610608"/>
    <w:rsid w:val="00610A88"/>
    <w:rsid w:val="00610DE4"/>
    <w:rsid w:val="00610F09"/>
    <w:rsid w:val="006113D8"/>
    <w:rsid w:val="00611425"/>
    <w:rsid w:val="0061198C"/>
    <w:rsid w:val="00611B92"/>
    <w:rsid w:val="0061211D"/>
    <w:rsid w:val="006123AA"/>
    <w:rsid w:val="00612528"/>
    <w:rsid w:val="00612E9B"/>
    <w:rsid w:val="00613717"/>
    <w:rsid w:val="00613D96"/>
    <w:rsid w:val="00613DE2"/>
    <w:rsid w:val="00614E8F"/>
    <w:rsid w:val="0061560B"/>
    <w:rsid w:val="00615684"/>
    <w:rsid w:val="006159B2"/>
    <w:rsid w:val="00615E2A"/>
    <w:rsid w:val="00616150"/>
    <w:rsid w:val="00616479"/>
    <w:rsid w:val="00616493"/>
    <w:rsid w:val="00616894"/>
    <w:rsid w:val="00616EFA"/>
    <w:rsid w:val="00617998"/>
    <w:rsid w:val="00617F93"/>
    <w:rsid w:val="00620157"/>
    <w:rsid w:val="006202E2"/>
    <w:rsid w:val="0062046C"/>
    <w:rsid w:val="00620CD4"/>
    <w:rsid w:val="00620F8F"/>
    <w:rsid w:val="00621250"/>
    <w:rsid w:val="0062158C"/>
    <w:rsid w:val="00621647"/>
    <w:rsid w:val="0062164D"/>
    <w:rsid w:val="006218DD"/>
    <w:rsid w:val="00621A54"/>
    <w:rsid w:val="00621B61"/>
    <w:rsid w:val="00622153"/>
    <w:rsid w:val="006221A6"/>
    <w:rsid w:val="0062228E"/>
    <w:rsid w:val="0062252C"/>
    <w:rsid w:val="00622B5A"/>
    <w:rsid w:val="006231CD"/>
    <w:rsid w:val="00624107"/>
    <w:rsid w:val="00624229"/>
    <w:rsid w:val="0062471F"/>
    <w:rsid w:val="00625A1B"/>
    <w:rsid w:val="00625AD5"/>
    <w:rsid w:val="00626756"/>
    <w:rsid w:val="00626DAA"/>
    <w:rsid w:val="00626F9F"/>
    <w:rsid w:val="00627442"/>
    <w:rsid w:val="0062776D"/>
    <w:rsid w:val="00627CA7"/>
    <w:rsid w:val="00630389"/>
    <w:rsid w:val="006304E4"/>
    <w:rsid w:val="006312EB"/>
    <w:rsid w:val="00631714"/>
    <w:rsid w:val="006317EB"/>
    <w:rsid w:val="00631D1B"/>
    <w:rsid w:val="00632812"/>
    <w:rsid w:val="00632C8A"/>
    <w:rsid w:val="00633B63"/>
    <w:rsid w:val="00634AE3"/>
    <w:rsid w:val="00634D1F"/>
    <w:rsid w:val="006354AC"/>
    <w:rsid w:val="0063550C"/>
    <w:rsid w:val="00635A99"/>
    <w:rsid w:val="00635D71"/>
    <w:rsid w:val="00635E68"/>
    <w:rsid w:val="00636DA2"/>
    <w:rsid w:val="00637309"/>
    <w:rsid w:val="00637BFF"/>
    <w:rsid w:val="00640382"/>
    <w:rsid w:val="00640A41"/>
    <w:rsid w:val="00640EDB"/>
    <w:rsid w:val="0064145E"/>
    <w:rsid w:val="006414C5"/>
    <w:rsid w:val="006415B0"/>
    <w:rsid w:val="0064193F"/>
    <w:rsid w:val="00642226"/>
    <w:rsid w:val="00642441"/>
    <w:rsid w:val="00642F44"/>
    <w:rsid w:val="00643812"/>
    <w:rsid w:val="00643813"/>
    <w:rsid w:val="00643BD1"/>
    <w:rsid w:val="00643C9B"/>
    <w:rsid w:val="006440BF"/>
    <w:rsid w:val="006442E4"/>
    <w:rsid w:val="00644782"/>
    <w:rsid w:val="00644BC4"/>
    <w:rsid w:val="006452BC"/>
    <w:rsid w:val="006456E1"/>
    <w:rsid w:val="006459BC"/>
    <w:rsid w:val="00645A5E"/>
    <w:rsid w:val="00645CCF"/>
    <w:rsid w:val="00646929"/>
    <w:rsid w:val="006479BC"/>
    <w:rsid w:val="00647D90"/>
    <w:rsid w:val="00650861"/>
    <w:rsid w:val="00650898"/>
    <w:rsid w:val="00651182"/>
    <w:rsid w:val="00651427"/>
    <w:rsid w:val="00651859"/>
    <w:rsid w:val="006522E8"/>
    <w:rsid w:val="00652473"/>
    <w:rsid w:val="0065265D"/>
    <w:rsid w:val="006527B7"/>
    <w:rsid w:val="00653729"/>
    <w:rsid w:val="006553EE"/>
    <w:rsid w:val="006555C7"/>
    <w:rsid w:val="00655F16"/>
    <w:rsid w:val="00656C7F"/>
    <w:rsid w:val="00657365"/>
    <w:rsid w:val="006578BF"/>
    <w:rsid w:val="006579B1"/>
    <w:rsid w:val="00657B46"/>
    <w:rsid w:val="00657D6E"/>
    <w:rsid w:val="006601E5"/>
    <w:rsid w:val="006602AD"/>
    <w:rsid w:val="0066039A"/>
    <w:rsid w:val="006604EA"/>
    <w:rsid w:val="0066069E"/>
    <w:rsid w:val="0066077B"/>
    <w:rsid w:val="00660893"/>
    <w:rsid w:val="00661449"/>
    <w:rsid w:val="006614A5"/>
    <w:rsid w:val="006615BD"/>
    <w:rsid w:val="00662340"/>
    <w:rsid w:val="00662442"/>
    <w:rsid w:val="00662B32"/>
    <w:rsid w:val="00662BA4"/>
    <w:rsid w:val="006633AD"/>
    <w:rsid w:val="0066363F"/>
    <w:rsid w:val="00663CC1"/>
    <w:rsid w:val="00663CD0"/>
    <w:rsid w:val="00663F1F"/>
    <w:rsid w:val="0066407A"/>
    <w:rsid w:val="006654C1"/>
    <w:rsid w:val="006659A4"/>
    <w:rsid w:val="006668CB"/>
    <w:rsid w:val="00666D37"/>
    <w:rsid w:val="00666E4A"/>
    <w:rsid w:val="006677D5"/>
    <w:rsid w:val="006679E4"/>
    <w:rsid w:val="006706BD"/>
    <w:rsid w:val="00671AFB"/>
    <w:rsid w:val="00671B14"/>
    <w:rsid w:val="00671E05"/>
    <w:rsid w:val="006722E8"/>
    <w:rsid w:val="00672F93"/>
    <w:rsid w:val="006733FA"/>
    <w:rsid w:val="006736DF"/>
    <w:rsid w:val="00673F23"/>
    <w:rsid w:val="00673FA7"/>
    <w:rsid w:val="00675094"/>
    <w:rsid w:val="00675813"/>
    <w:rsid w:val="00675C28"/>
    <w:rsid w:val="0067626D"/>
    <w:rsid w:val="00676A50"/>
    <w:rsid w:val="00676C20"/>
    <w:rsid w:val="0067707F"/>
    <w:rsid w:val="00677991"/>
    <w:rsid w:val="00677A5F"/>
    <w:rsid w:val="00677CE0"/>
    <w:rsid w:val="006801CF"/>
    <w:rsid w:val="0068031C"/>
    <w:rsid w:val="00680461"/>
    <w:rsid w:val="00680711"/>
    <w:rsid w:val="00680FA5"/>
    <w:rsid w:val="006812F1"/>
    <w:rsid w:val="00681F88"/>
    <w:rsid w:val="006823B0"/>
    <w:rsid w:val="0068252D"/>
    <w:rsid w:val="006828A6"/>
    <w:rsid w:val="006831B2"/>
    <w:rsid w:val="006833F6"/>
    <w:rsid w:val="00683867"/>
    <w:rsid w:val="006838BD"/>
    <w:rsid w:val="00683F79"/>
    <w:rsid w:val="00684849"/>
    <w:rsid w:val="0068498E"/>
    <w:rsid w:val="00685483"/>
    <w:rsid w:val="00685591"/>
    <w:rsid w:val="00685A38"/>
    <w:rsid w:val="00685B40"/>
    <w:rsid w:val="006861C3"/>
    <w:rsid w:val="00686473"/>
    <w:rsid w:val="00686C14"/>
    <w:rsid w:val="006874FB"/>
    <w:rsid w:val="0068782F"/>
    <w:rsid w:val="006878CF"/>
    <w:rsid w:val="00687E7B"/>
    <w:rsid w:val="00690306"/>
    <w:rsid w:val="00690769"/>
    <w:rsid w:val="00690A6E"/>
    <w:rsid w:val="00691140"/>
    <w:rsid w:val="006916EF"/>
    <w:rsid w:val="006923F9"/>
    <w:rsid w:val="00692D37"/>
    <w:rsid w:val="0069353A"/>
    <w:rsid w:val="00693548"/>
    <w:rsid w:val="00693564"/>
    <w:rsid w:val="006935A4"/>
    <w:rsid w:val="0069507F"/>
    <w:rsid w:val="006951D9"/>
    <w:rsid w:val="006953C1"/>
    <w:rsid w:val="00696083"/>
    <w:rsid w:val="00696265"/>
    <w:rsid w:val="00696BFC"/>
    <w:rsid w:val="00696F74"/>
    <w:rsid w:val="00697099"/>
    <w:rsid w:val="00697750"/>
    <w:rsid w:val="006A0452"/>
    <w:rsid w:val="006A0503"/>
    <w:rsid w:val="006A0538"/>
    <w:rsid w:val="006A05FA"/>
    <w:rsid w:val="006A0701"/>
    <w:rsid w:val="006A099F"/>
    <w:rsid w:val="006A0BCE"/>
    <w:rsid w:val="006A1048"/>
    <w:rsid w:val="006A1CBB"/>
    <w:rsid w:val="006A211D"/>
    <w:rsid w:val="006A22AF"/>
    <w:rsid w:val="006A359A"/>
    <w:rsid w:val="006A3665"/>
    <w:rsid w:val="006A36F6"/>
    <w:rsid w:val="006A4802"/>
    <w:rsid w:val="006A498C"/>
    <w:rsid w:val="006A5428"/>
    <w:rsid w:val="006A586E"/>
    <w:rsid w:val="006A5C34"/>
    <w:rsid w:val="006A5EB1"/>
    <w:rsid w:val="006A62E9"/>
    <w:rsid w:val="006A6B98"/>
    <w:rsid w:val="006A6C26"/>
    <w:rsid w:val="006A765D"/>
    <w:rsid w:val="006A7970"/>
    <w:rsid w:val="006A7BB3"/>
    <w:rsid w:val="006B0120"/>
    <w:rsid w:val="006B1C30"/>
    <w:rsid w:val="006B241D"/>
    <w:rsid w:val="006B2FBC"/>
    <w:rsid w:val="006B3D82"/>
    <w:rsid w:val="006B3E99"/>
    <w:rsid w:val="006B3E9B"/>
    <w:rsid w:val="006B4236"/>
    <w:rsid w:val="006B4479"/>
    <w:rsid w:val="006B4A77"/>
    <w:rsid w:val="006B54A6"/>
    <w:rsid w:val="006B5789"/>
    <w:rsid w:val="006B5C7E"/>
    <w:rsid w:val="006B5E0E"/>
    <w:rsid w:val="006B5F14"/>
    <w:rsid w:val="006B706F"/>
    <w:rsid w:val="006B7307"/>
    <w:rsid w:val="006B730F"/>
    <w:rsid w:val="006B7933"/>
    <w:rsid w:val="006B7A37"/>
    <w:rsid w:val="006B7A51"/>
    <w:rsid w:val="006B7D31"/>
    <w:rsid w:val="006C0AB6"/>
    <w:rsid w:val="006C131D"/>
    <w:rsid w:val="006C1380"/>
    <w:rsid w:val="006C1F5E"/>
    <w:rsid w:val="006C2211"/>
    <w:rsid w:val="006C22FD"/>
    <w:rsid w:val="006C2A92"/>
    <w:rsid w:val="006C2D0F"/>
    <w:rsid w:val="006C302D"/>
    <w:rsid w:val="006C3265"/>
    <w:rsid w:val="006C3C3F"/>
    <w:rsid w:val="006C43DC"/>
    <w:rsid w:val="006C4415"/>
    <w:rsid w:val="006C4B1E"/>
    <w:rsid w:val="006C525E"/>
    <w:rsid w:val="006C5644"/>
    <w:rsid w:val="006C6468"/>
    <w:rsid w:val="006C65B3"/>
    <w:rsid w:val="006C6654"/>
    <w:rsid w:val="006C6E8B"/>
    <w:rsid w:val="006C7239"/>
    <w:rsid w:val="006C754E"/>
    <w:rsid w:val="006C75AF"/>
    <w:rsid w:val="006C7902"/>
    <w:rsid w:val="006C7B23"/>
    <w:rsid w:val="006D0690"/>
    <w:rsid w:val="006D17F7"/>
    <w:rsid w:val="006D1994"/>
    <w:rsid w:val="006D2061"/>
    <w:rsid w:val="006D2130"/>
    <w:rsid w:val="006D290D"/>
    <w:rsid w:val="006D2B49"/>
    <w:rsid w:val="006D2C18"/>
    <w:rsid w:val="006D2FDD"/>
    <w:rsid w:val="006D3217"/>
    <w:rsid w:val="006D4509"/>
    <w:rsid w:val="006D4A5C"/>
    <w:rsid w:val="006D4AEE"/>
    <w:rsid w:val="006D51DF"/>
    <w:rsid w:val="006D531F"/>
    <w:rsid w:val="006D5584"/>
    <w:rsid w:val="006D56A9"/>
    <w:rsid w:val="006D5C76"/>
    <w:rsid w:val="006D5D1D"/>
    <w:rsid w:val="006D67F2"/>
    <w:rsid w:val="006D6D21"/>
    <w:rsid w:val="006D78DB"/>
    <w:rsid w:val="006D7A35"/>
    <w:rsid w:val="006E07C4"/>
    <w:rsid w:val="006E13E9"/>
    <w:rsid w:val="006E1B3F"/>
    <w:rsid w:val="006E20F0"/>
    <w:rsid w:val="006E21C2"/>
    <w:rsid w:val="006E23E5"/>
    <w:rsid w:val="006E3138"/>
    <w:rsid w:val="006E439C"/>
    <w:rsid w:val="006E4BFD"/>
    <w:rsid w:val="006E4ED9"/>
    <w:rsid w:val="006E519D"/>
    <w:rsid w:val="006E63A2"/>
    <w:rsid w:val="006E65F5"/>
    <w:rsid w:val="006E6BB1"/>
    <w:rsid w:val="006E6C79"/>
    <w:rsid w:val="006E77FE"/>
    <w:rsid w:val="006E78FE"/>
    <w:rsid w:val="006E7ED1"/>
    <w:rsid w:val="006F0320"/>
    <w:rsid w:val="006F0409"/>
    <w:rsid w:val="006F1084"/>
    <w:rsid w:val="006F1256"/>
    <w:rsid w:val="006F1A5C"/>
    <w:rsid w:val="006F25A6"/>
    <w:rsid w:val="006F262A"/>
    <w:rsid w:val="006F287C"/>
    <w:rsid w:val="006F2F3E"/>
    <w:rsid w:val="006F3100"/>
    <w:rsid w:val="006F3F89"/>
    <w:rsid w:val="006F41B4"/>
    <w:rsid w:val="006F4243"/>
    <w:rsid w:val="006F450F"/>
    <w:rsid w:val="006F4934"/>
    <w:rsid w:val="006F4978"/>
    <w:rsid w:val="006F4A98"/>
    <w:rsid w:val="006F575A"/>
    <w:rsid w:val="006F5EF0"/>
    <w:rsid w:val="006F61C2"/>
    <w:rsid w:val="006F660B"/>
    <w:rsid w:val="006F675A"/>
    <w:rsid w:val="006F6AE5"/>
    <w:rsid w:val="006F6C0B"/>
    <w:rsid w:val="006F704F"/>
    <w:rsid w:val="006F79EB"/>
    <w:rsid w:val="006F7C62"/>
    <w:rsid w:val="006F7E17"/>
    <w:rsid w:val="00700288"/>
    <w:rsid w:val="007007F4"/>
    <w:rsid w:val="0070098A"/>
    <w:rsid w:val="00700F80"/>
    <w:rsid w:val="00701799"/>
    <w:rsid w:val="007025E8"/>
    <w:rsid w:val="007026FA"/>
    <w:rsid w:val="00702A53"/>
    <w:rsid w:val="00702D0B"/>
    <w:rsid w:val="00702F28"/>
    <w:rsid w:val="00702F9C"/>
    <w:rsid w:val="00703174"/>
    <w:rsid w:val="00703842"/>
    <w:rsid w:val="00703CCE"/>
    <w:rsid w:val="00704456"/>
    <w:rsid w:val="00704CF8"/>
    <w:rsid w:val="00705585"/>
    <w:rsid w:val="00705890"/>
    <w:rsid w:val="0070597A"/>
    <w:rsid w:val="00705E69"/>
    <w:rsid w:val="007070A0"/>
    <w:rsid w:val="007078A7"/>
    <w:rsid w:val="00707F21"/>
    <w:rsid w:val="00710B24"/>
    <w:rsid w:val="00711A86"/>
    <w:rsid w:val="00711E48"/>
    <w:rsid w:val="007129E1"/>
    <w:rsid w:val="00712E9C"/>
    <w:rsid w:val="0071316A"/>
    <w:rsid w:val="007132FC"/>
    <w:rsid w:val="007137CF"/>
    <w:rsid w:val="00713F5C"/>
    <w:rsid w:val="00714218"/>
    <w:rsid w:val="0071473C"/>
    <w:rsid w:val="00714A58"/>
    <w:rsid w:val="00714DD8"/>
    <w:rsid w:val="007152D0"/>
    <w:rsid w:val="0071554C"/>
    <w:rsid w:val="007156B0"/>
    <w:rsid w:val="00715867"/>
    <w:rsid w:val="00715BFD"/>
    <w:rsid w:val="0071644B"/>
    <w:rsid w:val="00716A59"/>
    <w:rsid w:val="007173B0"/>
    <w:rsid w:val="007173E5"/>
    <w:rsid w:val="007175A0"/>
    <w:rsid w:val="00717A5E"/>
    <w:rsid w:val="00717AFE"/>
    <w:rsid w:val="00717CC3"/>
    <w:rsid w:val="007205C4"/>
    <w:rsid w:val="007208A8"/>
    <w:rsid w:val="00720EA1"/>
    <w:rsid w:val="00721003"/>
    <w:rsid w:val="007211EA"/>
    <w:rsid w:val="007211F2"/>
    <w:rsid w:val="0072131A"/>
    <w:rsid w:val="007216BE"/>
    <w:rsid w:val="00721A77"/>
    <w:rsid w:val="00721D3A"/>
    <w:rsid w:val="00721D4E"/>
    <w:rsid w:val="007221DB"/>
    <w:rsid w:val="007223DC"/>
    <w:rsid w:val="00722933"/>
    <w:rsid w:val="007233F7"/>
    <w:rsid w:val="00723706"/>
    <w:rsid w:val="007239ED"/>
    <w:rsid w:val="00723EF9"/>
    <w:rsid w:val="00724173"/>
    <w:rsid w:val="0072468D"/>
    <w:rsid w:val="00725CC9"/>
    <w:rsid w:val="00725D5A"/>
    <w:rsid w:val="007264BB"/>
    <w:rsid w:val="00726961"/>
    <w:rsid w:val="00727008"/>
    <w:rsid w:val="00727637"/>
    <w:rsid w:val="007277C2"/>
    <w:rsid w:val="00727A16"/>
    <w:rsid w:val="00727C50"/>
    <w:rsid w:val="007306AB"/>
    <w:rsid w:val="00730914"/>
    <w:rsid w:val="00730A8B"/>
    <w:rsid w:val="00730C26"/>
    <w:rsid w:val="00730FA9"/>
    <w:rsid w:val="00731036"/>
    <w:rsid w:val="00731111"/>
    <w:rsid w:val="007311F4"/>
    <w:rsid w:val="00731667"/>
    <w:rsid w:val="00731B4F"/>
    <w:rsid w:val="0073346B"/>
    <w:rsid w:val="0073368D"/>
    <w:rsid w:val="00733B01"/>
    <w:rsid w:val="00733E8F"/>
    <w:rsid w:val="00733F26"/>
    <w:rsid w:val="0073477E"/>
    <w:rsid w:val="00734F5D"/>
    <w:rsid w:val="00735C83"/>
    <w:rsid w:val="007361AA"/>
    <w:rsid w:val="007361E2"/>
    <w:rsid w:val="00736526"/>
    <w:rsid w:val="00736829"/>
    <w:rsid w:val="0074067B"/>
    <w:rsid w:val="00740840"/>
    <w:rsid w:val="00740D3A"/>
    <w:rsid w:val="00740ECB"/>
    <w:rsid w:val="00741877"/>
    <w:rsid w:val="0074188E"/>
    <w:rsid w:val="00741C6A"/>
    <w:rsid w:val="00741FC3"/>
    <w:rsid w:val="007423A2"/>
    <w:rsid w:val="0074245B"/>
    <w:rsid w:val="007424F9"/>
    <w:rsid w:val="0074307B"/>
    <w:rsid w:val="00743519"/>
    <w:rsid w:val="0074367C"/>
    <w:rsid w:val="00743730"/>
    <w:rsid w:val="007437BC"/>
    <w:rsid w:val="00744396"/>
    <w:rsid w:val="0074488F"/>
    <w:rsid w:val="00744B10"/>
    <w:rsid w:val="007450C0"/>
    <w:rsid w:val="00745659"/>
    <w:rsid w:val="007457A2"/>
    <w:rsid w:val="00746A39"/>
    <w:rsid w:val="00746C18"/>
    <w:rsid w:val="00747254"/>
    <w:rsid w:val="00747E2D"/>
    <w:rsid w:val="0075006D"/>
    <w:rsid w:val="00750400"/>
    <w:rsid w:val="00750643"/>
    <w:rsid w:val="00750C20"/>
    <w:rsid w:val="00750F08"/>
    <w:rsid w:val="00751813"/>
    <w:rsid w:val="00751B6E"/>
    <w:rsid w:val="00751BA6"/>
    <w:rsid w:val="0075223D"/>
    <w:rsid w:val="00752383"/>
    <w:rsid w:val="007526F4"/>
    <w:rsid w:val="00752798"/>
    <w:rsid w:val="007530D5"/>
    <w:rsid w:val="00753416"/>
    <w:rsid w:val="007534F4"/>
    <w:rsid w:val="00753950"/>
    <w:rsid w:val="00754361"/>
    <w:rsid w:val="007548A5"/>
    <w:rsid w:val="00754973"/>
    <w:rsid w:val="00754CBB"/>
    <w:rsid w:val="00755F60"/>
    <w:rsid w:val="00756037"/>
    <w:rsid w:val="00756549"/>
    <w:rsid w:val="0075654D"/>
    <w:rsid w:val="00756E87"/>
    <w:rsid w:val="007574AA"/>
    <w:rsid w:val="0075760D"/>
    <w:rsid w:val="00757E45"/>
    <w:rsid w:val="007602F6"/>
    <w:rsid w:val="007604FD"/>
    <w:rsid w:val="0076081F"/>
    <w:rsid w:val="00760A04"/>
    <w:rsid w:val="00760CF7"/>
    <w:rsid w:val="00760E55"/>
    <w:rsid w:val="007611E0"/>
    <w:rsid w:val="00761468"/>
    <w:rsid w:val="00761614"/>
    <w:rsid w:val="0076193E"/>
    <w:rsid w:val="00762AD9"/>
    <w:rsid w:val="00762BFE"/>
    <w:rsid w:val="00763618"/>
    <w:rsid w:val="00763961"/>
    <w:rsid w:val="00764075"/>
    <w:rsid w:val="00764366"/>
    <w:rsid w:val="007644ED"/>
    <w:rsid w:val="00764F0C"/>
    <w:rsid w:val="00765038"/>
    <w:rsid w:val="007651A3"/>
    <w:rsid w:val="00765AD2"/>
    <w:rsid w:val="00765FBD"/>
    <w:rsid w:val="007664FA"/>
    <w:rsid w:val="0076690E"/>
    <w:rsid w:val="007669A2"/>
    <w:rsid w:val="00766E32"/>
    <w:rsid w:val="007672A9"/>
    <w:rsid w:val="00767454"/>
    <w:rsid w:val="007679DC"/>
    <w:rsid w:val="00767F93"/>
    <w:rsid w:val="00770AA1"/>
    <w:rsid w:val="00770D48"/>
    <w:rsid w:val="00770D5B"/>
    <w:rsid w:val="00771106"/>
    <w:rsid w:val="0077219E"/>
    <w:rsid w:val="00772BF4"/>
    <w:rsid w:val="00772CB4"/>
    <w:rsid w:val="00774354"/>
    <w:rsid w:val="00774BCC"/>
    <w:rsid w:val="007755DB"/>
    <w:rsid w:val="00775BD0"/>
    <w:rsid w:val="0077694D"/>
    <w:rsid w:val="00776BEB"/>
    <w:rsid w:val="00776F32"/>
    <w:rsid w:val="00777268"/>
    <w:rsid w:val="007772F1"/>
    <w:rsid w:val="0077764E"/>
    <w:rsid w:val="007776DB"/>
    <w:rsid w:val="00777867"/>
    <w:rsid w:val="00777AF9"/>
    <w:rsid w:val="00777BBF"/>
    <w:rsid w:val="00780408"/>
    <w:rsid w:val="00781153"/>
    <w:rsid w:val="007816AE"/>
    <w:rsid w:val="00781BE3"/>
    <w:rsid w:val="007826E9"/>
    <w:rsid w:val="00782706"/>
    <w:rsid w:val="00782ADF"/>
    <w:rsid w:val="00782D84"/>
    <w:rsid w:val="00784062"/>
    <w:rsid w:val="00784D97"/>
    <w:rsid w:val="0078513D"/>
    <w:rsid w:val="00786050"/>
    <w:rsid w:val="00786370"/>
    <w:rsid w:val="007865C4"/>
    <w:rsid w:val="00786E78"/>
    <w:rsid w:val="00787166"/>
    <w:rsid w:val="00787652"/>
    <w:rsid w:val="00787A45"/>
    <w:rsid w:val="0079083F"/>
    <w:rsid w:val="007908D7"/>
    <w:rsid w:val="007912A4"/>
    <w:rsid w:val="00791FB4"/>
    <w:rsid w:val="007920AA"/>
    <w:rsid w:val="007927F8"/>
    <w:rsid w:val="007929A5"/>
    <w:rsid w:val="007938C5"/>
    <w:rsid w:val="00794B0F"/>
    <w:rsid w:val="00794CB4"/>
    <w:rsid w:val="00794D3D"/>
    <w:rsid w:val="00794D9D"/>
    <w:rsid w:val="00794E81"/>
    <w:rsid w:val="00795549"/>
    <w:rsid w:val="00795678"/>
    <w:rsid w:val="007959FC"/>
    <w:rsid w:val="00795FDB"/>
    <w:rsid w:val="0079603E"/>
    <w:rsid w:val="007963DF"/>
    <w:rsid w:val="007964C9"/>
    <w:rsid w:val="00796EAE"/>
    <w:rsid w:val="00797B8B"/>
    <w:rsid w:val="007A0271"/>
    <w:rsid w:val="007A073F"/>
    <w:rsid w:val="007A0A39"/>
    <w:rsid w:val="007A0C08"/>
    <w:rsid w:val="007A0E49"/>
    <w:rsid w:val="007A0E56"/>
    <w:rsid w:val="007A0FCA"/>
    <w:rsid w:val="007A19AD"/>
    <w:rsid w:val="007A20AE"/>
    <w:rsid w:val="007A21CA"/>
    <w:rsid w:val="007A3554"/>
    <w:rsid w:val="007A3CA6"/>
    <w:rsid w:val="007A3E51"/>
    <w:rsid w:val="007A3FEB"/>
    <w:rsid w:val="007A4066"/>
    <w:rsid w:val="007A43AE"/>
    <w:rsid w:val="007A47DB"/>
    <w:rsid w:val="007A4EEA"/>
    <w:rsid w:val="007A5414"/>
    <w:rsid w:val="007A581A"/>
    <w:rsid w:val="007A59E0"/>
    <w:rsid w:val="007A5B2A"/>
    <w:rsid w:val="007A5CCF"/>
    <w:rsid w:val="007A6848"/>
    <w:rsid w:val="007A6F45"/>
    <w:rsid w:val="007A723C"/>
    <w:rsid w:val="007A749C"/>
    <w:rsid w:val="007A7D00"/>
    <w:rsid w:val="007B01C3"/>
    <w:rsid w:val="007B05CD"/>
    <w:rsid w:val="007B0649"/>
    <w:rsid w:val="007B0904"/>
    <w:rsid w:val="007B0CE3"/>
    <w:rsid w:val="007B0DA2"/>
    <w:rsid w:val="007B1709"/>
    <w:rsid w:val="007B170E"/>
    <w:rsid w:val="007B17B9"/>
    <w:rsid w:val="007B19BE"/>
    <w:rsid w:val="007B1B23"/>
    <w:rsid w:val="007B26C8"/>
    <w:rsid w:val="007B2CB2"/>
    <w:rsid w:val="007B2CDA"/>
    <w:rsid w:val="007B308F"/>
    <w:rsid w:val="007B3761"/>
    <w:rsid w:val="007B39CC"/>
    <w:rsid w:val="007B3FE0"/>
    <w:rsid w:val="007B487C"/>
    <w:rsid w:val="007B4B83"/>
    <w:rsid w:val="007B4F17"/>
    <w:rsid w:val="007B4F63"/>
    <w:rsid w:val="007B5950"/>
    <w:rsid w:val="007B5D31"/>
    <w:rsid w:val="007B6225"/>
    <w:rsid w:val="007B667E"/>
    <w:rsid w:val="007B6745"/>
    <w:rsid w:val="007B724D"/>
    <w:rsid w:val="007B7272"/>
    <w:rsid w:val="007B750D"/>
    <w:rsid w:val="007B7702"/>
    <w:rsid w:val="007B793C"/>
    <w:rsid w:val="007B7F9F"/>
    <w:rsid w:val="007C01C8"/>
    <w:rsid w:val="007C02B0"/>
    <w:rsid w:val="007C0533"/>
    <w:rsid w:val="007C0EFC"/>
    <w:rsid w:val="007C1313"/>
    <w:rsid w:val="007C1805"/>
    <w:rsid w:val="007C25F7"/>
    <w:rsid w:val="007C2972"/>
    <w:rsid w:val="007C2E55"/>
    <w:rsid w:val="007C303E"/>
    <w:rsid w:val="007C316B"/>
    <w:rsid w:val="007C3579"/>
    <w:rsid w:val="007C37BE"/>
    <w:rsid w:val="007C389C"/>
    <w:rsid w:val="007C3D95"/>
    <w:rsid w:val="007C403C"/>
    <w:rsid w:val="007C4632"/>
    <w:rsid w:val="007C46A4"/>
    <w:rsid w:val="007C47F9"/>
    <w:rsid w:val="007C4811"/>
    <w:rsid w:val="007C4A3C"/>
    <w:rsid w:val="007C4FA9"/>
    <w:rsid w:val="007C52C1"/>
    <w:rsid w:val="007C5700"/>
    <w:rsid w:val="007C5CC0"/>
    <w:rsid w:val="007C6633"/>
    <w:rsid w:val="007C7AA4"/>
    <w:rsid w:val="007D012D"/>
    <w:rsid w:val="007D07FF"/>
    <w:rsid w:val="007D08D7"/>
    <w:rsid w:val="007D14BF"/>
    <w:rsid w:val="007D2216"/>
    <w:rsid w:val="007D280E"/>
    <w:rsid w:val="007D385E"/>
    <w:rsid w:val="007D38F1"/>
    <w:rsid w:val="007D3B5F"/>
    <w:rsid w:val="007D3F0D"/>
    <w:rsid w:val="007D3F5B"/>
    <w:rsid w:val="007D42FE"/>
    <w:rsid w:val="007D4D0C"/>
    <w:rsid w:val="007D51D7"/>
    <w:rsid w:val="007D6034"/>
    <w:rsid w:val="007D62C0"/>
    <w:rsid w:val="007D64B1"/>
    <w:rsid w:val="007D6823"/>
    <w:rsid w:val="007D6B4D"/>
    <w:rsid w:val="007D7283"/>
    <w:rsid w:val="007D7B24"/>
    <w:rsid w:val="007D7F12"/>
    <w:rsid w:val="007E03F1"/>
    <w:rsid w:val="007E0554"/>
    <w:rsid w:val="007E05B0"/>
    <w:rsid w:val="007E0909"/>
    <w:rsid w:val="007E113A"/>
    <w:rsid w:val="007E178F"/>
    <w:rsid w:val="007E1B22"/>
    <w:rsid w:val="007E2088"/>
    <w:rsid w:val="007E21BC"/>
    <w:rsid w:val="007E21D2"/>
    <w:rsid w:val="007E2677"/>
    <w:rsid w:val="007E2FDC"/>
    <w:rsid w:val="007E33EF"/>
    <w:rsid w:val="007E3537"/>
    <w:rsid w:val="007E37BA"/>
    <w:rsid w:val="007E388D"/>
    <w:rsid w:val="007E395B"/>
    <w:rsid w:val="007E39C9"/>
    <w:rsid w:val="007E3B7B"/>
    <w:rsid w:val="007E3C2B"/>
    <w:rsid w:val="007E4680"/>
    <w:rsid w:val="007E4DF5"/>
    <w:rsid w:val="007E511B"/>
    <w:rsid w:val="007E51BD"/>
    <w:rsid w:val="007E6F0F"/>
    <w:rsid w:val="007E750E"/>
    <w:rsid w:val="007E772B"/>
    <w:rsid w:val="007E7F25"/>
    <w:rsid w:val="007E7F3B"/>
    <w:rsid w:val="007F04AF"/>
    <w:rsid w:val="007F1DCC"/>
    <w:rsid w:val="007F1E79"/>
    <w:rsid w:val="007F1FBB"/>
    <w:rsid w:val="007F20AF"/>
    <w:rsid w:val="007F2514"/>
    <w:rsid w:val="007F26EF"/>
    <w:rsid w:val="007F2CA8"/>
    <w:rsid w:val="007F3BED"/>
    <w:rsid w:val="007F485F"/>
    <w:rsid w:val="007F4FA7"/>
    <w:rsid w:val="007F5A6F"/>
    <w:rsid w:val="007F5EE3"/>
    <w:rsid w:val="007F6055"/>
    <w:rsid w:val="007F77D7"/>
    <w:rsid w:val="007F79BA"/>
    <w:rsid w:val="007F7F81"/>
    <w:rsid w:val="0080044F"/>
    <w:rsid w:val="00800A49"/>
    <w:rsid w:val="008012FC"/>
    <w:rsid w:val="0080149A"/>
    <w:rsid w:val="00801549"/>
    <w:rsid w:val="00801672"/>
    <w:rsid w:val="00801AB1"/>
    <w:rsid w:val="0080298E"/>
    <w:rsid w:val="00803510"/>
    <w:rsid w:val="00803874"/>
    <w:rsid w:val="00804EDD"/>
    <w:rsid w:val="00805A62"/>
    <w:rsid w:val="00805ACE"/>
    <w:rsid w:val="00807C1D"/>
    <w:rsid w:val="00807CFF"/>
    <w:rsid w:val="00810742"/>
    <w:rsid w:val="00810BB2"/>
    <w:rsid w:val="00810F04"/>
    <w:rsid w:val="00811256"/>
    <w:rsid w:val="008113B0"/>
    <w:rsid w:val="00811518"/>
    <w:rsid w:val="00811587"/>
    <w:rsid w:val="008116B1"/>
    <w:rsid w:val="00812403"/>
    <w:rsid w:val="00812FE5"/>
    <w:rsid w:val="0081300A"/>
    <w:rsid w:val="00813128"/>
    <w:rsid w:val="00813ACE"/>
    <w:rsid w:val="00813E7D"/>
    <w:rsid w:val="00814117"/>
    <w:rsid w:val="00814663"/>
    <w:rsid w:val="0081543B"/>
    <w:rsid w:val="00815AD9"/>
    <w:rsid w:val="00815DA6"/>
    <w:rsid w:val="00815F8A"/>
    <w:rsid w:val="00816A74"/>
    <w:rsid w:val="00816C9F"/>
    <w:rsid w:val="008170D2"/>
    <w:rsid w:val="00817124"/>
    <w:rsid w:val="008172C8"/>
    <w:rsid w:val="00817322"/>
    <w:rsid w:val="00817728"/>
    <w:rsid w:val="00817B5E"/>
    <w:rsid w:val="008205FF"/>
    <w:rsid w:val="00820CE2"/>
    <w:rsid w:val="00820D68"/>
    <w:rsid w:val="008221E2"/>
    <w:rsid w:val="00822DED"/>
    <w:rsid w:val="00822E77"/>
    <w:rsid w:val="00822EBE"/>
    <w:rsid w:val="00823A85"/>
    <w:rsid w:val="00823CA4"/>
    <w:rsid w:val="008245F9"/>
    <w:rsid w:val="0082505E"/>
    <w:rsid w:val="00825320"/>
    <w:rsid w:val="00825553"/>
    <w:rsid w:val="00825699"/>
    <w:rsid w:val="00825B16"/>
    <w:rsid w:val="008262C7"/>
    <w:rsid w:val="00826728"/>
    <w:rsid w:val="0082685D"/>
    <w:rsid w:val="00826B5A"/>
    <w:rsid w:val="00826F8B"/>
    <w:rsid w:val="008301A6"/>
    <w:rsid w:val="0083064A"/>
    <w:rsid w:val="008306C8"/>
    <w:rsid w:val="0083079A"/>
    <w:rsid w:val="008309E7"/>
    <w:rsid w:val="0083149F"/>
    <w:rsid w:val="00831636"/>
    <w:rsid w:val="00831640"/>
    <w:rsid w:val="00831F14"/>
    <w:rsid w:val="00832096"/>
    <w:rsid w:val="008324EF"/>
    <w:rsid w:val="00832598"/>
    <w:rsid w:val="00832AB1"/>
    <w:rsid w:val="00832E8C"/>
    <w:rsid w:val="00833AD7"/>
    <w:rsid w:val="008341F9"/>
    <w:rsid w:val="008342F9"/>
    <w:rsid w:val="0083433C"/>
    <w:rsid w:val="00835954"/>
    <w:rsid w:val="00835964"/>
    <w:rsid w:val="00835D7D"/>
    <w:rsid w:val="00835E4C"/>
    <w:rsid w:val="00836172"/>
    <w:rsid w:val="00836910"/>
    <w:rsid w:val="00836B4A"/>
    <w:rsid w:val="00836D1D"/>
    <w:rsid w:val="00836FD3"/>
    <w:rsid w:val="00837473"/>
    <w:rsid w:val="00837838"/>
    <w:rsid w:val="00837B9E"/>
    <w:rsid w:val="0084090C"/>
    <w:rsid w:val="00840C61"/>
    <w:rsid w:val="00841201"/>
    <w:rsid w:val="008414CD"/>
    <w:rsid w:val="00841592"/>
    <w:rsid w:val="00841837"/>
    <w:rsid w:val="00841AA3"/>
    <w:rsid w:val="00842573"/>
    <w:rsid w:val="00842E6A"/>
    <w:rsid w:val="008430D7"/>
    <w:rsid w:val="00843171"/>
    <w:rsid w:val="008440E4"/>
    <w:rsid w:val="0084444E"/>
    <w:rsid w:val="008444BB"/>
    <w:rsid w:val="008470B1"/>
    <w:rsid w:val="008503E3"/>
    <w:rsid w:val="0085113E"/>
    <w:rsid w:val="0085129C"/>
    <w:rsid w:val="008513AA"/>
    <w:rsid w:val="0085199F"/>
    <w:rsid w:val="00851AB7"/>
    <w:rsid w:val="008522BB"/>
    <w:rsid w:val="00852382"/>
    <w:rsid w:val="008527AA"/>
    <w:rsid w:val="00852A2D"/>
    <w:rsid w:val="00852F9B"/>
    <w:rsid w:val="00853714"/>
    <w:rsid w:val="00853944"/>
    <w:rsid w:val="00853E34"/>
    <w:rsid w:val="00854194"/>
    <w:rsid w:val="00854AD4"/>
    <w:rsid w:val="008553CA"/>
    <w:rsid w:val="008558CF"/>
    <w:rsid w:val="00855ABD"/>
    <w:rsid w:val="00856B7B"/>
    <w:rsid w:val="00857323"/>
    <w:rsid w:val="008573CC"/>
    <w:rsid w:val="00857A64"/>
    <w:rsid w:val="00857C72"/>
    <w:rsid w:val="0086094A"/>
    <w:rsid w:val="00861ED3"/>
    <w:rsid w:val="008620A8"/>
    <w:rsid w:val="00863B8B"/>
    <w:rsid w:val="00863CA9"/>
    <w:rsid w:val="00863F3A"/>
    <w:rsid w:val="00863FAD"/>
    <w:rsid w:val="0086412F"/>
    <w:rsid w:val="008644FF"/>
    <w:rsid w:val="0086467E"/>
    <w:rsid w:val="008647E9"/>
    <w:rsid w:val="00865583"/>
    <w:rsid w:val="00865888"/>
    <w:rsid w:val="00865D25"/>
    <w:rsid w:val="00865F7D"/>
    <w:rsid w:val="008661B4"/>
    <w:rsid w:val="00866541"/>
    <w:rsid w:val="00866C88"/>
    <w:rsid w:val="0086780B"/>
    <w:rsid w:val="00867AB0"/>
    <w:rsid w:val="00867BA0"/>
    <w:rsid w:val="00867C3E"/>
    <w:rsid w:val="00867FC4"/>
    <w:rsid w:val="008701A6"/>
    <w:rsid w:val="008702C1"/>
    <w:rsid w:val="00870610"/>
    <w:rsid w:val="00871122"/>
    <w:rsid w:val="00871898"/>
    <w:rsid w:val="00871A43"/>
    <w:rsid w:val="0087200A"/>
    <w:rsid w:val="008721BE"/>
    <w:rsid w:val="0087248C"/>
    <w:rsid w:val="008727D0"/>
    <w:rsid w:val="008729CF"/>
    <w:rsid w:val="00872ADA"/>
    <w:rsid w:val="0087307F"/>
    <w:rsid w:val="0087320E"/>
    <w:rsid w:val="00873262"/>
    <w:rsid w:val="0087326E"/>
    <w:rsid w:val="008734BD"/>
    <w:rsid w:val="008737FA"/>
    <w:rsid w:val="00873986"/>
    <w:rsid w:val="0087428B"/>
    <w:rsid w:val="008744B4"/>
    <w:rsid w:val="008747DE"/>
    <w:rsid w:val="00874EED"/>
    <w:rsid w:val="00875779"/>
    <w:rsid w:val="00875C59"/>
    <w:rsid w:val="00875F82"/>
    <w:rsid w:val="008760D3"/>
    <w:rsid w:val="00876C04"/>
    <w:rsid w:val="00876C74"/>
    <w:rsid w:val="0087708C"/>
    <w:rsid w:val="00877227"/>
    <w:rsid w:val="008772EA"/>
    <w:rsid w:val="008801E8"/>
    <w:rsid w:val="0088025B"/>
    <w:rsid w:val="0088041D"/>
    <w:rsid w:val="00880575"/>
    <w:rsid w:val="008809BC"/>
    <w:rsid w:val="00880DF6"/>
    <w:rsid w:val="00880E8E"/>
    <w:rsid w:val="00881245"/>
    <w:rsid w:val="008815C0"/>
    <w:rsid w:val="008819D6"/>
    <w:rsid w:val="00881E86"/>
    <w:rsid w:val="00882D8C"/>
    <w:rsid w:val="0088351B"/>
    <w:rsid w:val="008835CD"/>
    <w:rsid w:val="00883E83"/>
    <w:rsid w:val="00884EB1"/>
    <w:rsid w:val="00884F37"/>
    <w:rsid w:val="008852FF"/>
    <w:rsid w:val="0088540A"/>
    <w:rsid w:val="00885A52"/>
    <w:rsid w:val="00885B22"/>
    <w:rsid w:val="00885E22"/>
    <w:rsid w:val="00886079"/>
    <w:rsid w:val="008860AA"/>
    <w:rsid w:val="008860D2"/>
    <w:rsid w:val="0088634A"/>
    <w:rsid w:val="008873C7"/>
    <w:rsid w:val="008873F4"/>
    <w:rsid w:val="0088741A"/>
    <w:rsid w:val="008877C5"/>
    <w:rsid w:val="00887CF4"/>
    <w:rsid w:val="00887F24"/>
    <w:rsid w:val="00890016"/>
    <w:rsid w:val="00890463"/>
    <w:rsid w:val="008905A0"/>
    <w:rsid w:val="008905E7"/>
    <w:rsid w:val="00890E17"/>
    <w:rsid w:val="00890F04"/>
    <w:rsid w:val="00891207"/>
    <w:rsid w:val="008914DC"/>
    <w:rsid w:val="00891BAC"/>
    <w:rsid w:val="00892049"/>
    <w:rsid w:val="00892069"/>
    <w:rsid w:val="008929DD"/>
    <w:rsid w:val="00892C90"/>
    <w:rsid w:val="00893176"/>
    <w:rsid w:val="0089347E"/>
    <w:rsid w:val="00893507"/>
    <w:rsid w:val="00893535"/>
    <w:rsid w:val="00893DDD"/>
    <w:rsid w:val="0089452A"/>
    <w:rsid w:val="00894992"/>
    <w:rsid w:val="00894E54"/>
    <w:rsid w:val="0089589A"/>
    <w:rsid w:val="008959C1"/>
    <w:rsid w:val="0089633B"/>
    <w:rsid w:val="00896791"/>
    <w:rsid w:val="00897498"/>
    <w:rsid w:val="00897852"/>
    <w:rsid w:val="008978B2"/>
    <w:rsid w:val="008A079F"/>
    <w:rsid w:val="008A0919"/>
    <w:rsid w:val="008A0B25"/>
    <w:rsid w:val="008A0E2C"/>
    <w:rsid w:val="008A1703"/>
    <w:rsid w:val="008A1DD0"/>
    <w:rsid w:val="008A2292"/>
    <w:rsid w:val="008A2C19"/>
    <w:rsid w:val="008A2E58"/>
    <w:rsid w:val="008A31A7"/>
    <w:rsid w:val="008A3485"/>
    <w:rsid w:val="008A424F"/>
    <w:rsid w:val="008A44CE"/>
    <w:rsid w:val="008A45A2"/>
    <w:rsid w:val="008A4978"/>
    <w:rsid w:val="008A4EB4"/>
    <w:rsid w:val="008A5861"/>
    <w:rsid w:val="008A600E"/>
    <w:rsid w:val="008A6527"/>
    <w:rsid w:val="008A663E"/>
    <w:rsid w:val="008A6E5A"/>
    <w:rsid w:val="008B0250"/>
    <w:rsid w:val="008B048A"/>
    <w:rsid w:val="008B0663"/>
    <w:rsid w:val="008B073B"/>
    <w:rsid w:val="008B11F8"/>
    <w:rsid w:val="008B128B"/>
    <w:rsid w:val="008B1A3B"/>
    <w:rsid w:val="008B20CB"/>
    <w:rsid w:val="008B2645"/>
    <w:rsid w:val="008B26FC"/>
    <w:rsid w:val="008B35BF"/>
    <w:rsid w:val="008B36F4"/>
    <w:rsid w:val="008B3AB7"/>
    <w:rsid w:val="008B3BE0"/>
    <w:rsid w:val="008B4DEA"/>
    <w:rsid w:val="008B4E90"/>
    <w:rsid w:val="008B5326"/>
    <w:rsid w:val="008B56F3"/>
    <w:rsid w:val="008B5F6F"/>
    <w:rsid w:val="008B6514"/>
    <w:rsid w:val="008B6D6A"/>
    <w:rsid w:val="008B6F23"/>
    <w:rsid w:val="008B7019"/>
    <w:rsid w:val="008C0994"/>
    <w:rsid w:val="008C0CAE"/>
    <w:rsid w:val="008C146D"/>
    <w:rsid w:val="008C1B3B"/>
    <w:rsid w:val="008C26AF"/>
    <w:rsid w:val="008C33E8"/>
    <w:rsid w:val="008C34B2"/>
    <w:rsid w:val="008C3790"/>
    <w:rsid w:val="008C3F17"/>
    <w:rsid w:val="008C420D"/>
    <w:rsid w:val="008C4839"/>
    <w:rsid w:val="008C4934"/>
    <w:rsid w:val="008C4A6D"/>
    <w:rsid w:val="008C50A9"/>
    <w:rsid w:val="008C517D"/>
    <w:rsid w:val="008C5EA4"/>
    <w:rsid w:val="008C699B"/>
    <w:rsid w:val="008C6A65"/>
    <w:rsid w:val="008C6B46"/>
    <w:rsid w:val="008C7BF1"/>
    <w:rsid w:val="008C7E5D"/>
    <w:rsid w:val="008D0E0E"/>
    <w:rsid w:val="008D0FCC"/>
    <w:rsid w:val="008D181E"/>
    <w:rsid w:val="008D1DB4"/>
    <w:rsid w:val="008D2354"/>
    <w:rsid w:val="008D2DEC"/>
    <w:rsid w:val="008D2DF7"/>
    <w:rsid w:val="008D30A1"/>
    <w:rsid w:val="008D39F8"/>
    <w:rsid w:val="008D3A1D"/>
    <w:rsid w:val="008D3F36"/>
    <w:rsid w:val="008D4C68"/>
    <w:rsid w:val="008D4F9B"/>
    <w:rsid w:val="008D5917"/>
    <w:rsid w:val="008D6261"/>
    <w:rsid w:val="008D632B"/>
    <w:rsid w:val="008D67CC"/>
    <w:rsid w:val="008D681D"/>
    <w:rsid w:val="008D6840"/>
    <w:rsid w:val="008D6BEF"/>
    <w:rsid w:val="008D6EBB"/>
    <w:rsid w:val="008D7346"/>
    <w:rsid w:val="008D75EB"/>
    <w:rsid w:val="008D7DEB"/>
    <w:rsid w:val="008D7FA5"/>
    <w:rsid w:val="008E0417"/>
    <w:rsid w:val="008E083F"/>
    <w:rsid w:val="008E08AA"/>
    <w:rsid w:val="008E0D43"/>
    <w:rsid w:val="008E1027"/>
    <w:rsid w:val="008E114A"/>
    <w:rsid w:val="008E156F"/>
    <w:rsid w:val="008E19DB"/>
    <w:rsid w:val="008E2133"/>
    <w:rsid w:val="008E225C"/>
    <w:rsid w:val="008E2739"/>
    <w:rsid w:val="008E2EC7"/>
    <w:rsid w:val="008E2EEE"/>
    <w:rsid w:val="008E2F29"/>
    <w:rsid w:val="008E31E9"/>
    <w:rsid w:val="008E3301"/>
    <w:rsid w:val="008E3AAC"/>
    <w:rsid w:val="008E5200"/>
    <w:rsid w:val="008E5583"/>
    <w:rsid w:val="008E6399"/>
    <w:rsid w:val="008E6FE0"/>
    <w:rsid w:val="008E722F"/>
    <w:rsid w:val="008E74D3"/>
    <w:rsid w:val="008E7728"/>
    <w:rsid w:val="008E7C57"/>
    <w:rsid w:val="008F0FDA"/>
    <w:rsid w:val="008F173A"/>
    <w:rsid w:val="008F23E2"/>
    <w:rsid w:val="008F2544"/>
    <w:rsid w:val="008F2990"/>
    <w:rsid w:val="008F29E9"/>
    <w:rsid w:val="008F2A28"/>
    <w:rsid w:val="008F2D38"/>
    <w:rsid w:val="008F3160"/>
    <w:rsid w:val="008F34A2"/>
    <w:rsid w:val="008F3CC4"/>
    <w:rsid w:val="008F3DB0"/>
    <w:rsid w:val="008F47A2"/>
    <w:rsid w:val="008F51FC"/>
    <w:rsid w:val="008F6419"/>
    <w:rsid w:val="008F668E"/>
    <w:rsid w:val="008F6961"/>
    <w:rsid w:val="008F73AC"/>
    <w:rsid w:val="008F7CFA"/>
    <w:rsid w:val="008F7F76"/>
    <w:rsid w:val="00900036"/>
    <w:rsid w:val="00900643"/>
    <w:rsid w:val="00901572"/>
    <w:rsid w:val="00901ADB"/>
    <w:rsid w:val="00901BC9"/>
    <w:rsid w:val="00902398"/>
    <w:rsid w:val="00902E70"/>
    <w:rsid w:val="00903A3C"/>
    <w:rsid w:val="00903E39"/>
    <w:rsid w:val="0090408D"/>
    <w:rsid w:val="009047C3"/>
    <w:rsid w:val="00904C2B"/>
    <w:rsid w:val="00904D25"/>
    <w:rsid w:val="00905983"/>
    <w:rsid w:val="00906211"/>
    <w:rsid w:val="009062FF"/>
    <w:rsid w:val="00906D38"/>
    <w:rsid w:val="00906D86"/>
    <w:rsid w:val="00906F73"/>
    <w:rsid w:val="0090702E"/>
    <w:rsid w:val="009070A5"/>
    <w:rsid w:val="00907BA7"/>
    <w:rsid w:val="00907F76"/>
    <w:rsid w:val="00907FE0"/>
    <w:rsid w:val="009100A7"/>
    <w:rsid w:val="009101EB"/>
    <w:rsid w:val="00910B23"/>
    <w:rsid w:val="00910DC0"/>
    <w:rsid w:val="009111B0"/>
    <w:rsid w:val="00912026"/>
    <w:rsid w:val="009124F2"/>
    <w:rsid w:val="00912522"/>
    <w:rsid w:val="00912CBC"/>
    <w:rsid w:val="00912DB4"/>
    <w:rsid w:val="00914AF2"/>
    <w:rsid w:val="00914C6A"/>
    <w:rsid w:val="00914F97"/>
    <w:rsid w:val="00914FA6"/>
    <w:rsid w:val="00915A43"/>
    <w:rsid w:val="00916AFE"/>
    <w:rsid w:val="00916BD9"/>
    <w:rsid w:val="009172BF"/>
    <w:rsid w:val="009173EB"/>
    <w:rsid w:val="00917EB7"/>
    <w:rsid w:val="00920488"/>
    <w:rsid w:val="0092058D"/>
    <w:rsid w:val="00920704"/>
    <w:rsid w:val="00920F70"/>
    <w:rsid w:val="00920FBE"/>
    <w:rsid w:val="009211B8"/>
    <w:rsid w:val="0092137B"/>
    <w:rsid w:val="00921436"/>
    <w:rsid w:val="00921624"/>
    <w:rsid w:val="00921C32"/>
    <w:rsid w:val="009225E0"/>
    <w:rsid w:val="00922628"/>
    <w:rsid w:val="00922ED9"/>
    <w:rsid w:val="0092383E"/>
    <w:rsid w:val="00923A61"/>
    <w:rsid w:val="00923FEC"/>
    <w:rsid w:val="0092461A"/>
    <w:rsid w:val="009249C9"/>
    <w:rsid w:val="00924EAF"/>
    <w:rsid w:val="00925398"/>
    <w:rsid w:val="009259DC"/>
    <w:rsid w:val="00925D6E"/>
    <w:rsid w:val="0092612B"/>
    <w:rsid w:val="009264CF"/>
    <w:rsid w:val="00927F9E"/>
    <w:rsid w:val="00930251"/>
    <w:rsid w:val="009313EB"/>
    <w:rsid w:val="009318DB"/>
    <w:rsid w:val="00931FD6"/>
    <w:rsid w:val="00932819"/>
    <w:rsid w:val="00932906"/>
    <w:rsid w:val="00932DBD"/>
    <w:rsid w:val="00932FAF"/>
    <w:rsid w:val="009331EC"/>
    <w:rsid w:val="0093468D"/>
    <w:rsid w:val="009346D2"/>
    <w:rsid w:val="009348C3"/>
    <w:rsid w:val="00934CB1"/>
    <w:rsid w:val="009351C1"/>
    <w:rsid w:val="009354B2"/>
    <w:rsid w:val="00935634"/>
    <w:rsid w:val="009359CE"/>
    <w:rsid w:val="009361CD"/>
    <w:rsid w:val="00936A1C"/>
    <w:rsid w:val="00936ADA"/>
    <w:rsid w:val="0093705D"/>
    <w:rsid w:val="00937759"/>
    <w:rsid w:val="00937A28"/>
    <w:rsid w:val="00940306"/>
    <w:rsid w:val="00940351"/>
    <w:rsid w:val="00940C00"/>
    <w:rsid w:val="00941C62"/>
    <w:rsid w:val="00941DD2"/>
    <w:rsid w:val="00942364"/>
    <w:rsid w:val="009423D0"/>
    <w:rsid w:val="009428F5"/>
    <w:rsid w:val="009429AB"/>
    <w:rsid w:val="00942B5D"/>
    <w:rsid w:val="00942B89"/>
    <w:rsid w:val="00942FAA"/>
    <w:rsid w:val="0094326E"/>
    <w:rsid w:val="00943957"/>
    <w:rsid w:val="00943C6C"/>
    <w:rsid w:val="00944035"/>
    <w:rsid w:val="00944723"/>
    <w:rsid w:val="00944726"/>
    <w:rsid w:val="00944B2C"/>
    <w:rsid w:val="00944D1D"/>
    <w:rsid w:val="00945ADB"/>
    <w:rsid w:val="00945FC9"/>
    <w:rsid w:val="009461D3"/>
    <w:rsid w:val="0094621B"/>
    <w:rsid w:val="00946686"/>
    <w:rsid w:val="00947F93"/>
    <w:rsid w:val="009500DB"/>
    <w:rsid w:val="009504B7"/>
    <w:rsid w:val="009509C0"/>
    <w:rsid w:val="0095171F"/>
    <w:rsid w:val="00951A1C"/>
    <w:rsid w:val="00951A30"/>
    <w:rsid w:val="0095200C"/>
    <w:rsid w:val="00952E11"/>
    <w:rsid w:val="00952E84"/>
    <w:rsid w:val="0095342C"/>
    <w:rsid w:val="00953880"/>
    <w:rsid w:val="009539B9"/>
    <w:rsid w:val="00954C38"/>
    <w:rsid w:val="00954D07"/>
    <w:rsid w:val="00954F42"/>
    <w:rsid w:val="009552FB"/>
    <w:rsid w:val="00955488"/>
    <w:rsid w:val="00955709"/>
    <w:rsid w:val="00955B46"/>
    <w:rsid w:val="009564DF"/>
    <w:rsid w:val="009566FA"/>
    <w:rsid w:val="00956A2B"/>
    <w:rsid w:val="00956C68"/>
    <w:rsid w:val="00957162"/>
    <w:rsid w:val="009573F2"/>
    <w:rsid w:val="00957702"/>
    <w:rsid w:val="00957B59"/>
    <w:rsid w:val="00957C3D"/>
    <w:rsid w:val="00957C61"/>
    <w:rsid w:val="009608A9"/>
    <w:rsid w:val="009609BB"/>
    <w:rsid w:val="0096170F"/>
    <w:rsid w:val="009618C0"/>
    <w:rsid w:val="009619A1"/>
    <w:rsid w:val="00961BAC"/>
    <w:rsid w:val="00961C72"/>
    <w:rsid w:val="0096280F"/>
    <w:rsid w:val="00962B32"/>
    <w:rsid w:val="00963E54"/>
    <w:rsid w:val="009643C2"/>
    <w:rsid w:val="00964DB4"/>
    <w:rsid w:val="00965339"/>
    <w:rsid w:val="00965A40"/>
    <w:rsid w:val="00966485"/>
    <w:rsid w:val="00966CE1"/>
    <w:rsid w:val="00967970"/>
    <w:rsid w:val="00967AB3"/>
    <w:rsid w:val="00967F55"/>
    <w:rsid w:val="009702D3"/>
    <w:rsid w:val="00970E3F"/>
    <w:rsid w:val="00970FFF"/>
    <w:rsid w:val="0097161E"/>
    <w:rsid w:val="00971B8F"/>
    <w:rsid w:val="00971DE4"/>
    <w:rsid w:val="00971FE8"/>
    <w:rsid w:val="00972869"/>
    <w:rsid w:val="0097298E"/>
    <w:rsid w:val="00972C42"/>
    <w:rsid w:val="00972F9D"/>
    <w:rsid w:val="009732D3"/>
    <w:rsid w:val="00973303"/>
    <w:rsid w:val="009735A2"/>
    <w:rsid w:val="009736A2"/>
    <w:rsid w:val="00973A58"/>
    <w:rsid w:val="00973B98"/>
    <w:rsid w:val="00973DA3"/>
    <w:rsid w:val="009741AE"/>
    <w:rsid w:val="009742C3"/>
    <w:rsid w:val="00974C5E"/>
    <w:rsid w:val="00974CDF"/>
    <w:rsid w:val="0097512C"/>
    <w:rsid w:val="009753ED"/>
    <w:rsid w:val="00975A3E"/>
    <w:rsid w:val="009766D5"/>
    <w:rsid w:val="00976788"/>
    <w:rsid w:val="009769C6"/>
    <w:rsid w:val="0098069E"/>
    <w:rsid w:val="00980832"/>
    <w:rsid w:val="00980D74"/>
    <w:rsid w:val="00980D88"/>
    <w:rsid w:val="00981334"/>
    <w:rsid w:val="00981C1A"/>
    <w:rsid w:val="009820D7"/>
    <w:rsid w:val="009821A0"/>
    <w:rsid w:val="00982901"/>
    <w:rsid w:val="00982DB8"/>
    <w:rsid w:val="00982FD3"/>
    <w:rsid w:val="00983983"/>
    <w:rsid w:val="00983AC5"/>
    <w:rsid w:val="0098423B"/>
    <w:rsid w:val="009847E0"/>
    <w:rsid w:val="0098490A"/>
    <w:rsid w:val="009852F2"/>
    <w:rsid w:val="009853C1"/>
    <w:rsid w:val="00985592"/>
    <w:rsid w:val="009858B5"/>
    <w:rsid w:val="00985BE6"/>
    <w:rsid w:val="00985C1E"/>
    <w:rsid w:val="00985CF4"/>
    <w:rsid w:val="00985F0D"/>
    <w:rsid w:val="00985FF9"/>
    <w:rsid w:val="009870BD"/>
    <w:rsid w:val="009900D0"/>
    <w:rsid w:val="00990438"/>
    <w:rsid w:val="009908C7"/>
    <w:rsid w:val="00990B06"/>
    <w:rsid w:val="00990C17"/>
    <w:rsid w:val="00991026"/>
    <w:rsid w:val="009915D4"/>
    <w:rsid w:val="00991972"/>
    <w:rsid w:val="00991B29"/>
    <w:rsid w:val="0099204F"/>
    <w:rsid w:val="00992301"/>
    <w:rsid w:val="009923C8"/>
    <w:rsid w:val="00992536"/>
    <w:rsid w:val="00992540"/>
    <w:rsid w:val="00992719"/>
    <w:rsid w:val="0099321F"/>
    <w:rsid w:val="0099346A"/>
    <w:rsid w:val="00993A2A"/>
    <w:rsid w:val="00993B96"/>
    <w:rsid w:val="009941BA"/>
    <w:rsid w:val="00994201"/>
    <w:rsid w:val="00994406"/>
    <w:rsid w:val="00994B32"/>
    <w:rsid w:val="00994FE9"/>
    <w:rsid w:val="009956AC"/>
    <w:rsid w:val="00995C6C"/>
    <w:rsid w:val="009965F8"/>
    <w:rsid w:val="0099660F"/>
    <w:rsid w:val="00996AF8"/>
    <w:rsid w:val="00996CB2"/>
    <w:rsid w:val="009972DD"/>
    <w:rsid w:val="00997391"/>
    <w:rsid w:val="00997771"/>
    <w:rsid w:val="009977F5"/>
    <w:rsid w:val="009978A9"/>
    <w:rsid w:val="00997CB3"/>
    <w:rsid w:val="00997E9F"/>
    <w:rsid w:val="00997EDC"/>
    <w:rsid w:val="009A1013"/>
    <w:rsid w:val="009A183C"/>
    <w:rsid w:val="009A1C5C"/>
    <w:rsid w:val="009A1DDC"/>
    <w:rsid w:val="009A2B20"/>
    <w:rsid w:val="009A324B"/>
    <w:rsid w:val="009A32F4"/>
    <w:rsid w:val="009A467F"/>
    <w:rsid w:val="009A4919"/>
    <w:rsid w:val="009A4C57"/>
    <w:rsid w:val="009A4CDC"/>
    <w:rsid w:val="009A4FC3"/>
    <w:rsid w:val="009A5318"/>
    <w:rsid w:val="009A5803"/>
    <w:rsid w:val="009A5B39"/>
    <w:rsid w:val="009A5F77"/>
    <w:rsid w:val="009A61B1"/>
    <w:rsid w:val="009A6694"/>
    <w:rsid w:val="009A74C9"/>
    <w:rsid w:val="009A74FC"/>
    <w:rsid w:val="009B048B"/>
    <w:rsid w:val="009B066A"/>
    <w:rsid w:val="009B11DB"/>
    <w:rsid w:val="009B144D"/>
    <w:rsid w:val="009B145E"/>
    <w:rsid w:val="009B161E"/>
    <w:rsid w:val="009B261B"/>
    <w:rsid w:val="009B2D6A"/>
    <w:rsid w:val="009B2DD7"/>
    <w:rsid w:val="009B3D09"/>
    <w:rsid w:val="009B4BE5"/>
    <w:rsid w:val="009B4F54"/>
    <w:rsid w:val="009B5508"/>
    <w:rsid w:val="009B5916"/>
    <w:rsid w:val="009B63EF"/>
    <w:rsid w:val="009B65A8"/>
    <w:rsid w:val="009B779C"/>
    <w:rsid w:val="009B7832"/>
    <w:rsid w:val="009C0D3A"/>
    <w:rsid w:val="009C14B9"/>
    <w:rsid w:val="009C1A2B"/>
    <w:rsid w:val="009C24F0"/>
    <w:rsid w:val="009C2DE0"/>
    <w:rsid w:val="009C376C"/>
    <w:rsid w:val="009C3795"/>
    <w:rsid w:val="009C3D36"/>
    <w:rsid w:val="009C3D85"/>
    <w:rsid w:val="009C41BA"/>
    <w:rsid w:val="009C420B"/>
    <w:rsid w:val="009C5A0A"/>
    <w:rsid w:val="009C62B8"/>
    <w:rsid w:val="009C6822"/>
    <w:rsid w:val="009C68D6"/>
    <w:rsid w:val="009C6C71"/>
    <w:rsid w:val="009C7C96"/>
    <w:rsid w:val="009C7EB9"/>
    <w:rsid w:val="009D0421"/>
    <w:rsid w:val="009D0FA0"/>
    <w:rsid w:val="009D167D"/>
    <w:rsid w:val="009D1D6B"/>
    <w:rsid w:val="009D1F01"/>
    <w:rsid w:val="009D22FC"/>
    <w:rsid w:val="009D2A49"/>
    <w:rsid w:val="009D2B4B"/>
    <w:rsid w:val="009D3371"/>
    <w:rsid w:val="009D3533"/>
    <w:rsid w:val="009D3564"/>
    <w:rsid w:val="009D3752"/>
    <w:rsid w:val="009D4AE3"/>
    <w:rsid w:val="009D4F15"/>
    <w:rsid w:val="009D4F3F"/>
    <w:rsid w:val="009D51ED"/>
    <w:rsid w:val="009D591E"/>
    <w:rsid w:val="009D5BA0"/>
    <w:rsid w:val="009D70D9"/>
    <w:rsid w:val="009D7111"/>
    <w:rsid w:val="009D76B9"/>
    <w:rsid w:val="009D7B6F"/>
    <w:rsid w:val="009E0D87"/>
    <w:rsid w:val="009E116A"/>
    <w:rsid w:val="009E1378"/>
    <w:rsid w:val="009E18AA"/>
    <w:rsid w:val="009E193A"/>
    <w:rsid w:val="009E23F8"/>
    <w:rsid w:val="009E2464"/>
    <w:rsid w:val="009E2E8B"/>
    <w:rsid w:val="009E3C88"/>
    <w:rsid w:val="009E4104"/>
    <w:rsid w:val="009E426E"/>
    <w:rsid w:val="009E44AD"/>
    <w:rsid w:val="009E482E"/>
    <w:rsid w:val="009E4C4A"/>
    <w:rsid w:val="009E4E5B"/>
    <w:rsid w:val="009E4E77"/>
    <w:rsid w:val="009E4EDD"/>
    <w:rsid w:val="009E5869"/>
    <w:rsid w:val="009E586B"/>
    <w:rsid w:val="009E59C3"/>
    <w:rsid w:val="009E607E"/>
    <w:rsid w:val="009E63D2"/>
    <w:rsid w:val="009E6FF7"/>
    <w:rsid w:val="009E735D"/>
    <w:rsid w:val="009E7509"/>
    <w:rsid w:val="009F02F7"/>
    <w:rsid w:val="009F0546"/>
    <w:rsid w:val="009F0693"/>
    <w:rsid w:val="009F06ED"/>
    <w:rsid w:val="009F0ED4"/>
    <w:rsid w:val="009F1246"/>
    <w:rsid w:val="009F1EEA"/>
    <w:rsid w:val="009F2359"/>
    <w:rsid w:val="009F26B2"/>
    <w:rsid w:val="009F2931"/>
    <w:rsid w:val="009F2B6E"/>
    <w:rsid w:val="009F2E71"/>
    <w:rsid w:val="009F2EFE"/>
    <w:rsid w:val="009F3034"/>
    <w:rsid w:val="009F360F"/>
    <w:rsid w:val="009F3708"/>
    <w:rsid w:val="009F3BAF"/>
    <w:rsid w:val="009F3ECC"/>
    <w:rsid w:val="009F53D6"/>
    <w:rsid w:val="009F5436"/>
    <w:rsid w:val="009F59CD"/>
    <w:rsid w:val="009F5E22"/>
    <w:rsid w:val="009F64A5"/>
    <w:rsid w:val="009F68F2"/>
    <w:rsid w:val="009F6BD5"/>
    <w:rsid w:val="009F7109"/>
    <w:rsid w:val="009F72EC"/>
    <w:rsid w:val="009F7A67"/>
    <w:rsid w:val="00A00511"/>
    <w:rsid w:val="00A00666"/>
    <w:rsid w:val="00A00C40"/>
    <w:rsid w:val="00A00DB2"/>
    <w:rsid w:val="00A00FC6"/>
    <w:rsid w:val="00A01195"/>
    <w:rsid w:val="00A0204C"/>
    <w:rsid w:val="00A02268"/>
    <w:rsid w:val="00A02335"/>
    <w:rsid w:val="00A0233E"/>
    <w:rsid w:val="00A02BBE"/>
    <w:rsid w:val="00A02CDC"/>
    <w:rsid w:val="00A02DFD"/>
    <w:rsid w:val="00A02E63"/>
    <w:rsid w:val="00A0313F"/>
    <w:rsid w:val="00A0321E"/>
    <w:rsid w:val="00A03494"/>
    <w:rsid w:val="00A038B5"/>
    <w:rsid w:val="00A0397E"/>
    <w:rsid w:val="00A03BF1"/>
    <w:rsid w:val="00A03D34"/>
    <w:rsid w:val="00A03F64"/>
    <w:rsid w:val="00A04558"/>
    <w:rsid w:val="00A04B46"/>
    <w:rsid w:val="00A04CA0"/>
    <w:rsid w:val="00A0535B"/>
    <w:rsid w:val="00A05D01"/>
    <w:rsid w:val="00A05F36"/>
    <w:rsid w:val="00A05F5B"/>
    <w:rsid w:val="00A06480"/>
    <w:rsid w:val="00A06EC1"/>
    <w:rsid w:val="00A0702D"/>
    <w:rsid w:val="00A07556"/>
    <w:rsid w:val="00A0764A"/>
    <w:rsid w:val="00A07D52"/>
    <w:rsid w:val="00A102F0"/>
    <w:rsid w:val="00A102FC"/>
    <w:rsid w:val="00A109B4"/>
    <w:rsid w:val="00A10B34"/>
    <w:rsid w:val="00A10C22"/>
    <w:rsid w:val="00A112C5"/>
    <w:rsid w:val="00A113C3"/>
    <w:rsid w:val="00A11B0F"/>
    <w:rsid w:val="00A11DB2"/>
    <w:rsid w:val="00A12782"/>
    <w:rsid w:val="00A12BB8"/>
    <w:rsid w:val="00A12C88"/>
    <w:rsid w:val="00A12DC0"/>
    <w:rsid w:val="00A1490E"/>
    <w:rsid w:val="00A149E2"/>
    <w:rsid w:val="00A14EA5"/>
    <w:rsid w:val="00A14EB3"/>
    <w:rsid w:val="00A15786"/>
    <w:rsid w:val="00A1627C"/>
    <w:rsid w:val="00A16E62"/>
    <w:rsid w:val="00A17CBC"/>
    <w:rsid w:val="00A17D4C"/>
    <w:rsid w:val="00A200A3"/>
    <w:rsid w:val="00A206EF"/>
    <w:rsid w:val="00A20E6D"/>
    <w:rsid w:val="00A21227"/>
    <w:rsid w:val="00A21350"/>
    <w:rsid w:val="00A21937"/>
    <w:rsid w:val="00A21A01"/>
    <w:rsid w:val="00A21E93"/>
    <w:rsid w:val="00A22803"/>
    <w:rsid w:val="00A22923"/>
    <w:rsid w:val="00A22A3A"/>
    <w:rsid w:val="00A22D2C"/>
    <w:rsid w:val="00A23605"/>
    <w:rsid w:val="00A23B05"/>
    <w:rsid w:val="00A244A5"/>
    <w:rsid w:val="00A24754"/>
    <w:rsid w:val="00A247A7"/>
    <w:rsid w:val="00A250F6"/>
    <w:rsid w:val="00A25273"/>
    <w:rsid w:val="00A25307"/>
    <w:rsid w:val="00A2636C"/>
    <w:rsid w:val="00A26C15"/>
    <w:rsid w:val="00A26EF7"/>
    <w:rsid w:val="00A27321"/>
    <w:rsid w:val="00A27A69"/>
    <w:rsid w:val="00A27A8F"/>
    <w:rsid w:val="00A30451"/>
    <w:rsid w:val="00A30914"/>
    <w:rsid w:val="00A30DCF"/>
    <w:rsid w:val="00A310F6"/>
    <w:rsid w:val="00A311A4"/>
    <w:rsid w:val="00A3123A"/>
    <w:rsid w:val="00A3128D"/>
    <w:rsid w:val="00A31343"/>
    <w:rsid w:val="00A3219F"/>
    <w:rsid w:val="00A32DE7"/>
    <w:rsid w:val="00A32EAC"/>
    <w:rsid w:val="00A33266"/>
    <w:rsid w:val="00A33425"/>
    <w:rsid w:val="00A33508"/>
    <w:rsid w:val="00A3465F"/>
    <w:rsid w:val="00A355E8"/>
    <w:rsid w:val="00A355FC"/>
    <w:rsid w:val="00A3581C"/>
    <w:rsid w:val="00A35CCE"/>
    <w:rsid w:val="00A35D50"/>
    <w:rsid w:val="00A361F6"/>
    <w:rsid w:val="00A362C4"/>
    <w:rsid w:val="00A36551"/>
    <w:rsid w:val="00A36622"/>
    <w:rsid w:val="00A36AFB"/>
    <w:rsid w:val="00A3713A"/>
    <w:rsid w:val="00A3752E"/>
    <w:rsid w:val="00A37900"/>
    <w:rsid w:val="00A37FF2"/>
    <w:rsid w:val="00A41334"/>
    <w:rsid w:val="00A413BE"/>
    <w:rsid w:val="00A41789"/>
    <w:rsid w:val="00A42ABE"/>
    <w:rsid w:val="00A42D43"/>
    <w:rsid w:val="00A43676"/>
    <w:rsid w:val="00A43C7E"/>
    <w:rsid w:val="00A443B5"/>
    <w:rsid w:val="00A4510B"/>
    <w:rsid w:val="00A45A53"/>
    <w:rsid w:val="00A45B21"/>
    <w:rsid w:val="00A45E17"/>
    <w:rsid w:val="00A461E0"/>
    <w:rsid w:val="00A469CE"/>
    <w:rsid w:val="00A46ED1"/>
    <w:rsid w:val="00A46FBA"/>
    <w:rsid w:val="00A471E6"/>
    <w:rsid w:val="00A479B1"/>
    <w:rsid w:val="00A47C36"/>
    <w:rsid w:val="00A47C7C"/>
    <w:rsid w:val="00A5118E"/>
    <w:rsid w:val="00A51287"/>
    <w:rsid w:val="00A512D1"/>
    <w:rsid w:val="00A51359"/>
    <w:rsid w:val="00A51408"/>
    <w:rsid w:val="00A51902"/>
    <w:rsid w:val="00A51FB9"/>
    <w:rsid w:val="00A52648"/>
    <w:rsid w:val="00A529A3"/>
    <w:rsid w:val="00A52C4A"/>
    <w:rsid w:val="00A52F7B"/>
    <w:rsid w:val="00A539D3"/>
    <w:rsid w:val="00A53D4F"/>
    <w:rsid w:val="00A54A36"/>
    <w:rsid w:val="00A54A46"/>
    <w:rsid w:val="00A5521E"/>
    <w:rsid w:val="00A55858"/>
    <w:rsid w:val="00A558D4"/>
    <w:rsid w:val="00A55AD2"/>
    <w:rsid w:val="00A5607C"/>
    <w:rsid w:val="00A56384"/>
    <w:rsid w:val="00A56D56"/>
    <w:rsid w:val="00A56F13"/>
    <w:rsid w:val="00A572C7"/>
    <w:rsid w:val="00A57D36"/>
    <w:rsid w:val="00A6062C"/>
    <w:rsid w:val="00A609D2"/>
    <w:rsid w:val="00A60A30"/>
    <w:rsid w:val="00A60C47"/>
    <w:rsid w:val="00A60E1D"/>
    <w:rsid w:val="00A614C3"/>
    <w:rsid w:val="00A614F2"/>
    <w:rsid w:val="00A617F9"/>
    <w:rsid w:val="00A61AFA"/>
    <w:rsid w:val="00A61C80"/>
    <w:rsid w:val="00A6202C"/>
    <w:rsid w:val="00A62BF2"/>
    <w:rsid w:val="00A62BF7"/>
    <w:rsid w:val="00A62CA1"/>
    <w:rsid w:val="00A62D4A"/>
    <w:rsid w:val="00A62D9C"/>
    <w:rsid w:val="00A634D0"/>
    <w:rsid w:val="00A6381F"/>
    <w:rsid w:val="00A64E2C"/>
    <w:rsid w:val="00A653C4"/>
    <w:rsid w:val="00A655D7"/>
    <w:rsid w:val="00A65FA0"/>
    <w:rsid w:val="00A66E82"/>
    <w:rsid w:val="00A66FCA"/>
    <w:rsid w:val="00A674C7"/>
    <w:rsid w:val="00A67751"/>
    <w:rsid w:val="00A679F4"/>
    <w:rsid w:val="00A70148"/>
    <w:rsid w:val="00A7019C"/>
    <w:rsid w:val="00A703E8"/>
    <w:rsid w:val="00A70555"/>
    <w:rsid w:val="00A7096A"/>
    <w:rsid w:val="00A71784"/>
    <w:rsid w:val="00A7188B"/>
    <w:rsid w:val="00A71CED"/>
    <w:rsid w:val="00A71E21"/>
    <w:rsid w:val="00A7279B"/>
    <w:rsid w:val="00A72AD8"/>
    <w:rsid w:val="00A72C86"/>
    <w:rsid w:val="00A72F2F"/>
    <w:rsid w:val="00A7313B"/>
    <w:rsid w:val="00A733E3"/>
    <w:rsid w:val="00A73A4D"/>
    <w:rsid w:val="00A73A60"/>
    <w:rsid w:val="00A74065"/>
    <w:rsid w:val="00A743F4"/>
    <w:rsid w:val="00A7446D"/>
    <w:rsid w:val="00A75139"/>
    <w:rsid w:val="00A753AD"/>
    <w:rsid w:val="00A755F3"/>
    <w:rsid w:val="00A7578E"/>
    <w:rsid w:val="00A759FB"/>
    <w:rsid w:val="00A75F1C"/>
    <w:rsid w:val="00A76567"/>
    <w:rsid w:val="00A77353"/>
    <w:rsid w:val="00A77C2C"/>
    <w:rsid w:val="00A77C3E"/>
    <w:rsid w:val="00A804D1"/>
    <w:rsid w:val="00A80860"/>
    <w:rsid w:val="00A818DD"/>
    <w:rsid w:val="00A819DA"/>
    <w:rsid w:val="00A81AE3"/>
    <w:rsid w:val="00A82671"/>
    <w:rsid w:val="00A82763"/>
    <w:rsid w:val="00A8372E"/>
    <w:rsid w:val="00A83830"/>
    <w:rsid w:val="00A83EBF"/>
    <w:rsid w:val="00A8420F"/>
    <w:rsid w:val="00A84A45"/>
    <w:rsid w:val="00A853B3"/>
    <w:rsid w:val="00A85CFD"/>
    <w:rsid w:val="00A85F2C"/>
    <w:rsid w:val="00A85FAD"/>
    <w:rsid w:val="00A875A8"/>
    <w:rsid w:val="00A87794"/>
    <w:rsid w:val="00A877D5"/>
    <w:rsid w:val="00A879A0"/>
    <w:rsid w:val="00A900C7"/>
    <w:rsid w:val="00A90623"/>
    <w:rsid w:val="00A9077B"/>
    <w:rsid w:val="00A91143"/>
    <w:rsid w:val="00A919A7"/>
    <w:rsid w:val="00A919F7"/>
    <w:rsid w:val="00A92439"/>
    <w:rsid w:val="00A925B6"/>
    <w:rsid w:val="00A926C7"/>
    <w:rsid w:val="00A92F65"/>
    <w:rsid w:val="00A9313E"/>
    <w:rsid w:val="00A9313F"/>
    <w:rsid w:val="00A93540"/>
    <w:rsid w:val="00A9399F"/>
    <w:rsid w:val="00A93D39"/>
    <w:rsid w:val="00A947CB"/>
    <w:rsid w:val="00A94CA4"/>
    <w:rsid w:val="00A950FF"/>
    <w:rsid w:val="00A951C4"/>
    <w:rsid w:val="00A9528E"/>
    <w:rsid w:val="00A95784"/>
    <w:rsid w:val="00A957C7"/>
    <w:rsid w:val="00A95AD3"/>
    <w:rsid w:val="00A970FB"/>
    <w:rsid w:val="00A97100"/>
    <w:rsid w:val="00A9754F"/>
    <w:rsid w:val="00A97584"/>
    <w:rsid w:val="00A979AF"/>
    <w:rsid w:val="00A97F44"/>
    <w:rsid w:val="00A97F5E"/>
    <w:rsid w:val="00AA0169"/>
    <w:rsid w:val="00AA0918"/>
    <w:rsid w:val="00AA0B7F"/>
    <w:rsid w:val="00AA12C3"/>
    <w:rsid w:val="00AA132A"/>
    <w:rsid w:val="00AA209E"/>
    <w:rsid w:val="00AA2151"/>
    <w:rsid w:val="00AA21C5"/>
    <w:rsid w:val="00AA268D"/>
    <w:rsid w:val="00AA28DB"/>
    <w:rsid w:val="00AA298C"/>
    <w:rsid w:val="00AA30CE"/>
    <w:rsid w:val="00AA37CF"/>
    <w:rsid w:val="00AA3833"/>
    <w:rsid w:val="00AA394B"/>
    <w:rsid w:val="00AA3FC2"/>
    <w:rsid w:val="00AA4051"/>
    <w:rsid w:val="00AA46F3"/>
    <w:rsid w:val="00AA4BAD"/>
    <w:rsid w:val="00AA4C3E"/>
    <w:rsid w:val="00AA4DB7"/>
    <w:rsid w:val="00AA4F09"/>
    <w:rsid w:val="00AA6D75"/>
    <w:rsid w:val="00AA720C"/>
    <w:rsid w:val="00AA735C"/>
    <w:rsid w:val="00AA78F8"/>
    <w:rsid w:val="00AA7AE6"/>
    <w:rsid w:val="00AA7E53"/>
    <w:rsid w:val="00AA7E6F"/>
    <w:rsid w:val="00AB0126"/>
    <w:rsid w:val="00AB0175"/>
    <w:rsid w:val="00AB0570"/>
    <w:rsid w:val="00AB0838"/>
    <w:rsid w:val="00AB0BB4"/>
    <w:rsid w:val="00AB1794"/>
    <w:rsid w:val="00AB198F"/>
    <w:rsid w:val="00AB1C4F"/>
    <w:rsid w:val="00AB22C9"/>
    <w:rsid w:val="00AB2494"/>
    <w:rsid w:val="00AB2647"/>
    <w:rsid w:val="00AB2850"/>
    <w:rsid w:val="00AB2D00"/>
    <w:rsid w:val="00AB2EE5"/>
    <w:rsid w:val="00AB3172"/>
    <w:rsid w:val="00AB34B7"/>
    <w:rsid w:val="00AB353A"/>
    <w:rsid w:val="00AB40D2"/>
    <w:rsid w:val="00AB43C7"/>
    <w:rsid w:val="00AB4B6C"/>
    <w:rsid w:val="00AB4C27"/>
    <w:rsid w:val="00AB4C4B"/>
    <w:rsid w:val="00AB50FC"/>
    <w:rsid w:val="00AB5784"/>
    <w:rsid w:val="00AB5A9D"/>
    <w:rsid w:val="00AB5B75"/>
    <w:rsid w:val="00AB5BD8"/>
    <w:rsid w:val="00AB5C6B"/>
    <w:rsid w:val="00AB5E40"/>
    <w:rsid w:val="00AB6000"/>
    <w:rsid w:val="00AB6C34"/>
    <w:rsid w:val="00AB7A26"/>
    <w:rsid w:val="00AB7E58"/>
    <w:rsid w:val="00AB7F66"/>
    <w:rsid w:val="00AC0D59"/>
    <w:rsid w:val="00AC135E"/>
    <w:rsid w:val="00AC1A66"/>
    <w:rsid w:val="00AC1AA5"/>
    <w:rsid w:val="00AC1B5C"/>
    <w:rsid w:val="00AC22CE"/>
    <w:rsid w:val="00AC253E"/>
    <w:rsid w:val="00AC2C70"/>
    <w:rsid w:val="00AC2D4B"/>
    <w:rsid w:val="00AC2E11"/>
    <w:rsid w:val="00AC398B"/>
    <w:rsid w:val="00AC3A02"/>
    <w:rsid w:val="00AC3A7B"/>
    <w:rsid w:val="00AC3B29"/>
    <w:rsid w:val="00AC428A"/>
    <w:rsid w:val="00AC439F"/>
    <w:rsid w:val="00AC44BD"/>
    <w:rsid w:val="00AC45AF"/>
    <w:rsid w:val="00AC508E"/>
    <w:rsid w:val="00AC5956"/>
    <w:rsid w:val="00AC61B5"/>
    <w:rsid w:val="00AC61FD"/>
    <w:rsid w:val="00AC6C6C"/>
    <w:rsid w:val="00AC72B4"/>
    <w:rsid w:val="00AC7393"/>
    <w:rsid w:val="00AC7CF0"/>
    <w:rsid w:val="00AC7DE3"/>
    <w:rsid w:val="00AD000A"/>
    <w:rsid w:val="00AD02CF"/>
    <w:rsid w:val="00AD0791"/>
    <w:rsid w:val="00AD09E3"/>
    <w:rsid w:val="00AD0B5F"/>
    <w:rsid w:val="00AD0DDF"/>
    <w:rsid w:val="00AD13BD"/>
    <w:rsid w:val="00AD17E3"/>
    <w:rsid w:val="00AD195F"/>
    <w:rsid w:val="00AD1D08"/>
    <w:rsid w:val="00AD231A"/>
    <w:rsid w:val="00AD28F7"/>
    <w:rsid w:val="00AD2D2B"/>
    <w:rsid w:val="00AD3319"/>
    <w:rsid w:val="00AD34DF"/>
    <w:rsid w:val="00AD3896"/>
    <w:rsid w:val="00AD5EF8"/>
    <w:rsid w:val="00AD606A"/>
    <w:rsid w:val="00AD6601"/>
    <w:rsid w:val="00AD7BB8"/>
    <w:rsid w:val="00AD7D1D"/>
    <w:rsid w:val="00AD7F49"/>
    <w:rsid w:val="00AE0807"/>
    <w:rsid w:val="00AE094A"/>
    <w:rsid w:val="00AE0DD5"/>
    <w:rsid w:val="00AE1958"/>
    <w:rsid w:val="00AE1A95"/>
    <w:rsid w:val="00AE1B65"/>
    <w:rsid w:val="00AE202C"/>
    <w:rsid w:val="00AE209D"/>
    <w:rsid w:val="00AE2142"/>
    <w:rsid w:val="00AE26ED"/>
    <w:rsid w:val="00AE2ACD"/>
    <w:rsid w:val="00AE2E1B"/>
    <w:rsid w:val="00AE2F23"/>
    <w:rsid w:val="00AE320E"/>
    <w:rsid w:val="00AE35F5"/>
    <w:rsid w:val="00AE37C7"/>
    <w:rsid w:val="00AE415B"/>
    <w:rsid w:val="00AE5011"/>
    <w:rsid w:val="00AE56D7"/>
    <w:rsid w:val="00AE5BEF"/>
    <w:rsid w:val="00AE5D48"/>
    <w:rsid w:val="00AE6386"/>
    <w:rsid w:val="00AE671F"/>
    <w:rsid w:val="00AE6E13"/>
    <w:rsid w:val="00AE75BE"/>
    <w:rsid w:val="00AE76D6"/>
    <w:rsid w:val="00AE7CE2"/>
    <w:rsid w:val="00AE7F14"/>
    <w:rsid w:val="00AF04F9"/>
    <w:rsid w:val="00AF0857"/>
    <w:rsid w:val="00AF09EE"/>
    <w:rsid w:val="00AF0C1E"/>
    <w:rsid w:val="00AF0D10"/>
    <w:rsid w:val="00AF131D"/>
    <w:rsid w:val="00AF2D60"/>
    <w:rsid w:val="00AF2F23"/>
    <w:rsid w:val="00AF2F80"/>
    <w:rsid w:val="00AF4C4F"/>
    <w:rsid w:val="00AF52BE"/>
    <w:rsid w:val="00AF5763"/>
    <w:rsid w:val="00AF57DE"/>
    <w:rsid w:val="00AF611B"/>
    <w:rsid w:val="00AF6168"/>
    <w:rsid w:val="00AF69C4"/>
    <w:rsid w:val="00AF6A79"/>
    <w:rsid w:val="00AF70F2"/>
    <w:rsid w:val="00AF751E"/>
    <w:rsid w:val="00AF7685"/>
    <w:rsid w:val="00AF7B47"/>
    <w:rsid w:val="00AF7B59"/>
    <w:rsid w:val="00AF7B7F"/>
    <w:rsid w:val="00B00445"/>
    <w:rsid w:val="00B00DCB"/>
    <w:rsid w:val="00B01499"/>
    <w:rsid w:val="00B018E1"/>
    <w:rsid w:val="00B01A71"/>
    <w:rsid w:val="00B01BBD"/>
    <w:rsid w:val="00B02E5B"/>
    <w:rsid w:val="00B02EC1"/>
    <w:rsid w:val="00B03212"/>
    <w:rsid w:val="00B03496"/>
    <w:rsid w:val="00B049D4"/>
    <w:rsid w:val="00B04F00"/>
    <w:rsid w:val="00B05CAA"/>
    <w:rsid w:val="00B05E65"/>
    <w:rsid w:val="00B06070"/>
    <w:rsid w:val="00B0636B"/>
    <w:rsid w:val="00B07149"/>
    <w:rsid w:val="00B07367"/>
    <w:rsid w:val="00B07571"/>
    <w:rsid w:val="00B078F2"/>
    <w:rsid w:val="00B07DAF"/>
    <w:rsid w:val="00B07FFA"/>
    <w:rsid w:val="00B10043"/>
    <w:rsid w:val="00B103D2"/>
    <w:rsid w:val="00B106E2"/>
    <w:rsid w:val="00B1207F"/>
    <w:rsid w:val="00B12971"/>
    <w:rsid w:val="00B13261"/>
    <w:rsid w:val="00B133D4"/>
    <w:rsid w:val="00B136B9"/>
    <w:rsid w:val="00B1377E"/>
    <w:rsid w:val="00B13AA3"/>
    <w:rsid w:val="00B13F78"/>
    <w:rsid w:val="00B14251"/>
    <w:rsid w:val="00B14361"/>
    <w:rsid w:val="00B145CA"/>
    <w:rsid w:val="00B14A73"/>
    <w:rsid w:val="00B14C92"/>
    <w:rsid w:val="00B15658"/>
    <w:rsid w:val="00B16C59"/>
    <w:rsid w:val="00B16D98"/>
    <w:rsid w:val="00B16E21"/>
    <w:rsid w:val="00B17017"/>
    <w:rsid w:val="00B172D6"/>
    <w:rsid w:val="00B17316"/>
    <w:rsid w:val="00B17697"/>
    <w:rsid w:val="00B17785"/>
    <w:rsid w:val="00B177C2"/>
    <w:rsid w:val="00B2015D"/>
    <w:rsid w:val="00B202C1"/>
    <w:rsid w:val="00B2077A"/>
    <w:rsid w:val="00B2087D"/>
    <w:rsid w:val="00B20ACF"/>
    <w:rsid w:val="00B20BE9"/>
    <w:rsid w:val="00B21225"/>
    <w:rsid w:val="00B213FF"/>
    <w:rsid w:val="00B21CCF"/>
    <w:rsid w:val="00B21EFE"/>
    <w:rsid w:val="00B22286"/>
    <w:rsid w:val="00B2259F"/>
    <w:rsid w:val="00B227DC"/>
    <w:rsid w:val="00B22BFB"/>
    <w:rsid w:val="00B23680"/>
    <w:rsid w:val="00B23ED9"/>
    <w:rsid w:val="00B23F33"/>
    <w:rsid w:val="00B2422D"/>
    <w:rsid w:val="00B24D7C"/>
    <w:rsid w:val="00B24D94"/>
    <w:rsid w:val="00B24E95"/>
    <w:rsid w:val="00B251D1"/>
    <w:rsid w:val="00B2550A"/>
    <w:rsid w:val="00B25A5F"/>
    <w:rsid w:val="00B26319"/>
    <w:rsid w:val="00B26CFB"/>
    <w:rsid w:val="00B26D1E"/>
    <w:rsid w:val="00B26E26"/>
    <w:rsid w:val="00B26E6D"/>
    <w:rsid w:val="00B271A8"/>
    <w:rsid w:val="00B2724C"/>
    <w:rsid w:val="00B2767E"/>
    <w:rsid w:val="00B27DA2"/>
    <w:rsid w:val="00B30952"/>
    <w:rsid w:val="00B3138A"/>
    <w:rsid w:val="00B31497"/>
    <w:rsid w:val="00B314CE"/>
    <w:rsid w:val="00B31823"/>
    <w:rsid w:val="00B319A7"/>
    <w:rsid w:val="00B31C04"/>
    <w:rsid w:val="00B31C61"/>
    <w:rsid w:val="00B326BB"/>
    <w:rsid w:val="00B32B09"/>
    <w:rsid w:val="00B332B9"/>
    <w:rsid w:val="00B33E3D"/>
    <w:rsid w:val="00B33F2F"/>
    <w:rsid w:val="00B3447E"/>
    <w:rsid w:val="00B345F4"/>
    <w:rsid w:val="00B34BB3"/>
    <w:rsid w:val="00B35757"/>
    <w:rsid w:val="00B35E85"/>
    <w:rsid w:val="00B364AB"/>
    <w:rsid w:val="00B36727"/>
    <w:rsid w:val="00B3688B"/>
    <w:rsid w:val="00B37171"/>
    <w:rsid w:val="00B37217"/>
    <w:rsid w:val="00B372FB"/>
    <w:rsid w:val="00B37C12"/>
    <w:rsid w:val="00B40BCF"/>
    <w:rsid w:val="00B40E57"/>
    <w:rsid w:val="00B41260"/>
    <w:rsid w:val="00B41666"/>
    <w:rsid w:val="00B41A96"/>
    <w:rsid w:val="00B42C57"/>
    <w:rsid w:val="00B43628"/>
    <w:rsid w:val="00B4425E"/>
    <w:rsid w:val="00B44415"/>
    <w:rsid w:val="00B44D97"/>
    <w:rsid w:val="00B44E30"/>
    <w:rsid w:val="00B459EF"/>
    <w:rsid w:val="00B45DEB"/>
    <w:rsid w:val="00B46452"/>
    <w:rsid w:val="00B466D4"/>
    <w:rsid w:val="00B468AD"/>
    <w:rsid w:val="00B469A1"/>
    <w:rsid w:val="00B47071"/>
    <w:rsid w:val="00B47175"/>
    <w:rsid w:val="00B47320"/>
    <w:rsid w:val="00B47333"/>
    <w:rsid w:val="00B47991"/>
    <w:rsid w:val="00B47AAD"/>
    <w:rsid w:val="00B50C5D"/>
    <w:rsid w:val="00B518DA"/>
    <w:rsid w:val="00B52B73"/>
    <w:rsid w:val="00B52CEB"/>
    <w:rsid w:val="00B52EDD"/>
    <w:rsid w:val="00B53114"/>
    <w:rsid w:val="00B53276"/>
    <w:rsid w:val="00B53A91"/>
    <w:rsid w:val="00B54450"/>
    <w:rsid w:val="00B549F0"/>
    <w:rsid w:val="00B54E3B"/>
    <w:rsid w:val="00B54F08"/>
    <w:rsid w:val="00B5507C"/>
    <w:rsid w:val="00B55885"/>
    <w:rsid w:val="00B55B22"/>
    <w:rsid w:val="00B55D6E"/>
    <w:rsid w:val="00B562BD"/>
    <w:rsid w:val="00B56652"/>
    <w:rsid w:val="00B566E8"/>
    <w:rsid w:val="00B56899"/>
    <w:rsid w:val="00B5707E"/>
    <w:rsid w:val="00B572E4"/>
    <w:rsid w:val="00B57305"/>
    <w:rsid w:val="00B57328"/>
    <w:rsid w:val="00B57781"/>
    <w:rsid w:val="00B57C19"/>
    <w:rsid w:val="00B600A1"/>
    <w:rsid w:val="00B605FA"/>
    <w:rsid w:val="00B60F34"/>
    <w:rsid w:val="00B61650"/>
    <w:rsid w:val="00B628DC"/>
    <w:rsid w:val="00B62DF2"/>
    <w:rsid w:val="00B63261"/>
    <w:rsid w:val="00B6330C"/>
    <w:rsid w:val="00B63573"/>
    <w:rsid w:val="00B63796"/>
    <w:rsid w:val="00B6384B"/>
    <w:rsid w:val="00B638B2"/>
    <w:rsid w:val="00B63AE0"/>
    <w:rsid w:val="00B64499"/>
    <w:rsid w:val="00B64AA7"/>
    <w:rsid w:val="00B64DC6"/>
    <w:rsid w:val="00B64EDA"/>
    <w:rsid w:val="00B65000"/>
    <w:rsid w:val="00B65C13"/>
    <w:rsid w:val="00B65D5B"/>
    <w:rsid w:val="00B66B96"/>
    <w:rsid w:val="00B66CED"/>
    <w:rsid w:val="00B676E9"/>
    <w:rsid w:val="00B67709"/>
    <w:rsid w:val="00B67902"/>
    <w:rsid w:val="00B70ABE"/>
    <w:rsid w:val="00B70C1D"/>
    <w:rsid w:val="00B71059"/>
    <w:rsid w:val="00B713CC"/>
    <w:rsid w:val="00B715C9"/>
    <w:rsid w:val="00B71C1C"/>
    <w:rsid w:val="00B72079"/>
    <w:rsid w:val="00B7274B"/>
    <w:rsid w:val="00B72787"/>
    <w:rsid w:val="00B735AA"/>
    <w:rsid w:val="00B73F61"/>
    <w:rsid w:val="00B74156"/>
    <w:rsid w:val="00B744E6"/>
    <w:rsid w:val="00B7463D"/>
    <w:rsid w:val="00B74688"/>
    <w:rsid w:val="00B7468A"/>
    <w:rsid w:val="00B74B15"/>
    <w:rsid w:val="00B7508E"/>
    <w:rsid w:val="00B75657"/>
    <w:rsid w:val="00B75758"/>
    <w:rsid w:val="00B75DE4"/>
    <w:rsid w:val="00B764D4"/>
    <w:rsid w:val="00B76785"/>
    <w:rsid w:val="00B767E8"/>
    <w:rsid w:val="00B76836"/>
    <w:rsid w:val="00B76D9E"/>
    <w:rsid w:val="00B76DC1"/>
    <w:rsid w:val="00B7707E"/>
    <w:rsid w:val="00B77444"/>
    <w:rsid w:val="00B77EC9"/>
    <w:rsid w:val="00B80258"/>
    <w:rsid w:val="00B8052C"/>
    <w:rsid w:val="00B8116D"/>
    <w:rsid w:val="00B81D42"/>
    <w:rsid w:val="00B81EEB"/>
    <w:rsid w:val="00B8217C"/>
    <w:rsid w:val="00B8240D"/>
    <w:rsid w:val="00B82BBD"/>
    <w:rsid w:val="00B82CDB"/>
    <w:rsid w:val="00B8307F"/>
    <w:rsid w:val="00B8334E"/>
    <w:rsid w:val="00B8364B"/>
    <w:rsid w:val="00B83BA2"/>
    <w:rsid w:val="00B83E21"/>
    <w:rsid w:val="00B841F3"/>
    <w:rsid w:val="00B847AD"/>
    <w:rsid w:val="00B84B65"/>
    <w:rsid w:val="00B84DD0"/>
    <w:rsid w:val="00B84F09"/>
    <w:rsid w:val="00B85019"/>
    <w:rsid w:val="00B854D9"/>
    <w:rsid w:val="00B85732"/>
    <w:rsid w:val="00B85954"/>
    <w:rsid w:val="00B8603E"/>
    <w:rsid w:val="00B8639D"/>
    <w:rsid w:val="00B86A73"/>
    <w:rsid w:val="00B86D8E"/>
    <w:rsid w:val="00B86EB2"/>
    <w:rsid w:val="00B872A9"/>
    <w:rsid w:val="00B87492"/>
    <w:rsid w:val="00B87B8B"/>
    <w:rsid w:val="00B87D8A"/>
    <w:rsid w:val="00B87EF3"/>
    <w:rsid w:val="00B906BC"/>
    <w:rsid w:val="00B9082E"/>
    <w:rsid w:val="00B90C9C"/>
    <w:rsid w:val="00B90FC2"/>
    <w:rsid w:val="00B9149B"/>
    <w:rsid w:val="00B914CD"/>
    <w:rsid w:val="00B916B9"/>
    <w:rsid w:val="00B91B17"/>
    <w:rsid w:val="00B92EB6"/>
    <w:rsid w:val="00B938CB"/>
    <w:rsid w:val="00B93AED"/>
    <w:rsid w:val="00B94348"/>
    <w:rsid w:val="00B9464B"/>
    <w:rsid w:val="00B946F0"/>
    <w:rsid w:val="00B948EE"/>
    <w:rsid w:val="00B94B4D"/>
    <w:rsid w:val="00B94FEE"/>
    <w:rsid w:val="00B952D9"/>
    <w:rsid w:val="00B95449"/>
    <w:rsid w:val="00B95859"/>
    <w:rsid w:val="00B961D0"/>
    <w:rsid w:val="00B96337"/>
    <w:rsid w:val="00B96A3C"/>
    <w:rsid w:val="00B96B46"/>
    <w:rsid w:val="00B97021"/>
    <w:rsid w:val="00B9719B"/>
    <w:rsid w:val="00B97292"/>
    <w:rsid w:val="00B972B2"/>
    <w:rsid w:val="00B975E1"/>
    <w:rsid w:val="00B97A00"/>
    <w:rsid w:val="00B97C44"/>
    <w:rsid w:val="00B97C60"/>
    <w:rsid w:val="00BA0397"/>
    <w:rsid w:val="00BA074B"/>
    <w:rsid w:val="00BA0DA4"/>
    <w:rsid w:val="00BA0F2B"/>
    <w:rsid w:val="00BA14B4"/>
    <w:rsid w:val="00BA1851"/>
    <w:rsid w:val="00BA241A"/>
    <w:rsid w:val="00BA24F3"/>
    <w:rsid w:val="00BA2608"/>
    <w:rsid w:val="00BA266C"/>
    <w:rsid w:val="00BA2D09"/>
    <w:rsid w:val="00BA2FFD"/>
    <w:rsid w:val="00BA3B10"/>
    <w:rsid w:val="00BA4FDF"/>
    <w:rsid w:val="00BA57FC"/>
    <w:rsid w:val="00BA5B7C"/>
    <w:rsid w:val="00BA5EC1"/>
    <w:rsid w:val="00BA6B82"/>
    <w:rsid w:val="00BA7047"/>
    <w:rsid w:val="00BA7305"/>
    <w:rsid w:val="00BA7438"/>
    <w:rsid w:val="00BA78B9"/>
    <w:rsid w:val="00BA7CAE"/>
    <w:rsid w:val="00BA7DE5"/>
    <w:rsid w:val="00BB081C"/>
    <w:rsid w:val="00BB118F"/>
    <w:rsid w:val="00BB1403"/>
    <w:rsid w:val="00BB144D"/>
    <w:rsid w:val="00BB14D2"/>
    <w:rsid w:val="00BB1842"/>
    <w:rsid w:val="00BB1A76"/>
    <w:rsid w:val="00BB1F2B"/>
    <w:rsid w:val="00BB2412"/>
    <w:rsid w:val="00BB2C47"/>
    <w:rsid w:val="00BB2FB6"/>
    <w:rsid w:val="00BB3946"/>
    <w:rsid w:val="00BB3AC3"/>
    <w:rsid w:val="00BB5586"/>
    <w:rsid w:val="00BB58F3"/>
    <w:rsid w:val="00BB598F"/>
    <w:rsid w:val="00BB5D97"/>
    <w:rsid w:val="00BB5F3A"/>
    <w:rsid w:val="00BB5F91"/>
    <w:rsid w:val="00BB5FF1"/>
    <w:rsid w:val="00BB6118"/>
    <w:rsid w:val="00BB6322"/>
    <w:rsid w:val="00BB6362"/>
    <w:rsid w:val="00BB653E"/>
    <w:rsid w:val="00BB6830"/>
    <w:rsid w:val="00BB7065"/>
    <w:rsid w:val="00BB73F8"/>
    <w:rsid w:val="00BB79DE"/>
    <w:rsid w:val="00BB7A3F"/>
    <w:rsid w:val="00BB7AF0"/>
    <w:rsid w:val="00BB7C0A"/>
    <w:rsid w:val="00BB7E6F"/>
    <w:rsid w:val="00BC0555"/>
    <w:rsid w:val="00BC0646"/>
    <w:rsid w:val="00BC0B65"/>
    <w:rsid w:val="00BC1BC4"/>
    <w:rsid w:val="00BC1DD3"/>
    <w:rsid w:val="00BC2408"/>
    <w:rsid w:val="00BC2B0A"/>
    <w:rsid w:val="00BC2F8D"/>
    <w:rsid w:val="00BC3209"/>
    <w:rsid w:val="00BC39B7"/>
    <w:rsid w:val="00BC3A2A"/>
    <w:rsid w:val="00BC4207"/>
    <w:rsid w:val="00BC4CC8"/>
    <w:rsid w:val="00BC4E4F"/>
    <w:rsid w:val="00BC4F47"/>
    <w:rsid w:val="00BC4F82"/>
    <w:rsid w:val="00BC4F83"/>
    <w:rsid w:val="00BC5B2C"/>
    <w:rsid w:val="00BC5DD6"/>
    <w:rsid w:val="00BC6131"/>
    <w:rsid w:val="00BC735B"/>
    <w:rsid w:val="00BC7FAD"/>
    <w:rsid w:val="00BD055C"/>
    <w:rsid w:val="00BD067A"/>
    <w:rsid w:val="00BD09F0"/>
    <w:rsid w:val="00BD0D85"/>
    <w:rsid w:val="00BD1069"/>
    <w:rsid w:val="00BD11CE"/>
    <w:rsid w:val="00BD1BA5"/>
    <w:rsid w:val="00BD214A"/>
    <w:rsid w:val="00BD21CE"/>
    <w:rsid w:val="00BD2A81"/>
    <w:rsid w:val="00BD2BA2"/>
    <w:rsid w:val="00BD4065"/>
    <w:rsid w:val="00BD4695"/>
    <w:rsid w:val="00BD4B1A"/>
    <w:rsid w:val="00BD59DB"/>
    <w:rsid w:val="00BD5A6C"/>
    <w:rsid w:val="00BD5F80"/>
    <w:rsid w:val="00BD6003"/>
    <w:rsid w:val="00BD6334"/>
    <w:rsid w:val="00BD6356"/>
    <w:rsid w:val="00BD6363"/>
    <w:rsid w:val="00BD6428"/>
    <w:rsid w:val="00BD691F"/>
    <w:rsid w:val="00BD69FD"/>
    <w:rsid w:val="00BD70B7"/>
    <w:rsid w:val="00BD7734"/>
    <w:rsid w:val="00BD7E37"/>
    <w:rsid w:val="00BD7F7B"/>
    <w:rsid w:val="00BE02CE"/>
    <w:rsid w:val="00BE0328"/>
    <w:rsid w:val="00BE0522"/>
    <w:rsid w:val="00BE078B"/>
    <w:rsid w:val="00BE0E1A"/>
    <w:rsid w:val="00BE18FA"/>
    <w:rsid w:val="00BE1904"/>
    <w:rsid w:val="00BE1B4B"/>
    <w:rsid w:val="00BE1F8E"/>
    <w:rsid w:val="00BE285C"/>
    <w:rsid w:val="00BE28F7"/>
    <w:rsid w:val="00BE2A59"/>
    <w:rsid w:val="00BE3A75"/>
    <w:rsid w:val="00BE3DB2"/>
    <w:rsid w:val="00BE3EDD"/>
    <w:rsid w:val="00BE4337"/>
    <w:rsid w:val="00BE439A"/>
    <w:rsid w:val="00BE43C2"/>
    <w:rsid w:val="00BE494F"/>
    <w:rsid w:val="00BE4F10"/>
    <w:rsid w:val="00BE587A"/>
    <w:rsid w:val="00BE5F4D"/>
    <w:rsid w:val="00BE63F0"/>
    <w:rsid w:val="00BE6C94"/>
    <w:rsid w:val="00BE6F27"/>
    <w:rsid w:val="00BE7622"/>
    <w:rsid w:val="00BE78BC"/>
    <w:rsid w:val="00BF013F"/>
    <w:rsid w:val="00BF0793"/>
    <w:rsid w:val="00BF19E1"/>
    <w:rsid w:val="00BF1B39"/>
    <w:rsid w:val="00BF1B55"/>
    <w:rsid w:val="00BF1D3F"/>
    <w:rsid w:val="00BF1E8B"/>
    <w:rsid w:val="00BF22AF"/>
    <w:rsid w:val="00BF2C08"/>
    <w:rsid w:val="00BF2F01"/>
    <w:rsid w:val="00BF34CF"/>
    <w:rsid w:val="00BF3509"/>
    <w:rsid w:val="00BF37D5"/>
    <w:rsid w:val="00BF44B6"/>
    <w:rsid w:val="00BF44DA"/>
    <w:rsid w:val="00BF4B2A"/>
    <w:rsid w:val="00BF52EF"/>
    <w:rsid w:val="00BF5646"/>
    <w:rsid w:val="00BF582B"/>
    <w:rsid w:val="00BF58AA"/>
    <w:rsid w:val="00BF5A0B"/>
    <w:rsid w:val="00BF68C0"/>
    <w:rsid w:val="00BF6DB4"/>
    <w:rsid w:val="00BF6F6E"/>
    <w:rsid w:val="00BF7E63"/>
    <w:rsid w:val="00BF7FB6"/>
    <w:rsid w:val="00C0059A"/>
    <w:rsid w:val="00C012C5"/>
    <w:rsid w:val="00C016EC"/>
    <w:rsid w:val="00C01BAC"/>
    <w:rsid w:val="00C02FE6"/>
    <w:rsid w:val="00C03227"/>
    <w:rsid w:val="00C03A24"/>
    <w:rsid w:val="00C03BC0"/>
    <w:rsid w:val="00C03D6E"/>
    <w:rsid w:val="00C043C3"/>
    <w:rsid w:val="00C048FF"/>
    <w:rsid w:val="00C04A54"/>
    <w:rsid w:val="00C052D0"/>
    <w:rsid w:val="00C0554E"/>
    <w:rsid w:val="00C10665"/>
    <w:rsid w:val="00C106AA"/>
    <w:rsid w:val="00C10F19"/>
    <w:rsid w:val="00C113C2"/>
    <w:rsid w:val="00C11530"/>
    <w:rsid w:val="00C11583"/>
    <w:rsid w:val="00C11BE3"/>
    <w:rsid w:val="00C12512"/>
    <w:rsid w:val="00C12C91"/>
    <w:rsid w:val="00C137E2"/>
    <w:rsid w:val="00C13D69"/>
    <w:rsid w:val="00C143B8"/>
    <w:rsid w:val="00C14753"/>
    <w:rsid w:val="00C14E5B"/>
    <w:rsid w:val="00C14FFE"/>
    <w:rsid w:val="00C1503E"/>
    <w:rsid w:val="00C1567C"/>
    <w:rsid w:val="00C16620"/>
    <w:rsid w:val="00C16964"/>
    <w:rsid w:val="00C16B84"/>
    <w:rsid w:val="00C16D72"/>
    <w:rsid w:val="00C1795F"/>
    <w:rsid w:val="00C17CF1"/>
    <w:rsid w:val="00C2034A"/>
    <w:rsid w:val="00C20373"/>
    <w:rsid w:val="00C20755"/>
    <w:rsid w:val="00C20CF0"/>
    <w:rsid w:val="00C2179B"/>
    <w:rsid w:val="00C21D5B"/>
    <w:rsid w:val="00C21E5F"/>
    <w:rsid w:val="00C23084"/>
    <w:rsid w:val="00C23361"/>
    <w:rsid w:val="00C237CF"/>
    <w:rsid w:val="00C23AC2"/>
    <w:rsid w:val="00C23F56"/>
    <w:rsid w:val="00C2459F"/>
    <w:rsid w:val="00C24661"/>
    <w:rsid w:val="00C24A93"/>
    <w:rsid w:val="00C24AAA"/>
    <w:rsid w:val="00C253C2"/>
    <w:rsid w:val="00C25996"/>
    <w:rsid w:val="00C25BF4"/>
    <w:rsid w:val="00C25D36"/>
    <w:rsid w:val="00C25DF9"/>
    <w:rsid w:val="00C265AE"/>
    <w:rsid w:val="00C26942"/>
    <w:rsid w:val="00C26C4E"/>
    <w:rsid w:val="00C27F73"/>
    <w:rsid w:val="00C306BE"/>
    <w:rsid w:val="00C30C2A"/>
    <w:rsid w:val="00C30D9A"/>
    <w:rsid w:val="00C310B0"/>
    <w:rsid w:val="00C3180F"/>
    <w:rsid w:val="00C32A56"/>
    <w:rsid w:val="00C330C1"/>
    <w:rsid w:val="00C35B49"/>
    <w:rsid w:val="00C365FB"/>
    <w:rsid w:val="00C37174"/>
    <w:rsid w:val="00C37E02"/>
    <w:rsid w:val="00C417F4"/>
    <w:rsid w:val="00C41AC6"/>
    <w:rsid w:val="00C42269"/>
    <w:rsid w:val="00C435B9"/>
    <w:rsid w:val="00C437D6"/>
    <w:rsid w:val="00C439D4"/>
    <w:rsid w:val="00C43C3D"/>
    <w:rsid w:val="00C44042"/>
    <w:rsid w:val="00C44259"/>
    <w:rsid w:val="00C4429A"/>
    <w:rsid w:val="00C447EA"/>
    <w:rsid w:val="00C44CCA"/>
    <w:rsid w:val="00C456C6"/>
    <w:rsid w:val="00C4581D"/>
    <w:rsid w:val="00C458DC"/>
    <w:rsid w:val="00C459C4"/>
    <w:rsid w:val="00C45DB4"/>
    <w:rsid w:val="00C464D2"/>
    <w:rsid w:val="00C468F5"/>
    <w:rsid w:val="00C46A86"/>
    <w:rsid w:val="00C46AD1"/>
    <w:rsid w:val="00C46F8E"/>
    <w:rsid w:val="00C47011"/>
    <w:rsid w:val="00C4713F"/>
    <w:rsid w:val="00C474A0"/>
    <w:rsid w:val="00C475F0"/>
    <w:rsid w:val="00C47670"/>
    <w:rsid w:val="00C47C2B"/>
    <w:rsid w:val="00C47D70"/>
    <w:rsid w:val="00C47FF9"/>
    <w:rsid w:val="00C501D6"/>
    <w:rsid w:val="00C5034D"/>
    <w:rsid w:val="00C50DC3"/>
    <w:rsid w:val="00C5149A"/>
    <w:rsid w:val="00C51785"/>
    <w:rsid w:val="00C517E7"/>
    <w:rsid w:val="00C52353"/>
    <w:rsid w:val="00C5266A"/>
    <w:rsid w:val="00C52E52"/>
    <w:rsid w:val="00C52EDA"/>
    <w:rsid w:val="00C537B4"/>
    <w:rsid w:val="00C53D66"/>
    <w:rsid w:val="00C54546"/>
    <w:rsid w:val="00C5477A"/>
    <w:rsid w:val="00C54E87"/>
    <w:rsid w:val="00C55941"/>
    <w:rsid w:val="00C5686E"/>
    <w:rsid w:val="00C56E72"/>
    <w:rsid w:val="00C5718F"/>
    <w:rsid w:val="00C57272"/>
    <w:rsid w:val="00C579B3"/>
    <w:rsid w:val="00C6057E"/>
    <w:rsid w:val="00C61044"/>
    <w:rsid w:val="00C6193E"/>
    <w:rsid w:val="00C61C9F"/>
    <w:rsid w:val="00C61FE2"/>
    <w:rsid w:val="00C623DC"/>
    <w:rsid w:val="00C62F25"/>
    <w:rsid w:val="00C630E7"/>
    <w:rsid w:val="00C63D71"/>
    <w:rsid w:val="00C63DF7"/>
    <w:rsid w:val="00C63E83"/>
    <w:rsid w:val="00C63F30"/>
    <w:rsid w:val="00C64433"/>
    <w:rsid w:val="00C649B5"/>
    <w:rsid w:val="00C64B02"/>
    <w:rsid w:val="00C65076"/>
    <w:rsid w:val="00C651CA"/>
    <w:rsid w:val="00C653D6"/>
    <w:rsid w:val="00C654DD"/>
    <w:rsid w:val="00C65B6D"/>
    <w:rsid w:val="00C65E15"/>
    <w:rsid w:val="00C66974"/>
    <w:rsid w:val="00C6714E"/>
    <w:rsid w:val="00C674F5"/>
    <w:rsid w:val="00C67D58"/>
    <w:rsid w:val="00C67E09"/>
    <w:rsid w:val="00C67F94"/>
    <w:rsid w:val="00C70A99"/>
    <w:rsid w:val="00C70CD3"/>
    <w:rsid w:val="00C718E7"/>
    <w:rsid w:val="00C71EA2"/>
    <w:rsid w:val="00C72457"/>
    <w:rsid w:val="00C7270B"/>
    <w:rsid w:val="00C72C18"/>
    <w:rsid w:val="00C72F30"/>
    <w:rsid w:val="00C7354D"/>
    <w:rsid w:val="00C736ED"/>
    <w:rsid w:val="00C7388D"/>
    <w:rsid w:val="00C741F0"/>
    <w:rsid w:val="00C74512"/>
    <w:rsid w:val="00C74AAD"/>
    <w:rsid w:val="00C758AC"/>
    <w:rsid w:val="00C7599D"/>
    <w:rsid w:val="00C75AC3"/>
    <w:rsid w:val="00C75EB0"/>
    <w:rsid w:val="00C769BC"/>
    <w:rsid w:val="00C76FDC"/>
    <w:rsid w:val="00C77182"/>
    <w:rsid w:val="00C772BF"/>
    <w:rsid w:val="00C77F86"/>
    <w:rsid w:val="00C8028D"/>
    <w:rsid w:val="00C8051B"/>
    <w:rsid w:val="00C8057D"/>
    <w:rsid w:val="00C80877"/>
    <w:rsid w:val="00C80897"/>
    <w:rsid w:val="00C80AC7"/>
    <w:rsid w:val="00C80EFA"/>
    <w:rsid w:val="00C8115F"/>
    <w:rsid w:val="00C812CB"/>
    <w:rsid w:val="00C81523"/>
    <w:rsid w:val="00C81882"/>
    <w:rsid w:val="00C824BA"/>
    <w:rsid w:val="00C82A26"/>
    <w:rsid w:val="00C82B8F"/>
    <w:rsid w:val="00C82DBB"/>
    <w:rsid w:val="00C835E2"/>
    <w:rsid w:val="00C83E30"/>
    <w:rsid w:val="00C85068"/>
    <w:rsid w:val="00C85650"/>
    <w:rsid w:val="00C85A90"/>
    <w:rsid w:val="00C863B4"/>
    <w:rsid w:val="00C86725"/>
    <w:rsid w:val="00C86794"/>
    <w:rsid w:val="00C867FF"/>
    <w:rsid w:val="00C86B82"/>
    <w:rsid w:val="00C86E74"/>
    <w:rsid w:val="00C8700C"/>
    <w:rsid w:val="00C871B7"/>
    <w:rsid w:val="00C8735F"/>
    <w:rsid w:val="00C879D9"/>
    <w:rsid w:val="00C87BA4"/>
    <w:rsid w:val="00C906D4"/>
    <w:rsid w:val="00C91119"/>
    <w:rsid w:val="00C91559"/>
    <w:rsid w:val="00C91B16"/>
    <w:rsid w:val="00C92A4D"/>
    <w:rsid w:val="00C92E7E"/>
    <w:rsid w:val="00C92F0A"/>
    <w:rsid w:val="00C93191"/>
    <w:rsid w:val="00C939FD"/>
    <w:rsid w:val="00C94E6E"/>
    <w:rsid w:val="00C95AF1"/>
    <w:rsid w:val="00C961C6"/>
    <w:rsid w:val="00C964A9"/>
    <w:rsid w:val="00C96840"/>
    <w:rsid w:val="00C96CB5"/>
    <w:rsid w:val="00C97339"/>
    <w:rsid w:val="00C97A74"/>
    <w:rsid w:val="00C97BDF"/>
    <w:rsid w:val="00CA03A1"/>
    <w:rsid w:val="00CA057F"/>
    <w:rsid w:val="00CA116C"/>
    <w:rsid w:val="00CA24B6"/>
    <w:rsid w:val="00CA24CB"/>
    <w:rsid w:val="00CA2CD1"/>
    <w:rsid w:val="00CA305E"/>
    <w:rsid w:val="00CA31E2"/>
    <w:rsid w:val="00CA3FCE"/>
    <w:rsid w:val="00CA41C0"/>
    <w:rsid w:val="00CA4343"/>
    <w:rsid w:val="00CA4A7C"/>
    <w:rsid w:val="00CA4C46"/>
    <w:rsid w:val="00CA4FC7"/>
    <w:rsid w:val="00CA5231"/>
    <w:rsid w:val="00CA5864"/>
    <w:rsid w:val="00CA67DC"/>
    <w:rsid w:val="00CA6ADA"/>
    <w:rsid w:val="00CA6CC4"/>
    <w:rsid w:val="00CA748B"/>
    <w:rsid w:val="00CA7AEE"/>
    <w:rsid w:val="00CB05E9"/>
    <w:rsid w:val="00CB0B3D"/>
    <w:rsid w:val="00CB1065"/>
    <w:rsid w:val="00CB3490"/>
    <w:rsid w:val="00CB3B32"/>
    <w:rsid w:val="00CB3F11"/>
    <w:rsid w:val="00CB3FA7"/>
    <w:rsid w:val="00CB42BE"/>
    <w:rsid w:val="00CB4338"/>
    <w:rsid w:val="00CB4E53"/>
    <w:rsid w:val="00CB51B1"/>
    <w:rsid w:val="00CB58F3"/>
    <w:rsid w:val="00CB6758"/>
    <w:rsid w:val="00CB775E"/>
    <w:rsid w:val="00CB7E2A"/>
    <w:rsid w:val="00CC011F"/>
    <w:rsid w:val="00CC0281"/>
    <w:rsid w:val="00CC06F0"/>
    <w:rsid w:val="00CC1917"/>
    <w:rsid w:val="00CC1DDF"/>
    <w:rsid w:val="00CC1F34"/>
    <w:rsid w:val="00CC2051"/>
    <w:rsid w:val="00CC20C4"/>
    <w:rsid w:val="00CC2546"/>
    <w:rsid w:val="00CC2618"/>
    <w:rsid w:val="00CC285B"/>
    <w:rsid w:val="00CC3007"/>
    <w:rsid w:val="00CC3224"/>
    <w:rsid w:val="00CC351E"/>
    <w:rsid w:val="00CC39C0"/>
    <w:rsid w:val="00CC3F49"/>
    <w:rsid w:val="00CC4E33"/>
    <w:rsid w:val="00CC4E39"/>
    <w:rsid w:val="00CC4FAA"/>
    <w:rsid w:val="00CC5484"/>
    <w:rsid w:val="00CC5692"/>
    <w:rsid w:val="00CC572A"/>
    <w:rsid w:val="00CC5F79"/>
    <w:rsid w:val="00CC61F5"/>
    <w:rsid w:val="00CC6DBA"/>
    <w:rsid w:val="00CC79D5"/>
    <w:rsid w:val="00CC7FD5"/>
    <w:rsid w:val="00CD0FC0"/>
    <w:rsid w:val="00CD115A"/>
    <w:rsid w:val="00CD1436"/>
    <w:rsid w:val="00CD1667"/>
    <w:rsid w:val="00CD2022"/>
    <w:rsid w:val="00CD20A4"/>
    <w:rsid w:val="00CD29F4"/>
    <w:rsid w:val="00CD2B3B"/>
    <w:rsid w:val="00CD2E16"/>
    <w:rsid w:val="00CD354A"/>
    <w:rsid w:val="00CD3AB5"/>
    <w:rsid w:val="00CD3CC7"/>
    <w:rsid w:val="00CD667C"/>
    <w:rsid w:val="00CD6F12"/>
    <w:rsid w:val="00CD7034"/>
    <w:rsid w:val="00CD7199"/>
    <w:rsid w:val="00CD727D"/>
    <w:rsid w:val="00CD7A69"/>
    <w:rsid w:val="00CD7D12"/>
    <w:rsid w:val="00CE05DE"/>
    <w:rsid w:val="00CE075A"/>
    <w:rsid w:val="00CE0CA4"/>
    <w:rsid w:val="00CE1973"/>
    <w:rsid w:val="00CE1C59"/>
    <w:rsid w:val="00CE2396"/>
    <w:rsid w:val="00CE262D"/>
    <w:rsid w:val="00CE269A"/>
    <w:rsid w:val="00CE28C6"/>
    <w:rsid w:val="00CE2981"/>
    <w:rsid w:val="00CE30B5"/>
    <w:rsid w:val="00CE34B6"/>
    <w:rsid w:val="00CE3E69"/>
    <w:rsid w:val="00CE4158"/>
    <w:rsid w:val="00CE4161"/>
    <w:rsid w:val="00CE4EFC"/>
    <w:rsid w:val="00CE54F0"/>
    <w:rsid w:val="00CE5694"/>
    <w:rsid w:val="00CE56E9"/>
    <w:rsid w:val="00CE5FA8"/>
    <w:rsid w:val="00CE6258"/>
    <w:rsid w:val="00CE66B7"/>
    <w:rsid w:val="00CE712E"/>
    <w:rsid w:val="00CE7498"/>
    <w:rsid w:val="00CE7CAA"/>
    <w:rsid w:val="00CF01C8"/>
    <w:rsid w:val="00CF01E5"/>
    <w:rsid w:val="00CF08B2"/>
    <w:rsid w:val="00CF0F91"/>
    <w:rsid w:val="00CF1A4F"/>
    <w:rsid w:val="00CF1ADC"/>
    <w:rsid w:val="00CF1CB8"/>
    <w:rsid w:val="00CF1DB6"/>
    <w:rsid w:val="00CF1FD5"/>
    <w:rsid w:val="00CF2608"/>
    <w:rsid w:val="00CF2768"/>
    <w:rsid w:val="00CF2A62"/>
    <w:rsid w:val="00CF2C90"/>
    <w:rsid w:val="00CF344E"/>
    <w:rsid w:val="00CF3BA8"/>
    <w:rsid w:val="00CF41D9"/>
    <w:rsid w:val="00CF4AB0"/>
    <w:rsid w:val="00CF4D17"/>
    <w:rsid w:val="00CF4F41"/>
    <w:rsid w:val="00CF519D"/>
    <w:rsid w:val="00CF51F6"/>
    <w:rsid w:val="00CF580A"/>
    <w:rsid w:val="00CF6173"/>
    <w:rsid w:val="00CF617D"/>
    <w:rsid w:val="00CF6607"/>
    <w:rsid w:val="00CF6C43"/>
    <w:rsid w:val="00CF7310"/>
    <w:rsid w:val="00CF7776"/>
    <w:rsid w:val="00CF7A1C"/>
    <w:rsid w:val="00CF7C96"/>
    <w:rsid w:val="00CF7DCB"/>
    <w:rsid w:val="00CF7E81"/>
    <w:rsid w:val="00D000C4"/>
    <w:rsid w:val="00D000EE"/>
    <w:rsid w:val="00D00541"/>
    <w:rsid w:val="00D005F7"/>
    <w:rsid w:val="00D00BD9"/>
    <w:rsid w:val="00D00CCD"/>
    <w:rsid w:val="00D010F7"/>
    <w:rsid w:val="00D0132D"/>
    <w:rsid w:val="00D02351"/>
    <w:rsid w:val="00D02CF4"/>
    <w:rsid w:val="00D030B9"/>
    <w:rsid w:val="00D0381E"/>
    <w:rsid w:val="00D03C9D"/>
    <w:rsid w:val="00D0411D"/>
    <w:rsid w:val="00D044DF"/>
    <w:rsid w:val="00D04613"/>
    <w:rsid w:val="00D047CD"/>
    <w:rsid w:val="00D04EC3"/>
    <w:rsid w:val="00D0509A"/>
    <w:rsid w:val="00D052AD"/>
    <w:rsid w:val="00D058A6"/>
    <w:rsid w:val="00D05AA8"/>
    <w:rsid w:val="00D06319"/>
    <w:rsid w:val="00D076D8"/>
    <w:rsid w:val="00D07A45"/>
    <w:rsid w:val="00D07B73"/>
    <w:rsid w:val="00D10A63"/>
    <w:rsid w:val="00D10B77"/>
    <w:rsid w:val="00D110D0"/>
    <w:rsid w:val="00D11293"/>
    <w:rsid w:val="00D116F8"/>
    <w:rsid w:val="00D1196D"/>
    <w:rsid w:val="00D12121"/>
    <w:rsid w:val="00D12591"/>
    <w:rsid w:val="00D12B38"/>
    <w:rsid w:val="00D12E44"/>
    <w:rsid w:val="00D1344A"/>
    <w:rsid w:val="00D134DB"/>
    <w:rsid w:val="00D13632"/>
    <w:rsid w:val="00D1413B"/>
    <w:rsid w:val="00D14CD6"/>
    <w:rsid w:val="00D14DCB"/>
    <w:rsid w:val="00D157AF"/>
    <w:rsid w:val="00D15949"/>
    <w:rsid w:val="00D16C9B"/>
    <w:rsid w:val="00D16FEE"/>
    <w:rsid w:val="00D17609"/>
    <w:rsid w:val="00D179B3"/>
    <w:rsid w:val="00D17A99"/>
    <w:rsid w:val="00D17B3A"/>
    <w:rsid w:val="00D17D38"/>
    <w:rsid w:val="00D20095"/>
    <w:rsid w:val="00D20155"/>
    <w:rsid w:val="00D204BE"/>
    <w:rsid w:val="00D2072F"/>
    <w:rsid w:val="00D20EA0"/>
    <w:rsid w:val="00D214F3"/>
    <w:rsid w:val="00D21557"/>
    <w:rsid w:val="00D219A0"/>
    <w:rsid w:val="00D21EC6"/>
    <w:rsid w:val="00D2246C"/>
    <w:rsid w:val="00D22506"/>
    <w:rsid w:val="00D22514"/>
    <w:rsid w:val="00D229A8"/>
    <w:rsid w:val="00D22C31"/>
    <w:rsid w:val="00D23551"/>
    <w:rsid w:val="00D2418D"/>
    <w:rsid w:val="00D245A0"/>
    <w:rsid w:val="00D24605"/>
    <w:rsid w:val="00D24F5F"/>
    <w:rsid w:val="00D252A6"/>
    <w:rsid w:val="00D257F1"/>
    <w:rsid w:val="00D2698B"/>
    <w:rsid w:val="00D2728E"/>
    <w:rsid w:val="00D27BCA"/>
    <w:rsid w:val="00D27BD5"/>
    <w:rsid w:val="00D309E5"/>
    <w:rsid w:val="00D30B06"/>
    <w:rsid w:val="00D30C39"/>
    <w:rsid w:val="00D30C60"/>
    <w:rsid w:val="00D30E44"/>
    <w:rsid w:val="00D30F58"/>
    <w:rsid w:val="00D310A4"/>
    <w:rsid w:val="00D315A9"/>
    <w:rsid w:val="00D31E13"/>
    <w:rsid w:val="00D32850"/>
    <w:rsid w:val="00D33471"/>
    <w:rsid w:val="00D33896"/>
    <w:rsid w:val="00D3392F"/>
    <w:rsid w:val="00D3398F"/>
    <w:rsid w:val="00D34009"/>
    <w:rsid w:val="00D344B6"/>
    <w:rsid w:val="00D34AEB"/>
    <w:rsid w:val="00D35579"/>
    <w:rsid w:val="00D355CE"/>
    <w:rsid w:val="00D36BFB"/>
    <w:rsid w:val="00D36D6C"/>
    <w:rsid w:val="00D37A95"/>
    <w:rsid w:val="00D40B13"/>
    <w:rsid w:val="00D4183E"/>
    <w:rsid w:val="00D41BA2"/>
    <w:rsid w:val="00D420F4"/>
    <w:rsid w:val="00D4228E"/>
    <w:rsid w:val="00D43205"/>
    <w:rsid w:val="00D4329B"/>
    <w:rsid w:val="00D43715"/>
    <w:rsid w:val="00D43A96"/>
    <w:rsid w:val="00D441FC"/>
    <w:rsid w:val="00D44361"/>
    <w:rsid w:val="00D44EBA"/>
    <w:rsid w:val="00D455CF"/>
    <w:rsid w:val="00D45698"/>
    <w:rsid w:val="00D45AC6"/>
    <w:rsid w:val="00D45DB2"/>
    <w:rsid w:val="00D45EC9"/>
    <w:rsid w:val="00D46DF1"/>
    <w:rsid w:val="00D46E79"/>
    <w:rsid w:val="00D476E1"/>
    <w:rsid w:val="00D477EE"/>
    <w:rsid w:val="00D47AF0"/>
    <w:rsid w:val="00D47BF3"/>
    <w:rsid w:val="00D47D9F"/>
    <w:rsid w:val="00D502A8"/>
    <w:rsid w:val="00D507E3"/>
    <w:rsid w:val="00D50D8C"/>
    <w:rsid w:val="00D50FF6"/>
    <w:rsid w:val="00D5117A"/>
    <w:rsid w:val="00D51551"/>
    <w:rsid w:val="00D5173D"/>
    <w:rsid w:val="00D518B9"/>
    <w:rsid w:val="00D5196A"/>
    <w:rsid w:val="00D51BDF"/>
    <w:rsid w:val="00D51C4C"/>
    <w:rsid w:val="00D52357"/>
    <w:rsid w:val="00D52C0A"/>
    <w:rsid w:val="00D52FDC"/>
    <w:rsid w:val="00D535C7"/>
    <w:rsid w:val="00D53774"/>
    <w:rsid w:val="00D53C1C"/>
    <w:rsid w:val="00D54960"/>
    <w:rsid w:val="00D549C8"/>
    <w:rsid w:val="00D55597"/>
    <w:rsid w:val="00D55C81"/>
    <w:rsid w:val="00D567EE"/>
    <w:rsid w:val="00D57361"/>
    <w:rsid w:val="00D57673"/>
    <w:rsid w:val="00D5780D"/>
    <w:rsid w:val="00D57C6A"/>
    <w:rsid w:val="00D57CA7"/>
    <w:rsid w:val="00D57ED9"/>
    <w:rsid w:val="00D60111"/>
    <w:rsid w:val="00D6081C"/>
    <w:rsid w:val="00D60F61"/>
    <w:rsid w:val="00D60FC9"/>
    <w:rsid w:val="00D614F2"/>
    <w:rsid w:val="00D616FE"/>
    <w:rsid w:val="00D61B82"/>
    <w:rsid w:val="00D62088"/>
    <w:rsid w:val="00D620D0"/>
    <w:rsid w:val="00D627EC"/>
    <w:rsid w:val="00D62D0B"/>
    <w:rsid w:val="00D62D7C"/>
    <w:rsid w:val="00D62E1C"/>
    <w:rsid w:val="00D63312"/>
    <w:rsid w:val="00D643CF"/>
    <w:rsid w:val="00D646D5"/>
    <w:rsid w:val="00D649D9"/>
    <w:rsid w:val="00D64BCC"/>
    <w:rsid w:val="00D64FE0"/>
    <w:rsid w:val="00D65378"/>
    <w:rsid w:val="00D65642"/>
    <w:rsid w:val="00D66368"/>
    <w:rsid w:val="00D66805"/>
    <w:rsid w:val="00D66C03"/>
    <w:rsid w:val="00D6726C"/>
    <w:rsid w:val="00D672BA"/>
    <w:rsid w:val="00D701D8"/>
    <w:rsid w:val="00D70298"/>
    <w:rsid w:val="00D7061C"/>
    <w:rsid w:val="00D7141E"/>
    <w:rsid w:val="00D714F6"/>
    <w:rsid w:val="00D71580"/>
    <w:rsid w:val="00D71CC0"/>
    <w:rsid w:val="00D72054"/>
    <w:rsid w:val="00D727C1"/>
    <w:rsid w:val="00D72A0F"/>
    <w:rsid w:val="00D72A30"/>
    <w:rsid w:val="00D72BEF"/>
    <w:rsid w:val="00D73150"/>
    <w:rsid w:val="00D733EA"/>
    <w:rsid w:val="00D73CEB"/>
    <w:rsid w:val="00D73E3A"/>
    <w:rsid w:val="00D741F4"/>
    <w:rsid w:val="00D746FA"/>
    <w:rsid w:val="00D74C25"/>
    <w:rsid w:val="00D74C43"/>
    <w:rsid w:val="00D75241"/>
    <w:rsid w:val="00D75429"/>
    <w:rsid w:val="00D755CD"/>
    <w:rsid w:val="00D7568A"/>
    <w:rsid w:val="00D76037"/>
    <w:rsid w:val="00D7613B"/>
    <w:rsid w:val="00D7633C"/>
    <w:rsid w:val="00D76406"/>
    <w:rsid w:val="00D76524"/>
    <w:rsid w:val="00D76E29"/>
    <w:rsid w:val="00D77051"/>
    <w:rsid w:val="00D7785D"/>
    <w:rsid w:val="00D77C69"/>
    <w:rsid w:val="00D8005E"/>
    <w:rsid w:val="00D80C98"/>
    <w:rsid w:val="00D80CE2"/>
    <w:rsid w:val="00D80EB0"/>
    <w:rsid w:val="00D81267"/>
    <w:rsid w:val="00D813D1"/>
    <w:rsid w:val="00D81D5C"/>
    <w:rsid w:val="00D8211A"/>
    <w:rsid w:val="00D8273D"/>
    <w:rsid w:val="00D8341F"/>
    <w:rsid w:val="00D834A8"/>
    <w:rsid w:val="00D83C71"/>
    <w:rsid w:val="00D84146"/>
    <w:rsid w:val="00D84960"/>
    <w:rsid w:val="00D84A28"/>
    <w:rsid w:val="00D85003"/>
    <w:rsid w:val="00D85416"/>
    <w:rsid w:val="00D86340"/>
    <w:rsid w:val="00D8715E"/>
    <w:rsid w:val="00D87413"/>
    <w:rsid w:val="00D8764F"/>
    <w:rsid w:val="00D878D6"/>
    <w:rsid w:val="00D87A2B"/>
    <w:rsid w:val="00D90712"/>
    <w:rsid w:val="00D90903"/>
    <w:rsid w:val="00D909CE"/>
    <w:rsid w:val="00D90B66"/>
    <w:rsid w:val="00D90B94"/>
    <w:rsid w:val="00D91680"/>
    <w:rsid w:val="00D91CC5"/>
    <w:rsid w:val="00D91F9B"/>
    <w:rsid w:val="00D922CE"/>
    <w:rsid w:val="00D926A5"/>
    <w:rsid w:val="00D93183"/>
    <w:rsid w:val="00D93308"/>
    <w:rsid w:val="00D93D25"/>
    <w:rsid w:val="00D94836"/>
    <w:rsid w:val="00D94EED"/>
    <w:rsid w:val="00D95247"/>
    <w:rsid w:val="00D9552D"/>
    <w:rsid w:val="00D95960"/>
    <w:rsid w:val="00D95E44"/>
    <w:rsid w:val="00D961B2"/>
    <w:rsid w:val="00D9622E"/>
    <w:rsid w:val="00D96612"/>
    <w:rsid w:val="00D96A5A"/>
    <w:rsid w:val="00D975DF"/>
    <w:rsid w:val="00D97DFB"/>
    <w:rsid w:val="00DA01D6"/>
    <w:rsid w:val="00DA0295"/>
    <w:rsid w:val="00DA02D6"/>
    <w:rsid w:val="00DA0509"/>
    <w:rsid w:val="00DA061D"/>
    <w:rsid w:val="00DA06E4"/>
    <w:rsid w:val="00DA0945"/>
    <w:rsid w:val="00DA1007"/>
    <w:rsid w:val="00DA10EF"/>
    <w:rsid w:val="00DA1393"/>
    <w:rsid w:val="00DA1828"/>
    <w:rsid w:val="00DA1C91"/>
    <w:rsid w:val="00DA2F94"/>
    <w:rsid w:val="00DA3136"/>
    <w:rsid w:val="00DA335B"/>
    <w:rsid w:val="00DA47D8"/>
    <w:rsid w:val="00DA49E7"/>
    <w:rsid w:val="00DA4D00"/>
    <w:rsid w:val="00DA4D68"/>
    <w:rsid w:val="00DA53BD"/>
    <w:rsid w:val="00DA5CFB"/>
    <w:rsid w:val="00DA6278"/>
    <w:rsid w:val="00DA637C"/>
    <w:rsid w:val="00DA6410"/>
    <w:rsid w:val="00DA6FE0"/>
    <w:rsid w:val="00DA75F5"/>
    <w:rsid w:val="00DA7665"/>
    <w:rsid w:val="00DA76C4"/>
    <w:rsid w:val="00DA7FC2"/>
    <w:rsid w:val="00DB17A6"/>
    <w:rsid w:val="00DB1DE9"/>
    <w:rsid w:val="00DB2451"/>
    <w:rsid w:val="00DB25D5"/>
    <w:rsid w:val="00DB3422"/>
    <w:rsid w:val="00DB3C7C"/>
    <w:rsid w:val="00DB3CBC"/>
    <w:rsid w:val="00DB3CF3"/>
    <w:rsid w:val="00DB3FC5"/>
    <w:rsid w:val="00DB4361"/>
    <w:rsid w:val="00DB4A4C"/>
    <w:rsid w:val="00DB4FC7"/>
    <w:rsid w:val="00DB5679"/>
    <w:rsid w:val="00DB5FB4"/>
    <w:rsid w:val="00DB60D5"/>
    <w:rsid w:val="00DB63B0"/>
    <w:rsid w:val="00DB6584"/>
    <w:rsid w:val="00DB70E2"/>
    <w:rsid w:val="00DB76FF"/>
    <w:rsid w:val="00DB7D90"/>
    <w:rsid w:val="00DB7EB8"/>
    <w:rsid w:val="00DB7F5D"/>
    <w:rsid w:val="00DC01B4"/>
    <w:rsid w:val="00DC0404"/>
    <w:rsid w:val="00DC04B2"/>
    <w:rsid w:val="00DC0738"/>
    <w:rsid w:val="00DC0998"/>
    <w:rsid w:val="00DC0EFB"/>
    <w:rsid w:val="00DC1BF0"/>
    <w:rsid w:val="00DC1CC9"/>
    <w:rsid w:val="00DC330D"/>
    <w:rsid w:val="00DC3413"/>
    <w:rsid w:val="00DC3775"/>
    <w:rsid w:val="00DC3798"/>
    <w:rsid w:val="00DC41AA"/>
    <w:rsid w:val="00DC4445"/>
    <w:rsid w:val="00DC480C"/>
    <w:rsid w:val="00DC4C2F"/>
    <w:rsid w:val="00DC4C88"/>
    <w:rsid w:val="00DC54A5"/>
    <w:rsid w:val="00DC61A9"/>
    <w:rsid w:val="00DC63F0"/>
    <w:rsid w:val="00DC6803"/>
    <w:rsid w:val="00DC6FB6"/>
    <w:rsid w:val="00DC7261"/>
    <w:rsid w:val="00DD02DB"/>
    <w:rsid w:val="00DD050B"/>
    <w:rsid w:val="00DD0E35"/>
    <w:rsid w:val="00DD104D"/>
    <w:rsid w:val="00DD10A3"/>
    <w:rsid w:val="00DD1107"/>
    <w:rsid w:val="00DD138E"/>
    <w:rsid w:val="00DD1699"/>
    <w:rsid w:val="00DD1949"/>
    <w:rsid w:val="00DD1C93"/>
    <w:rsid w:val="00DD1E9F"/>
    <w:rsid w:val="00DD29FD"/>
    <w:rsid w:val="00DD2BAB"/>
    <w:rsid w:val="00DD2D18"/>
    <w:rsid w:val="00DD310D"/>
    <w:rsid w:val="00DD3A78"/>
    <w:rsid w:val="00DD3CC3"/>
    <w:rsid w:val="00DD4021"/>
    <w:rsid w:val="00DD4C41"/>
    <w:rsid w:val="00DD4D75"/>
    <w:rsid w:val="00DD4DA4"/>
    <w:rsid w:val="00DD5A96"/>
    <w:rsid w:val="00DD5CD7"/>
    <w:rsid w:val="00DD61C4"/>
    <w:rsid w:val="00DD63B3"/>
    <w:rsid w:val="00DD67A0"/>
    <w:rsid w:val="00DD7953"/>
    <w:rsid w:val="00DD7AB5"/>
    <w:rsid w:val="00DE00D8"/>
    <w:rsid w:val="00DE010A"/>
    <w:rsid w:val="00DE0402"/>
    <w:rsid w:val="00DE0836"/>
    <w:rsid w:val="00DE1168"/>
    <w:rsid w:val="00DE1679"/>
    <w:rsid w:val="00DE1A51"/>
    <w:rsid w:val="00DE1EA7"/>
    <w:rsid w:val="00DE3470"/>
    <w:rsid w:val="00DE38C1"/>
    <w:rsid w:val="00DE38ED"/>
    <w:rsid w:val="00DE39E8"/>
    <w:rsid w:val="00DE3A02"/>
    <w:rsid w:val="00DE405E"/>
    <w:rsid w:val="00DE4C08"/>
    <w:rsid w:val="00DE4F68"/>
    <w:rsid w:val="00DE56FD"/>
    <w:rsid w:val="00DE5960"/>
    <w:rsid w:val="00DE5A80"/>
    <w:rsid w:val="00DE6693"/>
    <w:rsid w:val="00DE6DB0"/>
    <w:rsid w:val="00DE72D2"/>
    <w:rsid w:val="00DE7498"/>
    <w:rsid w:val="00DE7869"/>
    <w:rsid w:val="00DF00B5"/>
    <w:rsid w:val="00DF0130"/>
    <w:rsid w:val="00DF0D6A"/>
    <w:rsid w:val="00DF1614"/>
    <w:rsid w:val="00DF242A"/>
    <w:rsid w:val="00DF25BF"/>
    <w:rsid w:val="00DF3930"/>
    <w:rsid w:val="00DF468E"/>
    <w:rsid w:val="00DF46DA"/>
    <w:rsid w:val="00DF4909"/>
    <w:rsid w:val="00DF504D"/>
    <w:rsid w:val="00DF5169"/>
    <w:rsid w:val="00DF5AEB"/>
    <w:rsid w:val="00DF6276"/>
    <w:rsid w:val="00DF7331"/>
    <w:rsid w:val="00DF7583"/>
    <w:rsid w:val="00DF7668"/>
    <w:rsid w:val="00DF790D"/>
    <w:rsid w:val="00DF7F50"/>
    <w:rsid w:val="00E00326"/>
    <w:rsid w:val="00E004F6"/>
    <w:rsid w:val="00E005F0"/>
    <w:rsid w:val="00E01A71"/>
    <w:rsid w:val="00E020FA"/>
    <w:rsid w:val="00E02469"/>
    <w:rsid w:val="00E026F7"/>
    <w:rsid w:val="00E027E5"/>
    <w:rsid w:val="00E028A5"/>
    <w:rsid w:val="00E028CB"/>
    <w:rsid w:val="00E02F16"/>
    <w:rsid w:val="00E0305F"/>
    <w:rsid w:val="00E03764"/>
    <w:rsid w:val="00E03E4D"/>
    <w:rsid w:val="00E03F11"/>
    <w:rsid w:val="00E040A3"/>
    <w:rsid w:val="00E041AC"/>
    <w:rsid w:val="00E041F3"/>
    <w:rsid w:val="00E0437F"/>
    <w:rsid w:val="00E0442D"/>
    <w:rsid w:val="00E0536E"/>
    <w:rsid w:val="00E05888"/>
    <w:rsid w:val="00E05B18"/>
    <w:rsid w:val="00E06818"/>
    <w:rsid w:val="00E0740F"/>
    <w:rsid w:val="00E0777B"/>
    <w:rsid w:val="00E077BF"/>
    <w:rsid w:val="00E07CE1"/>
    <w:rsid w:val="00E07E2C"/>
    <w:rsid w:val="00E104A6"/>
    <w:rsid w:val="00E1083E"/>
    <w:rsid w:val="00E10CC8"/>
    <w:rsid w:val="00E11112"/>
    <w:rsid w:val="00E111A3"/>
    <w:rsid w:val="00E11265"/>
    <w:rsid w:val="00E117C7"/>
    <w:rsid w:val="00E11D7D"/>
    <w:rsid w:val="00E1252E"/>
    <w:rsid w:val="00E12874"/>
    <w:rsid w:val="00E13B3C"/>
    <w:rsid w:val="00E147AD"/>
    <w:rsid w:val="00E14946"/>
    <w:rsid w:val="00E14C63"/>
    <w:rsid w:val="00E14FCE"/>
    <w:rsid w:val="00E15047"/>
    <w:rsid w:val="00E15975"/>
    <w:rsid w:val="00E15DF3"/>
    <w:rsid w:val="00E16167"/>
    <w:rsid w:val="00E1673C"/>
    <w:rsid w:val="00E16A18"/>
    <w:rsid w:val="00E177C2"/>
    <w:rsid w:val="00E17893"/>
    <w:rsid w:val="00E17B32"/>
    <w:rsid w:val="00E17B66"/>
    <w:rsid w:val="00E201C6"/>
    <w:rsid w:val="00E20388"/>
    <w:rsid w:val="00E206FE"/>
    <w:rsid w:val="00E2104B"/>
    <w:rsid w:val="00E21895"/>
    <w:rsid w:val="00E21EDC"/>
    <w:rsid w:val="00E21F2A"/>
    <w:rsid w:val="00E2248A"/>
    <w:rsid w:val="00E224D2"/>
    <w:rsid w:val="00E22A98"/>
    <w:rsid w:val="00E22AF6"/>
    <w:rsid w:val="00E231BC"/>
    <w:rsid w:val="00E23641"/>
    <w:rsid w:val="00E23AD4"/>
    <w:rsid w:val="00E23D57"/>
    <w:rsid w:val="00E23EEF"/>
    <w:rsid w:val="00E2425C"/>
    <w:rsid w:val="00E24361"/>
    <w:rsid w:val="00E24F7F"/>
    <w:rsid w:val="00E2590D"/>
    <w:rsid w:val="00E2594C"/>
    <w:rsid w:val="00E25A0A"/>
    <w:rsid w:val="00E2622D"/>
    <w:rsid w:val="00E265E7"/>
    <w:rsid w:val="00E2660E"/>
    <w:rsid w:val="00E2671E"/>
    <w:rsid w:val="00E27528"/>
    <w:rsid w:val="00E27815"/>
    <w:rsid w:val="00E30836"/>
    <w:rsid w:val="00E31038"/>
    <w:rsid w:val="00E31351"/>
    <w:rsid w:val="00E317D0"/>
    <w:rsid w:val="00E31F6F"/>
    <w:rsid w:val="00E323B5"/>
    <w:rsid w:val="00E32BF8"/>
    <w:rsid w:val="00E32DA7"/>
    <w:rsid w:val="00E32FB4"/>
    <w:rsid w:val="00E3350B"/>
    <w:rsid w:val="00E3388F"/>
    <w:rsid w:val="00E3414B"/>
    <w:rsid w:val="00E342E8"/>
    <w:rsid w:val="00E34FA0"/>
    <w:rsid w:val="00E3514C"/>
    <w:rsid w:val="00E351A1"/>
    <w:rsid w:val="00E35B3A"/>
    <w:rsid w:val="00E36195"/>
    <w:rsid w:val="00E363A7"/>
    <w:rsid w:val="00E36D93"/>
    <w:rsid w:val="00E36EC6"/>
    <w:rsid w:val="00E3715B"/>
    <w:rsid w:val="00E379FC"/>
    <w:rsid w:val="00E37D2D"/>
    <w:rsid w:val="00E37E8F"/>
    <w:rsid w:val="00E4020F"/>
    <w:rsid w:val="00E4074B"/>
    <w:rsid w:val="00E40AA4"/>
    <w:rsid w:val="00E40CFA"/>
    <w:rsid w:val="00E42FA3"/>
    <w:rsid w:val="00E43082"/>
    <w:rsid w:val="00E43D74"/>
    <w:rsid w:val="00E4452B"/>
    <w:rsid w:val="00E450B9"/>
    <w:rsid w:val="00E454EC"/>
    <w:rsid w:val="00E45BFB"/>
    <w:rsid w:val="00E460E7"/>
    <w:rsid w:val="00E478CF"/>
    <w:rsid w:val="00E479B2"/>
    <w:rsid w:val="00E47D7B"/>
    <w:rsid w:val="00E50270"/>
    <w:rsid w:val="00E50540"/>
    <w:rsid w:val="00E50579"/>
    <w:rsid w:val="00E50E3E"/>
    <w:rsid w:val="00E50F40"/>
    <w:rsid w:val="00E51400"/>
    <w:rsid w:val="00E51788"/>
    <w:rsid w:val="00E528BA"/>
    <w:rsid w:val="00E52C90"/>
    <w:rsid w:val="00E52D07"/>
    <w:rsid w:val="00E52DB9"/>
    <w:rsid w:val="00E533A5"/>
    <w:rsid w:val="00E54279"/>
    <w:rsid w:val="00E54BA6"/>
    <w:rsid w:val="00E54D5C"/>
    <w:rsid w:val="00E55C41"/>
    <w:rsid w:val="00E56456"/>
    <w:rsid w:val="00E56898"/>
    <w:rsid w:val="00E56DB0"/>
    <w:rsid w:val="00E573D1"/>
    <w:rsid w:val="00E57709"/>
    <w:rsid w:val="00E57BBA"/>
    <w:rsid w:val="00E61434"/>
    <w:rsid w:val="00E61487"/>
    <w:rsid w:val="00E61CB0"/>
    <w:rsid w:val="00E61CFE"/>
    <w:rsid w:val="00E63161"/>
    <w:rsid w:val="00E6317F"/>
    <w:rsid w:val="00E631CB"/>
    <w:rsid w:val="00E6326C"/>
    <w:rsid w:val="00E63814"/>
    <w:rsid w:val="00E63900"/>
    <w:rsid w:val="00E63B2D"/>
    <w:rsid w:val="00E64597"/>
    <w:rsid w:val="00E653B1"/>
    <w:rsid w:val="00E654BC"/>
    <w:rsid w:val="00E65F0E"/>
    <w:rsid w:val="00E66F64"/>
    <w:rsid w:val="00E6709A"/>
    <w:rsid w:val="00E67352"/>
    <w:rsid w:val="00E67B09"/>
    <w:rsid w:val="00E67B99"/>
    <w:rsid w:val="00E7027A"/>
    <w:rsid w:val="00E70B8A"/>
    <w:rsid w:val="00E70C7F"/>
    <w:rsid w:val="00E70D08"/>
    <w:rsid w:val="00E71606"/>
    <w:rsid w:val="00E71626"/>
    <w:rsid w:val="00E718CD"/>
    <w:rsid w:val="00E71D77"/>
    <w:rsid w:val="00E7296E"/>
    <w:rsid w:val="00E72DED"/>
    <w:rsid w:val="00E74621"/>
    <w:rsid w:val="00E746FE"/>
    <w:rsid w:val="00E74B4C"/>
    <w:rsid w:val="00E752ED"/>
    <w:rsid w:val="00E760E9"/>
    <w:rsid w:val="00E76356"/>
    <w:rsid w:val="00E76885"/>
    <w:rsid w:val="00E76F9A"/>
    <w:rsid w:val="00E77294"/>
    <w:rsid w:val="00E77560"/>
    <w:rsid w:val="00E775B4"/>
    <w:rsid w:val="00E776C4"/>
    <w:rsid w:val="00E77ED5"/>
    <w:rsid w:val="00E8009C"/>
    <w:rsid w:val="00E802E1"/>
    <w:rsid w:val="00E806AF"/>
    <w:rsid w:val="00E80969"/>
    <w:rsid w:val="00E8145C"/>
    <w:rsid w:val="00E81FBE"/>
    <w:rsid w:val="00E8280A"/>
    <w:rsid w:val="00E82B47"/>
    <w:rsid w:val="00E82FF5"/>
    <w:rsid w:val="00E83B7E"/>
    <w:rsid w:val="00E83EA3"/>
    <w:rsid w:val="00E84324"/>
    <w:rsid w:val="00E8442E"/>
    <w:rsid w:val="00E846B2"/>
    <w:rsid w:val="00E860D0"/>
    <w:rsid w:val="00E862B9"/>
    <w:rsid w:val="00E86A71"/>
    <w:rsid w:val="00E86C39"/>
    <w:rsid w:val="00E8775F"/>
    <w:rsid w:val="00E87B05"/>
    <w:rsid w:val="00E87F7B"/>
    <w:rsid w:val="00E906E5"/>
    <w:rsid w:val="00E90BDE"/>
    <w:rsid w:val="00E91FA6"/>
    <w:rsid w:val="00E9223C"/>
    <w:rsid w:val="00E92549"/>
    <w:rsid w:val="00E92BB5"/>
    <w:rsid w:val="00E92FFC"/>
    <w:rsid w:val="00E9355A"/>
    <w:rsid w:val="00E93F66"/>
    <w:rsid w:val="00E9440D"/>
    <w:rsid w:val="00E9461F"/>
    <w:rsid w:val="00E94B0F"/>
    <w:rsid w:val="00E94F09"/>
    <w:rsid w:val="00E95658"/>
    <w:rsid w:val="00E95B85"/>
    <w:rsid w:val="00E95E1F"/>
    <w:rsid w:val="00E972C1"/>
    <w:rsid w:val="00E9735F"/>
    <w:rsid w:val="00EA03E4"/>
    <w:rsid w:val="00EA0A9A"/>
    <w:rsid w:val="00EA0BB4"/>
    <w:rsid w:val="00EA0D4C"/>
    <w:rsid w:val="00EA0E09"/>
    <w:rsid w:val="00EA0EF0"/>
    <w:rsid w:val="00EA0F38"/>
    <w:rsid w:val="00EA115A"/>
    <w:rsid w:val="00EA121C"/>
    <w:rsid w:val="00EA1288"/>
    <w:rsid w:val="00EA224E"/>
    <w:rsid w:val="00EA2703"/>
    <w:rsid w:val="00EA3642"/>
    <w:rsid w:val="00EA3B8F"/>
    <w:rsid w:val="00EA45FD"/>
    <w:rsid w:val="00EA4F7E"/>
    <w:rsid w:val="00EA56DF"/>
    <w:rsid w:val="00EA5769"/>
    <w:rsid w:val="00EA5C9F"/>
    <w:rsid w:val="00EA5EAE"/>
    <w:rsid w:val="00EA6B01"/>
    <w:rsid w:val="00EA6BB6"/>
    <w:rsid w:val="00EA70DB"/>
    <w:rsid w:val="00EA79D5"/>
    <w:rsid w:val="00EA7EF0"/>
    <w:rsid w:val="00EB018D"/>
    <w:rsid w:val="00EB1057"/>
    <w:rsid w:val="00EB1275"/>
    <w:rsid w:val="00EB15E1"/>
    <w:rsid w:val="00EB16F2"/>
    <w:rsid w:val="00EB17C1"/>
    <w:rsid w:val="00EB1B4B"/>
    <w:rsid w:val="00EB2138"/>
    <w:rsid w:val="00EB2E8C"/>
    <w:rsid w:val="00EB34AD"/>
    <w:rsid w:val="00EB4225"/>
    <w:rsid w:val="00EB4445"/>
    <w:rsid w:val="00EB47F8"/>
    <w:rsid w:val="00EB4AE2"/>
    <w:rsid w:val="00EB5121"/>
    <w:rsid w:val="00EB52D7"/>
    <w:rsid w:val="00EB57D0"/>
    <w:rsid w:val="00EB6499"/>
    <w:rsid w:val="00EB77EA"/>
    <w:rsid w:val="00EB7E9D"/>
    <w:rsid w:val="00EC0601"/>
    <w:rsid w:val="00EC086F"/>
    <w:rsid w:val="00EC0DAC"/>
    <w:rsid w:val="00EC1055"/>
    <w:rsid w:val="00EC15AE"/>
    <w:rsid w:val="00EC1A36"/>
    <w:rsid w:val="00EC1B7E"/>
    <w:rsid w:val="00EC1DD7"/>
    <w:rsid w:val="00EC1E27"/>
    <w:rsid w:val="00EC2B0D"/>
    <w:rsid w:val="00EC2F27"/>
    <w:rsid w:val="00EC3664"/>
    <w:rsid w:val="00EC3B49"/>
    <w:rsid w:val="00EC3CC8"/>
    <w:rsid w:val="00EC4276"/>
    <w:rsid w:val="00EC46F5"/>
    <w:rsid w:val="00EC48A8"/>
    <w:rsid w:val="00EC48E7"/>
    <w:rsid w:val="00EC49D3"/>
    <w:rsid w:val="00EC4B23"/>
    <w:rsid w:val="00EC50AF"/>
    <w:rsid w:val="00EC5380"/>
    <w:rsid w:val="00EC64E0"/>
    <w:rsid w:val="00EC6D4F"/>
    <w:rsid w:val="00EC7295"/>
    <w:rsid w:val="00EC75A3"/>
    <w:rsid w:val="00EC76E2"/>
    <w:rsid w:val="00EC7D97"/>
    <w:rsid w:val="00ED1B7C"/>
    <w:rsid w:val="00ED2787"/>
    <w:rsid w:val="00ED282E"/>
    <w:rsid w:val="00ED2855"/>
    <w:rsid w:val="00ED28AD"/>
    <w:rsid w:val="00ED2F00"/>
    <w:rsid w:val="00ED3078"/>
    <w:rsid w:val="00ED3F7F"/>
    <w:rsid w:val="00ED5483"/>
    <w:rsid w:val="00ED5A24"/>
    <w:rsid w:val="00ED6041"/>
    <w:rsid w:val="00ED62D2"/>
    <w:rsid w:val="00ED63C9"/>
    <w:rsid w:val="00ED70C2"/>
    <w:rsid w:val="00ED730C"/>
    <w:rsid w:val="00ED7625"/>
    <w:rsid w:val="00EE014C"/>
    <w:rsid w:val="00EE0403"/>
    <w:rsid w:val="00EE081A"/>
    <w:rsid w:val="00EE0DD7"/>
    <w:rsid w:val="00EE0F70"/>
    <w:rsid w:val="00EE1166"/>
    <w:rsid w:val="00EE1568"/>
    <w:rsid w:val="00EE157E"/>
    <w:rsid w:val="00EE177A"/>
    <w:rsid w:val="00EE178A"/>
    <w:rsid w:val="00EE1BA2"/>
    <w:rsid w:val="00EE241A"/>
    <w:rsid w:val="00EE3548"/>
    <w:rsid w:val="00EE4C82"/>
    <w:rsid w:val="00EE618C"/>
    <w:rsid w:val="00EF03C4"/>
    <w:rsid w:val="00EF048B"/>
    <w:rsid w:val="00EF0514"/>
    <w:rsid w:val="00EF0A62"/>
    <w:rsid w:val="00EF0C20"/>
    <w:rsid w:val="00EF0D76"/>
    <w:rsid w:val="00EF1066"/>
    <w:rsid w:val="00EF11C2"/>
    <w:rsid w:val="00EF13B8"/>
    <w:rsid w:val="00EF14BB"/>
    <w:rsid w:val="00EF14E3"/>
    <w:rsid w:val="00EF1979"/>
    <w:rsid w:val="00EF1C47"/>
    <w:rsid w:val="00EF1E88"/>
    <w:rsid w:val="00EF215D"/>
    <w:rsid w:val="00EF27C1"/>
    <w:rsid w:val="00EF2CEC"/>
    <w:rsid w:val="00EF2F2E"/>
    <w:rsid w:val="00EF2F35"/>
    <w:rsid w:val="00EF3A81"/>
    <w:rsid w:val="00EF4440"/>
    <w:rsid w:val="00EF4941"/>
    <w:rsid w:val="00EF4A20"/>
    <w:rsid w:val="00EF5D5F"/>
    <w:rsid w:val="00EF5D9F"/>
    <w:rsid w:val="00EF6071"/>
    <w:rsid w:val="00EF6C75"/>
    <w:rsid w:val="00EF6E2B"/>
    <w:rsid w:val="00EF6E40"/>
    <w:rsid w:val="00EF7292"/>
    <w:rsid w:val="00EF741F"/>
    <w:rsid w:val="00EF776A"/>
    <w:rsid w:val="00F0009E"/>
    <w:rsid w:val="00F00297"/>
    <w:rsid w:val="00F0037D"/>
    <w:rsid w:val="00F0050F"/>
    <w:rsid w:val="00F00608"/>
    <w:rsid w:val="00F00628"/>
    <w:rsid w:val="00F0093B"/>
    <w:rsid w:val="00F0095E"/>
    <w:rsid w:val="00F00E2C"/>
    <w:rsid w:val="00F01184"/>
    <w:rsid w:val="00F0123B"/>
    <w:rsid w:val="00F019AC"/>
    <w:rsid w:val="00F01C5E"/>
    <w:rsid w:val="00F01CAD"/>
    <w:rsid w:val="00F02583"/>
    <w:rsid w:val="00F027D7"/>
    <w:rsid w:val="00F02969"/>
    <w:rsid w:val="00F02A26"/>
    <w:rsid w:val="00F02C83"/>
    <w:rsid w:val="00F02F64"/>
    <w:rsid w:val="00F03144"/>
    <w:rsid w:val="00F03275"/>
    <w:rsid w:val="00F0342F"/>
    <w:rsid w:val="00F045D1"/>
    <w:rsid w:val="00F04BF0"/>
    <w:rsid w:val="00F056B2"/>
    <w:rsid w:val="00F05B8A"/>
    <w:rsid w:val="00F05E93"/>
    <w:rsid w:val="00F05F68"/>
    <w:rsid w:val="00F06127"/>
    <w:rsid w:val="00F062D3"/>
    <w:rsid w:val="00F06B99"/>
    <w:rsid w:val="00F06D44"/>
    <w:rsid w:val="00F0725B"/>
    <w:rsid w:val="00F0795A"/>
    <w:rsid w:val="00F10092"/>
    <w:rsid w:val="00F10155"/>
    <w:rsid w:val="00F1079E"/>
    <w:rsid w:val="00F10F0F"/>
    <w:rsid w:val="00F114BF"/>
    <w:rsid w:val="00F116A8"/>
    <w:rsid w:val="00F11741"/>
    <w:rsid w:val="00F120B5"/>
    <w:rsid w:val="00F1234A"/>
    <w:rsid w:val="00F1258D"/>
    <w:rsid w:val="00F1334F"/>
    <w:rsid w:val="00F1356D"/>
    <w:rsid w:val="00F1359C"/>
    <w:rsid w:val="00F13845"/>
    <w:rsid w:val="00F1467F"/>
    <w:rsid w:val="00F148FD"/>
    <w:rsid w:val="00F14B87"/>
    <w:rsid w:val="00F15F76"/>
    <w:rsid w:val="00F16673"/>
    <w:rsid w:val="00F1676A"/>
    <w:rsid w:val="00F16A5B"/>
    <w:rsid w:val="00F16D18"/>
    <w:rsid w:val="00F1745A"/>
    <w:rsid w:val="00F17530"/>
    <w:rsid w:val="00F17F39"/>
    <w:rsid w:val="00F20925"/>
    <w:rsid w:val="00F20B1B"/>
    <w:rsid w:val="00F21946"/>
    <w:rsid w:val="00F2232E"/>
    <w:rsid w:val="00F22961"/>
    <w:rsid w:val="00F22AAC"/>
    <w:rsid w:val="00F22F83"/>
    <w:rsid w:val="00F2300D"/>
    <w:rsid w:val="00F23C53"/>
    <w:rsid w:val="00F23FE7"/>
    <w:rsid w:val="00F2408C"/>
    <w:rsid w:val="00F2417F"/>
    <w:rsid w:val="00F243B3"/>
    <w:rsid w:val="00F24616"/>
    <w:rsid w:val="00F2484E"/>
    <w:rsid w:val="00F250B9"/>
    <w:rsid w:val="00F25138"/>
    <w:rsid w:val="00F25485"/>
    <w:rsid w:val="00F25C2B"/>
    <w:rsid w:val="00F26104"/>
    <w:rsid w:val="00F26745"/>
    <w:rsid w:val="00F26B07"/>
    <w:rsid w:val="00F26D4D"/>
    <w:rsid w:val="00F27510"/>
    <w:rsid w:val="00F2753A"/>
    <w:rsid w:val="00F30043"/>
    <w:rsid w:val="00F303A3"/>
    <w:rsid w:val="00F304F1"/>
    <w:rsid w:val="00F30D77"/>
    <w:rsid w:val="00F3119D"/>
    <w:rsid w:val="00F311DB"/>
    <w:rsid w:val="00F319AD"/>
    <w:rsid w:val="00F31E66"/>
    <w:rsid w:val="00F32139"/>
    <w:rsid w:val="00F329A6"/>
    <w:rsid w:val="00F32AE7"/>
    <w:rsid w:val="00F3351A"/>
    <w:rsid w:val="00F33BF7"/>
    <w:rsid w:val="00F33E61"/>
    <w:rsid w:val="00F345B4"/>
    <w:rsid w:val="00F34BD4"/>
    <w:rsid w:val="00F34C70"/>
    <w:rsid w:val="00F350FF"/>
    <w:rsid w:val="00F358C5"/>
    <w:rsid w:val="00F359A8"/>
    <w:rsid w:val="00F36026"/>
    <w:rsid w:val="00F362F5"/>
    <w:rsid w:val="00F363D9"/>
    <w:rsid w:val="00F364AB"/>
    <w:rsid w:val="00F365AB"/>
    <w:rsid w:val="00F36B81"/>
    <w:rsid w:val="00F36E13"/>
    <w:rsid w:val="00F370C2"/>
    <w:rsid w:val="00F374ED"/>
    <w:rsid w:val="00F37659"/>
    <w:rsid w:val="00F40160"/>
    <w:rsid w:val="00F41080"/>
    <w:rsid w:val="00F4114B"/>
    <w:rsid w:val="00F41702"/>
    <w:rsid w:val="00F41B6C"/>
    <w:rsid w:val="00F41B86"/>
    <w:rsid w:val="00F4247B"/>
    <w:rsid w:val="00F42A1F"/>
    <w:rsid w:val="00F431C8"/>
    <w:rsid w:val="00F43435"/>
    <w:rsid w:val="00F43B6B"/>
    <w:rsid w:val="00F43B7A"/>
    <w:rsid w:val="00F44A4C"/>
    <w:rsid w:val="00F45190"/>
    <w:rsid w:val="00F455F5"/>
    <w:rsid w:val="00F45BA0"/>
    <w:rsid w:val="00F465C2"/>
    <w:rsid w:val="00F46EC0"/>
    <w:rsid w:val="00F47251"/>
    <w:rsid w:val="00F477A3"/>
    <w:rsid w:val="00F4781B"/>
    <w:rsid w:val="00F47D53"/>
    <w:rsid w:val="00F47F74"/>
    <w:rsid w:val="00F503B7"/>
    <w:rsid w:val="00F50CB5"/>
    <w:rsid w:val="00F51135"/>
    <w:rsid w:val="00F512DD"/>
    <w:rsid w:val="00F51AFA"/>
    <w:rsid w:val="00F51EEE"/>
    <w:rsid w:val="00F52465"/>
    <w:rsid w:val="00F52FF6"/>
    <w:rsid w:val="00F53088"/>
    <w:rsid w:val="00F53182"/>
    <w:rsid w:val="00F53797"/>
    <w:rsid w:val="00F53952"/>
    <w:rsid w:val="00F53F1E"/>
    <w:rsid w:val="00F54A84"/>
    <w:rsid w:val="00F54B73"/>
    <w:rsid w:val="00F54C4F"/>
    <w:rsid w:val="00F5510F"/>
    <w:rsid w:val="00F55A47"/>
    <w:rsid w:val="00F55AE2"/>
    <w:rsid w:val="00F560EC"/>
    <w:rsid w:val="00F56242"/>
    <w:rsid w:val="00F56C2B"/>
    <w:rsid w:val="00F56CBF"/>
    <w:rsid w:val="00F56FEF"/>
    <w:rsid w:val="00F572BC"/>
    <w:rsid w:val="00F6048C"/>
    <w:rsid w:val="00F60C28"/>
    <w:rsid w:val="00F60C6B"/>
    <w:rsid w:val="00F615DB"/>
    <w:rsid w:val="00F61699"/>
    <w:rsid w:val="00F629FA"/>
    <w:rsid w:val="00F63488"/>
    <w:rsid w:val="00F636B0"/>
    <w:rsid w:val="00F6393B"/>
    <w:rsid w:val="00F65086"/>
    <w:rsid w:val="00F65D82"/>
    <w:rsid w:val="00F66685"/>
    <w:rsid w:val="00F66E3F"/>
    <w:rsid w:val="00F66F62"/>
    <w:rsid w:val="00F67433"/>
    <w:rsid w:val="00F67E6F"/>
    <w:rsid w:val="00F70641"/>
    <w:rsid w:val="00F70D4A"/>
    <w:rsid w:val="00F70D87"/>
    <w:rsid w:val="00F71194"/>
    <w:rsid w:val="00F71A73"/>
    <w:rsid w:val="00F71AEC"/>
    <w:rsid w:val="00F71E00"/>
    <w:rsid w:val="00F7295D"/>
    <w:rsid w:val="00F72EDD"/>
    <w:rsid w:val="00F73A06"/>
    <w:rsid w:val="00F73F71"/>
    <w:rsid w:val="00F74364"/>
    <w:rsid w:val="00F7437D"/>
    <w:rsid w:val="00F74740"/>
    <w:rsid w:val="00F752B8"/>
    <w:rsid w:val="00F7532E"/>
    <w:rsid w:val="00F75BDF"/>
    <w:rsid w:val="00F75CD5"/>
    <w:rsid w:val="00F7653E"/>
    <w:rsid w:val="00F76C09"/>
    <w:rsid w:val="00F76C35"/>
    <w:rsid w:val="00F77657"/>
    <w:rsid w:val="00F77E45"/>
    <w:rsid w:val="00F80167"/>
    <w:rsid w:val="00F80CC3"/>
    <w:rsid w:val="00F80FCB"/>
    <w:rsid w:val="00F81755"/>
    <w:rsid w:val="00F81AC2"/>
    <w:rsid w:val="00F821CF"/>
    <w:rsid w:val="00F82789"/>
    <w:rsid w:val="00F8337D"/>
    <w:rsid w:val="00F837DF"/>
    <w:rsid w:val="00F837FB"/>
    <w:rsid w:val="00F84054"/>
    <w:rsid w:val="00F84565"/>
    <w:rsid w:val="00F849D8"/>
    <w:rsid w:val="00F84CB2"/>
    <w:rsid w:val="00F84EC2"/>
    <w:rsid w:val="00F8519A"/>
    <w:rsid w:val="00F853FB"/>
    <w:rsid w:val="00F85765"/>
    <w:rsid w:val="00F85BDA"/>
    <w:rsid w:val="00F85C44"/>
    <w:rsid w:val="00F85D34"/>
    <w:rsid w:val="00F85DEC"/>
    <w:rsid w:val="00F85E21"/>
    <w:rsid w:val="00F86569"/>
    <w:rsid w:val="00F86778"/>
    <w:rsid w:val="00F86B9F"/>
    <w:rsid w:val="00F86C25"/>
    <w:rsid w:val="00F86F0F"/>
    <w:rsid w:val="00F870F0"/>
    <w:rsid w:val="00F87E66"/>
    <w:rsid w:val="00F9083C"/>
    <w:rsid w:val="00F90D64"/>
    <w:rsid w:val="00F91098"/>
    <w:rsid w:val="00F91196"/>
    <w:rsid w:val="00F92159"/>
    <w:rsid w:val="00F923DF"/>
    <w:rsid w:val="00F92926"/>
    <w:rsid w:val="00F92F8A"/>
    <w:rsid w:val="00F930AA"/>
    <w:rsid w:val="00F950F9"/>
    <w:rsid w:val="00F95D49"/>
    <w:rsid w:val="00F95EF7"/>
    <w:rsid w:val="00F95FE2"/>
    <w:rsid w:val="00F961C0"/>
    <w:rsid w:val="00F96743"/>
    <w:rsid w:val="00F96B0B"/>
    <w:rsid w:val="00F96D03"/>
    <w:rsid w:val="00F975F5"/>
    <w:rsid w:val="00F9796F"/>
    <w:rsid w:val="00F979C9"/>
    <w:rsid w:val="00FA0509"/>
    <w:rsid w:val="00FA0679"/>
    <w:rsid w:val="00FA0F83"/>
    <w:rsid w:val="00FA12AA"/>
    <w:rsid w:val="00FA138C"/>
    <w:rsid w:val="00FA13ED"/>
    <w:rsid w:val="00FA1CA5"/>
    <w:rsid w:val="00FA20E3"/>
    <w:rsid w:val="00FA233D"/>
    <w:rsid w:val="00FA279D"/>
    <w:rsid w:val="00FA282A"/>
    <w:rsid w:val="00FA3B74"/>
    <w:rsid w:val="00FA40DC"/>
    <w:rsid w:val="00FA4E33"/>
    <w:rsid w:val="00FA4F3B"/>
    <w:rsid w:val="00FA5226"/>
    <w:rsid w:val="00FA539C"/>
    <w:rsid w:val="00FA5528"/>
    <w:rsid w:val="00FA680A"/>
    <w:rsid w:val="00FA693B"/>
    <w:rsid w:val="00FA712D"/>
    <w:rsid w:val="00FA784C"/>
    <w:rsid w:val="00FA7C4A"/>
    <w:rsid w:val="00FB0CC9"/>
    <w:rsid w:val="00FB0E0A"/>
    <w:rsid w:val="00FB0E5A"/>
    <w:rsid w:val="00FB138B"/>
    <w:rsid w:val="00FB19B4"/>
    <w:rsid w:val="00FB2B52"/>
    <w:rsid w:val="00FB2BA0"/>
    <w:rsid w:val="00FB2CB3"/>
    <w:rsid w:val="00FB3436"/>
    <w:rsid w:val="00FB4956"/>
    <w:rsid w:val="00FB4D65"/>
    <w:rsid w:val="00FB5167"/>
    <w:rsid w:val="00FB54A5"/>
    <w:rsid w:val="00FB5841"/>
    <w:rsid w:val="00FB6030"/>
    <w:rsid w:val="00FB6353"/>
    <w:rsid w:val="00FB661F"/>
    <w:rsid w:val="00FB66E2"/>
    <w:rsid w:val="00FB6AE5"/>
    <w:rsid w:val="00FB77FC"/>
    <w:rsid w:val="00FC06B8"/>
    <w:rsid w:val="00FC0BBF"/>
    <w:rsid w:val="00FC11A1"/>
    <w:rsid w:val="00FC1400"/>
    <w:rsid w:val="00FC1D25"/>
    <w:rsid w:val="00FC1D8A"/>
    <w:rsid w:val="00FC233D"/>
    <w:rsid w:val="00FC2432"/>
    <w:rsid w:val="00FC2808"/>
    <w:rsid w:val="00FC3801"/>
    <w:rsid w:val="00FC3840"/>
    <w:rsid w:val="00FC39B8"/>
    <w:rsid w:val="00FC3D6D"/>
    <w:rsid w:val="00FC48B3"/>
    <w:rsid w:val="00FC4916"/>
    <w:rsid w:val="00FC5561"/>
    <w:rsid w:val="00FC558D"/>
    <w:rsid w:val="00FC5DDC"/>
    <w:rsid w:val="00FC6806"/>
    <w:rsid w:val="00FC6EB0"/>
    <w:rsid w:val="00FC7040"/>
    <w:rsid w:val="00FC7073"/>
    <w:rsid w:val="00FC7C7E"/>
    <w:rsid w:val="00FC7E6E"/>
    <w:rsid w:val="00FD01B3"/>
    <w:rsid w:val="00FD09F5"/>
    <w:rsid w:val="00FD0C8E"/>
    <w:rsid w:val="00FD12A2"/>
    <w:rsid w:val="00FD191E"/>
    <w:rsid w:val="00FD1D1E"/>
    <w:rsid w:val="00FD2003"/>
    <w:rsid w:val="00FD238C"/>
    <w:rsid w:val="00FD23FA"/>
    <w:rsid w:val="00FD2D55"/>
    <w:rsid w:val="00FD363A"/>
    <w:rsid w:val="00FD36D3"/>
    <w:rsid w:val="00FD3F4B"/>
    <w:rsid w:val="00FD434D"/>
    <w:rsid w:val="00FD463A"/>
    <w:rsid w:val="00FD4871"/>
    <w:rsid w:val="00FD4E9D"/>
    <w:rsid w:val="00FD4FB3"/>
    <w:rsid w:val="00FD5E52"/>
    <w:rsid w:val="00FD676C"/>
    <w:rsid w:val="00FD71AA"/>
    <w:rsid w:val="00FD7403"/>
    <w:rsid w:val="00FD790B"/>
    <w:rsid w:val="00FD794C"/>
    <w:rsid w:val="00FE03FF"/>
    <w:rsid w:val="00FE051A"/>
    <w:rsid w:val="00FE053C"/>
    <w:rsid w:val="00FE0D24"/>
    <w:rsid w:val="00FE0E65"/>
    <w:rsid w:val="00FE11F6"/>
    <w:rsid w:val="00FE1905"/>
    <w:rsid w:val="00FE24DA"/>
    <w:rsid w:val="00FE28ED"/>
    <w:rsid w:val="00FE325E"/>
    <w:rsid w:val="00FE3927"/>
    <w:rsid w:val="00FE3E57"/>
    <w:rsid w:val="00FE4315"/>
    <w:rsid w:val="00FE4F5C"/>
    <w:rsid w:val="00FE5165"/>
    <w:rsid w:val="00FE516E"/>
    <w:rsid w:val="00FE538E"/>
    <w:rsid w:val="00FE58FE"/>
    <w:rsid w:val="00FE5E6D"/>
    <w:rsid w:val="00FE6075"/>
    <w:rsid w:val="00FE637F"/>
    <w:rsid w:val="00FE63D4"/>
    <w:rsid w:val="00FE69D2"/>
    <w:rsid w:val="00FE6F6D"/>
    <w:rsid w:val="00FE712C"/>
    <w:rsid w:val="00FE7352"/>
    <w:rsid w:val="00FF0125"/>
    <w:rsid w:val="00FF01AB"/>
    <w:rsid w:val="00FF0254"/>
    <w:rsid w:val="00FF0285"/>
    <w:rsid w:val="00FF0CFE"/>
    <w:rsid w:val="00FF12BC"/>
    <w:rsid w:val="00FF16CE"/>
    <w:rsid w:val="00FF1CFF"/>
    <w:rsid w:val="00FF1E29"/>
    <w:rsid w:val="00FF24D0"/>
    <w:rsid w:val="00FF2834"/>
    <w:rsid w:val="00FF29A3"/>
    <w:rsid w:val="00FF3682"/>
    <w:rsid w:val="00FF368A"/>
    <w:rsid w:val="00FF37EC"/>
    <w:rsid w:val="00FF3D9B"/>
    <w:rsid w:val="00FF411F"/>
    <w:rsid w:val="00FF422F"/>
    <w:rsid w:val="00FF4320"/>
    <w:rsid w:val="00FF4C50"/>
    <w:rsid w:val="00FF4D83"/>
    <w:rsid w:val="00FF5598"/>
    <w:rsid w:val="00FF55FC"/>
    <w:rsid w:val="00FF572C"/>
    <w:rsid w:val="00FF57DA"/>
    <w:rsid w:val="00FF600E"/>
    <w:rsid w:val="00FF660D"/>
    <w:rsid w:val="00FF6704"/>
    <w:rsid w:val="00FF6FD8"/>
    <w:rsid w:val="00FF730D"/>
    <w:rsid w:val="00FF7589"/>
    <w:rsid w:val="00FF78BA"/>
    <w:rsid w:val="00FF7E15"/>
  </w:rsids>
  <m:mathPr>
    <m:mathFont m:val="Cambria Math"/>
    <m:brkBin m:val="before"/>
    <m:brkBinSub m:val="--"/>
    <m:smallFrac m:val="0"/>
    <m:dispDef/>
    <m:lMargin m:val="0"/>
    <m:rMargin m:val="0"/>
    <m:defJc m:val="centerGroup"/>
    <m:wrapIndent m:val="1440"/>
    <m:intLim m:val="subSup"/>
    <m:naryLim m:val="undOvr"/>
  </m:mathPr>
  <w:themeFontLang w:val="en-HK"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4BFA71A"/>
  <w15:docId w15:val="{811A7A03-0FEC-484A-8127-F70F19AEC4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HK"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177B"/>
    <w:pPr>
      <w:spacing w:line="360" w:lineRule="auto"/>
      <w:jc w:val="both"/>
    </w:pPr>
    <w:rPr>
      <w:rFonts w:ascii="Segoe UI" w:hAnsi="Segoe UI"/>
      <w:sz w:val="22"/>
      <w:lang w:val="en-GB"/>
    </w:rPr>
  </w:style>
  <w:style w:type="paragraph" w:styleId="Heading1">
    <w:name w:val="heading 1"/>
    <w:basedOn w:val="Normal"/>
    <w:next w:val="Normal"/>
    <w:link w:val="Heading1Char"/>
    <w:uiPriority w:val="9"/>
    <w:qFormat/>
    <w:rsid w:val="00536FB1"/>
    <w:pPr>
      <w:outlineLvl w:val="0"/>
    </w:pPr>
    <w:rPr>
      <w:b/>
      <w:bCs/>
      <w:u w:val="single"/>
    </w:rPr>
  </w:style>
  <w:style w:type="paragraph" w:styleId="Heading2">
    <w:name w:val="heading 2"/>
    <w:basedOn w:val="Normal"/>
    <w:next w:val="Normal"/>
    <w:link w:val="Heading2Char"/>
    <w:uiPriority w:val="9"/>
    <w:unhideWhenUsed/>
    <w:qFormat/>
    <w:rsid w:val="00270FFD"/>
    <w:pPr>
      <w:outlineLvl w:val="1"/>
    </w:pPr>
    <w:rPr>
      <w:b/>
      <w:bCs/>
      <w:i/>
      <w:iCs/>
    </w:rPr>
  </w:style>
  <w:style w:type="paragraph" w:styleId="Heading3">
    <w:name w:val="heading 3"/>
    <w:basedOn w:val="Heading2"/>
    <w:next w:val="Normal"/>
    <w:link w:val="Heading3Char"/>
    <w:uiPriority w:val="9"/>
    <w:unhideWhenUsed/>
    <w:qFormat/>
    <w:rsid w:val="009A2B20"/>
    <w:pPr>
      <w:tabs>
        <w:tab w:val="left" w:pos="7797"/>
      </w:tabs>
      <w:outlineLvl w:val="2"/>
    </w:pPr>
  </w:style>
  <w:style w:type="paragraph" w:styleId="Heading4">
    <w:name w:val="heading 4"/>
    <w:basedOn w:val="Normal"/>
    <w:next w:val="Normal"/>
    <w:link w:val="Heading4Char"/>
    <w:uiPriority w:val="9"/>
    <w:unhideWhenUsed/>
    <w:qFormat/>
    <w:rsid w:val="003216DA"/>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3216DA"/>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884F37"/>
    <w:pPr>
      <w:jc w:val="center"/>
    </w:pPr>
    <w:rPr>
      <w:rFonts w:ascii="Calibri" w:hAnsi="Calibri" w:cs="Calibri"/>
      <w:sz w:val="24"/>
    </w:rPr>
  </w:style>
  <w:style w:type="character" w:customStyle="1" w:styleId="EndNoteBibliographyTitleChar">
    <w:name w:val="EndNote Bibliography Title Char"/>
    <w:basedOn w:val="DefaultParagraphFont"/>
    <w:link w:val="EndNoteBibliographyTitle"/>
    <w:rsid w:val="00884F37"/>
    <w:rPr>
      <w:rFonts w:ascii="Calibri" w:hAnsi="Calibri" w:cs="Calibri"/>
      <w:lang w:val="en-GB"/>
    </w:rPr>
  </w:style>
  <w:style w:type="paragraph" w:customStyle="1" w:styleId="EndNoteBibliography">
    <w:name w:val="EndNote Bibliography"/>
    <w:basedOn w:val="Normal"/>
    <w:link w:val="EndNoteBibliographyChar"/>
    <w:rsid w:val="00884F37"/>
    <w:pPr>
      <w:spacing w:line="240" w:lineRule="auto"/>
    </w:pPr>
    <w:rPr>
      <w:rFonts w:ascii="Calibri" w:hAnsi="Calibri" w:cs="Calibri"/>
      <w:sz w:val="24"/>
    </w:rPr>
  </w:style>
  <w:style w:type="character" w:customStyle="1" w:styleId="EndNoteBibliographyChar">
    <w:name w:val="EndNote Bibliography Char"/>
    <w:basedOn w:val="DefaultParagraphFont"/>
    <w:link w:val="EndNoteBibliography"/>
    <w:rsid w:val="00884F37"/>
    <w:rPr>
      <w:rFonts w:ascii="Calibri" w:hAnsi="Calibri" w:cs="Calibri"/>
      <w:lang w:val="en-GB"/>
    </w:rPr>
  </w:style>
  <w:style w:type="character" w:styleId="Hyperlink">
    <w:name w:val="Hyperlink"/>
    <w:basedOn w:val="DefaultParagraphFont"/>
    <w:uiPriority w:val="99"/>
    <w:unhideWhenUsed/>
    <w:rsid w:val="004A1A4C"/>
    <w:rPr>
      <w:color w:val="0563C1" w:themeColor="hyperlink"/>
      <w:u w:val="single"/>
    </w:rPr>
  </w:style>
  <w:style w:type="character" w:styleId="UnresolvedMention">
    <w:name w:val="Unresolved Mention"/>
    <w:basedOn w:val="DefaultParagraphFont"/>
    <w:uiPriority w:val="99"/>
    <w:semiHidden/>
    <w:unhideWhenUsed/>
    <w:rsid w:val="004A1A4C"/>
    <w:rPr>
      <w:color w:val="605E5C"/>
      <w:shd w:val="clear" w:color="auto" w:fill="E1DFDD"/>
    </w:rPr>
  </w:style>
  <w:style w:type="character" w:customStyle="1" w:styleId="Heading1Char">
    <w:name w:val="Heading 1 Char"/>
    <w:basedOn w:val="DefaultParagraphFont"/>
    <w:link w:val="Heading1"/>
    <w:uiPriority w:val="9"/>
    <w:rsid w:val="00536FB1"/>
    <w:rPr>
      <w:b/>
      <w:bCs/>
      <w:u w:val="single"/>
      <w:lang w:val="en-GB"/>
    </w:rPr>
  </w:style>
  <w:style w:type="paragraph" w:styleId="Title">
    <w:name w:val="Title"/>
    <w:basedOn w:val="Normal"/>
    <w:next w:val="Normal"/>
    <w:link w:val="TitleChar"/>
    <w:uiPriority w:val="10"/>
    <w:qFormat/>
    <w:rsid w:val="00DF0D6A"/>
    <w:rPr>
      <w:b/>
      <w:sz w:val="28"/>
      <w:szCs w:val="28"/>
    </w:rPr>
  </w:style>
  <w:style w:type="character" w:customStyle="1" w:styleId="TitleChar">
    <w:name w:val="Title Char"/>
    <w:basedOn w:val="DefaultParagraphFont"/>
    <w:link w:val="Title"/>
    <w:uiPriority w:val="10"/>
    <w:rsid w:val="00DF0D6A"/>
    <w:rPr>
      <w:b/>
      <w:sz w:val="28"/>
      <w:szCs w:val="28"/>
      <w:lang w:val="en-GB"/>
    </w:rPr>
  </w:style>
  <w:style w:type="paragraph" w:customStyle="1" w:styleId="Speciesname">
    <w:name w:val="Species name"/>
    <w:basedOn w:val="Normal"/>
    <w:qFormat/>
    <w:rsid w:val="00D14DCB"/>
    <w:rPr>
      <w:i/>
      <w:iCs/>
    </w:rPr>
  </w:style>
  <w:style w:type="character" w:customStyle="1" w:styleId="Heading2Char">
    <w:name w:val="Heading 2 Char"/>
    <w:basedOn w:val="DefaultParagraphFont"/>
    <w:link w:val="Heading2"/>
    <w:uiPriority w:val="9"/>
    <w:rsid w:val="00270FFD"/>
    <w:rPr>
      <w:b/>
      <w:bCs/>
      <w:i/>
      <w:iCs/>
      <w:lang w:val="en-GB"/>
    </w:rPr>
  </w:style>
  <w:style w:type="paragraph" w:styleId="Revision">
    <w:name w:val="Revision"/>
    <w:hidden/>
    <w:uiPriority w:val="99"/>
    <w:semiHidden/>
    <w:rsid w:val="0003039E"/>
    <w:rPr>
      <w:lang w:val="en-GB"/>
    </w:rPr>
  </w:style>
  <w:style w:type="character" w:styleId="CommentReference">
    <w:name w:val="annotation reference"/>
    <w:basedOn w:val="DefaultParagraphFont"/>
    <w:uiPriority w:val="99"/>
    <w:semiHidden/>
    <w:unhideWhenUsed/>
    <w:rsid w:val="007C303E"/>
    <w:rPr>
      <w:sz w:val="16"/>
      <w:szCs w:val="16"/>
    </w:rPr>
  </w:style>
  <w:style w:type="paragraph" w:styleId="CommentText">
    <w:name w:val="annotation text"/>
    <w:basedOn w:val="Normal"/>
    <w:link w:val="CommentTextChar"/>
    <w:uiPriority w:val="99"/>
    <w:semiHidden/>
    <w:unhideWhenUsed/>
    <w:rsid w:val="007C303E"/>
    <w:pPr>
      <w:spacing w:line="240" w:lineRule="auto"/>
    </w:pPr>
    <w:rPr>
      <w:sz w:val="20"/>
      <w:szCs w:val="20"/>
    </w:rPr>
  </w:style>
  <w:style w:type="character" w:customStyle="1" w:styleId="CommentTextChar">
    <w:name w:val="Comment Text Char"/>
    <w:basedOn w:val="DefaultParagraphFont"/>
    <w:link w:val="CommentText"/>
    <w:uiPriority w:val="99"/>
    <w:semiHidden/>
    <w:rsid w:val="007C303E"/>
    <w:rPr>
      <w:sz w:val="20"/>
      <w:szCs w:val="20"/>
      <w:lang w:val="en-GB"/>
    </w:rPr>
  </w:style>
  <w:style w:type="paragraph" w:styleId="CommentSubject">
    <w:name w:val="annotation subject"/>
    <w:basedOn w:val="CommentText"/>
    <w:next w:val="CommentText"/>
    <w:link w:val="CommentSubjectChar"/>
    <w:uiPriority w:val="99"/>
    <w:semiHidden/>
    <w:unhideWhenUsed/>
    <w:rsid w:val="007C303E"/>
    <w:rPr>
      <w:b/>
      <w:bCs/>
    </w:rPr>
  </w:style>
  <w:style w:type="character" w:customStyle="1" w:styleId="CommentSubjectChar">
    <w:name w:val="Comment Subject Char"/>
    <w:basedOn w:val="CommentTextChar"/>
    <w:link w:val="CommentSubject"/>
    <w:uiPriority w:val="99"/>
    <w:semiHidden/>
    <w:rsid w:val="007C303E"/>
    <w:rPr>
      <w:b/>
      <w:bCs/>
      <w:sz w:val="20"/>
      <w:szCs w:val="20"/>
      <w:lang w:val="en-GB"/>
    </w:rPr>
  </w:style>
  <w:style w:type="paragraph" w:styleId="Footer">
    <w:name w:val="footer"/>
    <w:basedOn w:val="Normal"/>
    <w:link w:val="FooterChar"/>
    <w:uiPriority w:val="99"/>
    <w:unhideWhenUsed/>
    <w:rsid w:val="00800A49"/>
    <w:pPr>
      <w:tabs>
        <w:tab w:val="center" w:pos="4513"/>
        <w:tab w:val="right" w:pos="9026"/>
      </w:tabs>
      <w:spacing w:line="240" w:lineRule="auto"/>
    </w:pPr>
  </w:style>
  <w:style w:type="character" w:customStyle="1" w:styleId="FooterChar">
    <w:name w:val="Footer Char"/>
    <w:basedOn w:val="DefaultParagraphFont"/>
    <w:link w:val="Footer"/>
    <w:uiPriority w:val="99"/>
    <w:rsid w:val="00800A49"/>
    <w:rPr>
      <w:lang w:val="en-GB"/>
    </w:rPr>
  </w:style>
  <w:style w:type="character" w:styleId="PageNumber">
    <w:name w:val="page number"/>
    <w:basedOn w:val="DefaultParagraphFont"/>
    <w:uiPriority w:val="99"/>
    <w:semiHidden/>
    <w:unhideWhenUsed/>
    <w:rsid w:val="00800A49"/>
  </w:style>
  <w:style w:type="character" w:styleId="LineNumber">
    <w:name w:val="line number"/>
    <w:basedOn w:val="DefaultParagraphFont"/>
    <w:uiPriority w:val="99"/>
    <w:semiHidden/>
    <w:unhideWhenUsed/>
    <w:rsid w:val="00800A49"/>
  </w:style>
  <w:style w:type="character" w:styleId="FollowedHyperlink">
    <w:name w:val="FollowedHyperlink"/>
    <w:basedOn w:val="DefaultParagraphFont"/>
    <w:uiPriority w:val="99"/>
    <w:semiHidden/>
    <w:unhideWhenUsed/>
    <w:rsid w:val="00800A49"/>
    <w:rPr>
      <w:color w:val="954F72" w:themeColor="followedHyperlink"/>
      <w:u w:val="single"/>
    </w:rPr>
  </w:style>
  <w:style w:type="character" w:styleId="Emphasis">
    <w:name w:val="Emphasis"/>
    <w:basedOn w:val="DefaultParagraphFont"/>
    <w:uiPriority w:val="20"/>
    <w:qFormat/>
    <w:rsid w:val="00A85CFD"/>
    <w:rPr>
      <w:i/>
      <w:iCs/>
    </w:rPr>
  </w:style>
  <w:style w:type="paragraph" w:styleId="NormalWeb">
    <w:name w:val="Normal (Web)"/>
    <w:basedOn w:val="Normal"/>
    <w:uiPriority w:val="99"/>
    <w:semiHidden/>
    <w:unhideWhenUsed/>
    <w:rsid w:val="00A85CFD"/>
    <w:pPr>
      <w:spacing w:before="100" w:beforeAutospacing="1" w:after="100" w:afterAutospacing="1" w:line="240" w:lineRule="auto"/>
      <w:jc w:val="left"/>
    </w:pPr>
    <w:rPr>
      <w:rFonts w:ascii="Times New Roman" w:eastAsia="Times New Roman" w:hAnsi="Times New Roman" w:cs="Times New Roman"/>
      <w:lang w:val="en-HK"/>
    </w:rPr>
  </w:style>
  <w:style w:type="character" w:customStyle="1" w:styleId="Heading3Char">
    <w:name w:val="Heading 3 Char"/>
    <w:basedOn w:val="DefaultParagraphFont"/>
    <w:link w:val="Heading3"/>
    <w:uiPriority w:val="9"/>
    <w:rsid w:val="009A2B20"/>
    <w:rPr>
      <w:b/>
      <w:bCs/>
      <w:i/>
      <w:iCs/>
      <w:lang w:val="en-GB"/>
    </w:rPr>
  </w:style>
  <w:style w:type="character" w:customStyle="1" w:styleId="apple-converted-space">
    <w:name w:val="apple-converted-space"/>
    <w:basedOn w:val="DefaultParagraphFont"/>
    <w:rsid w:val="00CF617D"/>
  </w:style>
  <w:style w:type="paragraph" w:styleId="Date">
    <w:name w:val="Date"/>
    <w:basedOn w:val="Normal"/>
    <w:next w:val="Normal"/>
    <w:link w:val="DateChar"/>
    <w:uiPriority w:val="99"/>
    <w:semiHidden/>
    <w:unhideWhenUsed/>
    <w:rsid w:val="00337689"/>
  </w:style>
  <w:style w:type="character" w:customStyle="1" w:styleId="DateChar">
    <w:name w:val="Date Char"/>
    <w:basedOn w:val="DefaultParagraphFont"/>
    <w:link w:val="Date"/>
    <w:uiPriority w:val="99"/>
    <w:semiHidden/>
    <w:rsid w:val="00337689"/>
    <w:rPr>
      <w:lang w:val="en-GB"/>
    </w:rPr>
  </w:style>
  <w:style w:type="character" w:styleId="IntenseEmphasis">
    <w:name w:val="Intense Emphasis"/>
    <w:basedOn w:val="DefaultParagraphFont"/>
    <w:uiPriority w:val="21"/>
    <w:qFormat/>
    <w:rsid w:val="00353DBF"/>
    <w:rPr>
      <w:i/>
      <w:iCs/>
      <w:color w:val="4472C4" w:themeColor="accent1"/>
    </w:rPr>
  </w:style>
  <w:style w:type="paragraph" w:styleId="Subtitle">
    <w:name w:val="Subtitle"/>
    <w:basedOn w:val="Normal"/>
    <w:next w:val="Normal"/>
    <w:link w:val="SubtitleChar"/>
    <w:uiPriority w:val="11"/>
    <w:qFormat/>
    <w:rsid w:val="00F67433"/>
    <w:pPr>
      <w:numPr>
        <w:ilvl w:val="1"/>
      </w:numPr>
      <w:spacing w:after="160"/>
    </w:pPr>
    <w:rPr>
      <w:color w:val="5A5A5A" w:themeColor="text1" w:themeTint="A5"/>
      <w:spacing w:val="15"/>
      <w:szCs w:val="22"/>
    </w:rPr>
  </w:style>
  <w:style w:type="character" w:customStyle="1" w:styleId="SubtitleChar">
    <w:name w:val="Subtitle Char"/>
    <w:basedOn w:val="DefaultParagraphFont"/>
    <w:link w:val="Subtitle"/>
    <w:uiPriority w:val="11"/>
    <w:rsid w:val="00F67433"/>
    <w:rPr>
      <w:color w:val="5A5A5A" w:themeColor="text1" w:themeTint="A5"/>
      <w:spacing w:val="15"/>
      <w:sz w:val="22"/>
      <w:szCs w:val="22"/>
      <w:lang w:val="en-GB"/>
    </w:rPr>
  </w:style>
  <w:style w:type="character" w:customStyle="1" w:styleId="Heading4Char">
    <w:name w:val="Heading 4 Char"/>
    <w:basedOn w:val="DefaultParagraphFont"/>
    <w:link w:val="Heading4"/>
    <w:uiPriority w:val="9"/>
    <w:rsid w:val="003216DA"/>
    <w:rPr>
      <w:rFonts w:asciiTheme="majorHAnsi" w:eastAsiaTheme="majorEastAsia" w:hAnsiTheme="majorHAnsi" w:cstheme="majorBidi"/>
      <w:i/>
      <w:iCs/>
      <w:color w:val="2F5496" w:themeColor="accent1" w:themeShade="BF"/>
      <w:sz w:val="22"/>
      <w:lang w:val="en-GB"/>
    </w:rPr>
  </w:style>
  <w:style w:type="character" w:styleId="SubtleEmphasis">
    <w:name w:val="Subtle Emphasis"/>
    <w:basedOn w:val="DefaultParagraphFont"/>
    <w:uiPriority w:val="19"/>
    <w:qFormat/>
    <w:rsid w:val="003216DA"/>
    <w:rPr>
      <w:i/>
      <w:iCs/>
      <w:color w:val="404040" w:themeColor="text1" w:themeTint="BF"/>
    </w:rPr>
  </w:style>
  <w:style w:type="character" w:customStyle="1" w:styleId="Heading5Char">
    <w:name w:val="Heading 5 Char"/>
    <w:basedOn w:val="DefaultParagraphFont"/>
    <w:link w:val="Heading5"/>
    <w:uiPriority w:val="9"/>
    <w:rsid w:val="003216DA"/>
    <w:rPr>
      <w:rFonts w:asciiTheme="majorHAnsi" w:eastAsiaTheme="majorEastAsia" w:hAnsiTheme="majorHAnsi" w:cstheme="majorBidi"/>
      <w:color w:val="2F5496" w:themeColor="accent1" w:themeShade="BF"/>
      <w:sz w:val="22"/>
      <w:lang w:val="en-GB"/>
    </w:rPr>
  </w:style>
  <w:style w:type="paragraph" w:styleId="NoSpacing">
    <w:name w:val="No Spacing"/>
    <w:uiPriority w:val="1"/>
    <w:qFormat/>
    <w:rsid w:val="008620A8"/>
    <w:pPr>
      <w:jc w:val="both"/>
    </w:pPr>
    <w:rPr>
      <w:rFonts w:ascii="Segoe UI" w:hAnsi="Segoe UI"/>
      <w:sz w:val="22"/>
      <w:lang w:val="en-GB"/>
    </w:rPr>
  </w:style>
  <w:style w:type="table" w:styleId="TableGrid">
    <w:name w:val="Table Grid"/>
    <w:basedOn w:val="TableNormal"/>
    <w:uiPriority w:val="39"/>
    <w:rsid w:val="007E51BD"/>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D76B9"/>
    <w:pPr>
      <w:ind w:left="720"/>
      <w:contextualSpacing/>
    </w:pPr>
  </w:style>
  <w:style w:type="paragraph" w:customStyle="1" w:styleId="Reference">
    <w:name w:val="Reference"/>
    <w:basedOn w:val="Normal"/>
    <w:qFormat/>
    <w:rsid w:val="0088540A"/>
    <w:pPr>
      <w:spacing w:line="240" w:lineRule="auto"/>
      <w:ind w:left="720" w:hanging="720"/>
    </w:pPr>
    <w:rPr>
      <w:rFonts w:cs="Arial"/>
      <w:color w:val="222222"/>
      <w:sz w:val="20"/>
      <w:szCs w:val="20"/>
      <w:shd w:val="clear" w:color="auto" w:fill="FFFFFF"/>
    </w:rPr>
  </w:style>
  <w:style w:type="paragraph" w:styleId="z-TopofForm">
    <w:name w:val="HTML Top of Form"/>
    <w:basedOn w:val="Normal"/>
    <w:next w:val="Normal"/>
    <w:link w:val="z-TopofFormChar"/>
    <w:hidden/>
    <w:uiPriority w:val="99"/>
    <w:semiHidden/>
    <w:unhideWhenUsed/>
    <w:rsid w:val="008F3DB0"/>
    <w:pPr>
      <w:pBdr>
        <w:bottom w:val="single" w:sz="6" w:space="1" w:color="auto"/>
      </w:pBdr>
      <w:spacing w:line="240" w:lineRule="auto"/>
      <w:jc w:val="center"/>
    </w:pPr>
    <w:rPr>
      <w:rFonts w:ascii="Arial" w:eastAsia="Times New Roman" w:hAnsi="Arial" w:cs="Arial"/>
      <w:vanish/>
      <w:sz w:val="16"/>
      <w:szCs w:val="16"/>
      <w:lang w:val="en-HK"/>
    </w:rPr>
  </w:style>
  <w:style w:type="character" w:customStyle="1" w:styleId="z-TopofFormChar">
    <w:name w:val="z-Top of Form Char"/>
    <w:basedOn w:val="DefaultParagraphFont"/>
    <w:link w:val="z-TopofForm"/>
    <w:uiPriority w:val="99"/>
    <w:semiHidden/>
    <w:rsid w:val="008F3DB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8F3DB0"/>
    <w:pPr>
      <w:pBdr>
        <w:top w:val="single" w:sz="6" w:space="1" w:color="auto"/>
      </w:pBdr>
      <w:spacing w:line="240" w:lineRule="auto"/>
      <w:jc w:val="center"/>
    </w:pPr>
    <w:rPr>
      <w:rFonts w:ascii="Arial" w:eastAsia="Times New Roman" w:hAnsi="Arial" w:cs="Arial"/>
      <w:vanish/>
      <w:sz w:val="16"/>
      <w:szCs w:val="16"/>
      <w:lang w:val="en-HK"/>
    </w:rPr>
  </w:style>
  <w:style w:type="character" w:customStyle="1" w:styleId="z-BottomofFormChar">
    <w:name w:val="z-Bottom of Form Char"/>
    <w:basedOn w:val="DefaultParagraphFont"/>
    <w:link w:val="z-BottomofForm"/>
    <w:uiPriority w:val="99"/>
    <w:semiHidden/>
    <w:rsid w:val="008F3DB0"/>
    <w:rPr>
      <w:rFonts w:ascii="Arial" w:eastAsia="Times New Roman" w:hAnsi="Arial" w:cs="Arial"/>
      <w:vanish/>
      <w:sz w:val="16"/>
      <w:szCs w:val="16"/>
    </w:rPr>
  </w:style>
  <w:style w:type="character" w:customStyle="1" w:styleId="s8">
    <w:name w:val="s8"/>
    <w:basedOn w:val="DefaultParagraphFont"/>
    <w:rsid w:val="003F7EA9"/>
  </w:style>
  <w:style w:type="character" w:customStyle="1" w:styleId="s9">
    <w:name w:val="s9"/>
    <w:basedOn w:val="DefaultParagraphFont"/>
    <w:rsid w:val="003F7EA9"/>
  </w:style>
  <w:style w:type="paragraph" w:customStyle="1" w:styleId="AuthorAffiliation">
    <w:name w:val="Author Affiliation"/>
    <w:basedOn w:val="Normal"/>
    <w:qFormat/>
    <w:rsid w:val="008B1A3B"/>
    <w:pPr>
      <w:spacing w:before="120"/>
    </w:pPr>
    <w:rPr>
      <w:rFonts w:ascii="Times New Roman" w:eastAsia="Cambria" w:hAnsi="Times New Roman" w:cs="Times New Roman"/>
      <w:i/>
      <w:sz w:val="20"/>
      <w:lang w:val="en-US" w:eastAsia="en-US"/>
    </w:rPr>
  </w:style>
  <w:style w:type="character" w:styleId="PlaceholderText">
    <w:name w:val="Placeholder Text"/>
    <w:basedOn w:val="DefaultParagraphFont"/>
    <w:uiPriority w:val="99"/>
    <w:semiHidden/>
    <w:rsid w:val="00A0321E"/>
    <w:rPr>
      <w:color w:val="666666"/>
    </w:rPr>
  </w:style>
  <w:style w:type="character" w:styleId="Strong">
    <w:name w:val="Strong"/>
    <w:basedOn w:val="DefaultParagraphFont"/>
    <w:uiPriority w:val="22"/>
    <w:qFormat/>
    <w:rsid w:val="00E14FCE"/>
    <w:rPr>
      <w:b/>
      <w:bCs/>
    </w:rPr>
  </w:style>
  <w:style w:type="character" w:customStyle="1" w:styleId="overflow-hidden">
    <w:name w:val="overflow-hidden"/>
    <w:basedOn w:val="DefaultParagraphFont"/>
    <w:rsid w:val="00863F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242147">
      <w:bodyDiv w:val="1"/>
      <w:marLeft w:val="0"/>
      <w:marRight w:val="0"/>
      <w:marTop w:val="0"/>
      <w:marBottom w:val="0"/>
      <w:divBdr>
        <w:top w:val="none" w:sz="0" w:space="0" w:color="auto"/>
        <w:left w:val="none" w:sz="0" w:space="0" w:color="auto"/>
        <w:bottom w:val="none" w:sz="0" w:space="0" w:color="auto"/>
        <w:right w:val="none" w:sz="0" w:space="0" w:color="auto"/>
      </w:divBdr>
    </w:div>
    <w:div w:id="10189587">
      <w:bodyDiv w:val="1"/>
      <w:marLeft w:val="0"/>
      <w:marRight w:val="0"/>
      <w:marTop w:val="0"/>
      <w:marBottom w:val="0"/>
      <w:divBdr>
        <w:top w:val="none" w:sz="0" w:space="0" w:color="auto"/>
        <w:left w:val="none" w:sz="0" w:space="0" w:color="auto"/>
        <w:bottom w:val="none" w:sz="0" w:space="0" w:color="auto"/>
        <w:right w:val="none" w:sz="0" w:space="0" w:color="auto"/>
      </w:divBdr>
    </w:div>
    <w:div w:id="55007090">
      <w:bodyDiv w:val="1"/>
      <w:marLeft w:val="0"/>
      <w:marRight w:val="0"/>
      <w:marTop w:val="0"/>
      <w:marBottom w:val="0"/>
      <w:divBdr>
        <w:top w:val="none" w:sz="0" w:space="0" w:color="auto"/>
        <w:left w:val="none" w:sz="0" w:space="0" w:color="auto"/>
        <w:bottom w:val="none" w:sz="0" w:space="0" w:color="auto"/>
        <w:right w:val="none" w:sz="0" w:space="0" w:color="auto"/>
      </w:divBdr>
    </w:div>
    <w:div w:id="68314346">
      <w:bodyDiv w:val="1"/>
      <w:marLeft w:val="0"/>
      <w:marRight w:val="0"/>
      <w:marTop w:val="0"/>
      <w:marBottom w:val="0"/>
      <w:divBdr>
        <w:top w:val="none" w:sz="0" w:space="0" w:color="auto"/>
        <w:left w:val="none" w:sz="0" w:space="0" w:color="auto"/>
        <w:bottom w:val="none" w:sz="0" w:space="0" w:color="auto"/>
        <w:right w:val="none" w:sz="0" w:space="0" w:color="auto"/>
      </w:divBdr>
      <w:divsChild>
        <w:div w:id="18120403">
          <w:marLeft w:val="0"/>
          <w:marRight w:val="0"/>
          <w:marTop w:val="0"/>
          <w:marBottom w:val="0"/>
          <w:divBdr>
            <w:top w:val="single" w:sz="2" w:space="0" w:color="E3E3E3"/>
            <w:left w:val="single" w:sz="2" w:space="0" w:color="E3E3E3"/>
            <w:bottom w:val="single" w:sz="2" w:space="0" w:color="E3E3E3"/>
            <w:right w:val="single" w:sz="2" w:space="0" w:color="E3E3E3"/>
          </w:divBdr>
          <w:divsChild>
            <w:div w:id="1643148943">
              <w:marLeft w:val="0"/>
              <w:marRight w:val="0"/>
              <w:marTop w:val="100"/>
              <w:marBottom w:val="100"/>
              <w:divBdr>
                <w:top w:val="single" w:sz="2" w:space="0" w:color="E3E3E3"/>
                <w:left w:val="single" w:sz="2" w:space="0" w:color="E3E3E3"/>
                <w:bottom w:val="single" w:sz="2" w:space="0" w:color="E3E3E3"/>
                <w:right w:val="single" w:sz="2" w:space="0" w:color="E3E3E3"/>
              </w:divBdr>
              <w:divsChild>
                <w:div w:id="717164294">
                  <w:marLeft w:val="0"/>
                  <w:marRight w:val="0"/>
                  <w:marTop w:val="0"/>
                  <w:marBottom w:val="0"/>
                  <w:divBdr>
                    <w:top w:val="single" w:sz="2" w:space="0" w:color="E3E3E3"/>
                    <w:left w:val="single" w:sz="2" w:space="0" w:color="E3E3E3"/>
                    <w:bottom w:val="single" w:sz="2" w:space="0" w:color="E3E3E3"/>
                    <w:right w:val="single" w:sz="2" w:space="0" w:color="E3E3E3"/>
                  </w:divBdr>
                  <w:divsChild>
                    <w:div w:id="1007292148">
                      <w:marLeft w:val="0"/>
                      <w:marRight w:val="0"/>
                      <w:marTop w:val="0"/>
                      <w:marBottom w:val="0"/>
                      <w:divBdr>
                        <w:top w:val="single" w:sz="2" w:space="0" w:color="E3E3E3"/>
                        <w:left w:val="single" w:sz="2" w:space="0" w:color="E3E3E3"/>
                        <w:bottom w:val="single" w:sz="2" w:space="0" w:color="E3E3E3"/>
                        <w:right w:val="single" w:sz="2" w:space="0" w:color="E3E3E3"/>
                      </w:divBdr>
                      <w:divsChild>
                        <w:div w:id="1818060802">
                          <w:marLeft w:val="0"/>
                          <w:marRight w:val="0"/>
                          <w:marTop w:val="0"/>
                          <w:marBottom w:val="0"/>
                          <w:divBdr>
                            <w:top w:val="single" w:sz="2" w:space="0" w:color="E3E3E3"/>
                            <w:left w:val="single" w:sz="2" w:space="0" w:color="E3E3E3"/>
                            <w:bottom w:val="single" w:sz="2" w:space="0" w:color="E3E3E3"/>
                            <w:right w:val="single" w:sz="2" w:space="0" w:color="E3E3E3"/>
                          </w:divBdr>
                          <w:divsChild>
                            <w:div w:id="31852847">
                              <w:marLeft w:val="0"/>
                              <w:marRight w:val="0"/>
                              <w:marTop w:val="0"/>
                              <w:marBottom w:val="0"/>
                              <w:divBdr>
                                <w:top w:val="single" w:sz="2" w:space="0" w:color="E3E3E3"/>
                                <w:left w:val="single" w:sz="2" w:space="0" w:color="E3E3E3"/>
                                <w:bottom w:val="single" w:sz="2" w:space="0" w:color="E3E3E3"/>
                                <w:right w:val="single" w:sz="2" w:space="0" w:color="E3E3E3"/>
                              </w:divBdr>
                              <w:divsChild>
                                <w:div w:id="1818380977">
                                  <w:marLeft w:val="0"/>
                                  <w:marRight w:val="0"/>
                                  <w:marTop w:val="0"/>
                                  <w:marBottom w:val="0"/>
                                  <w:divBdr>
                                    <w:top w:val="single" w:sz="2" w:space="0" w:color="E3E3E3"/>
                                    <w:left w:val="single" w:sz="2" w:space="0" w:color="E3E3E3"/>
                                    <w:bottom w:val="single" w:sz="2" w:space="0" w:color="E3E3E3"/>
                                    <w:right w:val="single" w:sz="2" w:space="0" w:color="E3E3E3"/>
                                  </w:divBdr>
                                  <w:divsChild>
                                    <w:div w:id="103646677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546261255">
          <w:marLeft w:val="0"/>
          <w:marRight w:val="0"/>
          <w:marTop w:val="0"/>
          <w:marBottom w:val="0"/>
          <w:divBdr>
            <w:top w:val="single" w:sz="2" w:space="0" w:color="E3E3E3"/>
            <w:left w:val="single" w:sz="2" w:space="0" w:color="E3E3E3"/>
            <w:bottom w:val="single" w:sz="2" w:space="0" w:color="E3E3E3"/>
            <w:right w:val="single" w:sz="2" w:space="0" w:color="E3E3E3"/>
          </w:divBdr>
          <w:divsChild>
            <w:div w:id="1978534521">
              <w:marLeft w:val="0"/>
              <w:marRight w:val="0"/>
              <w:marTop w:val="100"/>
              <w:marBottom w:val="100"/>
              <w:divBdr>
                <w:top w:val="single" w:sz="2" w:space="0" w:color="E3E3E3"/>
                <w:left w:val="single" w:sz="2" w:space="0" w:color="E3E3E3"/>
                <w:bottom w:val="single" w:sz="2" w:space="0" w:color="E3E3E3"/>
                <w:right w:val="single" w:sz="2" w:space="0" w:color="E3E3E3"/>
              </w:divBdr>
              <w:divsChild>
                <w:div w:id="7876080">
                  <w:marLeft w:val="0"/>
                  <w:marRight w:val="0"/>
                  <w:marTop w:val="0"/>
                  <w:marBottom w:val="0"/>
                  <w:divBdr>
                    <w:top w:val="single" w:sz="2" w:space="0" w:color="E3E3E3"/>
                    <w:left w:val="single" w:sz="2" w:space="0" w:color="E3E3E3"/>
                    <w:bottom w:val="single" w:sz="2" w:space="0" w:color="E3E3E3"/>
                    <w:right w:val="single" w:sz="2" w:space="0" w:color="E3E3E3"/>
                  </w:divBdr>
                  <w:divsChild>
                    <w:div w:id="1099250519">
                      <w:marLeft w:val="0"/>
                      <w:marRight w:val="0"/>
                      <w:marTop w:val="0"/>
                      <w:marBottom w:val="0"/>
                      <w:divBdr>
                        <w:top w:val="single" w:sz="2" w:space="0" w:color="E3E3E3"/>
                        <w:left w:val="single" w:sz="2" w:space="0" w:color="E3E3E3"/>
                        <w:bottom w:val="single" w:sz="2" w:space="0" w:color="E3E3E3"/>
                        <w:right w:val="single" w:sz="2" w:space="0" w:color="E3E3E3"/>
                      </w:divBdr>
                      <w:divsChild>
                        <w:div w:id="647170033">
                          <w:marLeft w:val="0"/>
                          <w:marRight w:val="0"/>
                          <w:marTop w:val="0"/>
                          <w:marBottom w:val="0"/>
                          <w:divBdr>
                            <w:top w:val="single" w:sz="2" w:space="0" w:color="E3E3E3"/>
                            <w:left w:val="single" w:sz="2" w:space="0" w:color="E3E3E3"/>
                            <w:bottom w:val="single" w:sz="2" w:space="0" w:color="E3E3E3"/>
                            <w:right w:val="single" w:sz="2" w:space="0" w:color="E3E3E3"/>
                          </w:divBdr>
                          <w:divsChild>
                            <w:div w:id="228929347">
                              <w:marLeft w:val="0"/>
                              <w:marRight w:val="0"/>
                              <w:marTop w:val="0"/>
                              <w:marBottom w:val="0"/>
                              <w:divBdr>
                                <w:top w:val="single" w:sz="2" w:space="0" w:color="E3E3E3"/>
                                <w:left w:val="single" w:sz="2" w:space="0" w:color="E3E3E3"/>
                                <w:bottom w:val="single" w:sz="2" w:space="0" w:color="E3E3E3"/>
                                <w:right w:val="single" w:sz="2" w:space="0" w:color="E3E3E3"/>
                              </w:divBdr>
                              <w:divsChild>
                                <w:div w:id="17558559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107237918">
      <w:bodyDiv w:val="1"/>
      <w:marLeft w:val="0"/>
      <w:marRight w:val="0"/>
      <w:marTop w:val="0"/>
      <w:marBottom w:val="0"/>
      <w:divBdr>
        <w:top w:val="none" w:sz="0" w:space="0" w:color="auto"/>
        <w:left w:val="none" w:sz="0" w:space="0" w:color="auto"/>
        <w:bottom w:val="none" w:sz="0" w:space="0" w:color="auto"/>
        <w:right w:val="none" w:sz="0" w:space="0" w:color="auto"/>
      </w:divBdr>
    </w:div>
    <w:div w:id="116797182">
      <w:bodyDiv w:val="1"/>
      <w:marLeft w:val="0"/>
      <w:marRight w:val="0"/>
      <w:marTop w:val="0"/>
      <w:marBottom w:val="0"/>
      <w:divBdr>
        <w:top w:val="none" w:sz="0" w:space="0" w:color="auto"/>
        <w:left w:val="none" w:sz="0" w:space="0" w:color="auto"/>
        <w:bottom w:val="none" w:sz="0" w:space="0" w:color="auto"/>
        <w:right w:val="none" w:sz="0" w:space="0" w:color="auto"/>
      </w:divBdr>
    </w:div>
    <w:div w:id="125589381">
      <w:bodyDiv w:val="1"/>
      <w:marLeft w:val="0"/>
      <w:marRight w:val="0"/>
      <w:marTop w:val="0"/>
      <w:marBottom w:val="0"/>
      <w:divBdr>
        <w:top w:val="none" w:sz="0" w:space="0" w:color="auto"/>
        <w:left w:val="none" w:sz="0" w:space="0" w:color="auto"/>
        <w:bottom w:val="none" w:sz="0" w:space="0" w:color="auto"/>
        <w:right w:val="none" w:sz="0" w:space="0" w:color="auto"/>
      </w:divBdr>
      <w:divsChild>
        <w:div w:id="15892144">
          <w:marLeft w:val="0"/>
          <w:marRight w:val="0"/>
          <w:marTop w:val="0"/>
          <w:marBottom w:val="0"/>
          <w:divBdr>
            <w:top w:val="single" w:sz="2" w:space="0" w:color="E3E3E3"/>
            <w:left w:val="single" w:sz="2" w:space="0" w:color="E3E3E3"/>
            <w:bottom w:val="single" w:sz="2" w:space="0" w:color="E3E3E3"/>
            <w:right w:val="single" w:sz="2" w:space="0" w:color="E3E3E3"/>
          </w:divBdr>
          <w:divsChild>
            <w:div w:id="1377702126">
              <w:marLeft w:val="0"/>
              <w:marRight w:val="0"/>
              <w:marTop w:val="0"/>
              <w:marBottom w:val="0"/>
              <w:divBdr>
                <w:top w:val="single" w:sz="2" w:space="0" w:color="E3E3E3"/>
                <w:left w:val="single" w:sz="2" w:space="0" w:color="E3E3E3"/>
                <w:bottom w:val="single" w:sz="2" w:space="0" w:color="E3E3E3"/>
                <w:right w:val="single" w:sz="2" w:space="0" w:color="E3E3E3"/>
              </w:divBdr>
              <w:divsChild>
                <w:div w:id="1979452165">
                  <w:marLeft w:val="0"/>
                  <w:marRight w:val="0"/>
                  <w:marTop w:val="0"/>
                  <w:marBottom w:val="0"/>
                  <w:divBdr>
                    <w:top w:val="single" w:sz="2" w:space="0" w:color="E3E3E3"/>
                    <w:left w:val="single" w:sz="2" w:space="0" w:color="E3E3E3"/>
                    <w:bottom w:val="single" w:sz="2" w:space="0" w:color="E3E3E3"/>
                    <w:right w:val="single" w:sz="2" w:space="0" w:color="E3E3E3"/>
                  </w:divBdr>
                  <w:divsChild>
                    <w:div w:id="1328098570">
                      <w:marLeft w:val="0"/>
                      <w:marRight w:val="0"/>
                      <w:marTop w:val="0"/>
                      <w:marBottom w:val="0"/>
                      <w:divBdr>
                        <w:top w:val="single" w:sz="2" w:space="0" w:color="E3E3E3"/>
                        <w:left w:val="single" w:sz="2" w:space="0" w:color="E3E3E3"/>
                        <w:bottom w:val="single" w:sz="2" w:space="0" w:color="E3E3E3"/>
                        <w:right w:val="single" w:sz="2" w:space="0" w:color="E3E3E3"/>
                      </w:divBdr>
                      <w:divsChild>
                        <w:div w:id="1955205567">
                          <w:marLeft w:val="0"/>
                          <w:marRight w:val="0"/>
                          <w:marTop w:val="0"/>
                          <w:marBottom w:val="0"/>
                          <w:divBdr>
                            <w:top w:val="single" w:sz="2" w:space="0" w:color="E3E3E3"/>
                            <w:left w:val="single" w:sz="2" w:space="0" w:color="E3E3E3"/>
                            <w:bottom w:val="single" w:sz="2" w:space="0" w:color="E3E3E3"/>
                            <w:right w:val="single" w:sz="2" w:space="0" w:color="E3E3E3"/>
                          </w:divBdr>
                          <w:divsChild>
                            <w:div w:id="1528835041">
                              <w:marLeft w:val="0"/>
                              <w:marRight w:val="0"/>
                              <w:marTop w:val="0"/>
                              <w:marBottom w:val="0"/>
                              <w:divBdr>
                                <w:top w:val="single" w:sz="2" w:space="0" w:color="E3E3E3"/>
                                <w:left w:val="single" w:sz="2" w:space="0" w:color="E3E3E3"/>
                                <w:bottom w:val="single" w:sz="2" w:space="0" w:color="E3E3E3"/>
                                <w:right w:val="single" w:sz="2" w:space="0" w:color="E3E3E3"/>
                              </w:divBdr>
                              <w:divsChild>
                                <w:div w:id="443421990">
                                  <w:marLeft w:val="0"/>
                                  <w:marRight w:val="0"/>
                                  <w:marTop w:val="100"/>
                                  <w:marBottom w:val="100"/>
                                  <w:divBdr>
                                    <w:top w:val="single" w:sz="2" w:space="0" w:color="E3E3E3"/>
                                    <w:left w:val="single" w:sz="2" w:space="0" w:color="E3E3E3"/>
                                    <w:bottom w:val="single" w:sz="2" w:space="0" w:color="E3E3E3"/>
                                    <w:right w:val="single" w:sz="2" w:space="0" w:color="E3E3E3"/>
                                  </w:divBdr>
                                  <w:divsChild>
                                    <w:div w:id="1289625586">
                                      <w:marLeft w:val="0"/>
                                      <w:marRight w:val="0"/>
                                      <w:marTop w:val="0"/>
                                      <w:marBottom w:val="0"/>
                                      <w:divBdr>
                                        <w:top w:val="single" w:sz="2" w:space="0" w:color="E3E3E3"/>
                                        <w:left w:val="single" w:sz="2" w:space="0" w:color="E3E3E3"/>
                                        <w:bottom w:val="single" w:sz="2" w:space="0" w:color="E3E3E3"/>
                                        <w:right w:val="single" w:sz="2" w:space="0" w:color="E3E3E3"/>
                                      </w:divBdr>
                                      <w:divsChild>
                                        <w:div w:id="1523396273">
                                          <w:marLeft w:val="0"/>
                                          <w:marRight w:val="0"/>
                                          <w:marTop w:val="0"/>
                                          <w:marBottom w:val="0"/>
                                          <w:divBdr>
                                            <w:top w:val="single" w:sz="2" w:space="0" w:color="E3E3E3"/>
                                            <w:left w:val="single" w:sz="2" w:space="0" w:color="E3E3E3"/>
                                            <w:bottom w:val="single" w:sz="2" w:space="0" w:color="E3E3E3"/>
                                            <w:right w:val="single" w:sz="2" w:space="0" w:color="E3E3E3"/>
                                          </w:divBdr>
                                          <w:divsChild>
                                            <w:div w:id="317660184">
                                              <w:marLeft w:val="0"/>
                                              <w:marRight w:val="0"/>
                                              <w:marTop w:val="0"/>
                                              <w:marBottom w:val="0"/>
                                              <w:divBdr>
                                                <w:top w:val="single" w:sz="2" w:space="0" w:color="E3E3E3"/>
                                                <w:left w:val="single" w:sz="2" w:space="0" w:color="E3E3E3"/>
                                                <w:bottom w:val="single" w:sz="2" w:space="0" w:color="E3E3E3"/>
                                                <w:right w:val="single" w:sz="2" w:space="0" w:color="E3E3E3"/>
                                              </w:divBdr>
                                              <w:divsChild>
                                                <w:div w:id="1828472183">
                                                  <w:marLeft w:val="0"/>
                                                  <w:marRight w:val="0"/>
                                                  <w:marTop w:val="0"/>
                                                  <w:marBottom w:val="0"/>
                                                  <w:divBdr>
                                                    <w:top w:val="single" w:sz="2" w:space="0" w:color="E3E3E3"/>
                                                    <w:left w:val="single" w:sz="2" w:space="0" w:color="E3E3E3"/>
                                                    <w:bottom w:val="single" w:sz="2" w:space="0" w:color="E3E3E3"/>
                                                    <w:right w:val="single" w:sz="2" w:space="0" w:color="E3E3E3"/>
                                                  </w:divBdr>
                                                  <w:divsChild>
                                                    <w:div w:id="457455896">
                                                      <w:marLeft w:val="0"/>
                                                      <w:marRight w:val="0"/>
                                                      <w:marTop w:val="0"/>
                                                      <w:marBottom w:val="0"/>
                                                      <w:divBdr>
                                                        <w:top w:val="single" w:sz="2" w:space="0" w:color="E3E3E3"/>
                                                        <w:left w:val="single" w:sz="2" w:space="0" w:color="E3E3E3"/>
                                                        <w:bottom w:val="single" w:sz="2" w:space="0" w:color="E3E3E3"/>
                                                        <w:right w:val="single" w:sz="2" w:space="0" w:color="E3E3E3"/>
                                                      </w:divBdr>
                                                      <w:divsChild>
                                                        <w:div w:id="552410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345665789">
          <w:marLeft w:val="0"/>
          <w:marRight w:val="0"/>
          <w:marTop w:val="0"/>
          <w:marBottom w:val="0"/>
          <w:divBdr>
            <w:top w:val="none" w:sz="0" w:space="0" w:color="auto"/>
            <w:left w:val="none" w:sz="0" w:space="0" w:color="auto"/>
            <w:bottom w:val="none" w:sz="0" w:space="0" w:color="auto"/>
            <w:right w:val="none" w:sz="0" w:space="0" w:color="auto"/>
          </w:divBdr>
          <w:divsChild>
            <w:div w:id="1877040473">
              <w:marLeft w:val="0"/>
              <w:marRight w:val="0"/>
              <w:marTop w:val="0"/>
              <w:marBottom w:val="0"/>
              <w:divBdr>
                <w:top w:val="single" w:sz="2" w:space="0" w:color="E3E3E3"/>
                <w:left w:val="single" w:sz="2" w:space="0" w:color="E3E3E3"/>
                <w:bottom w:val="single" w:sz="2" w:space="0" w:color="E3E3E3"/>
                <w:right w:val="single" w:sz="2" w:space="0" w:color="E3E3E3"/>
              </w:divBdr>
              <w:divsChild>
                <w:div w:id="160572610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48251835">
      <w:bodyDiv w:val="1"/>
      <w:marLeft w:val="0"/>
      <w:marRight w:val="0"/>
      <w:marTop w:val="0"/>
      <w:marBottom w:val="0"/>
      <w:divBdr>
        <w:top w:val="none" w:sz="0" w:space="0" w:color="auto"/>
        <w:left w:val="none" w:sz="0" w:space="0" w:color="auto"/>
        <w:bottom w:val="none" w:sz="0" w:space="0" w:color="auto"/>
        <w:right w:val="none" w:sz="0" w:space="0" w:color="auto"/>
      </w:divBdr>
    </w:div>
    <w:div w:id="159657697">
      <w:bodyDiv w:val="1"/>
      <w:marLeft w:val="0"/>
      <w:marRight w:val="0"/>
      <w:marTop w:val="0"/>
      <w:marBottom w:val="0"/>
      <w:divBdr>
        <w:top w:val="none" w:sz="0" w:space="0" w:color="auto"/>
        <w:left w:val="none" w:sz="0" w:space="0" w:color="auto"/>
        <w:bottom w:val="none" w:sz="0" w:space="0" w:color="auto"/>
        <w:right w:val="none" w:sz="0" w:space="0" w:color="auto"/>
      </w:divBdr>
    </w:div>
    <w:div w:id="205530915">
      <w:bodyDiv w:val="1"/>
      <w:marLeft w:val="0"/>
      <w:marRight w:val="0"/>
      <w:marTop w:val="0"/>
      <w:marBottom w:val="0"/>
      <w:divBdr>
        <w:top w:val="none" w:sz="0" w:space="0" w:color="auto"/>
        <w:left w:val="none" w:sz="0" w:space="0" w:color="auto"/>
        <w:bottom w:val="none" w:sz="0" w:space="0" w:color="auto"/>
        <w:right w:val="none" w:sz="0" w:space="0" w:color="auto"/>
      </w:divBdr>
      <w:divsChild>
        <w:div w:id="602608759">
          <w:marLeft w:val="0"/>
          <w:marRight w:val="0"/>
          <w:marTop w:val="0"/>
          <w:marBottom w:val="0"/>
          <w:divBdr>
            <w:top w:val="single" w:sz="2" w:space="0" w:color="D9D9E3"/>
            <w:left w:val="single" w:sz="2" w:space="0" w:color="D9D9E3"/>
            <w:bottom w:val="single" w:sz="2" w:space="0" w:color="D9D9E3"/>
            <w:right w:val="single" w:sz="2" w:space="0" w:color="D9D9E3"/>
          </w:divBdr>
          <w:divsChild>
            <w:div w:id="385837081">
              <w:marLeft w:val="0"/>
              <w:marRight w:val="0"/>
              <w:marTop w:val="0"/>
              <w:marBottom w:val="0"/>
              <w:divBdr>
                <w:top w:val="single" w:sz="2" w:space="0" w:color="D9D9E3"/>
                <w:left w:val="single" w:sz="2" w:space="0" w:color="D9D9E3"/>
                <w:bottom w:val="single" w:sz="2" w:space="0" w:color="D9D9E3"/>
                <w:right w:val="single" w:sz="2" w:space="0" w:color="D9D9E3"/>
              </w:divBdr>
              <w:divsChild>
                <w:div w:id="1907060477">
                  <w:marLeft w:val="0"/>
                  <w:marRight w:val="0"/>
                  <w:marTop w:val="0"/>
                  <w:marBottom w:val="0"/>
                  <w:divBdr>
                    <w:top w:val="single" w:sz="2" w:space="0" w:color="D9D9E3"/>
                    <w:left w:val="single" w:sz="2" w:space="0" w:color="D9D9E3"/>
                    <w:bottom w:val="single" w:sz="2" w:space="0" w:color="D9D9E3"/>
                    <w:right w:val="single" w:sz="2" w:space="0" w:color="D9D9E3"/>
                  </w:divBdr>
                  <w:divsChild>
                    <w:div w:id="396514239">
                      <w:marLeft w:val="0"/>
                      <w:marRight w:val="0"/>
                      <w:marTop w:val="0"/>
                      <w:marBottom w:val="0"/>
                      <w:divBdr>
                        <w:top w:val="single" w:sz="2" w:space="0" w:color="D9D9E3"/>
                        <w:left w:val="single" w:sz="2" w:space="0" w:color="D9D9E3"/>
                        <w:bottom w:val="single" w:sz="2" w:space="0" w:color="D9D9E3"/>
                        <w:right w:val="single" w:sz="2" w:space="0" w:color="D9D9E3"/>
                      </w:divBdr>
                      <w:divsChild>
                        <w:div w:id="1387488767">
                          <w:marLeft w:val="0"/>
                          <w:marRight w:val="0"/>
                          <w:marTop w:val="0"/>
                          <w:marBottom w:val="0"/>
                          <w:divBdr>
                            <w:top w:val="none" w:sz="0" w:space="0" w:color="auto"/>
                            <w:left w:val="none" w:sz="0" w:space="0" w:color="auto"/>
                            <w:bottom w:val="none" w:sz="0" w:space="0" w:color="auto"/>
                            <w:right w:val="none" w:sz="0" w:space="0" w:color="auto"/>
                          </w:divBdr>
                          <w:divsChild>
                            <w:div w:id="1732149099">
                              <w:marLeft w:val="0"/>
                              <w:marRight w:val="0"/>
                              <w:marTop w:val="100"/>
                              <w:marBottom w:val="100"/>
                              <w:divBdr>
                                <w:top w:val="single" w:sz="2" w:space="0" w:color="D9D9E3"/>
                                <w:left w:val="single" w:sz="2" w:space="0" w:color="D9D9E3"/>
                                <w:bottom w:val="single" w:sz="2" w:space="0" w:color="D9D9E3"/>
                                <w:right w:val="single" w:sz="2" w:space="0" w:color="D9D9E3"/>
                              </w:divBdr>
                              <w:divsChild>
                                <w:div w:id="449321111">
                                  <w:marLeft w:val="0"/>
                                  <w:marRight w:val="0"/>
                                  <w:marTop w:val="0"/>
                                  <w:marBottom w:val="0"/>
                                  <w:divBdr>
                                    <w:top w:val="single" w:sz="2" w:space="0" w:color="D9D9E3"/>
                                    <w:left w:val="single" w:sz="2" w:space="0" w:color="D9D9E3"/>
                                    <w:bottom w:val="single" w:sz="2" w:space="0" w:color="D9D9E3"/>
                                    <w:right w:val="single" w:sz="2" w:space="0" w:color="D9D9E3"/>
                                  </w:divBdr>
                                  <w:divsChild>
                                    <w:div w:id="1191145067">
                                      <w:marLeft w:val="0"/>
                                      <w:marRight w:val="0"/>
                                      <w:marTop w:val="0"/>
                                      <w:marBottom w:val="0"/>
                                      <w:divBdr>
                                        <w:top w:val="single" w:sz="2" w:space="0" w:color="D9D9E3"/>
                                        <w:left w:val="single" w:sz="2" w:space="0" w:color="D9D9E3"/>
                                        <w:bottom w:val="single" w:sz="2" w:space="0" w:color="D9D9E3"/>
                                        <w:right w:val="single" w:sz="2" w:space="0" w:color="D9D9E3"/>
                                      </w:divBdr>
                                      <w:divsChild>
                                        <w:div w:id="1011224369">
                                          <w:marLeft w:val="0"/>
                                          <w:marRight w:val="0"/>
                                          <w:marTop w:val="0"/>
                                          <w:marBottom w:val="0"/>
                                          <w:divBdr>
                                            <w:top w:val="single" w:sz="2" w:space="0" w:color="D9D9E3"/>
                                            <w:left w:val="single" w:sz="2" w:space="0" w:color="D9D9E3"/>
                                            <w:bottom w:val="single" w:sz="2" w:space="0" w:color="D9D9E3"/>
                                            <w:right w:val="single" w:sz="2" w:space="0" w:color="D9D9E3"/>
                                          </w:divBdr>
                                          <w:divsChild>
                                            <w:div w:id="1673796388">
                                              <w:marLeft w:val="0"/>
                                              <w:marRight w:val="0"/>
                                              <w:marTop w:val="0"/>
                                              <w:marBottom w:val="0"/>
                                              <w:divBdr>
                                                <w:top w:val="single" w:sz="2" w:space="0" w:color="D9D9E3"/>
                                                <w:left w:val="single" w:sz="2" w:space="0" w:color="D9D9E3"/>
                                                <w:bottom w:val="single" w:sz="2" w:space="0" w:color="D9D9E3"/>
                                                <w:right w:val="single" w:sz="2" w:space="0" w:color="D9D9E3"/>
                                              </w:divBdr>
                                              <w:divsChild>
                                                <w:div w:id="1329214066">
                                                  <w:marLeft w:val="0"/>
                                                  <w:marRight w:val="0"/>
                                                  <w:marTop w:val="0"/>
                                                  <w:marBottom w:val="0"/>
                                                  <w:divBdr>
                                                    <w:top w:val="single" w:sz="2" w:space="0" w:color="D9D9E3"/>
                                                    <w:left w:val="single" w:sz="2" w:space="0" w:color="D9D9E3"/>
                                                    <w:bottom w:val="single" w:sz="2" w:space="0" w:color="D9D9E3"/>
                                                    <w:right w:val="single" w:sz="2" w:space="0" w:color="D9D9E3"/>
                                                  </w:divBdr>
                                                  <w:divsChild>
                                                    <w:div w:id="119460927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647466429">
          <w:marLeft w:val="0"/>
          <w:marRight w:val="0"/>
          <w:marTop w:val="0"/>
          <w:marBottom w:val="0"/>
          <w:divBdr>
            <w:top w:val="none" w:sz="0" w:space="0" w:color="auto"/>
            <w:left w:val="none" w:sz="0" w:space="0" w:color="auto"/>
            <w:bottom w:val="none" w:sz="0" w:space="0" w:color="auto"/>
            <w:right w:val="none" w:sz="0" w:space="0" w:color="auto"/>
          </w:divBdr>
          <w:divsChild>
            <w:div w:id="342319864">
              <w:marLeft w:val="0"/>
              <w:marRight w:val="0"/>
              <w:marTop w:val="0"/>
              <w:marBottom w:val="0"/>
              <w:divBdr>
                <w:top w:val="single" w:sz="2" w:space="0" w:color="D9D9E3"/>
                <w:left w:val="single" w:sz="2" w:space="0" w:color="D9D9E3"/>
                <w:bottom w:val="single" w:sz="2" w:space="0" w:color="D9D9E3"/>
                <w:right w:val="single" w:sz="2" w:space="0" w:color="D9D9E3"/>
              </w:divBdr>
              <w:divsChild>
                <w:div w:id="53041269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265381464">
      <w:bodyDiv w:val="1"/>
      <w:marLeft w:val="0"/>
      <w:marRight w:val="0"/>
      <w:marTop w:val="0"/>
      <w:marBottom w:val="0"/>
      <w:divBdr>
        <w:top w:val="none" w:sz="0" w:space="0" w:color="auto"/>
        <w:left w:val="none" w:sz="0" w:space="0" w:color="auto"/>
        <w:bottom w:val="none" w:sz="0" w:space="0" w:color="auto"/>
        <w:right w:val="none" w:sz="0" w:space="0" w:color="auto"/>
      </w:divBdr>
    </w:div>
    <w:div w:id="284385920">
      <w:bodyDiv w:val="1"/>
      <w:marLeft w:val="0"/>
      <w:marRight w:val="0"/>
      <w:marTop w:val="0"/>
      <w:marBottom w:val="0"/>
      <w:divBdr>
        <w:top w:val="none" w:sz="0" w:space="0" w:color="auto"/>
        <w:left w:val="none" w:sz="0" w:space="0" w:color="auto"/>
        <w:bottom w:val="none" w:sz="0" w:space="0" w:color="auto"/>
        <w:right w:val="none" w:sz="0" w:space="0" w:color="auto"/>
      </w:divBdr>
    </w:div>
    <w:div w:id="290595711">
      <w:bodyDiv w:val="1"/>
      <w:marLeft w:val="0"/>
      <w:marRight w:val="0"/>
      <w:marTop w:val="0"/>
      <w:marBottom w:val="0"/>
      <w:divBdr>
        <w:top w:val="none" w:sz="0" w:space="0" w:color="auto"/>
        <w:left w:val="none" w:sz="0" w:space="0" w:color="auto"/>
        <w:bottom w:val="none" w:sz="0" w:space="0" w:color="auto"/>
        <w:right w:val="none" w:sz="0" w:space="0" w:color="auto"/>
      </w:divBdr>
    </w:div>
    <w:div w:id="360472983">
      <w:bodyDiv w:val="1"/>
      <w:marLeft w:val="0"/>
      <w:marRight w:val="0"/>
      <w:marTop w:val="0"/>
      <w:marBottom w:val="0"/>
      <w:divBdr>
        <w:top w:val="none" w:sz="0" w:space="0" w:color="auto"/>
        <w:left w:val="none" w:sz="0" w:space="0" w:color="auto"/>
        <w:bottom w:val="none" w:sz="0" w:space="0" w:color="auto"/>
        <w:right w:val="none" w:sz="0" w:space="0" w:color="auto"/>
      </w:divBdr>
    </w:div>
    <w:div w:id="361705633">
      <w:bodyDiv w:val="1"/>
      <w:marLeft w:val="0"/>
      <w:marRight w:val="0"/>
      <w:marTop w:val="0"/>
      <w:marBottom w:val="0"/>
      <w:divBdr>
        <w:top w:val="none" w:sz="0" w:space="0" w:color="auto"/>
        <w:left w:val="none" w:sz="0" w:space="0" w:color="auto"/>
        <w:bottom w:val="none" w:sz="0" w:space="0" w:color="auto"/>
        <w:right w:val="none" w:sz="0" w:space="0" w:color="auto"/>
      </w:divBdr>
    </w:div>
    <w:div w:id="367338337">
      <w:bodyDiv w:val="1"/>
      <w:marLeft w:val="0"/>
      <w:marRight w:val="0"/>
      <w:marTop w:val="0"/>
      <w:marBottom w:val="0"/>
      <w:divBdr>
        <w:top w:val="none" w:sz="0" w:space="0" w:color="auto"/>
        <w:left w:val="none" w:sz="0" w:space="0" w:color="auto"/>
        <w:bottom w:val="none" w:sz="0" w:space="0" w:color="auto"/>
        <w:right w:val="none" w:sz="0" w:space="0" w:color="auto"/>
      </w:divBdr>
    </w:div>
    <w:div w:id="386493555">
      <w:bodyDiv w:val="1"/>
      <w:marLeft w:val="0"/>
      <w:marRight w:val="0"/>
      <w:marTop w:val="0"/>
      <w:marBottom w:val="0"/>
      <w:divBdr>
        <w:top w:val="none" w:sz="0" w:space="0" w:color="auto"/>
        <w:left w:val="none" w:sz="0" w:space="0" w:color="auto"/>
        <w:bottom w:val="none" w:sz="0" w:space="0" w:color="auto"/>
        <w:right w:val="none" w:sz="0" w:space="0" w:color="auto"/>
      </w:divBdr>
      <w:divsChild>
        <w:div w:id="506024479">
          <w:marLeft w:val="0"/>
          <w:marRight w:val="0"/>
          <w:marTop w:val="0"/>
          <w:marBottom w:val="0"/>
          <w:divBdr>
            <w:top w:val="none" w:sz="0" w:space="0" w:color="auto"/>
            <w:left w:val="none" w:sz="0" w:space="0" w:color="auto"/>
            <w:bottom w:val="none" w:sz="0" w:space="0" w:color="auto"/>
            <w:right w:val="none" w:sz="0" w:space="0" w:color="auto"/>
          </w:divBdr>
          <w:divsChild>
            <w:div w:id="265387601">
              <w:marLeft w:val="0"/>
              <w:marRight w:val="0"/>
              <w:marTop w:val="0"/>
              <w:marBottom w:val="0"/>
              <w:divBdr>
                <w:top w:val="single" w:sz="2" w:space="0" w:color="D9D9E3"/>
                <w:left w:val="single" w:sz="2" w:space="0" w:color="D9D9E3"/>
                <w:bottom w:val="single" w:sz="2" w:space="0" w:color="D9D9E3"/>
                <w:right w:val="single" w:sz="2" w:space="0" w:color="D9D9E3"/>
              </w:divBdr>
              <w:divsChild>
                <w:div w:id="8677355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164585814">
          <w:marLeft w:val="0"/>
          <w:marRight w:val="0"/>
          <w:marTop w:val="0"/>
          <w:marBottom w:val="0"/>
          <w:divBdr>
            <w:top w:val="single" w:sz="2" w:space="0" w:color="D9D9E3"/>
            <w:left w:val="single" w:sz="2" w:space="0" w:color="D9D9E3"/>
            <w:bottom w:val="single" w:sz="2" w:space="0" w:color="D9D9E3"/>
            <w:right w:val="single" w:sz="2" w:space="0" w:color="D9D9E3"/>
          </w:divBdr>
          <w:divsChild>
            <w:div w:id="1244410024">
              <w:marLeft w:val="0"/>
              <w:marRight w:val="0"/>
              <w:marTop w:val="0"/>
              <w:marBottom w:val="0"/>
              <w:divBdr>
                <w:top w:val="single" w:sz="2" w:space="0" w:color="D9D9E3"/>
                <w:left w:val="single" w:sz="2" w:space="0" w:color="D9D9E3"/>
                <w:bottom w:val="single" w:sz="2" w:space="0" w:color="D9D9E3"/>
                <w:right w:val="single" w:sz="2" w:space="0" w:color="D9D9E3"/>
              </w:divBdr>
              <w:divsChild>
                <w:div w:id="1176381098">
                  <w:marLeft w:val="0"/>
                  <w:marRight w:val="0"/>
                  <w:marTop w:val="0"/>
                  <w:marBottom w:val="0"/>
                  <w:divBdr>
                    <w:top w:val="single" w:sz="2" w:space="0" w:color="D9D9E3"/>
                    <w:left w:val="single" w:sz="2" w:space="0" w:color="D9D9E3"/>
                    <w:bottom w:val="single" w:sz="2" w:space="0" w:color="D9D9E3"/>
                    <w:right w:val="single" w:sz="2" w:space="0" w:color="D9D9E3"/>
                  </w:divBdr>
                  <w:divsChild>
                    <w:div w:id="692153180">
                      <w:marLeft w:val="0"/>
                      <w:marRight w:val="0"/>
                      <w:marTop w:val="0"/>
                      <w:marBottom w:val="0"/>
                      <w:divBdr>
                        <w:top w:val="single" w:sz="2" w:space="0" w:color="D9D9E3"/>
                        <w:left w:val="single" w:sz="2" w:space="0" w:color="D9D9E3"/>
                        <w:bottom w:val="single" w:sz="2" w:space="0" w:color="D9D9E3"/>
                        <w:right w:val="single" w:sz="2" w:space="0" w:color="D9D9E3"/>
                      </w:divBdr>
                      <w:divsChild>
                        <w:div w:id="707950214">
                          <w:marLeft w:val="0"/>
                          <w:marRight w:val="0"/>
                          <w:marTop w:val="0"/>
                          <w:marBottom w:val="0"/>
                          <w:divBdr>
                            <w:top w:val="none" w:sz="0" w:space="0" w:color="auto"/>
                            <w:left w:val="none" w:sz="0" w:space="0" w:color="auto"/>
                            <w:bottom w:val="none" w:sz="0" w:space="0" w:color="auto"/>
                            <w:right w:val="none" w:sz="0" w:space="0" w:color="auto"/>
                          </w:divBdr>
                          <w:divsChild>
                            <w:div w:id="1769037171">
                              <w:marLeft w:val="0"/>
                              <w:marRight w:val="0"/>
                              <w:marTop w:val="100"/>
                              <w:marBottom w:val="100"/>
                              <w:divBdr>
                                <w:top w:val="single" w:sz="2" w:space="0" w:color="D9D9E3"/>
                                <w:left w:val="single" w:sz="2" w:space="0" w:color="D9D9E3"/>
                                <w:bottom w:val="single" w:sz="2" w:space="0" w:color="D9D9E3"/>
                                <w:right w:val="single" w:sz="2" w:space="0" w:color="D9D9E3"/>
                              </w:divBdr>
                              <w:divsChild>
                                <w:div w:id="653025146">
                                  <w:marLeft w:val="0"/>
                                  <w:marRight w:val="0"/>
                                  <w:marTop w:val="0"/>
                                  <w:marBottom w:val="0"/>
                                  <w:divBdr>
                                    <w:top w:val="single" w:sz="2" w:space="0" w:color="D9D9E3"/>
                                    <w:left w:val="single" w:sz="2" w:space="0" w:color="D9D9E3"/>
                                    <w:bottom w:val="single" w:sz="2" w:space="0" w:color="D9D9E3"/>
                                    <w:right w:val="single" w:sz="2" w:space="0" w:color="D9D9E3"/>
                                  </w:divBdr>
                                  <w:divsChild>
                                    <w:div w:id="1523860432">
                                      <w:marLeft w:val="0"/>
                                      <w:marRight w:val="0"/>
                                      <w:marTop w:val="0"/>
                                      <w:marBottom w:val="0"/>
                                      <w:divBdr>
                                        <w:top w:val="single" w:sz="2" w:space="0" w:color="D9D9E3"/>
                                        <w:left w:val="single" w:sz="2" w:space="0" w:color="D9D9E3"/>
                                        <w:bottom w:val="single" w:sz="2" w:space="0" w:color="D9D9E3"/>
                                        <w:right w:val="single" w:sz="2" w:space="0" w:color="D9D9E3"/>
                                      </w:divBdr>
                                      <w:divsChild>
                                        <w:div w:id="1230456252">
                                          <w:marLeft w:val="0"/>
                                          <w:marRight w:val="0"/>
                                          <w:marTop w:val="0"/>
                                          <w:marBottom w:val="0"/>
                                          <w:divBdr>
                                            <w:top w:val="single" w:sz="2" w:space="0" w:color="D9D9E3"/>
                                            <w:left w:val="single" w:sz="2" w:space="0" w:color="D9D9E3"/>
                                            <w:bottom w:val="single" w:sz="2" w:space="0" w:color="D9D9E3"/>
                                            <w:right w:val="single" w:sz="2" w:space="0" w:color="D9D9E3"/>
                                          </w:divBdr>
                                          <w:divsChild>
                                            <w:div w:id="140465747">
                                              <w:marLeft w:val="0"/>
                                              <w:marRight w:val="0"/>
                                              <w:marTop w:val="0"/>
                                              <w:marBottom w:val="0"/>
                                              <w:divBdr>
                                                <w:top w:val="single" w:sz="2" w:space="0" w:color="D9D9E3"/>
                                                <w:left w:val="single" w:sz="2" w:space="0" w:color="D9D9E3"/>
                                                <w:bottom w:val="single" w:sz="2" w:space="0" w:color="D9D9E3"/>
                                                <w:right w:val="single" w:sz="2" w:space="0" w:color="D9D9E3"/>
                                              </w:divBdr>
                                              <w:divsChild>
                                                <w:div w:id="1563903048">
                                                  <w:marLeft w:val="0"/>
                                                  <w:marRight w:val="0"/>
                                                  <w:marTop w:val="0"/>
                                                  <w:marBottom w:val="0"/>
                                                  <w:divBdr>
                                                    <w:top w:val="single" w:sz="2" w:space="0" w:color="D9D9E3"/>
                                                    <w:left w:val="single" w:sz="2" w:space="0" w:color="D9D9E3"/>
                                                    <w:bottom w:val="single" w:sz="2" w:space="0" w:color="D9D9E3"/>
                                                    <w:right w:val="single" w:sz="2" w:space="0" w:color="D9D9E3"/>
                                                  </w:divBdr>
                                                  <w:divsChild>
                                                    <w:div w:id="54749892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412899938">
      <w:bodyDiv w:val="1"/>
      <w:marLeft w:val="0"/>
      <w:marRight w:val="0"/>
      <w:marTop w:val="0"/>
      <w:marBottom w:val="0"/>
      <w:divBdr>
        <w:top w:val="none" w:sz="0" w:space="0" w:color="auto"/>
        <w:left w:val="none" w:sz="0" w:space="0" w:color="auto"/>
        <w:bottom w:val="none" w:sz="0" w:space="0" w:color="auto"/>
        <w:right w:val="none" w:sz="0" w:space="0" w:color="auto"/>
      </w:divBdr>
    </w:div>
    <w:div w:id="424156392">
      <w:bodyDiv w:val="1"/>
      <w:marLeft w:val="0"/>
      <w:marRight w:val="0"/>
      <w:marTop w:val="0"/>
      <w:marBottom w:val="0"/>
      <w:divBdr>
        <w:top w:val="none" w:sz="0" w:space="0" w:color="auto"/>
        <w:left w:val="none" w:sz="0" w:space="0" w:color="auto"/>
        <w:bottom w:val="none" w:sz="0" w:space="0" w:color="auto"/>
        <w:right w:val="none" w:sz="0" w:space="0" w:color="auto"/>
      </w:divBdr>
      <w:divsChild>
        <w:div w:id="837578180">
          <w:marLeft w:val="0"/>
          <w:marRight w:val="0"/>
          <w:marTop w:val="0"/>
          <w:marBottom w:val="0"/>
          <w:divBdr>
            <w:top w:val="none" w:sz="0" w:space="0" w:color="auto"/>
            <w:left w:val="none" w:sz="0" w:space="0" w:color="auto"/>
            <w:bottom w:val="none" w:sz="0" w:space="0" w:color="auto"/>
            <w:right w:val="none" w:sz="0" w:space="0" w:color="auto"/>
          </w:divBdr>
          <w:divsChild>
            <w:div w:id="241570949">
              <w:marLeft w:val="0"/>
              <w:marRight w:val="0"/>
              <w:marTop w:val="0"/>
              <w:marBottom w:val="0"/>
              <w:divBdr>
                <w:top w:val="single" w:sz="2" w:space="0" w:color="E3E3E3"/>
                <w:left w:val="single" w:sz="2" w:space="0" w:color="E3E3E3"/>
                <w:bottom w:val="single" w:sz="2" w:space="0" w:color="E3E3E3"/>
                <w:right w:val="single" w:sz="2" w:space="0" w:color="E3E3E3"/>
              </w:divBdr>
              <w:divsChild>
                <w:div w:id="73990433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939366116">
          <w:marLeft w:val="0"/>
          <w:marRight w:val="0"/>
          <w:marTop w:val="0"/>
          <w:marBottom w:val="0"/>
          <w:divBdr>
            <w:top w:val="single" w:sz="2" w:space="0" w:color="E3E3E3"/>
            <w:left w:val="single" w:sz="2" w:space="0" w:color="E3E3E3"/>
            <w:bottom w:val="single" w:sz="2" w:space="0" w:color="E3E3E3"/>
            <w:right w:val="single" w:sz="2" w:space="0" w:color="E3E3E3"/>
          </w:divBdr>
          <w:divsChild>
            <w:div w:id="1661494545">
              <w:marLeft w:val="0"/>
              <w:marRight w:val="0"/>
              <w:marTop w:val="0"/>
              <w:marBottom w:val="0"/>
              <w:divBdr>
                <w:top w:val="single" w:sz="2" w:space="0" w:color="E3E3E3"/>
                <w:left w:val="single" w:sz="2" w:space="0" w:color="E3E3E3"/>
                <w:bottom w:val="single" w:sz="2" w:space="0" w:color="E3E3E3"/>
                <w:right w:val="single" w:sz="2" w:space="0" w:color="E3E3E3"/>
              </w:divBdr>
              <w:divsChild>
                <w:div w:id="698818404">
                  <w:marLeft w:val="0"/>
                  <w:marRight w:val="0"/>
                  <w:marTop w:val="0"/>
                  <w:marBottom w:val="0"/>
                  <w:divBdr>
                    <w:top w:val="single" w:sz="2" w:space="0" w:color="E3E3E3"/>
                    <w:left w:val="single" w:sz="2" w:space="0" w:color="E3E3E3"/>
                    <w:bottom w:val="single" w:sz="2" w:space="0" w:color="E3E3E3"/>
                    <w:right w:val="single" w:sz="2" w:space="0" w:color="E3E3E3"/>
                  </w:divBdr>
                  <w:divsChild>
                    <w:div w:id="1733039220">
                      <w:marLeft w:val="0"/>
                      <w:marRight w:val="0"/>
                      <w:marTop w:val="0"/>
                      <w:marBottom w:val="0"/>
                      <w:divBdr>
                        <w:top w:val="single" w:sz="2" w:space="0" w:color="E3E3E3"/>
                        <w:left w:val="single" w:sz="2" w:space="0" w:color="E3E3E3"/>
                        <w:bottom w:val="single" w:sz="2" w:space="0" w:color="E3E3E3"/>
                        <w:right w:val="single" w:sz="2" w:space="0" w:color="E3E3E3"/>
                      </w:divBdr>
                      <w:divsChild>
                        <w:div w:id="1306934109">
                          <w:marLeft w:val="0"/>
                          <w:marRight w:val="0"/>
                          <w:marTop w:val="0"/>
                          <w:marBottom w:val="0"/>
                          <w:divBdr>
                            <w:top w:val="single" w:sz="2" w:space="0" w:color="E3E3E3"/>
                            <w:left w:val="single" w:sz="2" w:space="0" w:color="E3E3E3"/>
                            <w:bottom w:val="single" w:sz="2" w:space="0" w:color="E3E3E3"/>
                            <w:right w:val="single" w:sz="2" w:space="0" w:color="E3E3E3"/>
                          </w:divBdr>
                          <w:divsChild>
                            <w:div w:id="300887078">
                              <w:marLeft w:val="0"/>
                              <w:marRight w:val="0"/>
                              <w:marTop w:val="0"/>
                              <w:marBottom w:val="0"/>
                              <w:divBdr>
                                <w:top w:val="single" w:sz="2" w:space="0" w:color="E3E3E3"/>
                                <w:left w:val="single" w:sz="2" w:space="0" w:color="E3E3E3"/>
                                <w:bottom w:val="single" w:sz="2" w:space="0" w:color="E3E3E3"/>
                                <w:right w:val="single" w:sz="2" w:space="0" w:color="E3E3E3"/>
                              </w:divBdr>
                              <w:divsChild>
                                <w:div w:id="1998454908">
                                  <w:marLeft w:val="0"/>
                                  <w:marRight w:val="0"/>
                                  <w:marTop w:val="100"/>
                                  <w:marBottom w:val="100"/>
                                  <w:divBdr>
                                    <w:top w:val="single" w:sz="2" w:space="0" w:color="E3E3E3"/>
                                    <w:left w:val="single" w:sz="2" w:space="0" w:color="E3E3E3"/>
                                    <w:bottom w:val="single" w:sz="2" w:space="0" w:color="E3E3E3"/>
                                    <w:right w:val="single" w:sz="2" w:space="0" w:color="E3E3E3"/>
                                  </w:divBdr>
                                  <w:divsChild>
                                    <w:div w:id="1241477658">
                                      <w:marLeft w:val="0"/>
                                      <w:marRight w:val="0"/>
                                      <w:marTop w:val="0"/>
                                      <w:marBottom w:val="0"/>
                                      <w:divBdr>
                                        <w:top w:val="single" w:sz="2" w:space="0" w:color="E3E3E3"/>
                                        <w:left w:val="single" w:sz="2" w:space="0" w:color="E3E3E3"/>
                                        <w:bottom w:val="single" w:sz="2" w:space="0" w:color="E3E3E3"/>
                                        <w:right w:val="single" w:sz="2" w:space="0" w:color="E3E3E3"/>
                                      </w:divBdr>
                                      <w:divsChild>
                                        <w:div w:id="1651708024">
                                          <w:marLeft w:val="0"/>
                                          <w:marRight w:val="0"/>
                                          <w:marTop w:val="0"/>
                                          <w:marBottom w:val="0"/>
                                          <w:divBdr>
                                            <w:top w:val="single" w:sz="2" w:space="0" w:color="E3E3E3"/>
                                            <w:left w:val="single" w:sz="2" w:space="0" w:color="E3E3E3"/>
                                            <w:bottom w:val="single" w:sz="2" w:space="0" w:color="E3E3E3"/>
                                            <w:right w:val="single" w:sz="2" w:space="0" w:color="E3E3E3"/>
                                          </w:divBdr>
                                          <w:divsChild>
                                            <w:div w:id="780807520">
                                              <w:marLeft w:val="0"/>
                                              <w:marRight w:val="0"/>
                                              <w:marTop w:val="0"/>
                                              <w:marBottom w:val="0"/>
                                              <w:divBdr>
                                                <w:top w:val="single" w:sz="2" w:space="0" w:color="E3E3E3"/>
                                                <w:left w:val="single" w:sz="2" w:space="0" w:color="E3E3E3"/>
                                                <w:bottom w:val="single" w:sz="2" w:space="0" w:color="E3E3E3"/>
                                                <w:right w:val="single" w:sz="2" w:space="0" w:color="E3E3E3"/>
                                              </w:divBdr>
                                              <w:divsChild>
                                                <w:div w:id="1380203842">
                                                  <w:marLeft w:val="0"/>
                                                  <w:marRight w:val="0"/>
                                                  <w:marTop w:val="0"/>
                                                  <w:marBottom w:val="0"/>
                                                  <w:divBdr>
                                                    <w:top w:val="single" w:sz="2" w:space="0" w:color="E3E3E3"/>
                                                    <w:left w:val="single" w:sz="2" w:space="0" w:color="E3E3E3"/>
                                                    <w:bottom w:val="single" w:sz="2" w:space="0" w:color="E3E3E3"/>
                                                    <w:right w:val="single" w:sz="2" w:space="0" w:color="E3E3E3"/>
                                                  </w:divBdr>
                                                  <w:divsChild>
                                                    <w:div w:id="183524417">
                                                      <w:marLeft w:val="0"/>
                                                      <w:marRight w:val="0"/>
                                                      <w:marTop w:val="0"/>
                                                      <w:marBottom w:val="0"/>
                                                      <w:divBdr>
                                                        <w:top w:val="single" w:sz="2" w:space="0" w:color="E3E3E3"/>
                                                        <w:left w:val="single" w:sz="2" w:space="0" w:color="E3E3E3"/>
                                                        <w:bottom w:val="single" w:sz="2" w:space="0" w:color="E3E3E3"/>
                                                        <w:right w:val="single" w:sz="2" w:space="0" w:color="E3E3E3"/>
                                                      </w:divBdr>
                                                      <w:divsChild>
                                                        <w:div w:id="22433526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445121891">
      <w:bodyDiv w:val="1"/>
      <w:marLeft w:val="0"/>
      <w:marRight w:val="0"/>
      <w:marTop w:val="0"/>
      <w:marBottom w:val="0"/>
      <w:divBdr>
        <w:top w:val="none" w:sz="0" w:space="0" w:color="auto"/>
        <w:left w:val="none" w:sz="0" w:space="0" w:color="auto"/>
        <w:bottom w:val="none" w:sz="0" w:space="0" w:color="auto"/>
        <w:right w:val="none" w:sz="0" w:space="0" w:color="auto"/>
      </w:divBdr>
      <w:divsChild>
        <w:div w:id="346442704">
          <w:marLeft w:val="-720"/>
          <w:marRight w:val="0"/>
          <w:marTop w:val="0"/>
          <w:marBottom w:val="0"/>
          <w:divBdr>
            <w:top w:val="none" w:sz="0" w:space="0" w:color="auto"/>
            <w:left w:val="none" w:sz="0" w:space="0" w:color="auto"/>
            <w:bottom w:val="none" w:sz="0" w:space="0" w:color="auto"/>
            <w:right w:val="none" w:sz="0" w:space="0" w:color="auto"/>
          </w:divBdr>
        </w:div>
      </w:divsChild>
    </w:div>
    <w:div w:id="485627568">
      <w:bodyDiv w:val="1"/>
      <w:marLeft w:val="0"/>
      <w:marRight w:val="0"/>
      <w:marTop w:val="0"/>
      <w:marBottom w:val="0"/>
      <w:divBdr>
        <w:top w:val="none" w:sz="0" w:space="0" w:color="auto"/>
        <w:left w:val="none" w:sz="0" w:space="0" w:color="auto"/>
        <w:bottom w:val="none" w:sz="0" w:space="0" w:color="auto"/>
        <w:right w:val="none" w:sz="0" w:space="0" w:color="auto"/>
      </w:divBdr>
      <w:divsChild>
        <w:div w:id="1784879960">
          <w:marLeft w:val="-720"/>
          <w:marRight w:val="0"/>
          <w:marTop w:val="0"/>
          <w:marBottom w:val="0"/>
          <w:divBdr>
            <w:top w:val="none" w:sz="0" w:space="0" w:color="auto"/>
            <w:left w:val="none" w:sz="0" w:space="0" w:color="auto"/>
            <w:bottom w:val="none" w:sz="0" w:space="0" w:color="auto"/>
            <w:right w:val="none" w:sz="0" w:space="0" w:color="auto"/>
          </w:divBdr>
        </w:div>
      </w:divsChild>
    </w:div>
    <w:div w:id="526216713">
      <w:bodyDiv w:val="1"/>
      <w:marLeft w:val="0"/>
      <w:marRight w:val="0"/>
      <w:marTop w:val="0"/>
      <w:marBottom w:val="0"/>
      <w:divBdr>
        <w:top w:val="none" w:sz="0" w:space="0" w:color="auto"/>
        <w:left w:val="none" w:sz="0" w:space="0" w:color="auto"/>
        <w:bottom w:val="none" w:sz="0" w:space="0" w:color="auto"/>
        <w:right w:val="none" w:sz="0" w:space="0" w:color="auto"/>
      </w:divBdr>
    </w:div>
    <w:div w:id="528757299">
      <w:bodyDiv w:val="1"/>
      <w:marLeft w:val="0"/>
      <w:marRight w:val="0"/>
      <w:marTop w:val="0"/>
      <w:marBottom w:val="0"/>
      <w:divBdr>
        <w:top w:val="none" w:sz="0" w:space="0" w:color="auto"/>
        <w:left w:val="none" w:sz="0" w:space="0" w:color="auto"/>
        <w:bottom w:val="none" w:sz="0" w:space="0" w:color="auto"/>
        <w:right w:val="none" w:sz="0" w:space="0" w:color="auto"/>
      </w:divBdr>
      <w:divsChild>
        <w:div w:id="9110762">
          <w:marLeft w:val="0"/>
          <w:marRight w:val="0"/>
          <w:marTop w:val="0"/>
          <w:marBottom w:val="0"/>
          <w:divBdr>
            <w:top w:val="none" w:sz="0" w:space="0" w:color="auto"/>
            <w:left w:val="none" w:sz="0" w:space="0" w:color="auto"/>
            <w:bottom w:val="none" w:sz="0" w:space="0" w:color="auto"/>
            <w:right w:val="none" w:sz="0" w:space="0" w:color="auto"/>
          </w:divBdr>
        </w:div>
        <w:div w:id="473176833">
          <w:marLeft w:val="0"/>
          <w:marRight w:val="0"/>
          <w:marTop w:val="0"/>
          <w:marBottom w:val="0"/>
          <w:divBdr>
            <w:top w:val="none" w:sz="0" w:space="0" w:color="auto"/>
            <w:left w:val="none" w:sz="0" w:space="0" w:color="auto"/>
            <w:bottom w:val="none" w:sz="0" w:space="0" w:color="auto"/>
            <w:right w:val="none" w:sz="0" w:space="0" w:color="auto"/>
          </w:divBdr>
        </w:div>
        <w:div w:id="1183670402">
          <w:marLeft w:val="0"/>
          <w:marRight w:val="0"/>
          <w:marTop w:val="0"/>
          <w:marBottom w:val="0"/>
          <w:divBdr>
            <w:top w:val="none" w:sz="0" w:space="0" w:color="auto"/>
            <w:left w:val="none" w:sz="0" w:space="0" w:color="auto"/>
            <w:bottom w:val="none" w:sz="0" w:space="0" w:color="auto"/>
            <w:right w:val="none" w:sz="0" w:space="0" w:color="auto"/>
          </w:divBdr>
        </w:div>
        <w:div w:id="1931431706">
          <w:marLeft w:val="0"/>
          <w:marRight w:val="0"/>
          <w:marTop w:val="0"/>
          <w:marBottom w:val="0"/>
          <w:divBdr>
            <w:top w:val="none" w:sz="0" w:space="0" w:color="auto"/>
            <w:left w:val="none" w:sz="0" w:space="0" w:color="auto"/>
            <w:bottom w:val="none" w:sz="0" w:space="0" w:color="auto"/>
            <w:right w:val="none" w:sz="0" w:space="0" w:color="auto"/>
          </w:divBdr>
        </w:div>
      </w:divsChild>
    </w:div>
    <w:div w:id="537091344">
      <w:bodyDiv w:val="1"/>
      <w:marLeft w:val="0"/>
      <w:marRight w:val="0"/>
      <w:marTop w:val="0"/>
      <w:marBottom w:val="0"/>
      <w:divBdr>
        <w:top w:val="none" w:sz="0" w:space="0" w:color="auto"/>
        <w:left w:val="none" w:sz="0" w:space="0" w:color="auto"/>
        <w:bottom w:val="none" w:sz="0" w:space="0" w:color="auto"/>
        <w:right w:val="none" w:sz="0" w:space="0" w:color="auto"/>
      </w:divBdr>
    </w:div>
    <w:div w:id="578171445">
      <w:bodyDiv w:val="1"/>
      <w:marLeft w:val="0"/>
      <w:marRight w:val="0"/>
      <w:marTop w:val="0"/>
      <w:marBottom w:val="0"/>
      <w:divBdr>
        <w:top w:val="none" w:sz="0" w:space="0" w:color="auto"/>
        <w:left w:val="none" w:sz="0" w:space="0" w:color="auto"/>
        <w:bottom w:val="none" w:sz="0" w:space="0" w:color="auto"/>
        <w:right w:val="none" w:sz="0" w:space="0" w:color="auto"/>
      </w:divBdr>
      <w:divsChild>
        <w:div w:id="27025395">
          <w:marLeft w:val="0"/>
          <w:marRight w:val="0"/>
          <w:marTop w:val="0"/>
          <w:marBottom w:val="0"/>
          <w:divBdr>
            <w:top w:val="none" w:sz="0" w:space="0" w:color="auto"/>
            <w:left w:val="none" w:sz="0" w:space="0" w:color="auto"/>
            <w:bottom w:val="none" w:sz="0" w:space="0" w:color="auto"/>
            <w:right w:val="none" w:sz="0" w:space="0" w:color="auto"/>
          </w:divBdr>
          <w:divsChild>
            <w:div w:id="1728143033">
              <w:marLeft w:val="0"/>
              <w:marRight w:val="0"/>
              <w:marTop w:val="0"/>
              <w:marBottom w:val="0"/>
              <w:divBdr>
                <w:top w:val="none" w:sz="0" w:space="0" w:color="auto"/>
                <w:left w:val="none" w:sz="0" w:space="0" w:color="auto"/>
                <w:bottom w:val="none" w:sz="0" w:space="0" w:color="auto"/>
                <w:right w:val="none" w:sz="0" w:space="0" w:color="auto"/>
              </w:divBdr>
              <w:divsChild>
                <w:div w:id="1588493644">
                  <w:marLeft w:val="0"/>
                  <w:marRight w:val="0"/>
                  <w:marTop w:val="0"/>
                  <w:marBottom w:val="0"/>
                  <w:divBdr>
                    <w:top w:val="none" w:sz="0" w:space="0" w:color="auto"/>
                    <w:left w:val="none" w:sz="0" w:space="0" w:color="auto"/>
                    <w:bottom w:val="none" w:sz="0" w:space="0" w:color="auto"/>
                    <w:right w:val="none" w:sz="0" w:space="0" w:color="auto"/>
                  </w:divBdr>
                  <w:divsChild>
                    <w:div w:id="111768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128188">
          <w:marLeft w:val="0"/>
          <w:marRight w:val="0"/>
          <w:marTop w:val="0"/>
          <w:marBottom w:val="0"/>
          <w:divBdr>
            <w:top w:val="none" w:sz="0" w:space="0" w:color="auto"/>
            <w:left w:val="none" w:sz="0" w:space="0" w:color="auto"/>
            <w:bottom w:val="none" w:sz="0" w:space="0" w:color="auto"/>
            <w:right w:val="none" w:sz="0" w:space="0" w:color="auto"/>
          </w:divBdr>
          <w:divsChild>
            <w:div w:id="490173019">
              <w:marLeft w:val="0"/>
              <w:marRight w:val="0"/>
              <w:marTop w:val="0"/>
              <w:marBottom w:val="0"/>
              <w:divBdr>
                <w:top w:val="none" w:sz="0" w:space="0" w:color="auto"/>
                <w:left w:val="none" w:sz="0" w:space="0" w:color="auto"/>
                <w:bottom w:val="none" w:sz="0" w:space="0" w:color="auto"/>
                <w:right w:val="none" w:sz="0" w:space="0" w:color="auto"/>
              </w:divBdr>
              <w:divsChild>
                <w:div w:id="408498804">
                  <w:marLeft w:val="0"/>
                  <w:marRight w:val="0"/>
                  <w:marTop w:val="0"/>
                  <w:marBottom w:val="0"/>
                  <w:divBdr>
                    <w:top w:val="none" w:sz="0" w:space="0" w:color="auto"/>
                    <w:left w:val="none" w:sz="0" w:space="0" w:color="auto"/>
                    <w:bottom w:val="none" w:sz="0" w:space="0" w:color="auto"/>
                    <w:right w:val="none" w:sz="0" w:space="0" w:color="auto"/>
                  </w:divBdr>
                  <w:divsChild>
                    <w:div w:id="519120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3733249">
      <w:bodyDiv w:val="1"/>
      <w:marLeft w:val="0"/>
      <w:marRight w:val="0"/>
      <w:marTop w:val="0"/>
      <w:marBottom w:val="0"/>
      <w:divBdr>
        <w:top w:val="none" w:sz="0" w:space="0" w:color="auto"/>
        <w:left w:val="none" w:sz="0" w:space="0" w:color="auto"/>
        <w:bottom w:val="none" w:sz="0" w:space="0" w:color="auto"/>
        <w:right w:val="none" w:sz="0" w:space="0" w:color="auto"/>
      </w:divBdr>
      <w:divsChild>
        <w:div w:id="1755086224">
          <w:marLeft w:val="0"/>
          <w:marRight w:val="0"/>
          <w:marTop w:val="0"/>
          <w:marBottom w:val="0"/>
          <w:divBdr>
            <w:top w:val="none" w:sz="0" w:space="0" w:color="auto"/>
            <w:left w:val="none" w:sz="0" w:space="0" w:color="auto"/>
            <w:bottom w:val="none" w:sz="0" w:space="0" w:color="auto"/>
            <w:right w:val="none" w:sz="0" w:space="0" w:color="auto"/>
          </w:divBdr>
        </w:div>
      </w:divsChild>
    </w:div>
    <w:div w:id="695928730">
      <w:bodyDiv w:val="1"/>
      <w:marLeft w:val="0"/>
      <w:marRight w:val="0"/>
      <w:marTop w:val="0"/>
      <w:marBottom w:val="0"/>
      <w:divBdr>
        <w:top w:val="none" w:sz="0" w:space="0" w:color="auto"/>
        <w:left w:val="none" w:sz="0" w:space="0" w:color="auto"/>
        <w:bottom w:val="none" w:sz="0" w:space="0" w:color="auto"/>
        <w:right w:val="none" w:sz="0" w:space="0" w:color="auto"/>
      </w:divBdr>
      <w:divsChild>
        <w:div w:id="1413968001">
          <w:marLeft w:val="-720"/>
          <w:marRight w:val="0"/>
          <w:marTop w:val="0"/>
          <w:marBottom w:val="0"/>
          <w:divBdr>
            <w:top w:val="none" w:sz="0" w:space="0" w:color="auto"/>
            <w:left w:val="none" w:sz="0" w:space="0" w:color="auto"/>
            <w:bottom w:val="none" w:sz="0" w:space="0" w:color="auto"/>
            <w:right w:val="none" w:sz="0" w:space="0" w:color="auto"/>
          </w:divBdr>
        </w:div>
      </w:divsChild>
    </w:div>
    <w:div w:id="741685729">
      <w:bodyDiv w:val="1"/>
      <w:marLeft w:val="0"/>
      <w:marRight w:val="0"/>
      <w:marTop w:val="0"/>
      <w:marBottom w:val="0"/>
      <w:divBdr>
        <w:top w:val="none" w:sz="0" w:space="0" w:color="auto"/>
        <w:left w:val="none" w:sz="0" w:space="0" w:color="auto"/>
        <w:bottom w:val="none" w:sz="0" w:space="0" w:color="auto"/>
        <w:right w:val="none" w:sz="0" w:space="0" w:color="auto"/>
      </w:divBdr>
    </w:div>
    <w:div w:id="797573451">
      <w:bodyDiv w:val="1"/>
      <w:marLeft w:val="0"/>
      <w:marRight w:val="0"/>
      <w:marTop w:val="0"/>
      <w:marBottom w:val="0"/>
      <w:divBdr>
        <w:top w:val="none" w:sz="0" w:space="0" w:color="auto"/>
        <w:left w:val="none" w:sz="0" w:space="0" w:color="auto"/>
        <w:bottom w:val="none" w:sz="0" w:space="0" w:color="auto"/>
        <w:right w:val="none" w:sz="0" w:space="0" w:color="auto"/>
      </w:divBdr>
    </w:div>
    <w:div w:id="804664946">
      <w:bodyDiv w:val="1"/>
      <w:marLeft w:val="0"/>
      <w:marRight w:val="0"/>
      <w:marTop w:val="0"/>
      <w:marBottom w:val="0"/>
      <w:divBdr>
        <w:top w:val="none" w:sz="0" w:space="0" w:color="auto"/>
        <w:left w:val="none" w:sz="0" w:space="0" w:color="auto"/>
        <w:bottom w:val="none" w:sz="0" w:space="0" w:color="auto"/>
        <w:right w:val="none" w:sz="0" w:space="0" w:color="auto"/>
      </w:divBdr>
      <w:divsChild>
        <w:div w:id="567500745">
          <w:marLeft w:val="0"/>
          <w:marRight w:val="0"/>
          <w:marTop w:val="0"/>
          <w:marBottom w:val="0"/>
          <w:divBdr>
            <w:top w:val="none" w:sz="0" w:space="0" w:color="auto"/>
            <w:left w:val="none" w:sz="0" w:space="0" w:color="auto"/>
            <w:bottom w:val="none" w:sz="0" w:space="0" w:color="auto"/>
            <w:right w:val="none" w:sz="0" w:space="0" w:color="auto"/>
          </w:divBdr>
        </w:div>
      </w:divsChild>
    </w:div>
    <w:div w:id="827550530">
      <w:bodyDiv w:val="1"/>
      <w:marLeft w:val="0"/>
      <w:marRight w:val="0"/>
      <w:marTop w:val="0"/>
      <w:marBottom w:val="0"/>
      <w:divBdr>
        <w:top w:val="none" w:sz="0" w:space="0" w:color="auto"/>
        <w:left w:val="none" w:sz="0" w:space="0" w:color="auto"/>
        <w:bottom w:val="none" w:sz="0" w:space="0" w:color="auto"/>
        <w:right w:val="none" w:sz="0" w:space="0" w:color="auto"/>
      </w:divBdr>
    </w:div>
    <w:div w:id="835996261">
      <w:bodyDiv w:val="1"/>
      <w:marLeft w:val="0"/>
      <w:marRight w:val="0"/>
      <w:marTop w:val="0"/>
      <w:marBottom w:val="0"/>
      <w:divBdr>
        <w:top w:val="none" w:sz="0" w:space="0" w:color="auto"/>
        <w:left w:val="none" w:sz="0" w:space="0" w:color="auto"/>
        <w:bottom w:val="none" w:sz="0" w:space="0" w:color="auto"/>
        <w:right w:val="none" w:sz="0" w:space="0" w:color="auto"/>
      </w:divBdr>
      <w:divsChild>
        <w:div w:id="2135902705">
          <w:marLeft w:val="-720"/>
          <w:marRight w:val="0"/>
          <w:marTop w:val="0"/>
          <w:marBottom w:val="0"/>
          <w:divBdr>
            <w:top w:val="none" w:sz="0" w:space="0" w:color="auto"/>
            <w:left w:val="none" w:sz="0" w:space="0" w:color="auto"/>
            <w:bottom w:val="none" w:sz="0" w:space="0" w:color="auto"/>
            <w:right w:val="none" w:sz="0" w:space="0" w:color="auto"/>
          </w:divBdr>
        </w:div>
      </w:divsChild>
    </w:div>
    <w:div w:id="895550231">
      <w:bodyDiv w:val="1"/>
      <w:marLeft w:val="0"/>
      <w:marRight w:val="0"/>
      <w:marTop w:val="0"/>
      <w:marBottom w:val="0"/>
      <w:divBdr>
        <w:top w:val="none" w:sz="0" w:space="0" w:color="auto"/>
        <w:left w:val="none" w:sz="0" w:space="0" w:color="auto"/>
        <w:bottom w:val="none" w:sz="0" w:space="0" w:color="auto"/>
        <w:right w:val="none" w:sz="0" w:space="0" w:color="auto"/>
      </w:divBdr>
    </w:div>
    <w:div w:id="914097093">
      <w:bodyDiv w:val="1"/>
      <w:marLeft w:val="0"/>
      <w:marRight w:val="0"/>
      <w:marTop w:val="0"/>
      <w:marBottom w:val="0"/>
      <w:divBdr>
        <w:top w:val="none" w:sz="0" w:space="0" w:color="auto"/>
        <w:left w:val="none" w:sz="0" w:space="0" w:color="auto"/>
        <w:bottom w:val="none" w:sz="0" w:space="0" w:color="auto"/>
        <w:right w:val="none" w:sz="0" w:space="0" w:color="auto"/>
      </w:divBdr>
      <w:divsChild>
        <w:div w:id="664745112">
          <w:marLeft w:val="-720"/>
          <w:marRight w:val="0"/>
          <w:marTop w:val="0"/>
          <w:marBottom w:val="0"/>
          <w:divBdr>
            <w:top w:val="none" w:sz="0" w:space="0" w:color="auto"/>
            <w:left w:val="none" w:sz="0" w:space="0" w:color="auto"/>
            <w:bottom w:val="none" w:sz="0" w:space="0" w:color="auto"/>
            <w:right w:val="none" w:sz="0" w:space="0" w:color="auto"/>
          </w:divBdr>
        </w:div>
      </w:divsChild>
    </w:div>
    <w:div w:id="969168064">
      <w:bodyDiv w:val="1"/>
      <w:marLeft w:val="0"/>
      <w:marRight w:val="0"/>
      <w:marTop w:val="0"/>
      <w:marBottom w:val="0"/>
      <w:divBdr>
        <w:top w:val="none" w:sz="0" w:space="0" w:color="auto"/>
        <w:left w:val="none" w:sz="0" w:space="0" w:color="auto"/>
        <w:bottom w:val="none" w:sz="0" w:space="0" w:color="auto"/>
        <w:right w:val="none" w:sz="0" w:space="0" w:color="auto"/>
      </w:divBdr>
      <w:divsChild>
        <w:div w:id="1349138250">
          <w:marLeft w:val="0"/>
          <w:marRight w:val="0"/>
          <w:marTop w:val="0"/>
          <w:marBottom w:val="0"/>
          <w:divBdr>
            <w:top w:val="none" w:sz="0" w:space="0" w:color="auto"/>
            <w:left w:val="none" w:sz="0" w:space="0" w:color="auto"/>
            <w:bottom w:val="none" w:sz="0" w:space="0" w:color="auto"/>
            <w:right w:val="none" w:sz="0" w:space="0" w:color="auto"/>
          </w:divBdr>
          <w:divsChild>
            <w:div w:id="422607479">
              <w:marLeft w:val="0"/>
              <w:marRight w:val="0"/>
              <w:marTop w:val="0"/>
              <w:marBottom w:val="0"/>
              <w:divBdr>
                <w:top w:val="single" w:sz="2" w:space="0" w:color="D9D9E3"/>
                <w:left w:val="single" w:sz="2" w:space="0" w:color="D9D9E3"/>
                <w:bottom w:val="single" w:sz="2" w:space="0" w:color="D9D9E3"/>
                <w:right w:val="single" w:sz="2" w:space="0" w:color="D9D9E3"/>
              </w:divBdr>
              <w:divsChild>
                <w:div w:id="58176539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 w:id="1715426251">
          <w:marLeft w:val="0"/>
          <w:marRight w:val="0"/>
          <w:marTop w:val="0"/>
          <w:marBottom w:val="0"/>
          <w:divBdr>
            <w:top w:val="single" w:sz="2" w:space="0" w:color="D9D9E3"/>
            <w:left w:val="single" w:sz="2" w:space="0" w:color="D9D9E3"/>
            <w:bottom w:val="single" w:sz="2" w:space="0" w:color="D9D9E3"/>
            <w:right w:val="single" w:sz="2" w:space="0" w:color="D9D9E3"/>
          </w:divBdr>
          <w:divsChild>
            <w:div w:id="2116365101">
              <w:marLeft w:val="0"/>
              <w:marRight w:val="0"/>
              <w:marTop w:val="0"/>
              <w:marBottom w:val="0"/>
              <w:divBdr>
                <w:top w:val="single" w:sz="2" w:space="0" w:color="D9D9E3"/>
                <w:left w:val="single" w:sz="2" w:space="0" w:color="D9D9E3"/>
                <w:bottom w:val="single" w:sz="2" w:space="0" w:color="D9D9E3"/>
                <w:right w:val="single" w:sz="2" w:space="0" w:color="D9D9E3"/>
              </w:divBdr>
              <w:divsChild>
                <w:div w:id="1503934818">
                  <w:marLeft w:val="0"/>
                  <w:marRight w:val="0"/>
                  <w:marTop w:val="0"/>
                  <w:marBottom w:val="0"/>
                  <w:divBdr>
                    <w:top w:val="single" w:sz="2" w:space="0" w:color="D9D9E3"/>
                    <w:left w:val="single" w:sz="2" w:space="0" w:color="D9D9E3"/>
                    <w:bottom w:val="single" w:sz="2" w:space="0" w:color="D9D9E3"/>
                    <w:right w:val="single" w:sz="2" w:space="0" w:color="D9D9E3"/>
                  </w:divBdr>
                  <w:divsChild>
                    <w:div w:id="1779176468">
                      <w:marLeft w:val="0"/>
                      <w:marRight w:val="0"/>
                      <w:marTop w:val="0"/>
                      <w:marBottom w:val="0"/>
                      <w:divBdr>
                        <w:top w:val="single" w:sz="2" w:space="0" w:color="D9D9E3"/>
                        <w:left w:val="single" w:sz="2" w:space="0" w:color="D9D9E3"/>
                        <w:bottom w:val="single" w:sz="2" w:space="0" w:color="D9D9E3"/>
                        <w:right w:val="single" w:sz="2" w:space="0" w:color="D9D9E3"/>
                      </w:divBdr>
                      <w:divsChild>
                        <w:div w:id="1941327710">
                          <w:marLeft w:val="0"/>
                          <w:marRight w:val="0"/>
                          <w:marTop w:val="0"/>
                          <w:marBottom w:val="0"/>
                          <w:divBdr>
                            <w:top w:val="none" w:sz="0" w:space="0" w:color="auto"/>
                            <w:left w:val="none" w:sz="0" w:space="0" w:color="auto"/>
                            <w:bottom w:val="none" w:sz="0" w:space="0" w:color="auto"/>
                            <w:right w:val="none" w:sz="0" w:space="0" w:color="auto"/>
                          </w:divBdr>
                          <w:divsChild>
                            <w:div w:id="419906591">
                              <w:marLeft w:val="0"/>
                              <w:marRight w:val="0"/>
                              <w:marTop w:val="100"/>
                              <w:marBottom w:val="100"/>
                              <w:divBdr>
                                <w:top w:val="single" w:sz="2" w:space="0" w:color="D9D9E3"/>
                                <w:left w:val="single" w:sz="2" w:space="0" w:color="D9D9E3"/>
                                <w:bottom w:val="single" w:sz="2" w:space="0" w:color="D9D9E3"/>
                                <w:right w:val="single" w:sz="2" w:space="0" w:color="D9D9E3"/>
                              </w:divBdr>
                              <w:divsChild>
                                <w:div w:id="1641302589">
                                  <w:marLeft w:val="0"/>
                                  <w:marRight w:val="0"/>
                                  <w:marTop w:val="0"/>
                                  <w:marBottom w:val="0"/>
                                  <w:divBdr>
                                    <w:top w:val="single" w:sz="2" w:space="0" w:color="D9D9E3"/>
                                    <w:left w:val="single" w:sz="2" w:space="0" w:color="D9D9E3"/>
                                    <w:bottom w:val="single" w:sz="2" w:space="0" w:color="D9D9E3"/>
                                    <w:right w:val="single" w:sz="2" w:space="0" w:color="D9D9E3"/>
                                  </w:divBdr>
                                  <w:divsChild>
                                    <w:div w:id="118380189">
                                      <w:marLeft w:val="0"/>
                                      <w:marRight w:val="0"/>
                                      <w:marTop w:val="0"/>
                                      <w:marBottom w:val="0"/>
                                      <w:divBdr>
                                        <w:top w:val="single" w:sz="2" w:space="0" w:color="D9D9E3"/>
                                        <w:left w:val="single" w:sz="2" w:space="0" w:color="D9D9E3"/>
                                        <w:bottom w:val="single" w:sz="2" w:space="0" w:color="D9D9E3"/>
                                        <w:right w:val="single" w:sz="2" w:space="0" w:color="D9D9E3"/>
                                      </w:divBdr>
                                      <w:divsChild>
                                        <w:div w:id="107355535">
                                          <w:marLeft w:val="0"/>
                                          <w:marRight w:val="0"/>
                                          <w:marTop w:val="0"/>
                                          <w:marBottom w:val="0"/>
                                          <w:divBdr>
                                            <w:top w:val="single" w:sz="2" w:space="0" w:color="D9D9E3"/>
                                            <w:left w:val="single" w:sz="2" w:space="0" w:color="D9D9E3"/>
                                            <w:bottom w:val="single" w:sz="2" w:space="0" w:color="D9D9E3"/>
                                            <w:right w:val="single" w:sz="2" w:space="0" w:color="D9D9E3"/>
                                          </w:divBdr>
                                          <w:divsChild>
                                            <w:div w:id="585647486">
                                              <w:marLeft w:val="0"/>
                                              <w:marRight w:val="0"/>
                                              <w:marTop w:val="0"/>
                                              <w:marBottom w:val="0"/>
                                              <w:divBdr>
                                                <w:top w:val="single" w:sz="2" w:space="0" w:color="D9D9E3"/>
                                                <w:left w:val="single" w:sz="2" w:space="0" w:color="D9D9E3"/>
                                                <w:bottom w:val="single" w:sz="2" w:space="0" w:color="D9D9E3"/>
                                                <w:right w:val="single" w:sz="2" w:space="0" w:color="D9D9E3"/>
                                              </w:divBdr>
                                              <w:divsChild>
                                                <w:div w:id="2123307030">
                                                  <w:marLeft w:val="0"/>
                                                  <w:marRight w:val="0"/>
                                                  <w:marTop w:val="0"/>
                                                  <w:marBottom w:val="0"/>
                                                  <w:divBdr>
                                                    <w:top w:val="single" w:sz="2" w:space="0" w:color="D9D9E3"/>
                                                    <w:left w:val="single" w:sz="2" w:space="0" w:color="D9D9E3"/>
                                                    <w:bottom w:val="single" w:sz="2" w:space="0" w:color="D9D9E3"/>
                                                    <w:right w:val="single" w:sz="2" w:space="0" w:color="D9D9E3"/>
                                                  </w:divBdr>
                                                  <w:divsChild>
                                                    <w:div w:id="4324328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sChild>
    </w:div>
    <w:div w:id="1000037897">
      <w:bodyDiv w:val="1"/>
      <w:marLeft w:val="0"/>
      <w:marRight w:val="0"/>
      <w:marTop w:val="0"/>
      <w:marBottom w:val="0"/>
      <w:divBdr>
        <w:top w:val="none" w:sz="0" w:space="0" w:color="auto"/>
        <w:left w:val="none" w:sz="0" w:space="0" w:color="auto"/>
        <w:bottom w:val="none" w:sz="0" w:space="0" w:color="auto"/>
        <w:right w:val="none" w:sz="0" w:space="0" w:color="auto"/>
      </w:divBdr>
    </w:div>
    <w:div w:id="1009331298">
      <w:bodyDiv w:val="1"/>
      <w:marLeft w:val="0"/>
      <w:marRight w:val="0"/>
      <w:marTop w:val="0"/>
      <w:marBottom w:val="0"/>
      <w:divBdr>
        <w:top w:val="none" w:sz="0" w:space="0" w:color="auto"/>
        <w:left w:val="none" w:sz="0" w:space="0" w:color="auto"/>
        <w:bottom w:val="none" w:sz="0" w:space="0" w:color="auto"/>
        <w:right w:val="none" w:sz="0" w:space="0" w:color="auto"/>
      </w:divBdr>
    </w:div>
    <w:div w:id="1014113515">
      <w:bodyDiv w:val="1"/>
      <w:marLeft w:val="0"/>
      <w:marRight w:val="0"/>
      <w:marTop w:val="0"/>
      <w:marBottom w:val="0"/>
      <w:divBdr>
        <w:top w:val="none" w:sz="0" w:space="0" w:color="auto"/>
        <w:left w:val="none" w:sz="0" w:space="0" w:color="auto"/>
        <w:bottom w:val="none" w:sz="0" w:space="0" w:color="auto"/>
        <w:right w:val="none" w:sz="0" w:space="0" w:color="auto"/>
      </w:divBdr>
      <w:divsChild>
        <w:div w:id="1512799646">
          <w:marLeft w:val="-720"/>
          <w:marRight w:val="0"/>
          <w:marTop w:val="0"/>
          <w:marBottom w:val="0"/>
          <w:divBdr>
            <w:top w:val="none" w:sz="0" w:space="0" w:color="auto"/>
            <w:left w:val="none" w:sz="0" w:space="0" w:color="auto"/>
            <w:bottom w:val="none" w:sz="0" w:space="0" w:color="auto"/>
            <w:right w:val="none" w:sz="0" w:space="0" w:color="auto"/>
          </w:divBdr>
        </w:div>
      </w:divsChild>
    </w:div>
    <w:div w:id="1042754656">
      <w:bodyDiv w:val="1"/>
      <w:marLeft w:val="0"/>
      <w:marRight w:val="0"/>
      <w:marTop w:val="0"/>
      <w:marBottom w:val="0"/>
      <w:divBdr>
        <w:top w:val="none" w:sz="0" w:space="0" w:color="auto"/>
        <w:left w:val="none" w:sz="0" w:space="0" w:color="auto"/>
        <w:bottom w:val="none" w:sz="0" w:space="0" w:color="auto"/>
        <w:right w:val="none" w:sz="0" w:space="0" w:color="auto"/>
      </w:divBdr>
    </w:div>
    <w:div w:id="1044256558">
      <w:bodyDiv w:val="1"/>
      <w:marLeft w:val="0"/>
      <w:marRight w:val="0"/>
      <w:marTop w:val="0"/>
      <w:marBottom w:val="0"/>
      <w:divBdr>
        <w:top w:val="none" w:sz="0" w:space="0" w:color="auto"/>
        <w:left w:val="none" w:sz="0" w:space="0" w:color="auto"/>
        <w:bottom w:val="none" w:sz="0" w:space="0" w:color="auto"/>
        <w:right w:val="none" w:sz="0" w:space="0" w:color="auto"/>
      </w:divBdr>
    </w:div>
    <w:div w:id="1132018921">
      <w:bodyDiv w:val="1"/>
      <w:marLeft w:val="0"/>
      <w:marRight w:val="0"/>
      <w:marTop w:val="0"/>
      <w:marBottom w:val="0"/>
      <w:divBdr>
        <w:top w:val="none" w:sz="0" w:space="0" w:color="auto"/>
        <w:left w:val="none" w:sz="0" w:space="0" w:color="auto"/>
        <w:bottom w:val="none" w:sz="0" w:space="0" w:color="auto"/>
        <w:right w:val="none" w:sz="0" w:space="0" w:color="auto"/>
      </w:divBdr>
    </w:div>
    <w:div w:id="1155494401">
      <w:bodyDiv w:val="1"/>
      <w:marLeft w:val="0"/>
      <w:marRight w:val="0"/>
      <w:marTop w:val="0"/>
      <w:marBottom w:val="0"/>
      <w:divBdr>
        <w:top w:val="none" w:sz="0" w:space="0" w:color="auto"/>
        <w:left w:val="none" w:sz="0" w:space="0" w:color="auto"/>
        <w:bottom w:val="none" w:sz="0" w:space="0" w:color="auto"/>
        <w:right w:val="none" w:sz="0" w:space="0" w:color="auto"/>
      </w:divBdr>
      <w:divsChild>
        <w:div w:id="1305886047">
          <w:marLeft w:val="0"/>
          <w:marRight w:val="0"/>
          <w:marTop w:val="0"/>
          <w:marBottom w:val="0"/>
          <w:divBdr>
            <w:top w:val="single" w:sz="2" w:space="0" w:color="E3E3E3"/>
            <w:left w:val="single" w:sz="2" w:space="0" w:color="E3E3E3"/>
            <w:bottom w:val="single" w:sz="2" w:space="0" w:color="E3E3E3"/>
            <w:right w:val="single" w:sz="2" w:space="0" w:color="E3E3E3"/>
          </w:divBdr>
          <w:divsChild>
            <w:div w:id="916746423">
              <w:marLeft w:val="0"/>
              <w:marRight w:val="0"/>
              <w:marTop w:val="0"/>
              <w:marBottom w:val="0"/>
              <w:divBdr>
                <w:top w:val="single" w:sz="2" w:space="0" w:color="E3E3E3"/>
                <w:left w:val="single" w:sz="2" w:space="0" w:color="E3E3E3"/>
                <w:bottom w:val="single" w:sz="2" w:space="0" w:color="E3E3E3"/>
                <w:right w:val="single" w:sz="2" w:space="0" w:color="E3E3E3"/>
              </w:divBdr>
              <w:divsChild>
                <w:div w:id="2099672230">
                  <w:marLeft w:val="0"/>
                  <w:marRight w:val="0"/>
                  <w:marTop w:val="0"/>
                  <w:marBottom w:val="0"/>
                  <w:divBdr>
                    <w:top w:val="single" w:sz="2" w:space="0" w:color="E3E3E3"/>
                    <w:left w:val="single" w:sz="2" w:space="0" w:color="E3E3E3"/>
                    <w:bottom w:val="single" w:sz="2" w:space="0" w:color="E3E3E3"/>
                    <w:right w:val="single" w:sz="2" w:space="0" w:color="E3E3E3"/>
                  </w:divBdr>
                  <w:divsChild>
                    <w:div w:id="1402562797">
                      <w:marLeft w:val="0"/>
                      <w:marRight w:val="0"/>
                      <w:marTop w:val="0"/>
                      <w:marBottom w:val="0"/>
                      <w:divBdr>
                        <w:top w:val="single" w:sz="2" w:space="0" w:color="E3E3E3"/>
                        <w:left w:val="single" w:sz="2" w:space="0" w:color="E3E3E3"/>
                        <w:bottom w:val="single" w:sz="2" w:space="0" w:color="E3E3E3"/>
                        <w:right w:val="single" w:sz="2" w:space="0" w:color="E3E3E3"/>
                      </w:divBdr>
                      <w:divsChild>
                        <w:div w:id="698354184">
                          <w:marLeft w:val="0"/>
                          <w:marRight w:val="0"/>
                          <w:marTop w:val="0"/>
                          <w:marBottom w:val="0"/>
                          <w:divBdr>
                            <w:top w:val="single" w:sz="2" w:space="0" w:color="E3E3E3"/>
                            <w:left w:val="single" w:sz="2" w:space="0" w:color="E3E3E3"/>
                            <w:bottom w:val="single" w:sz="2" w:space="0" w:color="E3E3E3"/>
                            <w:right w:val="single" w:sz="2" w:space="0" w:color="E3E3E3"/>
                          </w:divBdr>
                          <w:divsChild>
                            <w:div w:id="1437139152">
                              <w:marLeft w:val="0"/>
                              <w:marRight w:val="0"/>
                              <w:marTop w:val="0"/>
                              <w:marBottom w:val="0"/>
                              <w:divBdr>
                                <w:top w:val="single" w:sz="2" w:space="0" w:color="E3E3E3"/>
                                <w:left w:val="single" w:sz="2" w:space="0" w:color="E3E3E3"/>
                                <w:bottom w:val="single" w:sz="2" w:space="0" w:color="E3E3E3"/>
                                <w:right w:val="single" w:sz="2" w:space="0" w:color="E3E3E3"/>
                              </w:divBdr>
                              <w:divsChild>
                                <w:div w:id="2089885437">
                                  <w:marLeft w:val="0"/>
                                  <w:marRight w:val="0"/>
                                  <w:marTop w:val="100"/>
                                  <w:marBottom w:val="100"/>
                                  <w:divBdr>
                                    <w:top w:val="single" w:sz="2" w:space="0" w:color="E3E3E3"/>
                                    <w:left w:val="single" w:sz="2" w:space="0" w:color="E3E3E3"/>
                                    <w:bottom w:val="single" w:sz="2" w:space="0" w:color="E3E3E3"/>
                                    <w:right w:val="single" w:sz="2" w:space="0" w:color="E3E3E3"/>
                                  </w:divBdr>
                                  <w:divsChild>
                                    <w:div w:id="1296713369">
                                      <w:marLeft w:val="0"/>
                                      <w:marRight w:val="0"/>
                                      <w:marTop w:val="0"/>
                                      <w:marBottom w:val="0"/>
                                      <w:divBdr>
                                        <w:top w:val="single" w:sz="2" w:space="0" w:color="E3E3E3"/>
                                        <w:left w:val="single" w:sz="2" w:space="0" w:color="E3E3E3"/>
                                        <w:bottom w:val="single" w:sz="2" w:space="0" w:color="E3E3E3"/>
                                        <w:right w:val="single" w:sz="2" w:space="0" w:color="E3E3E3"/>
                                      </w:divBdr>
                                      <w:divsChild>
                                        <w:div w:id="506748346">
                                          <w:marLeft w:val="0"/>
                                          <w:marRight w:val="0"/>
                                          <w:marTop w:val="0"/>
                                          <w:marBottom w:val="0"/>
                                          <w:divBdr>
                                            <w:top w:val="single" w:sz="2" w:space="0" w:color="E3E3E3"/>
                                            <w:left w:val="single" w:sz="2" w:space="0" w:color="E3E3E3"/>
                                            <w:bottom w:val="single" w:sz="2" w:space="0" w:color="E3E3E3"/>
                                            <w:right w:val="single" w:sz="2" w:space="0" w:color="E3E3E3"/>
                                          </w:divBdr>
                                          <w:divsChild>
                                            <w:div w:id="1816558555">
                                              <w:marLeft w:val="0"/>
                                              <w:marRight w:val="0"/>
                                              <w:marTop w:val="0"/>
                                              <w:marBottom w:val="0"/>
                                              <w:divBdr>
                                                <w:top w:val="single" w:sz="2" w:space="0" w:color="E3E3E3"/>
                                                <w:left w:val="single" w:sz="2" w:space="0" w:color="E3E3E3"/>
                                                <w:bottom w:val="single" w:sz="2" w:space="0" w:color="E3E3E3"/>
                                                <w:right w:val="single" w:sz="2" w:space="0" w:color="E3E3E3"/>
                                              </w:divBdr>
                                              <w:divsChild>
                                                <w:div w:id="151526962">
                                                  <w:marLeft w:val="0"/>
                                                  <w:marRight w:val="0"/>
                                                  <w:marTop w:val="0"/>
                                                  <w:marBottom w:val="0"/>
                                                  <w:divBdr>
                                                    <w:top w:val="single" w:sz="2" w:space="0" w:color="E3E3E3"/>
                                                    <w:left w:val="single" w:sz="2" w:space="0" w:color="E3E3E3"/>
                                                    <w:bottom w:val="single" w:sz="2" w:space="0" w:color="E3E3E3"/>
                                                    <w:right w:val="single" w:sz="2" w:space="0" w:color="E3E3E3"/>
                                                  </w:divBdr>
                                                  <w:divsChild>
                                                    <w:div w:id="427776667">
                                                      <w:marLeft w:val="0"/>
                                                      <w:marRight w:val="0"/>
                                                      <w:marTop w:val="0"/>
                                                      <w:marBottom w:val="0"/>
                                                      <w:divBdr>
                                                        <w:top w:val="single" w:sz="2" w:space="0" w:color="E3E3E3"/>
                                                        <w:left w:val="single" w:sz="2" w:space="0" w:color="E3E3E3"/>
                                                        <w:bottom w:val="single" w:sz="2" w:space="0" w:color="E3E3E3"/>
                                                        <w:right w:val="single" w:sz="2" w:space="0" w:color="E3E3E3"/>
                                                      </w:divBdr>
                                                      <w:divsChild>
                                                        <w:div w:id="152759855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329213885">
          <w:marLeft w:val="0"/>
          <w:marRight w:val="0"/>
          <w:marTop w:val="0"/>
          <w:marBottom w:val="0"/>
          <w:divBdr>
            <w:top w:val="none" w:sz="0" w:space="0" w:color="auto"/>
            <w:left w:val="none" w:sz="0" w:space="0" w:color="auto"/>
            <w:bottom w:val="none" w:sz="0" w:space="0" w:color="auto"/>
            <w:right w:val="none" w:sz="0" w:space="0" w:color="auto"/>
          </w:divBdr>
          <w:divsChild>
            <w:div w:id="35283173">
              <w:marLeft w:val="0"/>
              <w:marRight w:val="0"/>
              <w:marTop w:val="0"/>
              <w:marBottom w:val="0"/>
              <w:divBdr>
                <w:top w:val="single" w:sz="2" w:space="0" w:color="E3E3E3"/>
                <w:left w:val="single" w:sz="2" w:space="0" w:color="E3E3E3"/>
                <w:bottom w:val="single" w:sz="2" w:space="0" w:color="E3E3E3"/>
                <w:right w:val="single" w:sz="2" w:space="0" w:color="E3E3E3"/>
              </w:divBdr>
              <w:divsChild>
                <w:div w:id="1831166259">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 w:id="1171675851">
      <w:bodyDiv w:val="1"/>
      <w:marLeft w:val="0"/>
      <w:marRight w:val="0"/>
      <w:marTop w:val="0"/>
      <w:marBottom w:val="0"/>
      <w:divBdr>
        <w:top w:val="none" w:sz="0" w:space="0" w:color="auto"/>
        <w:left w:val="none" w:sz="0" w:space="0" w:color="auto"/>
        <w:bottom w:val="none" w:sz="0" w:space="0" w:color="auto"/>
        <w:right w:val="none" w:sz="0" w:space="0" w:color="auto"/>
      </w:divBdr>
    </w:div>
    <w:div w:id="1173715957">
      <w:bodyDiv w:val="1"/>
      <w:marLeft w:val="0"/>
      <w:marRight w:val="0"/>
      <w:marTop w:val="0"/>
      <w:marBottom w:val="0"/>
      <w:divBdr>
        <w:top w:val="none" w:sz="0" w:space="0" w:color="auto"/>
        <w:left w:val="none" w:sz="0" w:space="0" w:color="auto"/>
        <w:bottom w:val="none" w:sz="0" w:space="0" w:color="auto"/>
        <w:right w:val="none" w:sz="0" w:space="0" w:color="auto"/>
      </w:divBdr>
    </w:div>
    <w:div w:id="1189293588">
      <w:bodyDiv w:val="1"/>
      <w:marLeft w:val="0"/>
      <w:marRight w:val="0"/>
      <w:marTop w:val="0"/>
      <w:marBottom w:val="0"/>
      <w:divBdr>
        <w:top w:val="none" w:sz="0" w:space="0" w:color="auto"/>
        <w:left w:val="none" w:sz="0" w:space="0" w:color="auto"/>
        <w:bottom w:val="none" w:sz="0" w:space="0" w:color="auto"/>
        <w:right w:val="none" w:sz="0" w:space="0" w:color="auto"/>
      </w:divBdr>
    </w:div>
    <w:div w:id="1254044768">
      <w:bodyDiv w:val="1"/>
      <w:marLeft w:val="0"/>
      <w:marRight w:val="0"/>
      <w:marTop w:val="0"/>
      <w:marBottom w:val="0"/>
      <w:divBdr>
        <w:top w:val="none" w:sz="0" w:space="0" w:color="auto"/>
        <w:left w:val="none" w:sz="0" w:space="0" w:color="auto"/>
        <w:bottom w:val="none" w:sz="0" w:space="0" w:color="auto"/>
        <w:right w:val="none" w:sz="0" w:space="0" w:color="auto"/>
      </w:divBdr>
      <w:divsChild>
        <w:div w:id="1579631183">
          <w:marLeft w:val="0"/>
          <w:marRight w:val="0"/>
          <w:marTop w:val="0"/>
          <w:marBottom w:val="0"/>
          <w:divBdr>
            <w:top w:val="none" w:sz="0" w:space="0" w:color="auto"/>
            <w:left w:val="none" w:sz="0" w:space="0" w:color="auto"/>
            <w:bottom w:val="none" w:sz="0" w:space="0" w:color="auto"/>
            <w:right w:val="none" w:sz="0" w:space="0" w:color="auto"/>
          </w:divBdr>
        </w:div>
      </w:divsChild>
    </w:div>
    <w:div w:id="1261834372">
      <w:bodyDiv w:val="1"/>
      <w:marLeft w:val="0"/>
      <w:marRight w:val="0"/>
      <w:marTop w:val="0"/>
      <w:marBottom w:val="0"/>
      <w:divBdr>
        <w:top w:val="none" w:sz="0" w:space="0" w:color="auto"/>
        <w:left w:val="none" w:sz="0" w:space="0" w:color="auto"/>
        <w:bottom w:val="none" w:sz="0" w:space="0" w:color="auto"/>
        <w:right w:val="none" w:sz="0" w:space="0" w:color="auto"/>
      </w:divBdr>
      <w:divsChild>
        <w:div w:id="578174348">
          <w:marLeft w:val="0"/>
          <w:marRight w:val="0"/>
          <w:marTop w:val="0"/>
          <w:marBottom w:val="0"/>
          <w:divBdr>
            <w:top w:val="none" w:sz="0" w:space="0" w:color="auto"/>
            <w:left w:val="none" w:sz="0" w:space="0" w:color="auto"/>
            <w:bottom w:val="none" w:sz="0" w:space="0" w:color="auto"/>
            <w:right w:val="none" w:sz="0" w:space="0" w:color="auto"/>
          </w:divBdr>
          <w:divsChild>
            <w:div w:id="1608351146">
              <w:marLeft w:val="0"/>
              <w:marRight w:val="0"/>
              <w:marTop w:val="0"/>
              <w:marBottom w:val="0"/>
              <w:divBdr>
                <w:top w:val="none" w:sz="0" w:space="0" w:color="auto"/>
                <w:left w:val="none" w:sz="0" w:space="0" w:color="auto"/>
                <w:bottom w:val="none" w:sz="0" w:space="0" w:color="auto"/>
                <w:right w:val="none" w:sz="0" w:space="0" w:color="auto"/>
              </w:divBdr>
              <w:divsChild>
                <w:div w:id="464157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260116">
      <w:bodyDiv w:val="1"/>
      <w:marLeft w:val="0"/>
      <w:marRight w:val="0"/>
      <w:marTop w:val="0"/>
      <w:marBottom w:val="0"/>
      <w:divBdr>
        <w:top w:val="none" w:sz="0" w:space="0" w:color="auto"/>
        <w:left w:val="none" w:sz="0" w:space="0" w:color="auto"/>
        <w:bottom w:val="none" w:sz="0" w:space="0" w:color="auto"/>
        <w:right w:val="none" w:sz="0" w:space="0" w:color="auto"/>
      </w:divBdr>
      <w:divsChild>
        <w:div w:id="834305141">
          <w:marLeft w:val="-720"/>
          <w:marRight w:val="0"/>
          <w:marTop w:val="0"/>
          <w:marBottom w:val="0"/>
          <w:divBdr>
            <w:top w:val="none" w:sz="0" w:space="0" w:color="auto"/>
            <w:left w:val="none" w:sz="0" w:space="0" w:color="auto"/>
            <w:bottom w:val="none" w:sz="0" w:space="0" w:color="auto"/>
            <w:right w:val="none" w:sz="0" w:space="0" w:color="auto"/>
          </w:divBdr>
        </w:div>
      </w:divsChild>
    </w:div>
    <w:div w:id="1279146735">
      <w:bodyDiv w:val="1"/>
      <w:marLeft w:val="0"/>
      <w:marRight w:val="0"/>
      <w:marTop w:val="0"/>
      <w:marBottom w:val="0"/>
      <w:divBdr>
        <w:top w:val="none" w:sz="0" w:space="0" w:color="auto"/>
        <w:left w:val="none" w:sz="0" w:space="0" w:color="auto"/>
        <w:bottom w:val="none" w:sz="0" w:space="0" w:color="auto"/>
        <w:right w:val="none" w:sz="0" w:space="0" w:color="auto"/>
      </w:divBdr>
    </w:div>
    <w:div w:id="1291858791">
      <w:bodyDiv w:val="1"/>
      <w:marLeft w:val="0"/>
      <w:marRight w:val="0"/>
      <w:marTop w:val="0"/>
      <w:marBottom w:val="0"/>
      <w:divBdr>
        <w:top w:val="none" w:sz="0" w:space="0" w:color="auto"/>
        <w:left w:val="none" w:sz="0" w:space="0" w:color="auto"/>
        <w:bottom w:val="none" w:sz="0" w:space="0" w:color="auto"/>
        <w:right w:val="none" w:sz="0" w:space="0" w:color="auto"/>
      </w:divBdr>
    </w:div>
    <w:div w:id="1292714457">
      <w:bodyDiv w:val="1"/>
      <w:marLeft w:val="0"/>
      <w:marRight w:val="0"/>
      <w:marTop w:val="0"/>
      <w:marBottom w:val="0"/>
      <w:divBdr>
        <w:top w:val="none" w:sz="0" w:space="0" w:color="auto"/>
        <w:left w:val="none" w:sz="0" w:space="0" w:color="auto"/>
        <w:bottom w:val="none" w:sz="0" w:space="0" w:color="auto"/>
        <w:right w:val="none" w:sz="0" w:space="0" w:color="auto"/>
      </w:divBdr>
    </w:div>
    <w:div w:id="1327173424">
      <w:bodyDiv w:val="1"/>
      <w:marLeft w:val="0"/>
      <w:marRight w:val="0"/>
      <w:marTop w:val="0"/>
      <w:marBottom w:val="0"/>
      <w:divBdr>
        <w:top w:val="none" w:sz="0" w:space="0" w:color="auto"/>
        <w:left w:val="none" w:sz="0" w:space="0" w:color="auto"/>
        <w:bottom w:val="none" w:sz="0" w:space="0" w:color="auto"/>
        <w:right w:val="none" w:sz="0" w:space="0" w:color="auto"/>
      </w:divBdr>
      <w:divsChild>
        <w:div w:id="1339624784">
          <w:marLeft w:val="0"/>
          <w:marRight w:val="0"/>
          <w:marTop w:val="0"/>
          <w:marBottom w:val="0"/>
          <w:divBdr>
            <w:top w:val="none" w:sz="0" w:space="0" w:color="auto"/>
            <w:left w:val="none" w:sz="0" w:space="0" w:color="auto"/>
            <w:bottom w:val="none" w:sz="0" w:space="0" w:color="auto"/>
            <w:right w:val="none" w:sz="0" w:space="0" w:color="auto"/>
          </w:divBdr>
          <w:divsChild>
            <w:div w:id="1875001824">
              <w:marLeft w:val="0"/>
              <w:marRight w:val="0"/>
              <w:marTop w:val="0"/>
              <w:marBottom w:val="0"/>
              <w:divBdr>
                <w:top w:val="none" w:sz="0" w:space="0" w:color="auto"/>
                <w:left w:val="none" w:sz="0" w:space="0" w:color="auto"/>
                <w:bottom w:val="none" w:sz="0" w:space="0" w:color="auto"/>
                <w:right w:val="none" w:sz="0" w:space="0" w:color="auto"/>
              </w:divBdr>
              <w:divsChild>
                <w:div w:id="1060903951">
                  <w:marLeft w:val="0"/>
                  <w:marRight w:val="0"/>
                  <w:marTop w:val="0"/>
                  <w:marBottom w:val="0"/>
                  <w:divBdr>
                    <w:top w:val="none" w:sz="0" w:space="0" w:color="auto"/>
                    <w:left w:val="none" w:sz="0" w:space="0" w:color="auto"/>
                    <w:bottom w:val="none" w:sz="0" w:space="0" w:color="auto"/>
                    <w:right w:val="none" w:sz="0" w:space="0" w:color="auto"/>
                  </w:divBdr>
                  <w:divsChild>
                    <w:div w:id="186922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279995">
          <w:marLeft w:val="0"/>
          <w:marRight w:val="0"/>
          <w:marTop w:val="0"/>
          <w:marBottom w:val="0"/>
          <w:divBdr>
            <w:top w:val="none" w:sz="0" w:space="0" w:color="auto"/>
            <w:left w:val="none" w:sz="0" w:space="0" w:color="auto"/>
            <w:bottom w:val="none" w:sz="0" w:space="0" w:color="auto"/>
            <w:right w:val="none" w:sz="0" w:space="0" w:color="auto"/>
          </w:divBdr>
          <w:divsChild>
            <w:div w:id="1682243807">
              <w:marLeft w:val="0"/>
              <w:marRight w:val="0"/>
              <w:marTop w:val="0"/>
              <w:marBottom w:val="0"/>
              <w:divBdr>
                <w:top w:val="none" w:sz="0" w:space="0" w:color="auto"/>
                <w:left w:val="none" w:sz="0" w:space="0" w:color="auto"/>
                <w:bottom w:val="none" w:sz="0" w:space="0" w:color="auto"/>
                <w:right w:val="none" w:sz="0" w:space="0" w:color="auto"/>
              </w:divBdr>
              <w:divsChild>
                <w:div w:id="1367874368">
                  <w:marLeft w:val="0"/>
                  <w:marRight w:val="0"/>
                  <w:marTop w:val="0"/>
                  <w:marBottom w:val="0"/>
                  <w:divBdr>
                    <w:top w:val="none" w:sz="0" w:space="0" w:color="auto"/>
                    <w:left w:val="none" w:sz="0" w:space="0" w:color="auto"/>
                    <w:bottom w:val="none" w:sz="0" w:space="0" w:color="auto"/>
                    <w:right w:val="none" w:sz="0" w:space="0" w:color="auto"/>
                  </w:divBdr>
                  <w:divsChild>
                    <w:div w:id="7336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6246736">
      <w:bodyDiv w:val="1"/>
      <w:marLeft w:val="0"/>
      <w:marRight w:val="0"/>
      <w:marTop w:val="0"/>
      <w:marBottom w:val="0"/>
      <w:divBdr>
        <w:top w:val="none" w:sz="0" w:space="0" w:color="auto"/>
        <w:left w:val="none" w:sz="0" w:space="0" w:color="auto"/>
        <w:bottom w:val="none" w:sz="0" w:space="0" w:color="auto"/>
        <w:right w:val="none" w:sz="0" w:space="0" w:color="auto"/>
      </w:divBdr>
    </w:div>
    <w:div w:id="1372682137">
      <w:bodyDiv w:val="1"/>
      <w:marLeft w:val="0"/>
      <w:marRight w:val="0"/>
      <w:marTop w:val="0"/>
      <w:marBottom w:val="0"/>
      <w:divBdr>
        <w:top w:val="none" w:sz="0" w:space="0" w:color="auto"/>
        <w:left w:val="none" w:sz="0" w:space="0" w:color="auto"/>
        <w:bottom w:val="none" w:sz="0" w:space="0" w:color="auto"/>
        <w:right w:val="none" w:sz="0" w:space="0" w:color="auto"/>
      </w:divBdr>
    </w:div>
    <w:div w:id="1375424669">
      <w:bodyDiv w:val="1"/>
      <w:marLeft w:val="0"/>
      <w:marRight w:val="0"/>
      <w:marTop w:val="0"/>
      <w:marBottom w:val="0"/>
      <w:divBdr>
        <w:top w:val="none" w:sz="0" w:space="0" w:color="auto"/>
        <w:left w:val="none" w:sz="0" w:space="0" w:color="auto"/>
        <w:bottom w:val="none" w:sz="0" w:space="0" w:color="auto"/>
        <w:right w:val="none" w:sz="0" w:space="0" w:color="auto"/>
      </w:divBdr>
      <w:divsChild>
        <w:div w:id="359936703">
          <w:marLeft w:val="0"/>
          <w:marRight w:val="0"/>
          <w:marTop w:val="0"/>
          <w:marBottom w:val="0"/>
          <w:divBdr>
            <w:top w:val="none" w:sz="0" w:space="0" w:color="auto"/>
            <w:left w:val="none" w:sz="0" w:space="0" w:color="auto"/>
            <w:bottom w:val="none" w:sz="0" w:space="0" w:color="auto"/>
            <w:right w:val="none" w:sz="0" w:space="0" w:color="auto"/>
          </w:divBdr>
          <w:divsChild>
            <w:div w:id="1134366478">
              <w:marLeft w:val="0"/>
              <w:marRight w:val="0"/>
              <w:marTop w:val="0"/>
              <w:marBottom w:val="0"/>
              <w:divBdr>
                <w:top w:val="none" w:sz="0" w:space="0" w:color="auto"/>
                <w:left w:val="none" w:sz="0" w:space="0" w:color="auto"/>
                <w:bottom w:val="none" w:sz="0" w:space="0" w:color="auto"/>
                <w:right w:val="none" w:sz="0" w:space="0" w:color="auto"/>
              </w:divBdr>
              <w:divsChild>
                <w:div w:id="314645564">
                  <w:marLeft w:val="0"/>
                  <w:marRight w:val="0"/>
                  <w:marTop w:val="0"/>
                  <w:marBottom w:val="0"/>
                  <w:divBdr>
                    <w:top w:val="none" w:sz="0" w:space="0" w:color="auto"/>
                    <w:left w:val="none" w:sz="0" w:space="0" w:color="auto"/>
                    <w:bottom w:val="none" w:sz="0" w:space="0" w:color="auto"/>
                    <w:right w:val="none" w:sz="0" w:space="0" w:color="auto"/>
                  </w:divBdr>
                  <w:divsChild>
                    <w:div w:id="531500984">
                      <w:marLeft w:val="0"/>
                      <w:marRight w:val="0"/>
                      <w:marTop w:val="0"/>
                      <w:marBottom w:val="0"/>
                      <w:divBdr>
                        <w:top w:val="none" w:sz="0" w:space="0" w:color="auto"/>
                        <w:left w:val="none" w:sz="0" w:space="0" w:color="auto"/>
                        <w:bottom w:val="none" w:sz="0" w:space="0" w:color="auto"/>
                        <w:right w:val="none" w:sz="0" w:space="0" w:color="auto"/>
                      </w:divBdr>
                      <w:divsChild>
                        <w:div w:id="1914195734">
                          <w:marLeft w:val="0"/>
                          <w:marRight w:val="0"/>
                          <w:marTop w:val="0"/>
                          <w:marBottom w:val="0"/>
                          <w:divBdr>
                            <w:top w:val="none" w:sz="0" w:space="0" w:color="auto"/>
                            <w:left w:val="none" w:sz="0" w:space="0" w:color="auto"/>
                            <w:bottom w:val="none" w:sz="0" w:space="0" w:color="auto"/>
                            <w:right w:val="none" w:sz="0" w:space="0" w:color="auto"/>
                          </w:divBdr>
                          <w:divsChild>
                            <w:div w:id="991910064">
                              <w:marLeft w:val="0"/>
                              <w:marRight w:val="0"/>
                              <w:marTop w:val="0"/>
                              <w:marBottom w:val="0"/>
                              <w:divBdr>
                                <w:top w:val="none" w:sz="0" w:space="0" w:color="auto"/>
                                <w:left w:val="none" w:sz="0" w:space="0" w:color="auto"/>
                                <w:bottom w:val="none" w:sz="0" w:space="0" w:color="auto"/>
                                <w:right w:val="none" w:sz="0" w:space="0" w:color="auto"/>
                              </w:divBdr>
                              <w:divsChild>
                                <w:div w:id="1605455178">
                                  <w:marLeft w:val="0"/>
                                  <w:marRight w:val="0"/>
                                  <w:marTop w:val="0"/>
                                  <w:marBottom w:val="0"/>
                                  <w:divBdr>
                                    <w:top w:val="none" w:sz="0" w:space="0" w:color="auto"/>
                                    <w:left w:val="none" w:sz="0" w:space="0" w:color="auto"/>
                                    <w:bottom w:val="none" w:sz="0" w:space="0" w:color="auto"/>
                                    <w:right w:val="none" w:sz="0" w:space="0" w:color="auto"/>
                                  </w:divBdr>
                                  <w:divsChild>
                                    <w:div w:id="41590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5607534">
      <w:bodyDiv w:val="1"/>
      <w:marLeft w:val="0"/>
      <w:marRight w:val="0"/>
      <w:marTop w:val="0"/>
      <w:marBottom w:val="0"/>
      <w:divBdr>
        <w:top w:val="none" w:sz="0" w:space="0" w:color="auto"/>
        <w:left w:val="none" w:sz="0" w:space="0" w:color="auto"/>
        <w:bottom w:val="none" w:sz="0" w:space="0" w:color="auto"/>
        <w:right w:val="none" w:sz="0" w:space="0" w:color="auto"/>
      </w:divBdr>
    </w:div>
    <w:div w:id="1488932609">
      <w:bodyDiv w:val="1"/>
      <w:marLeft w:val="0"/>
      <w:marRight w:val="0"/>
      <w:marTop w:val="0"/>
      <w:marBottom w:val="0"/>
      <w:divBdr>
        <w:top w:val="none" w:sz="0" w:space="0" w:color="auto"/>
        <w:left w:val="none" w:sz="0" w:space="0" w:color="auto"/>
        <w:bottom w:val="none" w:sz="0" w:space="0" w:color="auto"/>
        <w:right w:val="none" w:sz="0" w:space="0" w:color="auto"/>
      </w:divBdr>
    </w:div>
    <w:div w:id="1511335298">
      <w:bodyDiv w:val="1"/>
      <w:marLeft w:val="0"/>
      <w:marRight w:val="0"/>
      <w:marTop w:val="0"/>
      <w:marBottom w:val="0"/>
      <w:divBdr>
        <w:top w:val="none" w:sz="0" w:space="0" w:color="auto"/>
        <w:left w:val="none" w:sz="0" w:space="0" w:color="auto"/>
        <w:bottom w:val="none" w:sz="0" w:space="0" w:color="auto"/>
        <w:right w:val="none" w:sz="0" w:space="0" w:color="auto"/>
      </w:divBdr>
    </w:div>
    <w:div w:id="1516269615">
      <w:bodyDiv w:val="1"/>
      <w:marLeft w:val="0"/>
      <w:marRight w:val="0"/>
      <w:marTop w:val="0"/>
      <w:marBottom w:val="0"/>
      <w:divBdr>
        <w:top w:val="none" w:sz="0" w:space="0" w:color="auto"/>
        <w:left w:val="none" w:sz="0" w:space="0" w:color="auto"/>
        <w:bottom w:val="none" w:sz="0" w:space="0" w:color="auto"/>
        <w:right w:val="none" w:sz="0" w:space="0" w:color="auto"/>
      </w:divBdr>
    </w:div>
    <w:div w:id="1549147298">
      <w:bodyDiv w:val="1"/>
      <w:marLeft w:val="0"/>
      <w:marRight w:val="0"/>
      <w:marTop w:val="0"/>
      <w:marBottom w:val="0"/>
      <w:divBdr>
        <w:top w:val="none" w:sz="0" w:space="0" w:color="auto"/>
        <w:left w:val="none" w:sz="0" w:space="0" w:color="auto"/>
        <w:bottom w:val="none" w:sz="0" w:space="0" w:color="auto"/>
        <w:right w:val="none" w:sz="0" w:space="0" w:color="auto"/>
      </w:divBdr>
      <w:divsChild>
        <w:div w:id="1827167144">
          <w:marLeft w:val="0"/>
          <w:marRight w:val="0"/>
          <w:marTop w:val="0"/>
          <w:marBottom w:val="0"/>
          <w:divBdr>
            <w:top w:val="none" w:sz="0" w:space="0" w:color="auto"/>
            <w:left w:val="none" w:sz="0" w:space="0" w:color="auto"/>
            <w:bottom w:val="none" w:sz="0" w:space="0" w:color="auto"/>
            <w:right w:val="none" w:sz="0" w:space="0" w:color="auto"/>
          </w:divBdr>
        </w:div>
      </w:divsChild>
    </w:div>
    <w:div w:id="1556116901">
      <w:bodyDiv w:val="1"/>
      <w:marLeft w:val="0"/>
      <w:marRight w:val="0"/>
      <w:marTop w:val="0"/>
      <w:marBottom w:val="0"/>
      <w:divBdr>
        <w:top w:val="none" w:sz="0" w:space="0" w:color="auto"/>
        <w:left w:val="none" w:sz="0" w:space="0" w:color="auto"/>
        <w:bottom w:val="none" w:sz="0" w:space="0" w:color="auto"/>
        <w:right w:val="none" w:sz="0" w:space="0" w:color="auto"/>
      </w:divBdr>
      <w:divsChild>
        <w:div w:id="2065374719">
          <w:marLeft w:val="0"/>
          <w:marRight w:val="0"/>
          <w:marTop w:val="0"/>
          <w:marBottom w:val="0"/>
          <w:divBdr>
            <w:top w:val="none" w:sz="0" w:space="0" w:color="auto"/>
            <w:left w:val="none" w:sz="0" w:space="0" w:color="auto"/>
            <w:bottom w:val="none" w:sz="0" w:space="0" w:color="auto"/>
            <w:right w:val="none" w:sz="0" w:space="0" w:color="auto"/>
          </w:divBdr>
          <w:divsChild>
            <w:div w:id="781457670">
              <w:marLeft w:val="0"/>
              <w:marRight w:val="0"/>
              <w:marTop w:val="0"/>
              <w:marBottom w:val="0"/>
              <w:divBdr>
                <w:top w:val="none" w:sz="0" w:space="0" w:color="auto"/>
                <w:left w:val="none" w:sz="0" w:space="0" w:color="auto"/>
                <w:bottom w:val="none" w:sz="0" w:space="0" w:color="auto"/>
                <w:right w:val="none" w:sz="0" w:space="0" w:color="auto"/>
              </w:divBdr>
              <w:divsChild>
                <w:div w:id="993533508">
                  <w:marLeft w:val="0"/>
                  <w:marRight w:val="0"/>
                  <w:marTop w:val="0"/>
                  <w:marBottom w:val="0"/>
                  <w:divBdr>
                    <w:top w:val="none" w:sz="0" w:space="0" w:color="auto"/>
                    <w:left w:val="none" w:sz="0" w:space="0" w:color="auto"/>
                    <w:bottom w:val="none" w:sz="0" w:space="0" w:color="auto"/>
                    <w:right w:val="none" w:sz="0" w:space="0" w:color="auto"/>
                  </w:divBdr>
                  <w:divsChild>
                    <w:div w:id="890727603">
                      <w:marLeft w:val="0"/>
                      <w:marRight w:val="0"/>
                      <w:marTop w:val="0"/>
                      <w:marBottom w:val="0"/>
                      <w:divBdr>
                        <w:top w:val="none" w:sz="0" w:space="0" w:color="auto"/>
                        <w:left w:val="none" w:sz="0" w:space="0" w:color="auto"/>
                        <w:bottom w:val="none" w:sz="0" w:space="0" w:color="auto"/>
                        <w:right w:val="none" w:sz="0" w:space="0" w:color="auto"/>
                      </w:divBdr>
                      <w:divsChild>
                        <w:div w:id="2014145628">
                          <w:marLeft w:val="0"/>
                          <w:marRight w:val="0"/>
                          <w:marTop w:val="0"/>
                          <w:marBottom w:val="0"/>
                          <w:divBdr>
                            <w:top w:val="none" w:sz="0" w:space="0" w:color="auto"/>
                            <w:left w:val="none" w:sz="0" w:space="0" w:color="auto"/>
                            <w:bottom w:val="none" w:sz="0" w:space="0" w:color="auto"/>
                            <w:right w:val="none" w:sz="0" w:space="0" w:color="auto"/>
                          </w:divBdr>
                          <w:divsChild>
                            <w:div w:id="975110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0020214">
      <w:bodyDiv w:val="1"/>
      <w:marLeft w:val="0"/>
      <w:marRight w:val="0"/>
      <w:marTop w:val="0"/>
      <w:marBottom w:val="0"/>
      <w:divBdr>
        <w:top w:val="none" w:sz="0" w:space="0" w:color="auto"/>
        <w:left w:val="none" w:sz="0" w:space="0" w:color="auto"/>
        <w:bottom w:val="none" w:sz="0" w:space="0" w:color="auto"/>
        <w:right w:val="none" w:sz="0" w:space="0" w:color="auto"/>
      </w:divBdr>
    </w:div>
    <w:div w:id="1606036445">
      <w:bodyDiv w:val="1"/>
      <w:marLeft w:val="0"/>
      <w:marRight w:val="0"/>
      <w:marTop w:val="0"/>
      <w:marBottom w:val="0"/>
      <w:divBdr>
        <w:top w:val="none" w:sz="0" w:space="0" w:color="auto"/>
        <w:left w:val="none" w:sz="0" w:space="0" w:color="auto"/>
        <w:bottom w:val="none" w:sz="0" w:space="0" w:color="auto"/>
        <w:right w:val="none" w:sz="0" w:space="0" w:color="auto"/>
      </w:divBdr>
      <w:divsChild>
        <w:div w:id="498812161">
          <w:marLeft w:val="0"/>
          <w:marRight w:val="0"/>
          <w:marTop w:val="0"/>
          <w:marBottom w:val="0"/>
          <w:divBdr>
            <w:top w:val="single" w:sz="2" w:space="0" w:color="D9D9E3"/>
            <w:left w:val="single" w:sz="2" w:space="0" w:color="D9D9E3"/>
            <w:bottom w:val="single" w:sz="2" w:space="0" w:color="D9D9E3"/>
            <w:right w:val="single" w:sz="2" w:space="0" w:color="D9D9E3"/>
          </w:divBdr>
          <w:divsChild>
            <w:div w:id="877857323">
              <w:marLeft w:val="0"/>
              <w:marRight w:val="0"/>
              <w:marTop w:val="0"/>
              <w:marBottom w:val="0"/>
              <w:divBdr>
                <w:top w:val="single" w:sz="2" w:space="0" w:color="D9D9E3"/>
                <w:left w:val="single" w:sz="2" w:space="0" w:color="D9D9E3"/>
                <w:bottom w:val="single" w:sz="2" w:space="0" w:color="D9D9E3"/>
                <w:right w:val="single" w:sz="2" w:space="0" w:color="D9D9E3"/>
              </w:divBdr>
              <w:divsChild>
                <w:div w:id="718942766">
                  <w:marLeft w:val="0"/>
                  <w:marRight w:val="0"/>
                  <w:marTop w:val="0"/>
                  <w:marBottom w:val="0"/>
                  <w:divBdr>
                    <w:top w:val="single" w:sz="2" w:space="0" w:color="D9D9E3"/>
                    <w:left w:val="single" w:sz="2" w:space="0" w:color="D9D9E3"/>
                    <w:bottom w:val="single" w:sz="2" w:space="0" w:color="D9D9E3"/>
                    <w:right w:val="single" w:sz="2" w:space="0" w:color="D9D9E3"/>
                  </w:divBdr>
                  <w:divsChild>
                    <w:div w:id="1958489015">
                      <w:marLeft w:val="0"/>
                      <w:marRight w:val="0"/>
                      <w:marTop w:val="0"/>
                      <w:marBottom w:val="0"/>
                      <w:divBdr>
                        <w:top w:val="single" w:sz="2" w:space="0" w:color="D9D9E3"/>
                        <w:left w:val="single" w:sz="2" w:space="0" w:color="D9D9E3"/>
                        <w:bottom w:val="single" w:sz="2" w:space="0" w:color="D9D9E3"/>
                        <w:right w:val="single" w:sz="2" w:space="0" w:color="D9D9E3"/>
                      </w:divBdr>
                      <w:divsChild>
                        <w:div w:id="676999998">
                          <w:marLeft w:val="0"/>
                          <w:marRight w:val="0"/>
                          <w:marTop w:val="0"/>
                          <w:marBottom w:val="0"/>
                          <w:divBdr>
                            <w:top w:val="none" w:sz="0" w:space="0" w:color="auto"/>
                            <w:left w:val="none" w:sz="0" w:space="0" w:color="auto"/>
                            <w:bottom w:val="none" w:sz="0" w:space="0" w:color="auto"/>
                            <w:right w:val="none" w:sz="0" w:space="0" w:color="auto"/>
                          </w:divBdr>
                          <w:divsChild>
                            <w:div w:id="390271789">
                              <w:marLeft w:val="0"/>
                              <w:marRight w:val="0"/>
                              <w:marTop w:val="100"/>
                              <w:marBottom w:val="100"/>
                              <w:divBdr>
                                <w:top w:val="single" w:sz="2" w:space="0" w:color="D9D9E3"/>
                                <w:left w:val="single" w:sz="2" w:space="0" w:color="D9D9E3"/>
                                <w:bottom w:val="single" w:sz="2" w:space="0" w:color="D9D9E3"/>
                                <w:right w:val="single" w:sz="2" w:space="0" w:color="D9D9E3"/>
                              </w:divBdr>
                              <w:divsChild>
                                <w:div w:id="799227539">
                                  <w:marLeft w:val="0"/>
                                  <w:marRight w:val="0"/>
                                  <w:marTop w:val="0"/>
                                  <w:marBottom w:val="0"/>
                                  <w:divBdr>
                                    <w:top w:val="single" w:sz="2" w:space="0" w:color="D9D9E3"/>
                                    <w:left w:val="single" w:sz="2" w:space="0" w:color="D9D9E3"/>
                                    <w:bottom w:val="single" w:sz="2" w:space="0" w:color="D9D9E3"/>
                                    <w:right w:val="single" w:sz="2" w:space="0" w:color="D9D9E3"/>
                                  </w:divBdr>
                                  <w:divsChild>
                                    <w:div w:id="508834103">
                                      <w:marLeft w:val="0"/>
                                      <w:marRight w:val="0"/>
                                      <w:marTop w:val="0"/>
                                      <w:marBottom w:val="0"/>
                                      <w:divBdr>
                                        <w:top w:val="single" w:sz="2" w:space="0" w:color="D9D9E3"/>
                                        <w:left w:val="single" w:sz="2" w:space="0" w:color="D9D9E3"/>
                                        <w:bottom w:val="single" w:sz="2" w:space="0" w:color="D9D9E3"/>
                                        <w:right w:val="single" w:sz="2" w:space="0" w:color="D9D9E3"/>
                                      </w:divBdr>
                                      <w:divsChild>
                                        <w:div w:id="1800681360">
                                          <w:marLeft w:val="0"/>
                                          <w:marRight w:val="0"/>
                                          <w:marTop w:val="0"/>
                                          <w:marBottom w:val="0"/>
                                          <w:divBdr>
                                            <w:top w:val="single" w:sz="2" w:space="0" w:color="D9D9E3"/>
                                            <w:left w:val="single" w:sz="2" w:space="0" w:color="D9D9E3"/>
                                            <w:bottom w:val="single" w:sz="2" w:space="0" w:color="D9D9E3"/>
                                            <w:right w:val="single" w:sz="2" w:space="0" w:color="D9D9E3"/>
                                          </w:divBdr>
                                          <w:divsChild>
                                            <w:div w:id="2009744475">
                                              <w:marLeft w:val="0"/>
                                              <w:marRight w:val="0"/>
                                              <w:marTop w:val="0"/>
                                              <w:marBottom w:val="0"/>
                                              <w:divBdr>
                                                <w:top w:val="single" w:sz="2" w:space="0" w:color="D9D9E3"/>
                                                <w:left w:val="single" w:sz="2" w:space="0" w:color="D9D9E3"/>
                                                <w:bottom w:val="single" w:sz="2" w:space="0" w:color="D9D9E3"/>
                                                <w:right w:val="single" w:sz="2" w:space="0" w:color="D9D9E3"/>
                                              </w:divBdr>
                                              <w:divsChild>
                                                <w:div w:id="714157306">
                                                  <w:marLeft w:val="0"/>
                                                  <w:marRight w:val="0"/>
                                                  <w:marTop w:val="0"/>
                                                  <w:marBottom w:val="0"/>
                                                  <w:divBdr>
                                                    <w:top w:val="single" w:sz="2" w:space="0" w:color="D9D9E3"/>
                                                    <w:left w:val="single" w:sz="2" w:space="0" w:color="D9D9E3"/>
                                                    <w:bottom w:val="single" w:sz="2" w:space="0" w:color="D9D9E3"/>
                                                    <w:right w:val="single" w:sz="2" w:space="0" w:color="D9D9E3"/>
                                                  </w:divBdr>
                                                  <w:divsChild>
                                                    <w:div w:id="1798722433">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703210211">
          <w:marLeft w:val="0"/>
          <w:marRight w:val="0"/>
          <w:marTop w:val="0"/>
          <w:marBottom w:val="0"/>
          <w:divBdr>
            <w:top w:val="none" w:sz="0" w:space="0" w:color="auto"/>
            <w:left w:val="none" w:sz="0" w:space="0" w:color="auto"/>
            <w:bottom w:val="none" w:sz="0" w:space="0" w:color="auto"/>
            <w:right w:val="none" w:sz="0" w:space="0" w:color="auto"/>
          </w:divBdr>
          <w:divsChild>
            <w:div w:id="468976931">
              <w:marLeft w:val="0"/>
              <w:marRight w:val="0"/>
              <w:marTop w:val="0"/>
              <w:marBottom w:val="0"/>
              <w:divBdr>
                <w:top w:val="single" w:sz="2" w:space="0" w:color="D9D9E3"/>
                <w:left w:val="single" w:sz="2" w:space="0" w:color="D9D9E3"/>
                <w:bottom w:val="single" w:sz="2" w:space="0" w:color="D9D9E3"/>
                <w:right w:val="single" w:sz="2" w:space="0" w:color="D9D9E3"/>
              </w:divBdr>
              <w:divsChild>
                <w:div w:id="1407653894">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625889721">
      <w:bodyDiv w:val="1"/>
      <w:marLeft w:val="0"/>
      <w:marRight w:val="0"/>
      <w:marTop w:val="0"/>
      <w:marBottom w:val="0"/>
      <w:divBdr>
        <w:top w:val="none" w:sz="0" w:space="0" w:color="auto"/>
        <w:left w:val="none" w:sz="0" w:space="0" w:color="auto"/>
        <w:bottom w:val="none" w:sz="0" w:space="0" w:color="auto"/>
        <w:right w:val="none" w:sz="0" w:space="0" w:color="auto"/>
      </w:divBdr>
    </w:div>
    <w:div w:id="1632008690">
      <w:bodyDiv w:val="1"/>
      <w:marLeft w:val="0"/>
      <w:marRight w:val="0"/>
      <w:marTop w:val="0"/>
      <w:marBottom w:val="0"/>
      <w:divBdr>
        <w:top w:val="none" w:sz="0" w:space="0" w:color="auto"/>
        <w:left w:val="none" w:sz="0" w:space="0" w:color="auto"/>
        <w:bottom w:val="none" w:sz="0" w:space="0" w:color="auto"/>
        <w:right w:val="none" w:sz="0" w:space="0" w:color="auto"/>
      </w:divBdr>
    </w:div>
    <w:div w:id="1656571024">
      <w:bodyDiv w:val="1"/>
      <w:marLeft w:val="0"/>
      <w:marRight w:val="0"/>
      <w:marTop w:val="0"/>
      <w:marBottom w:val="0"/>
      <w:divBdr>
        <w:top w:val="none" w:sz="0" w:space="0" w:color="auto"/>
        <w:left w:val="none" w:sz="0" w:space="0" w:color="auto"/>
        <w:bottom w:val="none" w:sz="0" w:space="0" w:color="auto"/>
        <w:right w:val="none" w:sz="0" w:space="0" w:color="auto"/>
      </w:divBdr>
    </w:div>
    <w:div w:id="1694838626">
      <w:bodyDiv w:val="1"/>
      <w:marLeft w:val="0"/>
      <w:marRight w:val="0"/>
      <w:marTop w:val="0"/>
      <w:marBottom w:val="0"/>
      <w:divBdr>
        <w:top w:val="none" w:sz="0" w:space="0" w:color="auto"/>
        <w:left w:val="none" w:sz="0" w:space="0" w:color="auto"/>
        <w:bottom w:val="none" w:sz="0" w:space="0" w:color="auto"/>
        <w:right w:val="none" w:sz="0" w:space="0" w:color="auto"/>
      </w:divBdr>
      <w:divsChild>
        <w:div w:id="294066641">
          <w:marLeft w:val="0"/>
          <w:marRight w:val="0"/>
          <w:marTop w:val="0"/>
          <w:marBottom w:val="0"/>
          <w:divBdr>
            <w:top w:val="none" w:sz="0" w:space="0" w:color="auto"/>
            <w:left w:val="none" w:sz="0" w:space="0" w:color="auto"/>
            <w:bottom w:val="none" w:sz="0" w:space="0" w:color="auto"/>
            <w:right w:val="none" w:sz="0" w:space="0" w:color="auto"/>
          </w:divBdr>
          <w:divsChild>
            <w:div w:id="2094279313">
              <w:marLeft w:val="0"/>
              <w:marRight w:val="0"/>
              <w:marTop w:val="0"/>
              <w:marBottom w:val="0"/>
              <w:divBdr>
                <w:top w:val="none" w:sz="0" w:space="0" w:color="auto"/>
                <w:left w:val="none" w:sz="0" w:space="0" w:color="auto"/>
                <w:bottom w:val="none" w:sz="0" w:space="0" w:color="auto"/>
                <w:right w:val="none" w:sz="0" w:space="0" w:color="auto"/>
              </w:divBdr>
              <w:divsChild>
                <w:div w:id="206432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7044246">
          <w:marLeft w:val="0"/>
          <w:marRight w:val="0"/>
          <w:marTop w:val="0"/>
          <w:marBottom w:val="0"/>
          <w:divBdr>
            <w:top w:val="none" w:sz="0" w:space="0" w:color="auto"/>
            <w:left w:val="none" w:sz="0" w:space="0" w:color="auto"/>
            <w:bottom w:val="none" w:sz="0" w:space="0" w:color="auto"/>
            <w:right w:val="none" w:sz="0" w:space="0" w:color="auto"/>
          </w:divBdr>
          <w:divsChild>
            <w:div w:id="1777748719">
              <w:marLeft w:val="0"/>
              <w:marRight w:val="0"/>
              <w:marTop w:val="0"/>
              <w:marBottom w:val="0"/>
              <w:divBdr>
                <w:top w:val="none" w:sz="0" w:space="0" w:color="auto"/>
                <w:left w:val="none" w:sz="0" w:space="0" w:color="auto"/>
                <w:bottom w:val="none" w:sz="0" w:space="0" w:color="auto"/>
                <w:right w:val="none" w:sz="0" w:space="0" w:color="auto"/>
              </w:divBdr>
              <w:divsChild>
                <w:div w:id="2084182941">
                  <w:marLeft w:val="0"/>
                  <w:marRight w:val="0"/>
                  <w:marTop w:val="0"/>
                  <w:marBottom w:val="0"/>
                  <w:divBdr>
                    <w:top w:val="none" w:sz="0" w:space="0" w:color="auto"/>
                    <w:left w:val="none" w:sz="0" w:space="0" w:color="auto"/>
                    <w:bottom w:val="none" w:sz="0" w:space="0" w:color="auto"/>
                    <w:right w:val="none" w:sz="0" w:space="0" w:color="auto"/>
                  </w:divBdr>
                  <w:divsChild>
                    <w:div w:id="1160119620">
                      <w:marLeft w:val="0"/>
                      <w:marRight w:val="0"/>
                      <w:marTop w:val="0"/>
                      <w:marBottom w:val="0"/>
                      <w:divBdr>
                        <w:top w:val="none" w:sz="0" w:space="0" w:color="auto"/>
                        <w:left w:val="none" w:sz="0" w:space="0" w:color="auto"/>
                        <w:bottom w:val="none" w:sz="0" w:space="0" w:color="auto"/>
                        <w:right w:val="none" w:sz="0" w:space="0" w:color="auto"/>
                      </w:divBdr>
                      <w:divsChild>
                        <w:div w:id="276376564">
                          <w:marLeft w:val="0"/>
                          <w:marRight w:val="0"/>
                          <w:marTop w:val="0"/>
                          <w:marBottom w:val="0"/>
                          <w:divBdr>
                            <w:top w:val="none" w:sz="0" w:space="0" w:color="auto"/>
                            <w:left w:val="none" w:sz="0" w:space="0" w:color="auto"/>
                            <w:bottom w:val="none" w:sz="0" w:space="0" w:color="auto"/>
                            <w:right w:val="none" w:sz="0" w:space="0" w:color="auto"/>
                          </w:divBdr>
                          <w:divsChild>
                            <w:div w:id="772092331">
                              <w:marLeft w:val="0"/>
                              <w:marRight w:val="0"/>
                              <w:marTop w:val="0"/>
                              <w:marBottom w:val="0"/>
                              <w:divBdr>
                                <w:top w:val="none" w:sz="0" w:space="0" w:color="auto"/>
                                <w:left w:val="none" w:sz="0" w:space="0" w:color="auto"/>
                                <w:bottom w:val="none" w:sz="0" w:space="0" w:color="auto"/>
                                <w:right w:val="none" w:sz="0" w:space="0" w:color="auto"/>
                              </w:divBdr>
                              <w:divsChild>
                                <w:div w:id="1674189347">
                                  <w:marLeft w:val="0"/>
                                  <w:marRight w:val="0"/>
                                  <w:marTop w:val="0"/>
                                  <w:marBottom w:val="0"/>
                                  <w:divBdr>
                                    <w:top w:val="none" w:sz="0" w:space="0" w:color="auto"/>
                                    <w:left w:val="none" w:sz="0" w:space="0" w:color="auto"/>
                                    <w:bottom w:val="none" w:sz="0" w:space="0" w:color="auto"/>
                                    <w:right w:val="none" w:sz="0" w:space="0" w:color="auto"/>
                                  </w:divBdr>
                                  <w:divsChild>
                                    <w:div w:id="795443001">
                                      <w:marLeft w:val="0"/>
                                      <w:marRight w:val="0"/>
                                      <w:marTop w:val="0"/>
                                      <w:marBottom w:val="0"/>
                                      <w:divBdr>
                                        <w:top w:val="none" w:sz="0" w:space="0" w:color="auto"/>
                                        <w:left w:val="none" w:sz="0" w:space="0" w:color="auto"/>
                                        <w:bottom w:val="none" w:sz="0" w:space="0" w:color="auto"/>
                                        <w:right w:val="none" w:sz="0" w:space="0" w:color="auto"/>
                                      </w:divBdr>
                                      <w:divsChild>
                                        <w:div w:id="1763716374">
                                          <w:marLeft w:val="0"/>
                                          <w:marRight w:val="0"/>
                                          <w:marTop w:val="0"/>
                                          <w:marBottom w:val="0"/>
                                          <w:divBdr>
                                            <w:top w:val="none" w:sz="0" w:space="0" w:color="auto"/>
                                            <w:left w:val="none" w:sz="0" w:space="0" w:color="auto"/>
                                            <w:bottom w:val="none" w:sz="0" w:space="0" w:color="auto"/>
                                            <w:right w:val="none" w:sz="0" w:space="0" w:color="auto"/>
                                          </w:divBdr>
                                          <w:divsChild>
                                            <w:div w:id="328219198">
                                              <w:marLeft w:val="0"/>
                                              <w:marRight w:val="0"/>
                                              <w:marTop w:val="0"/>
                                              <w:marBottom w:val="0"/>
                                              <w:divBdr>
                                                <w:top w:val="none" w:sz="0" w:space="0" w:color="auto"/>
                                                <w:left w:val="none" w:sz="0" w:space="0" w:color="auto"/>
                                                <w:bottom w:val="none" w:sz="0" w:space="0" w:color="auto"/>
                                                <w:right w:val="none" w:sz="0" w:space="0" w:color="auto"/>
                                              </w:divBdr>
                                              <w:divsChild>
                                                <w:div w:id="1852064676">
                                                  <w:marLeft w:val="0"/>
                                                  <w:marRight w:val="0"/>
                                                  <w:marTop w:val="0"/>
                                                  <w:marBottom w:val="0"/>
                                                  <w:divBdr>
                                                    <w:top w:val="none" w:sz="0" w:space="0" w:color="auto"/>
                                                    <w:left w:val="none" w:sz="0" w:space="0" w:color="auto"/>
                                                    <w:bottom w:val="none" w:sz="0" w:space="0" w:color="auto"/>
                                                    <w:right w:val="none" w:sz="0" w:space="0" w:color="auto"/>
                                                  </w:divBdr>
                                                  <w:divsChild>
                                                    <w:div w:id="980813737">
                                                      <w:marLeft w:val="0"/>
                                                      <w:marRight w:val="0"/>
                                                      <w:marTop w:val="0"/>
                                                      <w:marBottom w:val="0"/>
                                                      <w:divBdr>
                                                        <w:top w:val="none" w:sz="0" w:space="0" w:color="auto"/>
                                                        <w:left w:val="none" w:sz="0" w:space="0" w:color="auto"/>
                                                        <w:bottom w:val="none" w:sz="0" w:space="0" w:color="auto"/>
                                                        <w:right w:val="none" w:sz="0" w:space="0" w:color="auto"/>
                                                      </w:divBdr>
                                                      <w:divsChild>
                                                        <w:div w:id="1321153571">
                                                          <w:marLeft w:val="0"/>
                                                          <w:marRight w:val="0"/>
                                                          <w:marTop w:val="0"/>
                                                          <w:marBottom w:val="0"/>
                                                          <w:divBdr>
                                                            <w:top w:val="none" w:sz="0" w:space="0" w:color="auto"/>
                                                            <w:left w:val="none" w:sz="0" w:space="0" w:color="auto"/>
                                                            <w:bottom w:val="none" w:sz="0" w:space="0" w:color="auto"/>
                                                            <w:right w:val="none" w:sz="0" w:space="0" w:color="auto"/>
                                                          </w:divBdr>
                                                          <w:divsChild>
                                                            <w:div w:id="4599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753890266">
      <w:bodyDiv w:val="1"/>
      <w:marLeft w:val="0"/>
      <w:marRight w:val="0"/>
      <w:marTop w:val="0"/>
      <w:marBottom w:val="0"/>
      <w:divBdr>
        <w:top w:val="none" w:sz="0" w:space="0" w:color="auto"/>
        <w:left w:val="none" w:sz="0" w:space="0" w:color="auto"/>
        <w:bottom w:val="none" w:sz="0" w:space="0" w:color="auto"/>
        <w:right w:val="none" w:sz="0" w:space="0" w:color="auto"/>
      </w:divBdr>
    </w:div>
    <w:div w:id="1753963872">
      <w:bodyDiv w:val="1"/>
      <w:marLeft w:val="0"/>
      <w:marRight w:val="0"/>
      <w:marTop w:val="0"/>
      <w:marBottom w:val="0"/>
      <w:divBdr>
        <w:top w:val="none" w:sz="0" w:space="0" w:color="auto"/>
        <w:left w:val="none" w:sz="0" w:space="0" w:color="auto"/>
        <w:bottom w:val="none" w:sz="0" w:space="0" w:color="auto"/>
        <w:right w:val="none" w:sz="0" w:space="0" w:color="auto"/>
      </w:divBdr>
      <w:divsChild>
        <w:div w:id="738133195">
          <w:marLeft w:val="-720"/>
          <w:marRight w:val="0"/>
          <w:marTop w:val="0"/>
          <w:marBottom w:val="0"/>
          <w:divBdr>
            <w:top w:val="none" w:sz="0" w:space="0" w:color="auto"/>
            <w:left w:val="none" w:sz="0" w:space="0" w:color="auto"/>
            <w:bottom w:val="none" w:sz="0" w:space="0" w:color="auto"/>
            <w:right w:val="none" w:sz="0" w:space="0" w:color="auto"/>
          </w:divBdr>
        </w:div>
      </w:divsChild>
    </w:div>
    <w:div w:id="1766850632">
      <w:bodyDiv w:val="1"/>
      <w:marLeft w:val="0"/>
      <w:marRight w:val="0"/>
      <w:marTop w:val="0"/>
      <w:marBottom w:val="0"/>
      <w:divBdr>
        <w:top w:val="none" w:sz="0" w:space="0" w:color="auto"/>
        <w:left w:val="none" w:sz="0" w:space="0" w:color="auto"/>
        <w:bottom w:val="none" w:sz="0" w:space="0" w:color="auto"/>
        <w:right w:val="none" w:sz="0" w:space="0" w:color="auto"/>
      </w:divBdr>
    </w:div>
    <w:div w:id="1787387543">
      <w:bodyDiv w:val="1"/>
      <w:marLeft w:val="0"/>
      <w:marRight w:val="0"/>
      <w:marTop w:val="0"/>
      <w:marBottom w:val="0"/>
      <w:divBdr>
        <w:top w:val="none" w:sz="0" w:space="0" w:color="auto"/>
        <w:left w:val="none" w:sz="0" w:space="0" w:color="auto"/>
        <w:bottom w:val="none" w:sz="0" w:space="0" w:color="auto"/>
        <w:right w:val="none" w:sz="0" w:space="0" w:color="auto"/>
      </w:divBdr>
    </w:div>
    <w:div w:id="1813787763">
      <w:bodyDiv w:val="1"/>
      <w:marLeft w:val="0"/>
      <w:marRight w:val="0"/>
      <w:marTop w:val="0"/>
      <w:marBottom w:val="0"/>
      <w:divBdr>
        <w:top w:val="none" w:sz="0" w:space="0" w:color="auto"/>
        <w:left w:val="none" w:sz="0" w:space="0" w:color="auto"/>
        <w:bottom w:val="none" w:sz="0" w:space="0" w:color="auto"/>
        <w:right w:val="none" w:sz="0" w:space="0" w:color="auto"/>
      </w:divBdr>
    </w:div>
    <w:div w:id="1879001210">
      <w:bodyDiv w:val="1"/>
      <w:marLeft w:val="0"/>
      <w:marRight w:val="0"/>
      <w:marTop w:val="0"/>
      <w:marBottom w:val="0"/>
      <w:divBdr>
        <w:top w:val="none" w:sz="0" w:space="0" w:color="auto"/>
        <w:left w:val="none" w:sz="0" w:space="0" w:color="auto"/>
        <w:bottom w:val="none" w:sz="0" w:space="0" w:color="auto"/>
        <w:right w:val="none" w:sz="0" w:space="0" w:color="auto"/>
      </w:divBdr>
    </w:div>
    <w:div w:id="1881474684">
      <w:bodyDiv w:val="1"/>
      <w:marLeft w:val="0"/>
      <w:marRight w:val="0"/>
      <w:marTop w:val="0"/>
      <w:marBottom w:val="0"/>
      <w:divBdr>
        <w:top w:val="none" w:sz="0" w:space="0" w:color="auto"/>
        <w:left w:val="none" w:sz="0" w:space="0" w:color="auto"/>
        <w:bottom w:val="none" w:sz="0" w:space="0" w:color="auto"/>
        <w:right w:val="none" w:sz="0" w:space="0" w:color="auto"/>
      </w:divBdr>
    </w:div>
    <w:div w:id="1933971180">
      <w:bodyDiv w:val="1"/>
      <w:marLeft w:val="0"/>
      <w:marRight w:val="0"/>
      <w:marTop w:val="0"/>
      <w:marBottom w:val="0"/>
      <w:divBdr>
        <w:top w:val="none" w:sz="0" w:space="0" w:color="auto"/>
        <w:left w:val="none" w:sz="0" w:space="0" w:color="auto"/>
        <w:bottom w:val="none" w:sz="0" w:space="0" w:color="auto"/>
        <w:right w:val="none" w:sz="0" w:space="0" w:color="auto"/>
      </w:divBdr>
    </w:div>
    <w:div w:id="1939438969">
      <w:bodyDiv w:val="1"/>
      <w:marLeft w:val="0"/>
      <w:marRight w:val="0"/>
      <w:marTop w:val="0"/>
      <w:marBottom w:val="0"/>
      <w:divBdr>
        <w:top w:val="none" w:sz="0" w:space="0" w:color="auto"/>
        <w:left w:val="none" w:sz="0" w:space="0" w:color="auto"/>
        <w:bottom w:val="none" w:sz="0" w:space="0" w:color="auto"/>
        <w:right w:val="none" w:sz="0" w:space="0" w:color="auto"/>
      </w:divBdr>
      <w:divsChild>
        <w:div w:id="1450004238">
          <w:marLeft w:val="0"/>
          <w:marRight w:val="0"/>
          <w:marTop w:val="0"/>
          <w:marBottom w:val="0"/>
          <w:divBdr>
            <w:top w:val="none" w:sz="0" w:space="0" w:color="auto"/>
            <w:left w:val="none" w:sz="0" w:space="0" w:color="auto"/>
            <w:bottom w:val="none" w:sz="0" w:space="0" w:color="auto"/>
            <w:right w:val="none" w:sz="0" w:space="0" w:color="auto"/>
          </w:divBdr>
          <w:divsChild>
            <w:div w:id="211692950">
              <w:marLeft w:val="0"/>
              <w:marRight w:val="0"/>
              <w:marTop w:val="0"/>
              <w:marBottom w:val="0"/>
              <w:divBdr>
                <w:top w:val="single" w:sz="2" w:space="0" w:color="E3E3E3"/>
                <w:left w:val="single" w:sz="2" w:space="0" w:color="E3E3E3"/>
                <w:bottom w:val="single" w:sz="2" w:space="0" w:color="E3E3E3"/>
                <w:right w:val="single" w:sz="2" w:space="0" w:color="E3E3E3"/>
              </w:divBdr>
              <w:divsChild>
                <w:div w:id="1831632558">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 w:id="1624002585">
          <w:marLeft w:val="0"/>
          <w:marRight w:val="0"/>
          <w:marTop w:val="0"/>
          <w:marBottom w:val="0"/>
          <w:divBdr>
            <w:top w:val="single" w:sz="2" w:space="0" w:color="E3E3E3"/>
            <w:left w:val="single" w:sz="2" w:space="0" w:color="E3E3E3"/>
            <w:bottom w:val="single" w:sz="2" w:space="0" w:color="E3E3E3"/>
            <w:right w:val="single" w:sz="2" w:space="0" w:color="E3E3E3"/>
          </w:divBdr>
          <w:divsChild>
            <w:div w:id="730731193">
              <w:marLeft w:val="0"/>
              <w:marRight w:val="0"/>
              <w:marTop w:val="0"/>
              <w:marBottom w:val="0"/>
              <w:divBdr>
                <w:top w:val="single" w:sz="2" w:space="0" w:color="E3E3E3"/>
                <w:left w:val="single" w:sz="2" w:space="0" w:color="E3E3E3"/>
                <w:bottom w:val="single" w:sz="2" w:space="0" w:color="E3E3E3"/>
                <w:right w:val="single" w:sz="2" w:space="0" w:color="E3E3E3"/>
              </w:divBdr>
              <w:divsChild>
                <w:div w:id="643580633">
                  <w:marLeft w:val="0"/>
                  <w:marRight w:val="0"/>
                  <w:marTop w:val="0"/>
                  <w:marBottom w:val="0"/>
                  <w:divBdr>
                    <w:top w:val="single" w:sz="2" w:space="0" w:color="E3E3E3"/>
                    <w:left w:val="single" w:sz="2" w:space="0" w:color="E3E3E3"/>
                    <w:bottom w:val="single" w:sz="2" w:space="0" w:color="E3E3E3"/>
                    <w:right w:val="single" w:sz="2" w:space="0" w:color="E3E3E3"/>
                  </w:divBdr>
                  <w:divsChild>
                    <w:div w:id="152533238">
                      <w:marLeft w:val="0"/>
                      <w:marRight w:val="0"/>
                      <w:marTop w:val="0"/>
                      <w:marBottom w:val="0"/>
                      <w:divBdr>
                        <w:top w:val="single" w:sz="2" w:space="0" w:color="E3E3E3"/>
                        <w:left w:val="single" w:sz="2" w:space="0" w:color="E3E3E3"/>
                        <w:bottom w:val="single" w:sz="2" w:space="0" w:color="E3E3E3"/>
                        <w:right w:val="single" w:sz="2" w:space="0" w:color="E3E3E3"/>
                      </w:divBdr>
                      <w:divsChild>
                        <w:div w:id="732194426">
                          <w:marLeft w:val="0"/>
                          <w:marRight w:val="0"/>
                          <w:marTop w:val="0"/>
                          <w:marBottom w:val="0"/>
                          <w:divBdr>
                            <w:top w:val="single" w:sz="2" w:space="0" w:color="E3E3E3"/>
                            <w:left w:val="single" w:sz="2" w:space="0" w:color="E3E3E3"/>
                            <w:bottom w:val="single" w:sz="2" w:space="0" w:color="E3E3E3"/>
                            <w:right w:val="single" w:sz="2" w:space="0" w:color="E3E3E3"/>
                          </w:divBdr>
                          <w:divsChild>
                            <w:div w:id="51776747">
                              <w:marLeft w:val="0"/>
                              <w:marRight w:val="0"/>
                              <w:marTop w:val="0"/>
                              <w:marBottom w:val="0"/>
                              <w:divBdr>
                                <w:top w:val="single" w:sz="2" w:space="0" w:color="E3E3E3"/>
                                <w:left w:val="single" w:sz="2" w:space="0" w:color="E3E3E3"/>
                                <w:bottom w:val="single" w:sz="2" w:space="0" w:color="E3E3E3"/>
                                <w:right w:val="single" w:sz="2" w:space="0" w:color="E3E3E3"/>
                              </w:divBdr>
                              <w:divsChild>
                                <w:div w:id="999649882">
                                  <w:marLeft w:val="0"/>
                                  <w:marRight w:val="0"/>
                                  <w:marTop w:val="100"/>
                                  <w:marBottom w:val="100"/>
                                  <w:divBdr>
                                    <w:top w:val="single" w:sz="2" w:space="0" w:color="E3E3E3"/>
                                    <w:left w:val="single" w:sz="2" w:space="0" w:color="E3E3E3"/>
                                    <w:bottom w:val="single" w:sz="2" w:space="0" w:color="E3E3E3"/>
                                    <w:right w:val="single" w:sz="2" w:space="0" w:color="E3E3E3"/>
                                  </w:divBdr>
                                  <w:divsChild>
                                    <w:div w:id="70273764">
                                      <w:marLeft w:val="0"/>
                                      <w:marRight w:val="0"/>
                                      <w:marTop w:val="0"/>
                                      <w:marBottom w:val="0"/>
                                      <w:divBdr>
                                        <w:top w:val="single" w:sz="2" w:space="0" w:color="E3E3E3"/>
                                        <w:left w:val="single" w:sz="2" w:space="0" w:color="E3E3E3"/>
                                        <w:bottom w:val="single" w:sz="2" w:space="0" w:color="E3E3E3"/>
                                        <w:right w:val="single" w:sz="2" w:space="0" w:color="E3E3E3"/>
                                      </w:divBdr>
                                      <w:divsChild>
                                        <w:div w:id="1495223321">
                                          <w:marLeft w:val="0"/>
                                          <w:marRight w:val="0"/>
                                          <w:marTop w:val="0"/>
                                          <w:marBottom w:val="0"/>
                                          <w:divBdr>
                                            <w:top w:val="single" w:sz="2" w:space="0" w:color="E3E3E3"/>
                                            <w:left w:val="single" w:sz="2" w:space="0" w:color="E3E3E3"/>
                                            <w:bottom w:val="single" w:sz="2" w:space="0" w:color="E3E3E3"/>
                                            <w:right w:val="single" w:sz="2" w:space="0" w:color="E3E3E3"/>
                                          </w:divBdr>
                                          <w:divsChild>
                                            <w:div w:id="1867594989">
                                              <w:marLeft w:val="0"/>
                                              <w:marRight w:val="0"/>
                                              <w:marTop w:val="0"/>
                                              <w:marBottom w:val="0"/>
                                              <w:divBdr>
                                                <w:top w:val="single" w:sz="2" w:space="0" w:color="E3E3E3"/>
                                                <w:left w:val="single" w:sz="2" w:space="0" w:color="E3E3E3"/>
                                                <w:bottom w:val="single" w:sz="2" w:space="0" w:color="E3E3E3"/>
                                                <w:right w:val="single" w:sz="2" w:space="0" w:color="E3E3E3"/>
                                              </w:divBdr>
                                              <w:divsChild>
                                                <w:div w:id="881093769">
                                                  <w:marLeft w:val="0"/>
                                                  <w:marRight w:val="0"/>
                                                  <w:marTop w:val="0"/>
                                                  <w:marBottom w:val="0"/>
                                                  <w:divBdr>
                                                    <w:top w:val="single" w:sz="2" w:space="0" w:color="E3E3E3"/>
                                                    <w:left w:val="single" w:sz="2" w:space="0" w:color="E3E3E3"/>
                                                    <w:bottom w:val="single" w:sz="2" w:space="0" w:color="E3E3E3"/>
                                                    <w:right w:val="single" w:sz="2" w:space="0" w:color="E3E3E3"/>
                                                  </w:divBdr>
                                                  <w:divsChild>
                                                    <w:div w:id="1870289194">
                                                      <w:marLeft w:val="0"/>
                                                      <w:marRight w:val="0"/>
                                                      <w:marTop w:val="0"/>
                                                      <w:marBottom w:val="0"/>
                                                      <w:divBdr>
                                                        <w:top w:val="single" w:sz="2" w:space="0" w:color="E3E3E3"/>
                                                        <w:left w:val="single" w:sz="2" w:space="0" w:color="E3E3E3"/>
                                                        <w:bottom w:val="single" w:sz="2" w:space="0" w:color="E3E3E3"/>
                                                        <w:right w:val="single" w:sz="2" w:space="0" w:color="E3E3E3"/>
                                                      </w:divBdr>
                                                      <w:divsChild>
                                                        <w:div w:id="98802346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sChild>
    </w:div>
    <w:div w:id="1969891131">
      <w:bodyDiv w:val="1"/>
      <w:marLeft w:val="0"/>
      <w:marRight w:val="0"/>
      <w:marTop w:val="0"/>
      <w:marBottom w:val="0"/>
      <w:divBdr>
        <w:top w:val="none" w:sz="0" w:space="0" w:color="auto"/>
        <w:left w:val="none" w:sz="0" w:space="0" w:color="auto"/>
        <w:bottom w:val="none" w:sz="0" w:space="0" w:color="auto"/>
        <w:right w:val="none" w:sz="0" w:space="0" w:color="auto"/>
      </w:divBdr>
      <w:divsChild>
        <w:div w:id="1728067544">
          <w:marLeft w:val="-720"/>
          <w:marRight w:val="0"/>
          <w:marTop w:val="0"/>
          <w:marBottom w:val="0"/>
          <w:divBdr>
            <w:top w:val="none" w:sz="0" w:space="0" w:color="auto"/>
            <w:left w:val="none" w:sz="0" w:space="0" w:color="auto"/>
            <w:bottom w:val="none" w:sz="0" w:space="0" w:color="auto"/>
            <w:right w:val="none" w:sz="0" w:space="0" w:color="auto"/>
          </w:divBdr>
        </w:div>
      </w:divsChild>
    </w:div>
    <w:div w:id="1970017276">
      <w:bodyDiv w:val="1"/>
      <w:marLeft w:val="0"/>
      <w:marRight w:val="0"/>
      <w:marTop w:val="0"/>
      <w:marBottom w:val="0"/>
      <w:divBdr>
        <w:top w:val="none" w:sz="0" w:space="0" w:color="auto"/>
        <w:left w:val="none" w:sz="0" w:space="0" w:color="auto"/>
        <w:bottom w:val="none" w:sz="0" w:space="0" w:color="auto"/>
        <w:right w:val="none" w:sz="0" w:space="0" w:color="auto"/>
      </w:divBdr>
      <w:divsChild>
        <w:div w:id="1437409405">
          <w:marLeft w:val="-720"/>
          <w:marRight w:val="0"/>
          <w:marTop w:val="0"/>
          <w:marBottom w:val="0"/>
          <w:divBdr>
            <w:top w:val="none" w:sz="0" w:space="0" w:color="auto"/>
            <w:left w:val="none" w:sz="0" w:space="0" w:color="auto"/>
            <w:bottom w:val="none" w:sz="0" w:space="0" w:color="auto"/>
            <w:right w:val="none" w:sz="0" w:space="0" w:color="auto"/>
          </w:divBdr>
        </w:div>
      </w:divsChild>
    </w:div>
    <w:div w:id="2015497112">
      <w:bodyDiv w:val="1"/>
      <w:marLeft w:val="0"/>
      <w:marRight w:val="0"/>
      <w:marTop w:val="0"/>
      <w:marBottom w:val="0"/>
      <w:divBdr>
        <w:top w:val="none" w:sz="0" w:space="0" w:color="auto"/>
        <w:left w:val="none" w:sz="0" w:space="0" w:color="auto"/>
        <w:bottom w:val="none" w:sz="0" w:space="0" w:color="auto"/>
        <w:right w:val="none" w:sz="0" w:space="0" w:color="auto"/>
      </w:divBdr>
      <w:divsChild>
        <w:div w:id="128131611">
          <w:marLeft w:val="0"/>
          <w:marRight w:val="0"/>
          <w:marTop w:val="0"/>
          <w:marBottom w:val="0"/>
          <w:divBdr>
            <w:top w:val="none" w:sz="0" w:space="0" w:color="auto"/>
            <w:left w:val="none" w:sz="0" w:space="0" w:color="auto"/>
            <w:bottom w:val="none" w:sz="0" w:space="0" w:color="auto"/>
            <w:right w:val="none" w:sz="0" w:space="0" w:color="auto"/>
          </w:divBdr>
          <w:divsChild>
            <w:div w:id="774984206">
              <w:marLeft w:val="0"/>
              <w:marRight w:val="0"/>
              <w:marTop w:val="0"/>
              <w:marBottom w:val="0"/>
              <w:divBdr>
                <w:top w:val="none" w:sz="0" w:space="0" w:color="auto"/>
                <w:left w:val="none" w:sz="0" w:space="0" w:color="auto"/>
                <w:bottom w:val="none" w:sz="0" w:space="0" w:color="auto"/>
                <w:right w:val="none" w:sz="0" w:space="0" w:color="auto"/>
              </w:divBdr>
              <w:divsChild>
                <w:div w:id="788357915">
                  <w:marLeft w:val="0"/>
                  <w:marRight w:val="0"/>
                  <w:marTop w:val="0"/>
                  <w:marBottom w:val="0"/>
                  <w:divBdr>
                    <w:top w:val="none" w:sz="0" w:space="0" w:color="auto"/>
                    <w:left w:val="none" w:sz="0" w:space="0" w:color="auto"/>
                    <w:bottom w:val="none" w:sz="0" w:space="0" w:color="auto"/>
                    <w:right w:val="none" w:sz="0" w:space="0" w:color="auto"/>
                  </w:divBdr>
                  <w:divsChild>
                    <w:div w:id="522591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6811283">
          <w:marLeft w:val="0"/>
          <w:marRight w:val="0"/>
          <w:marTop w:val="0"/>
          <w:marBottom w:val="0"/>
          <w:divBdr>
            <w:top w:val="none" w:sz="0" w:space="0" w:color="auto"/>
            <w:left w:val="none" w:sz="0" w:space="0" w:color="auto"/>
            <w:bottom w:val="none" w:sz="0" w:space="0" w:color="auto"/>
            <w:right w:val="none" w:sz="0" w:space="0" w:color="auto"/>
          </w:divBdr>
          <w:divsChild>
            <w:div w:id="2005618513">
              <w:marLeft w:val="0"/>
              <w:marRight w:val="0"/>
              <w:marTop w:val="0"/>
              <w:marBottom w:val="0"/>
              <w:divBdr>
                <w:top w:val="none" w:sz="0" w:space="0" w:color="auto"/>
                <w:left w:val="none" w:sz="0" w:space="0" w:color="auto"/>
                <w:bottom w:val="none" w:sz="0" w:space="0" w:color="auto"/>
                <w:right w:val="none" w:sz="0" w:space="0" w:color="auto"/>
              </w:divBdr>
              <w:divsChild>
                <w:div w:id="1239439052">
                  <w:marLeft w:val="0"/>
                  <w:marRight w:val="0"/>
                  <w:marTop w:val="0"/>
                  <w:marBottom w:val="0"/>
                  <w:divBdr>
                    <w:top w:val="none" w:sz="0" w:space="0" w:color="auto"/>
                    <w:left w:val="none" w:sz="0" w:space="0" w:color="auto"/>
                    <w:bottom w:val="none" w:sz="0" w:space="0" w:color="auto"/>
                    <w:right w:val="none" w:sz="0" w:space="0" w:color="auto"/>
                  </w:divBdr>
                  <w:divsChild>
                    <w:div w:id="212942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5886953">
      <w:bodyDiv w:val="1"/>
      <w:marLeft w:val="0"/>
      <w:marRight w:val="0"/>
      <w:marTop w:val="0"/>
      <w:marBottom w:val="0"/>
      <w:divBdr>
        <w:top w:val="none" w:sz="0" w:space="0" w:color="auto"/>
        <w:left w:val="none" w:sz="0" w:space="0" w:color="auto"/>
        <w:bottom w:val="none" w:sz="0" w:space="0" w:color="auto"/>
        <w:right w:val="none" w:sz="0" w:space="0" w:color="auto"/>
      </w:divBdr>
      <w:divsChild>
        <w:div w:id="520514810">
          <w:marLeft w:val="0"/>
          <w:marRight w:val="0"/>
          <w:marTop w:val="0"/>
          <w:marBottom w:val="0"/>
          <w:divBdr>
            <w:top w:val="single" w:sz="2" w:space="0" w:color="E3E3E3"/>
            <w:left w:val="single" w:sz="2" w:space="0" w:color="E3E3E3"/>
            <w:bottom w:val="single" w:sz="2" w:space="0" w:color="E3E3E3"/>
            <w:right w:val="single" w:sz="2" w:space="0" w:color="E3E3E3"/>
          </w:divBdr>
          <w:divsChild>
            <w:div w:id="239607207">
              <w:marLeft w:val="0"/>
              <w:marRight w:val="0"/>
              <w:marTop w:val="100"/>
              <w:marBottom w:val="100"/>
              <w:divBdr>
                <w:top w:val="single" w:sz="2" w:space="0" w:color="E3E3E3"/>
                <w:left w:val="single" w:sz="2" w:space="0" w:color="E3E3E3"/>
                <w:bottom w:val="single" w:sz="2" w:space="0" w:color="E3E3E3"/>
                <w:right w:val="single" w:sz="2" w:space="0" w:color="E3E3E3"/>
              </w:divBdr>
              <w:divsChild>
                <w:div w:id="1147286652">
                  <w:marLeft w:val="0"/>
                  <w:marRight w:val="0"/>
                  <w:marTop w:val="0"/>
                  <w:marBottom w:val="0"/>
                  <w:divBdr>
                    <w:top w:val="single" w:sz="2" w:space="0" w:color="E3E3E3"/>
                    <w:left w:val="single" w:sz="2" w:space="0" w:color="E3E3E3"/>
                    <w:bottom w:val="single" w:sz="2" w:space="0" w:color="E3E3E3"/>
                    <w:right w:val="single" w:sz="2" w:space="0" w:color="E3E3E3"/>
                  </w:divBdr>
                  <w:divsChild>
                    <w:div w:id="1565065731">
                      <w:marLeft w:val="0"/>
                      <w:marRight w:val="0"/>
                      <w:marTop w:val="0"/>
                      <w:marBottom w:val="0"/>
                      <w:divBdr>
                        <w:top w:val="single" w:sz="2" w:space="0" w:color="E3E3E3"/>
                        <w:left w:val="single" w:sz="2" w:space="0" w:color="E3E3E3"/>
                        <w:bottom w:val="single" w:sz="2" w:space="0" w:color="E3E3E3"/>
                        <w:right w:val="single" w:sz="2" w:space="0" w:color="E3E3E3"/>
                      </w:divBdr>
                      <w:divsChild>
                        <w:div w:id="1873568260">
                          <w:marLeft w:val="0"/>
                          <w:marRight w:val="0"/>
                          <w:marTop w:val="0"/>
                          <w:marBottom w:val="0"/>
                          <w:divBdr>
                            <w:top w:val="single" w:sz="2" w:space="0" w:color="E3E3E3"/>
                            <w:left w:val="single" w:sz="2" w:space="0" w:color="E3E3E3"/>
                            <w:bottom w:val="single" w:sz="2" w:space="0" w:color="E3E3E3"/>
                            <w:right w:val="single" w:sz="2" w:space="0" w:color="E3E3E3"/>
                          </w:divBdr>
                          <w:divsChild>
                            <w:div w:id="1208760513">
                              <w:marLeft w:val="0"/>
                              <w:marRight w:val="0"/>
                              <w:marTop w:val="0"/>
                              <w:marBottom w:val="0"/>
                              <w:divBdr>
                                <w:top w:val="single" w:sz="2" w:space="0" w:color="E3E3E3"/>
                                <w:left w:val="single" w:sz="2" w:space="0" w:color="E3E3E3"/>
                                <w:bottom w:val="single" w:sz="2" w:space="0" w:color="E3E3E3"/>
                                <w:right w:val="single" w:sz="2" w:space="0" w:color="E3E3E3"/>
                              </w:divBdr>
                              <w:divsChild>
                                <w:div w:id="625623043">
                                  <w:marLeft w:val="0"/>
                                  <w:marRight w:val="0"/>
                                  <w:marTop w:val="0"/>
                                  <w:marBottom w:val="0"/>
                                  <w:divBdr>
                                    <w:top w:val="single" w:sz="2" w:space="0" w:color="E3E3E3"/>
                                    <w:left w:val="single" w:sz="2" w:space="0" w:color="E3E3E3"/>
                                    <w:bottom w:val="single" w:sz="2" w:space="0" w:color="E3E3E3"/>
                                    <w:right w:val="single" w:sz="2" w:space="0" w:color="E3E3E3"/>
                                  </w:divBdr>
                                  <w:divsChild>
                                    <w:div w:id="1285847526">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105226964">
          <w:marLeft w:val="0"/>
          <w:marRight w:val="0"/>
          <w:marTop w:val="0"/>
          <w:marBottom w:val="0"/>
          <w:divBdr>
            <w:top w:val="single" w:sz="2" w:space="0" w:color="E3E3E3"/>
            <w:left w:val="single" w:sz="2" w:space="0" w:color="E3E3E3"/>
            <w:bottom w:val="single" w:sz="2" w:space="0" w:color="E3E3E3"/>
            <w:right w:val="single" w:sz="2" w:space="0" w:color="E3E3E3"/>
          </w:divBdr>
          <w:divsChild>
            <w:div w:id="1070729874">
              <w:marLeft w:val="0"/>
              <w:marRight w:val="0"/>
              <w:marTop w:val="100"/>
              <w:marBottom w:val="100"/>
              <w:divBdr>
                <w:top w:val="single" w:sz="2" w:space="0" w:color="E3E3E3"/>
                <w:left w:val="single" w:sz="2" w:space="0" w:color="E3E3E3"/>
                <w:bottom w:val="single" w:sz="2" w:space="0" w:color="E3E3E3"/>
                <w:right w:val="single" w:sz="2" w:space="0" w:color="E3E3E3"/>
              </w:divBdr>
              <w:divsChild>
                <w:div w:id="1823425859">
                  <w:marLeft w:val="0"/>
                  <w:marRight w:val="0"/>
                  <w:marTop w:val="0"/>
                  <w:marBottom w:val="0"/>
                  <w:divBdr>
                    <w:top w:val="single" w:sz="2" w:space="0" w:color="E3E3E3"/>
                    <w:left w:val="single" w:sz="2" w:space="0" w:color="E3E3E3"/>
                    <w:bottom w:val="single" w:sz="2" w:space="0" w:color="E3E3E3"/>
                    <w:right w:val="single" w:sz="2" w:space="0" w:color="E3E3E3"/>
                  </w:divBdr>
                  <w:divsChild>
                    <w:div w:id="1650018682">
                      <w:marLeft w:val="0"/>
                      <w:marRight w:val="0"/>
                      <w:marTop w:val="0"/>
                      <w:marBottom w:val="0"/>
                      <w:divBdr>
                        <w:top w:val="single" w:sz="2" w:space="0" w:color="E3E3E3"/>
                        <w:left w:val="single" w:sz="2" w:space="0" w:color="E3E3E3"/>
                        <w:bottom w:val="single" w:sz="2" w:space="0" w:color="E3E3E3"/>
                        <w:right w:val="single" w:sz="2" w:space="0" w:color="E3E3E3"/>
                      </w:divBdr>
                      <w:divsChild>
                        <w:div w:id="1339624088">
                          <w:marLeft w:val="0"/>
                          <w:marRight w:val="0"/>
                          <w:marTop w:val="0"/>
                          <w:marBottom w:val="0"/>
                          <w:divBdr>
                            <w:top w:val="single" w:sz="2" w:space="0" w:color="E3E3E3"/>
                            <w:left w:val="single" w:sz="2" w:space="0" w:color="E3E3E3"/>
                            <w:bottom w:val="single" w:sz="2" w:space="0" w:color="E3E3E3"/>
                            <w:right w:val="single" w:sz="2" w:space="0" w:color="E3E3E3"/>
                          </w:divBdr>
                          <w:divsChild>
                            <w:div w:id="2079402462">
                              <w:marLeft w:val="0"/>
                              <w:marRight w:val="0"/>
                              <w:marTop w:val="0"/>
                              <w:marBottom w:val="0"/>
                              <w:divBdr>
                                <w:top w:val="single" w:sz="2" w:space="0" w:color="E3E3E3"/>
                                <w:left w:val="single" w:sz="2" w:space="0" w:color="E3E3E3"/>
                                <w:bottom w:val="single" w:sz="2" w:space="0" w:color="E3E3E3"/>
                                <w:right w:val="single" w:sz="2" w:space="0" w:color="E3E3E3"/>
                              </w:divBdr>
                              <w:divsChild>
                                <w:div w:id="1811357791">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 w:id="2072845822">
      <w:bodyDiv w:val="1"/>
      <w:marLeft w:val="0"/>
      <w:marRight w:val="0"/>
      <w:marTop w:val="0"/>
      <w:marBottom w:val="0"/>
      <w:divBdr>
        <w:top w:val="none" w:sz="0" w:space="0" w:color="auto"/>
        <w:left w:val="none" w:sz="0" w:space="0" w:color="auto"/>
        <w:bottom w:val="none" w:sz="0" w:space="0" w:color="auto"/>
        <w:right w:val="none" w:sz="0" w:space="0" w:color="auto"/>
      </w:divBdr>
      <w:divsChild>
        <w:div w:id="2147120069">
          <w:marLeft w:val="0"/>
          <w:marRight w:val="0"/>
          <w:marTop w:val="0"/>
          <w:marBottom w:val="0"/>
          <w:divBdr>
            <w:top w:val="none" w:sz="0" w:space="0" w:color="auto"/>
            <w:left w:val="none" w:sz="0" w:space="0" w:color="auto"/>
            <w:bottom w:val="none" w:sz="0" w:space="0" w:color="auto"/>
            <w:right w:val="none" w:sz="0" w:space="0" w:color="auto"/>
          </w:divBdr>
        </w:div>
      </w:divsChild>
    </w:div>
    <w:div w:id="2101367843">
      <w:bodyDiv w:val="1"/>
      <w:marLeft w:val="0"/>
      <w:marRight w:val="0"/>
      <w:marTop w:val="0"/>
      <w:marBottom w:val="0"/>
      <w:divBdr>
        <w:top w:val="none" w:sz="0" w:space="0" w:color="auto"/>
        <w:left w:val="none" w:sz="0" w:space="0" w:color="auto"/>
        <w:bottom w:val="none" w:sz="0" w:space="0" w:color="auto"/>
        <w:right w:val="none" w:sz="0" w:space="0" w:color="auto"/>
      </w:divBdr>
    </w:div>
    <w:div w:id="2122600227">
      <w:bodyDiv w:val="1"/>
      <w:marLeft w:val="0"/>
      <w:marRight w:val="0"/>
      <w:marTop w:val="0"/>
      <w:marBottom w:val="0"/>
      <w:divBdr>
        <w:top w:val="none" w:sz="0" w:space="0" w:color="auto"/>
        <w:left w:val="none" w:sz="0" w:space="0" w:color="auto"/>
        <w:bottom w:val="none" w:sz="0" w:space="0" w:color="auto"/>
        <w:right w:val="none" w:sz="0" w:space="0" w:color="auto"/>
      </w:divBdr>
      <w:divsChild>
        <w:div w:id="400178865">
          <w:marLeft w:val="0"/>
          <w:marRight w:val="0"/>
          <w:marTop w:val="0"/>
          <w:marBottom w:val="0"/>
          <w:divBdr>
            <w:top w:val="single" w:sz="2" w:space="0" w:color="E3E3E3"/>
            <w:left w:val="single" w:sz="2" w:space="0" w:color="E3E3E3"/>
            <w:bottom w:val="single" w:sz="2" w:space="0" w:color="E3E3E3"/>
            <w:right w:val="single" w:sz="2" w:space="0" w:color="E3E3E3"/>
          </w:divBdr>
          <w:divsChild>
            <w:div w:id="739400127">
              <w:marLeft w:val="0"/>
              <w:marRight w:val="0"/>
              <w:marTop w:val="0"/>
              <w:marBottom w:val="0"/>
              <w:divBdr>
                <w:top w:val="single" w:sz="2" w:space="0" w:color="E3E3E3"/>
                <w:left w:val="single" w:sz="2" w:space="0" w:color="E3E3E3"/>
                <w:bottom w:val="single" w:sz="2" w:space="0" w:color="E3E3E3"/>
                <w:right w:val="single" w:sz="2" w:space="0" w:color="E3E3E3"/>
              </w:divBdr>
              <w:divsChild>
                <w:div w:id="1210919480">
                  <w:marLeft w:val="0"/>
                  <w:marRight w:val="0"/>
                  <w:marTop w:val="0"/>
                  <w:marBottom w:val="0"/>
                  <w:divBdr>
                    <w:top w:val="single" w:sz="2" w:space="0" w:color="E3E3E3"/>
                    <w:left w:val="single" w:sz="2" w:space="0" w:color="E3E3E3"/>
                    <w:bottom w:val="single" w:sz="2" w:space="0" w:color="E3E3E3"/>
                    <w:right w:val="single" w:sz="2" w:space="0" w:color="E3E3E3"/>
                  </w:divBdr>
                  <w:divsChild>
                    <w:div w:id="486823931">
                      <w:marLeft w:val="0"/>
                      <w:marRight w:val="0"/>
                      <w:marTop w:val="0"/>
                      <w:marBottom w:val="0"/>
                      <w:divBdr>
                        <w:top w:val="single" w:sz="2" w:space="0" w:color="E3E3E3"/>
                        <w:left w:val="single" w:sz="2" w:space="0" w:color="E3E3E3"/>
                        <w:bottom w:val="single" w:sz="2" w:space="0" w:color="E3E3E3"/>
                        <w:right w:val="single" w:sz="2" w:space="0" w:color="E3E3E3"/>
                      </w:divBdr>
                      <w:divsChild>
                        <w:div w:id="914632861">
                          <w:marLeft w:val="0"/>
                          <w:marRight w:val="0"/>
                          <w:marTop w:val="0"/>
                          <w:marBottom w:val="0"/>
                          <w:divBdr>
                            <w:top w:val="single" w:sz="2" w:space="0" w:color="E3E3E3"/>
                            <w:left w:val="single" w:sz="2" w:space="0" w:color="E3E3E3"/>
                            <w:bottom w:val="single" w:sz="2" w:space="0" w:color="E3E3E3"/>
                            <w:right w:val="single" w:sz="2" w:space="0" w:color="E3E3E3"/>
                          </w:divBdr>
                          <w:divsChild>
                            <w:div w:id="713770314">
                              <w:marLeft w:val="0"/>
                              <w:marRight w:val="0"/>
                              <w:marTop w:val="0"/>
                              <w:marBottom w:val="0"/>
                              <w:divBdr>
                                <w:top w:val="single" w:sz="2" w:space="0" w:color="E3E3E3"/>
                                <w:left w:val="single" w:sz="2" w:space="0" w:color="E3E3E3"/>
                                <w:bottom w:val="single" w:sz="2" w:space="0" w:color="E3E3E3"/>
                                <w:right w:val="single" w:sz="2" w:space="0" w:color="E3E3E3"/>
                              </w:divBdr>
                              <w:divsChild>
                                <w:div w:id="1535146217">
                                  <w:marLeft w:val="0"/>
                                  <w:marRight w:val="0"/>
                                  <w:marTop w:val="100"/>
                                  <w:marBottom w:val="100"/>
                                  <w:divBdr>
                                    <w:top w:val="single" w:sz="2" w:space="0" w:color="E3E3E3"/>
                                    <w:left w:val="single" w:sz="2" w:space="0" w:color="E3E3E3"/>
                                    <w:bottom w:val="single" w:sz="2" w:space="0" w:color="E3E3E3"/>
                                    <w:right w:val="single" w:sz="2" w:space="0" w:color="E3E3E3"/>
                                  </w:divBdr>
                                  <w:divsChild>
                                    <w:div w:id="2112358750">
                                      <w:marLeft w:val="0"/>
                                      <w:marRight w:val="0"/>
                                      <w:marTop w:val="0"/>
                                      <w:marBottom w:val="0"/>
                                      <w:divBdr>
                                        <w:top w:val="single" w:sz="2" w:space="0" w:color="E3E3E3"/>
                                        <w:left w:val="single" w:sz="2" w:space="0" w:color="E3E3E3"/>
                                        <w:bottom w:val="single" w:sz="2" w:space="0" w:color="E3E3E3"/>
                                        <w:right w:val="single" w:sz="2" w:space="0" w:color="E3E3E3"/>
                                      </w:divBdr>
                                      <w:divsChild>
                                        <w:div w:id="229196564">
                                          <w:marLeft w:val="0"/>
                                          <w:marRight w:val="0"/>
                                          <w:marTop w:val="0"/>
                                          <w:marBottom w:val="0"/>
                                          <w:divBdr>
                                            <w:top w:val="single" w:sz="2" w:space="0" w:color="E3E3E3"/>
                                            <w:left w:val="single" w:sz="2" w:space="0" w:color="E3E3E3"/>
                                            <w:bottom w:val="single" w:sz="2" w:space="0" w:color="E3E3E3"/>
                                            <w:right w:val="single" w:sz="2" w:space="0" w:color="E3E3E3"/>
                                          </w:divBdr>
                                          <w:divsChild>
                                            <w:div w:id="545718979">
                                              <w:marLeft w:val="0"/>
                                              <w:marRight w:val="0"/>
                                              <w:marTop w:val="0"/>
                                              <w:marBottom w:val="0"/>
                                              <w:divBdr>
                                                <w:top w:val="single" w:sz="2" w:space="0" w:color="E3E3E3"/>
                                                <w:left w:val="single" w:sz="2" w:space="0" w:color="E3E3E3"/>
                                                <w:bottom w:val="single" w:sz="2" w:space="0" w:color="E3E3E3"/>
                                                <w:right w:val="single" w:sz="2" w:space="0" w:color="E3E3E3"/>
                                              </w:divBdr>
                                              <w:divsChild>
                                                <w:div w:id="297301675">
                                                  <w:marLeft w:val="0"/>
                                                  <w:marRight w:val="0"/>
                                                  <w:marTop w:val="0"/>
                                                  <w:marBottom w:val="0"/>
                                                  <w:divBdr>
                                                    <w:top w:val="single" w:sz="2" w:space="0" w:color="E3E3E3"/>
                                                    <w:left w:val="single" w:sz="2" w:space="0" w:color="E3E3E3"/>
                                                    <w:bottom w:val="single" w:sz="2" w:space="0" w:color="E3E3E3"/>
                                                    <w:right w:val="single" w:sz="2" w:space="0" w:color="E3E3E3"/>
                                                  </w:divBdr>
                                                  <w:divsChild>
                                                    <w:div w:id="1227033521">
                                                      <w:marLeft w:val="0"/>
                                                      <w:marRight w:val="0"/>
                                                      <w:marTop w:val="0"/>
                                                      <w:marBottom w:val="0"/>
                                                      <w:divBdr>
                                                        <w:top w:val="single" w:sz="2" w:space="0" w:color="E3E3E3"/>
                                                        <w:left w:val="single" w:sz="2" w:space="0" w:color="E3E3E3"/>
                                                        <w:bottom w:val="single" w:sz="2" w:space="0" w:color="E3E3E3"/>
                                                        <w:right w:val="single" w:sz="2" w:space="0" w:color="E3E3E3"/>
                                                      </w:divBdr>
                                                      <w:divsChild>
                                                        <w:div w:id="1905337822">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537474642">
          <w:marLeft w:val="0"/>
          <w:marRight w:val="0"/>
          <w:marTop w:val="0"/>
          <w:marBottom w:val="0"/>
          <w:divBdr>
            <w:top w:val="none" w:sz="0" w:space="0" w:color="auto"/>
            <w:left w:val="none" w:sz="0" w:space="0" w:color="auto"/>
            <w:bottom w:val="none" w:sz="0" w:space="0" w:color="auto"/>
            <w:right w:val="none" w:sz="0" w:space="0" w:color="auto"/>
          </w:divBdr>
          <w:divsChild>
            <w:div w:id="912935725">
              <w:marLeft w:val="0"/>
              <w:marRight w:val="0"/>
              <w:marTop w:val="0"/>
              <w:marBottom w:val="0"/>
              <w:divBdr>
                <w:top w:val="single" w:sz="2" w:space="0" w:color="E3E3E3"/>
                <w:left w:val="single" w:sz="2" w:space="0" w:color="E3E3E3"/>
                <w:bottom w:val="single" w:sz="2" w:space="0" w:color="E3E3E3"/>
                <w:right w:val="single" w:sz="2" w:space="0" w:color="E3E3E3"/>
              </w:divBdr>
              <w:divsChild>
                <w:div w:id="8977812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s://wwfhk.awsassets.panda.org/downloads/mpmp-2024-2029-external-version-june-7.pdf"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0C62E7-D1AA-A74E-BC28-435B288A2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50</Pages>
  <Words>19694</Words>
  <Characters>112260</Characters>
  <Application>Microsoft Office Word</Application>
  <DocSecurity>0</DocSecurity>
  <Lines>935</Lines>
  <Paragraphs>263</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131691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 Howard Kwok Yin</dc:creator>
  <cp:keywords/>
  <dc:description/>
  <cp:lastModifiedBy>Ed Garrett</cp:lastModifiedBy>
  <cp:revision>2</cp:revision>
  <cp:lastPrinted>2023-12-04T16:34:00Z</cp:lastPrinted>
  <dcterms:created xsi:type="dcterms:W3CDTF">2025-09-18T16:34:00Z</dcterms:created>
  <dcterms:modified xsi:type="dcterms:W3CDTF">2025-09-18T16:34:00Z</dcterms:modified>
  <cp:category/>
</cp:coreProperties>
</file>