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07EF9D" w14:textId="7D0949B9" w:rsidR="00C7554F" w:rsidRDefault="009F09CA" w:rsidP="00D51F58">
      <w:pPr>
        <w:pBdr>
          <w:top w:val="single" w:sz="12" w:space="1" w:color="000000"/>
          <w:bottom w:val="single" w:sz="12" w:space="1" w:color="000000"/>
        </w:pBdr>
        <w:spacing w:line="276" w:lineRule="auto"/>
        <w:jc w:val="both"/>
        <w:rPr>
          <w:rFonts w:ascii="Times New Roman" w:eastAsia="Times New Roman" w:hAnsi="Times New Roman" w:cs="Times New Roman"/>
          <w:b/>
        </w:rPr>
      </w:pPr>
      <w:r>
        <w:rPr>
          <w:rFonts w:ascii="Times New Roman" w:eastAsia="Times New Roman" w:hAnsi="Times New Roman" w:cs="Times New Roman"/>
          <w:b/>
          <w:i/>
        </w:rPr>
        <w:t xml:space="preserve">Research </w:t>
      </w:r>
      <w:r w:rsidR="00000000">
        <w:rPr>
          <w:rFonts w:ascii="Times New Roman" w:eastAsia="Times New Roman" w:hAnsi="Times New Roman" w:cs="Times New Roman"/>
          <w:b/>
          <w:i/>
        </w:rPr>
        <w:t>Article</w:t>
      </w:r>
      <w:r w:rsidR="00000000">
        <w:rPr>
          <w:rFonts w:ascii="Times New Roman" w:eastAsia="Times New Roman" w:hAnsi="Times New Roman" w:cs="Times New Roman"/>
          <w:b/>
        </w:rPr>
        <w:t xml:space="preserve">   </w:t>
      </w:r>
      <w:r w:rsidR="00000000">
        <w:rPr>
          <w:rFonts w:ascii="Times New Roman" w:eastAsia="Times New Roman" w:hAnsi="Times New Roman" w:cs="Times New Roman"/>
          <w:b/>
        </w:rPr>
        <w:tab/>
      </w:r>
      <w:r w:rsidR="00000000">
        <w:rPr>
          <w:rFonts w:ascii="Times New Roman" w:eastAsia="Times New Roman" w:hAnsi="Times New Roman" w:cs="Times New Roman"/>
          <w:b/>
        </w:rPr>
        <w:tab/>
        <w:t xml:space="preserve">                         </w:t>
      </w:r>
      <w:r>
        <w:rPr>
          <w:rFonts w:ascii="Times New Roman" w:eastAsia="Times New Roman" w:hAnsi="Times New Roman" w:cs="Times New Roman"/>
          <w:b/>
        </w:rPr>
        <w:t xml:space="preserve">                         </w:t>
      </w:r>
      <w:r w:rsidR="00000000">
        <w:rPr>
          <w:rFonts w:ascii="Times New Roman" w:eastAsia="Times New Roman" w:hAnsi="Times New Roman" w:cs="Times New Roman"/>
          <w:b/>
        </w:rPr>
        <w:t>Journal of Social Security Law</w:t>
      </w:r>
    </w:p>
    <w:p w14:paraId="3F80086B" w14:textId="77777777" w:rsidR="00C7554F" w:rsidRDefault="00C7554F" w:rsidP="00D51F58">
      <w:pPr>
        <w:spacing w:line="276" w:lineRule="auto"/>
        <w:jc w:val="both"/>
        <w:rPr>
          <w:rFonts w:ascii="Times New Roman" w:eastAsia="Times New Roman" w:hAnsi="Times New Roman" w:cs="Times New Roman"/>
          <w:sz w:val="36"/>
          <w:szCs w:val="36"/>
        </w:rPr>
      </w:pPr>
    </w:p>
    <w:p w14:paraId="2DCFB50F" w14:textId="77777777" w:rsidR="00C7554F" w:rsidRDefault="00000000" w:rsidP="000707E8">
      <w:pPr>
        <w:spacing w:after="0" w:line="276"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Working Assumptions: The Fate of the UK Government’s ‘Pathways to Work’ Agenda</w:t>
      </w:r>
    </w:p>
    <w:p w14:paraId="1461BF2B" w14:textId="77777777" w:rsidR="00C7554F" w:rsidRDefault="00C7554F" w:rsidP="000707E8">
      <w:pPr>
        <w:spacing w:after="0" w:line="276" w:lineRule="auto"/>
        <w:jc w:val="center"/>
        <w:rPr>
          <w:rFonts w:ascii="Times New Roman" w:eastAsia="Times New Roman" w:hAnsi="Times New Roman" w:cs="Times New Roman"/>
        </w:rPr>
      </w:pPr>
    </w:p>
    <w:p w14:paraId="04EF8960" w14:textId="638F126B" w:rsidR="00C7554F" w:rsidRDefault="00C41D5B" w:rsidP="000707E8">
      <w:pPr>
        <w:spacing w:after="0" w:line="276" w:lineRule="auto"/>
        <w:jc w:val="center"/>
        <w:rPr>
          <w:rFonts w:ascii="Times New Roman" w:eastAsia="Times New Roman" w:hAnsi="Times New Roman" w:cs="Times New Roman"/>
        </w:rPr>
      </w:pPr>
      <w:r>
        <w:rPr>
          <w:rFonts w:ascii="Times New Roman" w:eastAsia="Times New Roman" w:hAnsi="Times New Roman" w:cs="Times New Roman"/>
        </w:rPr>
        <w:t>Jed Meers</w:t>
      </w:r>
      <w:r>
        <w:rPr>
          <w:rFonts w:ascii="Times New Roman" w:eastAsia="Times New Roman" w:hAnsi="Times New Roman" w:cs="Times New Roman"/>
          <w:vertAlign w:val="superscript"/>
        </w:rPr>
        <w:footnoteReference w:id="1"/>
      </w:r>
      <w:r w:rsidR="001D2D4A">
        <w:rPr>
          <w:rFonts w:ascii="Times New Roman" w:eastAsia="Times New Roman" w:hAnsi="Times New Roman" w:cs="Times New Roman"/>
        </w:rPr>
        <w:t xml:space="preserve"> and </w:t>
      </w:r>
      <w:r>
        <w:rPr>
          <w:rFonts w:ascii="Times New Roman" w:eastAsia="Times New Roman" w:hAnsi="Times New Roman" w:cs="Times New Roman"/>
        </w:rPr>
        <w:t>Michael Robinson</w:t>
      </w:r>
      <w:r>
        <w:rPr>
          <w:rFonts w:ascii="Times New Roman" w:eastAsia="Times New Roman" w:hAnsi="Times New Roman" w:cs="Times New Roman"/>
          <w:vertAlign w:val="superscript"/>
        </w:rPr>
        <w:footnoteReference w:id="2"/>
      </w:r>
    </w:p>
    <w:p w14:paraId="7475D68D" w14:textId="77777777" w:rsidR="00C7554F" w:rsidRDefault="00C7554F" w:rsidP="00D51F58">
      <w:pPr>
        <w:spacing w:after="0" w:line="276" w:lineRule="auto"/>
        <w:jc w:val="both"/>
        <w:rPr>
          <w:rFonts w:ascii="Times New Roman" w:eastAsia="Times New Roman" w:hAnsi="Times New Roman" w:cs="Times New Roman"/>
          <w:sz w:val="36"/>
          <w:szCs w:val="36"/>
        </w:rPr>
      </w:pPr>
    </w:p>
    <w:p w14:paraId="67B4E5A4" w14:textId="77777777" w:rsidR="00C7554F" w:rsidRDefault="00000000" w:rsidP="00D51F58">
      <w:pPr>
        <w:spacing w:line="276" w:lineRule="auto"/>
        <w:ind w:left="567" w:right="521"/>
        <w:jc w:val="both"/>
        <w:rPr>
          <w:rFonts w:ascii="Times New Roman" w:eastAsia="Times New Roman" w:hAnsi="Times New Roman" w:cs="Times New Roman"/>
        </w:rPr>
      </w:pPr>
      <w:r>
        <w:rPr>
          <w:rFonts w:ascii="Times New Roman" w:eastAsia="Times New Roman" w:hAnsi="Times New Roman" w:cs="Times New Roman"/>
        </w:rPr>
        <w:t>This paper examines the turbulent journey of the UK Labour Government's 'Pathways to Work' agenda, from its initial proposal in the March 2025 green paper to the significantly scaled-back Universal Credit Bill that emerged following sustained parliamentary opposition. The original Green Paper proposed wide-ranging and (in part) controversial reforms across Personal Independence Payment (PIP), Universal Credit (UC), and other elements of the social security system, including the abolition of the Work Capability Assessment. While the broad aims of improving living standards and labour market participation among people with long-term health conditions or disabilities were welcomed, the proposed means (particularly changes to PIP eligibility) faced fierce criticism from disability charities, anti-poverty organisations, and welfare rights groups. This paper analyses what remains of the government's original proposals in the current Universal Credit Bill and explores what this reveals about the future direction of health-related benefits and the UK's social security system more generally. The analysis situates these developments within the longer-term evolution of disability benefit policy and considers the implications.</w:t>
      </w:r>
    </w:p>
    <w:p w14:paraId="21DABFB0" w14:textId="77777777" w:rsidR="00C7554F" w:rsidRDefault="00C7554F" w:rsidP="00D51F58">
      <w:pPr>
        <w:spacing w:line="276" w:lineRule="auto"/>
        <w:ind w:left="567" w:right="521"/>
        <w:jc w:val="both"/>
        <w:rPr>
          <w:rFonts w:ascii="Times New Roman" w:eastAsia="Times New Roman" w:hAnsi="Times New Roman" w:cs="Times New Roman"/>
        </w:rPr>
      </w:pPr>
    </w:p>
    <w:p w14:paraId="5FF8871F" w14:textId="77777777"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Keywords: </w:t>
      </w:r>
      <w:r>
        <w:rPr>
          <w:rFonts w:ascii="Times New Roman" w:eastAsia="Times New Roman" w:hAnsi="Times New Roman" w:cs="Times New Roman"/>
        </w:rPr>
        <w:t>Pathways to Work, Personal Independence Payment, Universal Credit, Disability Benefit, Work Capability Assessment, Limited Capability for Work-Related Activity, Incapacity Benefits.</w:t>
      </w:r>
    </w:p>
    <w:p w14:paraId="5C649557" w14:textId="77777777" w:rsidR="00C7554F" w:rsidRDefault="00C7554F" w:rsidP="00D51F58">
      <w:pPr>
        <w:pBdr>
          <w:bottom w:val="single" w:sz="12" w:space="1" w:color="000000"/>
        </w:pBdr>
        <w:spacing w:line="276" w:lineRule="auto"/>
        <w:jc w:val="both"/>
        <w:rPr>
          <w:rFonts w:ascii="Times New Roman" w:eastAsia="Times New Roman" w:hAnsi="Times New Roman" w:cs="Times New Roman"/>
        </w:rPr>
      </w:pPr>
    </w:p>
    <w:p w14:paraId="19C205B9" w14:textId="77777777" w:rsidR="00C7554F" w:rsidRDefault="00000000" w:rsidP="00D51F58">
      <w:pPr>
        <w:pStyle w:val="Heading1"/>
        <w:spacing w:line="276" w:lineRule="auto"/>
        <w:jc w:val="both"/>
      </w:pPr>
      <w:r>
        <w:br w:type="page"/>
      </w:r>
    </w:p>
    <w:p w14:paraId="436238E3" w14:textId="77777777" w:rsidR="00C7554F" w:rsidRDefault="00000000" w:rsidP="00506385">
      <w:pPr>
        <w:pStyle w:val="Heading1"/>
        <w:spacing w:line="276" w:lineRule="auto"/>
      </w:pPr>
      <w:r>
        <w:lastRenderedPageBreak/>
        <w:t>INTRODUCTION</w:t>
      </w:r>
    </w:p>
    <w:p w14:paraId="2A2D3C86" w14:textId="7862B933"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rPr>
        <w:t>The UK Labour Government's 'Pathways to Work' agenda – set out in the publication of the (partially) ill-fated March 2025 green paper, '</w:t>
      </w:r>
      <w:r>
        <w:rPr>
          <w:rFonts w:ascii="Times New Roman" w:eastAsia="Times New Roman" w:hAnsi="Times New Roman" w:cs="Times New Roman"/>
          <w:i/>
        </w:rPr>
        <w:t>Pathways to Work: Reforming benefits and support to get Britain working</w:t>
      </w:r>
      <w:r>
        <w:rPr>
          <w:rFonts w:ascii="Times New Roman" w:eastAsia="Times New Roman" w:hAnsi="Times New Roman" w:cs="Times New Roman"/>
        </w:rPr>
        <w:t>' – left millions of social security claimants facing uncertainty about their future entitlements and support.</w:t>
      </w:r>
      <w:bookmarkStart w:id="0" w:name="_Ref205383157"/>
      <w:r>
        <w:rPr>
          <w:rStyle w:val="FootnoteReference"/>
          <w:rFonts w:ascii="Times New Roman" w:eastAsia="Times New Roman" w:hAnsi="Times New Roman" w:cs="Times New Roman"/>
        </w:rPr>
        <w:footnoteReference w:id="3"/>
      </w:r>
      <w:bookmarkEnd w:id="0"/>
      <w:r>
        <w:rPr>
          <w:rFonts w:ascii="Times New Roman" w:eastAsia="Times New Roman" w:hAnsi="Times New Roman" w:cs="Times New Roman"/>
        </w:rPr>
        <w:t xml:space="preserve"> The package has been a kind of legislative 'hokey cokey': large scale reforms were in, then (some) were out, shaking the system </w:t>
      </w:r>
      <w:r w:rsidR="00506385">
        <w:rPr>
          <w:rFonts w:ascii="Times New Roman" w:eastAsia="Times New Roman" w:hAnsi="Times New Roman" w:cs="Times New Roman"/>
        </w:rPr>
        <w:t xml:space="preserve">about </w:t>
      </w:r>
      <w:r>
        <w:rPr>
          <w:rFonts w:ascii="Times New Roman" w:eastAsia="Times New Roman" w:hAnsi="Times New Roman" w:cs="Times New Roman"/>
        </w:rPr>
        <w:t>in ways that raise fundamental questions about coherence and direction. For those who rely on health-related benefits, this period of policy flux has created anxiety and confusion both about what changes may still be coming and the future direction of the UK Government’s approach to the social security system more broadly.</w:t>
      </w:r>
      <w:r w:rsidR="00B061C5">
        <w:rPr>
          <w:rStyle w:val="FootnoteReference"/>
          <w:rFonts w:ascii="Times New Roman" w:eastAsia="Times New Roman" w:hAnsi="Times New Roman" w:cs="Times New Roman"/>
        </w:rPr>
        <w:footnoteReference w:id="4"/>
      </w:r>
    </w:p>
    <w:p w14:paraId="2477B547" w14:textId="77777777"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The </w:t>
      </w:r>
      <w:r>
        <w:rPr>
          <w:rFonts w:ascii="Times New Roman" w:eastAsia="Times New Roman" w:hAnsi="Times New Roman" w:cs="Times New Roman"/>
          <w:i/>
        </w:rPr>
        <w:t>Pathways to Work</w:t>
      </w:r>
      <w:r>
        <w:rPr>
          <w:rFonts w:ascii="Times New Roman" w:eastAsia="Times New Roman" w:hAnsi="Times New Roman" w:cs="Times New Roman"/>
        </w:rPr>
        <w:t xml:space="preserve"> green paper itself proposed a wide-ranging and (in parts)  controversial set of reforms across PIP, UC and other elements of the social security system (to which we return in more detail below). The hundreds of responses to the resulting consultation published from disability charities, anti-poverty organisations, think tanks, welfare rights organisations and campaign groups tell a similar story.</w:t>
      </w:r>
      <w:r>
        <w:rPr>
          <w:rFonts w:ascii="Times New Roman" w:eastAsia="Times New Roman" w:hAnsi="Times New Roman" w:cs="Times New Roman"/>
          <w:vertAlign w:val="superscript"/>
        </w:rPr>
        <w:footnoteReference w:id="5"/>
      </w:r>
      <w:r>
        <w:rPr>
          <w:rFonts w:ascii="Times New Roman" w:eastAsia="Times New Roman" w:hAnsi="Times New Roman" w:cs="Times New Roman"/>
        </w:rPr>
        <w:t xml:space="preserve"> Although the broad aims set out in the green paper were welcomed – chief among them improving the living standards and labour market participation among people with a long-term health condition or disability – the means were not. Large-scale reductions to PIP eligibility (a benefit unconnected to employment status) appeared driven by a desire to cut spending rather than improve outcomes; even on the Government’s own analysis, the proposed reforms would result in a significant deepening of poverty among people with disabilities; and large-scale changes, such as the abolition of the Work Capability Assessment (WCA), were being introduced without consultation with affected groups.</w:t>
      </w:r>
    </w:p>
    <w:p w14:paraId="1F721B0B" w14:textId="6599D55A" w:rsidR="00C7554F" w:rsidRDefault="00000000" w:rsidP="002C62E9">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However, following sustained parliamentary opposition after the accompanying Universal Credit and Personal Independence Bill's introduction in June 2025, the Government was forced into a series of concessions – some made by Sir Stephen Timms MP, the Minister of State for Social Security and Disability in the DWP, on the floor of the House of Commons during the </w:t>
      </w:r>
      <w:r>
        <w:rPr>
          <w:rFonts w:ascii="Times New Roman" w:eastAsia="Times New Roman" w:hAnsi="Times New Roman" w:cs="Times New Roman"/>
        </w:rPr>
        <w:lastRenderedPageBreak/>
        <w:t>second reading of the Bill itself.</w:t>
      </w:r>
      <w:r>
        <w:rPr>
          <w:rFonts w:ascii="Times New Roman" w:eastAsia="Times New Roman" w:hAnsi="Times New Roman" w:cs="Times New Roman"/>
          <w:vertAlign w:val="superscript"/>
        </w:rPr>
        <w:footnoteReference w:id="6"/>
      </w:r>
      <w:r>
        <w:rPr>
          <w:rFonts w:ascii="Times New Roman" w:eastAsia="Times New Roman" w:hAnsi="Times New Roman" w:cs="Times New Roman"/>
        </w:rPr>
        <w:t xml:space="preserve"> By the end of June 2025, existing claimants had been largely protected from the UC changes, while the PIP reforms were postponed and subsequently removed from the Bill entirely. So extensive were these reversals that the legislation had to be renamed from the ‘Universal Credit and Personal Independence Payment Bill’ to simply the ‘Universal Credit Bill’. As this article goes to print, a </w:t>
      </w:r>
      <w:r>
        <w:rPr>
          <w:rFonts w:ascii="Times New Roman" w:eastAsia="Times New Roman" w:hAnsi="Times New Roman" w:cs="Times New Roman"/>
          <w:i/>
        </w:rPr>
        <w:t xml:space="preserve">Pathways to Work </w:t>
      </w:r>
      <w:r>
        <w:rPr>
          <w:rFonts w:ascii="Times New Roman" w:eastAsia="Times New Roman" w:hAnsi="Times New Roman" w:cs="Times New Roman"/>
        </w:rPr>
        <w:t xml:space="preserve">White Paper is promised for publication by autumn 2025, which will set out the broader changes consulted on throughout the summer, from a new Unemployment Insurance contributory benefit, delaying access to the UC health element until </w:t>
      </w:r>
      <w:r w:rsidR="00E37D35">
        <w:rPr>
          <w:rFonts w:ascii="Times New Roman" w:eastAsia="Times New Roman" w:hAnsi="Times New Roman" w:cs="Times New Roman"/>
        </w:rPr>
        <w:t xml:space="preserve">the age of </w:t>
      </w:r>
      <w:r>
        <w:rPr>
          <w:rFonts w:ascii="Times New Roman" w:eastAsia="Times New Roman" w:hAnsi="Times New Roman" w:cs="Times New Roman"/>
        </w:rPr>
        <w:t>22, raising the age of PIP receipt to 18, among other reforms.</w:t>
      </w:r>
      <w:r>
        <w:rPr>
          <w:rFonts w:ascii="Times New Roman" w:eastAsia="Times New Roman" w:hAnsi="Times New Roman" w:cs="Times New Roman"/>
          <w:vertAlign w:val="superscript"/>
        </w:rPr>
        <w:footnoteReference w:id="7"/>
      </w:r>
      <w:r w:rsidR="002C62E9">
        <w:rPr>
          <w:rFonts w:ascii="Times New Roman" w:eastAsia="Times New Roman" w:hAnsi="Times New Roman" w:cs="Times New Roman"/>
        </w:rPr>
        <w:t xml:space="preserve"> This package of reforms – with many details left to be determined – has been criticised by the UN Special Rapporteurs </w:t>
      </w:r>
      <w:r w:rsidR="002C62E9" w:rsidRPr="002C62E9">
        <w:rPr>
          <w:rFonts w:ascii="Times New Roman" w:eastAsia="Times New Roman" w:hAnsi="Times New Roman" w:cs="Times New Roman"/>
        </w:rPr>
        <w:t xml:space="preserve">on the </w:t>
      </w:r>
      <w:r w:rsidR="002C62E9">
        <w:rPr>
          <w:rFonts w:ascii="Times New Roman" w:eastAsia="Times New Roman" w:hAnsi="Times New Roman" w:cs="Times New Roman"/>
        </w:rPr>
        <w:t>R</w:t>
      </w:r>
      <w:r w:rsidR="002C62E9" w:rsidRPr="002C62E9">
        <w:rPr>
          <w:rFonts w:ascii="Times New Roman" w:eastAsia="Times New Roman" w:hAnsi="Times New Roman" w:cs="Times New Roman"/>
        </w:rPr>
        <w:t xml:space="preserve">ights of </w:t>
      </w:r>
      <w:r w:rsidR="002C62E9">
        <w:rPr>
          <w:rFonts w:ascii="Times New Roman" w:eastAsia="Times New Roman" w:hAnsi="Times New Roman" w:cs="Times New Roman"/>
        </w:rPr>
        <w:t>P</w:t>
      </w:r>
      <w:r w:rsidR="002C62E9" w:rsidRPr="002C62E9">
        <w:rPr>
          <w:rFonts w:ascii="Times New Roman" w:eastAsia="Times New Roman" w:hAnsi="Times New Roman" w:cs="Times New Roman"/>
        </w:rPr>
        <w:t xml:space="preserve">ersons with </w:t>
      </w:r>
      <w:r w:rsidR="002C62E9">
        <w:rPr>
          <w:rFonts w:ascii="Times New Roman" w:eastAsia="Times New Roman" w:hAnsi="Times New Roman" w:cs="Times New Roman"/>
        </w:rPr>
        <w:t>D</w:t>
      </w:r>
      <w:r w:rsidR="002C62E9" w:rsidRPr="002C62E9">
        <w:rPr>
          <w:rFonts w:ascii="Times New Roman" w:eastAsia="Times New Roman" w:hAnsi="Times New Roman" w:cs="Times New Roman"/>
        </w:rPr>
        <w:t>isabilities</w:t>
      </w:r>
      <w:r w:rsidR="002C62E9">
        <w:rPr>
          <w:rFonts w:ascii="Times New Roman" w:eastAsia="Times New Roman" w:hAnsi="Times New Roman" w:cs="Times New Roman"/>
        </w:rPr>
        <w:t xml:space="preserve"> and on Extreme Poverty and Human Rights who have called for the bill to be withdrawn and planned measured ‘paused’, until the Government has conducted ‘</w:t>
      </w:r>
      <w:r w:rsidR="002C62E9" w:rsidRPr="002C62E9">
        <w:rPr>
          <w:rFonts w:ascii="Times New Roman" w:eastAsia="Times New Roman" w:hAnsi="Times New Roman" w:cs="Times New Roman"/>
        </w:rPr>
        <w:t>a comprehensive assessment of the adequacy and accessibility of social security schemes for persons with disabilities and people with long-term health conditions</w:t>
      </w:r>
      <w:r w:rsidR="002C62E9">
        <w:rPr>
          <w:rFonts w:ascii="Times New Roman" w:eastAsia="Times New Roman" w:hAnsi="Times New Roman" w:cs="Times New Roman"/>
        </w:rPr>
        <w:t>.’</w:t>
      </w:r>
      <w:r w:rsidR="009C2161">
        <w:rPr>
          <w:rStyle w:val="FootnoteReference"/>
          <w:rFonts w:ascii="Times New Roman" w:eastAsia="Times New Roman" w:hAnsi="Times New Roman" w:cs="Times New Roman"/>
        </w:rPr>
        <w:footnoteReference w:id="8"/>
      </w:r>
    </w:p>
    <w:p w14:paraId="77843BF3" w14:textId="77777777"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rPr>
        <w:t>In this rapidly evolving context, and to tee-up this special issue examining health and disability related benefits, this paper seeks to do two things. The first is to set out the reforms that have persisted into the Universal Credit Bill as it currently stands, examining what remains of the government's original proposals. These changes, although less far reaching than in the original green paper and without the significant reductions to PIP, still represent the most significant change to incapacity benefits in a generation and promise further broad-ranging changes to come. The second is to look ahead and explore what reading the runes tells us about the current state and direction of the UK Government’s social security agenda, particularly with respect to health-related benefits and labour market activation policy. In doing so, we raise four issues that we think warrant particular attention. First, how the scrapping of the WCA marks a significant structural change to the treatment of incapacity benefit, albeit one that has been heralded by the increasing narrowing and medicalisation of assessments that has been underway for decades. Second, the rooting of labour market activation policy – and particularly innovation on this front – into a broader eco-system of actors at the local level. Third, a newfound emphasis on safeguarding. And finally, the potential, promise and high stakes of the upcoming ‘Timms Review’ of the PIP assessment. We conclude by pointing to further developments on the way throughout the remainder of 2025 and into 2026.</w:t>
      </w:r>
    </w:p>
    <w:p w14:paraId="26FCDA02" w14:textId="77777777" w:rsidR="00C7554F" w:rsidRDefault="00000000" w:rsidP="00506385">
      <w:pPr>
        <w:pStyle w:val="Heading1"/>
        <w:spacing w:line="276" w:lineRule="auto"/>
      </w:pPr>
      <w:r>
        <w:t>LEAN, MEAN AND GREEN: THE PATHWAYS TO WORK GREEN PAPER</w:t>
      </w:r>
    </w:p>
    <w:p w14:paraId="4D443499" w14:textId="77777777"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Analysing the Labour Government's </w:t>
      </w:r>
      <w:r>
        <w:rPr>
          <w:rFonts w:ascii="Times New Roman" w:eastAsia="Times New Roman" w:hAnsi="Times New Roman" w:cs="Times New Roman"/>
          <w:i/>
        </w:rPr>
        <w:t>Pathways to Work</w:t>
      </w:r>
      <w:r>
        <w:rPr>
          <w:rFonts w:ascii="Times New Roman" w:eastAsia="Times New Roman" w:hAnsi="Times New Roman" w:cs="Times New Roman"/>
        </w:rPr>
        <w:t xml:space="preserve"> agenda raises an immediate question: which one? The UK Government’s </w:t>
      </w:r>
      <w:r>
        <w:rPr>
          <w:rFonts w:ascii="Times New Roman" w:eastAsia="Times New Roman" w:hAnsi="Times New Roman" w:cs="Times New Roman"/>
          <w:i/>
        </w:rPr>
        <w:t>Pathways to Work</w:t>
      </w:r>
      <w:r>
        <w:rPr>
          <w:rFonts w:ascii="Times New Roman" w:eastAsia="Times New Roman" w:hAnsi="Times New Roman" w:cs="Times New Roman"/>
        </w:rPr>
        <w:t xml:space="preserve"> Green Paper, published in March 2025, is not the first to bear the title. The document setting out the last UK Labour Government’s </w:t>
      </w:r>
      <w:r>
        <w:rPr>
          <w:rFonts w:ascii="Times New Roman" w:eastAsia="Times New Roman" w:hAnsi="Times New Roman" w:cs="Times New Roman"/>
        </w:rPr>
        <w:lastRenderedPageBreak/>
        <w:t xml:space="preserve">2007 vision for reforms to people in receipt of incapacity benefit – </w:t>
      </w:r>
      <w:r>
        <w:rPr>
          <w:rFonts w:ascii="Times New Roman" w:eastAsia="Times New Roman" w:hAnsi="Times New Roman" w:cs="Times New Roman"/>
          <w:i/>
        </w:rPr>
        <w:t xml:space="preserve">Pathways to Work: Helping People into Employment </w:t>
      </w:r>
      <w:r>
        <w:rPr>
          <w:rFonts w:ascii="Times New Roman" w:eastAsia="Times New Roman" w:hAnsi="Times New Roman" w:cs="Times New Roman"/>
        </w:rPr>
        <w:t>– was built on efforts that had been underway since at least the 1990s and which were reflected in a dedicated ‘pathways to work’ programme launched in 2003.</w:t>
      </w:r>
      <w:bookmarkStart w:id="1" w:name="_Ref205383991"/>
      <w:r>
        <w:rPr>
          <w:rFonts w:ascii="Times New Roman" w:eastAsia="Times New Roman" w:hAnsi="Times New Roman" w:cs="Times New Roman"/>
          <w:vertAlign w:val="superscript"/>
        </w:rPr>
        <w:footnoteReference w:id="9"/>
      </w:r>
      <w:bookmarkEnd w:id="1"/>
      <w:r>
        <w:rPr>
          <w:rFonts w:ascii="Times New Roman" w:eastAsia="Times New Roman" w:hAnsi="Times New Roman" w:cs="Times New Roman"/>
        </w:rPr>
        <w:t xml:space="preserve"> As Harris characterised it, this agenda sought to focus social security reform efforts on claimants’ path </w:t>
      </w:r>
      <w:r>
        <w:rPr>
          <w:rFonts w:ascii="Times New Roman" w:eastAsia="Times New Roman" w:hAnsi="Times New Roman" w:cs="Times New Roman"/>
          <w:i/>
        </w:rPr>
        <w:t>onto</w:t>
      </w:r>
      <w:r>
        <w:rPr>
          <w:rFonts w:ascii="Times New Roman" w:eastAsia="Times New Roman" w:hAnsi="Times New Roman" w:cs="Times New Roman"/>
        </w:rPr>
        <w:t xml:space="preserve"> incapacity benefits, and their possible exit routes </w:t>
      </w:r>
      <w:r>
        <w:rPr>
          <w:rFonts w:ascii="Times New Roman" w:eastAsia="Times New Roman" w:hAnsi="Times New Roman" w:cs="Times New Roman"/>
          <w:i/>
        </w:rPr>
        <w:t>off</w:t>
      </w:r>
      <w:r>
        <w:rPr>
          <w:rFonts w:ascii="Times New Roman" w:eastAsia="Times New Roman" w:hAnsi="Times New Roman" w:cs="Times New Roman"/>
        </w:rPr>
        <w:t xml:space="preserve"> them.</w:t>
      </w:r>
      <w:r>
        <w:rPr>
          <w:rFonts w:ascii="Times New Roman" w:eastAsia="Times New Roman" w:hAnsi="Times New Roman" w:cs="Times New Roman"/>
          <w:vertAlign w:val="superscript"/>
        </w:rPr>
        <w:footnoteReference w:id="10"/>
      </w:r>
      <w:r>
        <w:rPr>
          <w:rFonts w:ascii="Times New Roman" w:eastAsia="Times New Roman" w:hAnsi="Times New Roman" w:cs="Times New Roman"/>
        </w:rPr>
        <w:t xml:space="preserve"> This led to a broader set of initiatives, reforms and (further) programmes that aimed to take ‘a co-ordinated approach to addressing the barriers that people face when they have an illness or disability’, rather than ‘simply compensating them for their disadvantage.’</w:t>
      </w:r>
      <w:bookmarkStart w:id="2" w:name="_Ref205384062"/>
      <w:r>
        <w:rPr>
          <w:rFonts w:ascii="Times New Roman" w:eastAsia="Times New Roman" w:hAnsi="Times New Roman" w:cs="Times New Roman"/>
          <w:vertAlign w:val="superscript"/>
        </w:rPr>
        <w:footnoteReference w:id="11"/>
      </w:r>
      <w:bookmarkEnd w:id="2"/>
    </w:p>
    <w:p w14:paraId="4CA2C26C" w14:textId="2843295F"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In this </w:t>
      </w:r>
      <w:r w:rsidR="00C01720">
        <w:rPr>
          <w:rFonts w:ascii="Times New Roman" w:eastAsia="Times New Roman" w:hAnsi="Times New Roman" w:cs="Times New Roman"/>
        </w:rPr>
        <w:t xml:space="preserve">narrower </w:t>
      </w:r>
      <w:r>
        <w:rPr>
          <w:rFonts w:ascii="Times New Roman" w:eastAsia="Times New Roman" w:hAnsi="Times New Roman" w:cs="Times New Roman"/>
        </w:rPr>
        <w:t>suite of New Labour reforms</w:t>
      </w:r>
      <w:r w:rsidR="00E37D35">
        <w:rPr>
          <w:rFonts w:ascii="Times New Roman" w:eastAsia="Times New Roman" w:hAnsi="Times New Roman" w:cs="Times New Roman"/>
        </w:rPr>
        <w:t xml:space="preserve"> in the 2000s</w:t>
      </w:r>
      <w:r>
        <w:rPr>
          <w:rFonts w:ascii="Times New Roman" w:eastAsia="Times New Roman" w:hAnsi="Times New Roman" w:cs="Times New Roman"/>
        </w:rPr>
        <w:t xml:space="preserve">, the ‘principal policy mechanism’ tied to </w:t>
      </w:r>
      <w:r w:rsidR="00E37D35">
        <w:rPr>
          <w:rFonts w:ascii="Times New Roman" w:eastAsia="Times New Roman" w:hAnsi="Times New Roman" w:cs="Times New Roman"/>
        </w:rPr>
        <w:t xml:space="preserve">the </w:t>
      </w:r>
      <w:r>
        <w:rPr>
          <w:rFonts w:ascii="Times New Roman" w:eastAsia="Times New Roman" w:hAnsi="Times New Roman" w:cs="Times New Roman"/>
        </w:rPr>
        <w:t xml:space="preserve">original </w:t>
      </w:r>
      <w:r>
        <w:rPr>
          <w:rFonts w:ascii="Times New Roman" w:eastAsia="Times New Roman" w:hAnsi="Times New Roman" w:cs="Times New Roman"/>
          <w:i/>
        </w:rPr>
        <w:t xml:space="preserve">Pathways to Work </w:t>
      </w:r>
      <w:r>
        <w:rPr>
          <w:rFonts w:ascii="Times New Roman" w:eastAsia="Times New Roman" w:hAnsi="Times New Roman" w:cs="Times New Roman"/>
        </w:rPr>
        <w:t>agenda was a requirement for all new incapacity benefit claimants to undertake ‘work‐focused interviews’ at monthly intervals with a Jobcentre Plus official. Failure to do so could lead to sanction or loss of incapacity benefit altogether.</w:t>
      </w:r>
      <w:r>
        <w:rPr>
          <w:rFonts w:ascii="Times New Roman" w:eastAsia="Times New Roman" w:hAnsi="Times New Roman" w:cs="Times New Roman"/>
          <w:vertAlign w:val="superscript"/>
        </w:rPr>
        <w:footnoteReference w:id="12"/>
      </w:r>
      <w:r>
        <w:rPr>
          <w:rFonts w:ascii="Times New Roman" w:eastAsia="Times New Roman" w:hAnsi="Times New Roman" w:cs="Times New Roman"/>
        </w:rPr>
        <w:t xml:space="preserve"> However, as McKeever subsequently explored, this initiative sat alongside a far more fundamental concern about the design of incapacity benefits.</w:t>
      </w:r>
      <w:r>
        <w:rPr>
          <w:rFonts w:ascii="Times New Roman" w:eastAsia="Times New Roman" w:hAnsi="Times New Roman" w:cs="Times New Roman"/>
          <w:vertAlign w:val="superscript"/>
        </w:rPr>
        <w:footnoteReference w:id="13"/>
      </w:r>
      <w:r>
        <w:rPr>
          <w:rFonts w:ascii="Times New Roman" w:eastAsia="Times New Roman" w:hAnsi="Times New Roman" w:cs="Times New Roman"/>
        </w:rPr>
        <w:t xml:space="preserve"> Marked by the introduction of Employment Support Allowance in 2007,</w:t>
      </w:r>
      <w:r>
        <w:rPr>
          <w:rFonts w:ascii="Times New Roman" w:eastAsia="Times New Roman" w:hAnsi="Times New Roman" w:cs="Times New Roman"/>
          <w:vertAlign w:val="superscript"/>
        </w:rPr>
        <w:footnoteReference w:id="14"/>
      </w:r>
      <w:r>
        <w:rPr>
          <w:rFonts w:ascii="Times New Roman" w:eastAsia="Times New Roman" w:hAnsi="Times New Roman" w:cs="Times New Roman"/>
        </w:rPr>
        <w:t xml:space="preserve"> this new-style benefit was introduced by the Labour Government to deal with perceived problems with Incapacity Benefit, which – as McKeever points out – was itself introduced in the first place to deal with perceived problems with the Invalidity Benefit that preceded it.</w:t>
      </w:r>
      <w:r>
        <w:rPr>
          <w:rFonts w:ascii="Times New Roman" w:eastAsia="Times New Roman" w:hAnsi="Times New Roman" w:cs="Times New Roman"/>
          <w:vertAlign w:val="superscript"/>
        </w:rPr>
        <w:footnoteReference w:id="15"/>
      </w:r>
    </w:p>
    <w:p w14:paraId="1B099835" w14:textId="4EA23D62"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The policy motivations and arguments that characterise these 2007 </w:t>
      </w:r>
      <w:r>
        <w:rPr>
          <w:rFonts w:ascii="Times New Roman" w:eastAsia="Times New Roman" w:hAnsi="Times New Roman" w:cs="Times New Roman"/>
          <w:i/>
        </w:rPr>
        <w:t xml:space="preserve">Pathways to Work </w:t>
      </w:r>
      <w:r>
        <w:rPr>
          <w:rFonts w:ascii="Times New Roman" w:eastAsia="Times New Roman" w:hAnsi="Times New Roman" w:cs="Times New Roman"/>
        </w:rPr>
        <w:t>reforms will be familiar to readers of the March 2025 green paper of the same name. Concerns about the increase of households claiming incapacity benefits, the suspicion that eligibility assessments are being incorrectly (and generously) applied, and the view that people were becoming ‘culturally conditioned’ to expect the state to support them are well-worn arguments in the narratives surrounding reforms to incapacity benefits.</w:t>
      </w:r>
      <w:r>
        <w:rPr>
          <w:rFonts w:ascii="Times New Roman" w:eastAsia="Times New Roman" w:hAnsi="Times New Roman" w:cs="Times New Roman"/>
          <w:vertAlign w:val="superscript"/>
        </w:rPr>
        <w:footnoteReference w:id="16"/>
      </w:r>
      <w:r>
        <w:rPr>
          <w:rFonts w:ascii="Times New Roman" w:eastAsia="Times New Roman" w:hAnsi="Times New Roman" w:cs="Times New Roman"/>
        </w:rPr>
        <w:t xml:space="preserve"> </w:t>
      </w:r>
      <w:r w:rsidR="00C01720">
        <w:rPr>
          <w:rFonts w:ascii="Times New Roman" w:eastAsia="Times New Roman" w:hAnsi="Times New Roman" w:cs="Times New Roman"/>
        </w:rPr>
        <w:t>Of course, between the two the social security system has seen wide-ranging changes in the name of austerity, the suite of increases to conditionality and reductions to support in the wake of the Welfare Reform Act 2012 and the Welfare Reform and Work Act 20</w:t>
      </w:r>
      <w:r w:rsidR="008F6F9D">
        <w:rPr>
          <w:rFonts w:ascii="Times New Roman" w:eastAsia="Times New Roman" w:hAnsi="Times New Roman" w:cs="Times New Roman"/>
        </w:rPr>
        <w:t>16</w:t>
      </w:r>
      <w:r w:rsidR="00C01720">
        <w:rPr>
          <w:rFonts w:ascii="Times New Roman" w:eastAsia="Times New Roman" w:hAnsi="Times New Roman" w:cs="Times New Roman"/>
        </w:rPr>
        <w:t>, and a host of other reforms.</w:t>
      </w:r>
      <w:r w:rsidR="00606484">
        <w:rPr>
          <w:rStyle w:val="FootnoteReference"/>
          <w:rFonts w:ascii="Times New Roman" w:eastAsia="Times New Roman" w:hAnsi="Times New Roman" w:cs="Times New Roman"/>
        </w:rPr>
        <w:footnoteReference w:id="17"/>
      </w:r>
      <w:r w:rsidR="00C01720">
        <w:rPr>
          <w:rFonts w:ascii="Times New Roman" w:eastAsia="Times New Roman" w:hAnsi="Times New Roman" w:cs="Times New Roman"/>
        </w:rPr>
        <w:t xml:space="preserve"> </w:t>
      </w:r>
      <w:r w:rsidR="00DD5F00">
        <w:rPr>
          <w:rFonts w:ascii="Times New Roman" w:eastAsia="Times New Roman" w:hAnsi="Times New Roman" w:cs="Times New Roman"/>
        </w:rPr>
        <w:t xml:space="preserve">Many of these – such as the </w:t>
      </w:r>
      <w:r w:rsidR="00DD5F00" w:rsidRPr="00DD5F00">
        <w:rPr>
          <w:rFonts w:ascii="Times New Roman" w:eastAsia="Times New Roman" w:hAnsi="Times New Roman" w:cs="Times New Roman"/>
        </w:rPr>
        <w:t xml:space="preserve">Disability and Health Employment Strategy </w:t>
      </w:r>
      <w:r w:rsidR="00DD5F00">
        <w:rPr>
          <w:rFonts w:ascii="Times New Roman" w:eastAsia="Times New Roman" w:hAnsi="Times New Roman" w:cs="Times New Roman"/>
        </w:rPr>
        <w:t xml:space="preserve">– have targeted what has been </w:t>
      </w:r>
      <w:r w:rsidR="00DD5F00">
        <w:rPr>
          <w:rFonts w:ascii="Times New Roman" w:eastAsia="Times New Roman" w:hAnsi="Times New Roman" w:cs="Times New Roman"/>
        </w:rPr>
        <w:lastRenderedPageBreak/>
        <w:t>characterised elsewhere as ‘</w:t>
      </w:r>
      <w:r w:rsidR="00DD5F00" w:rsidRPr="00DD5F00">
        <w:rPr>
          <w:rFonts w:ascii="Times New Roman" w:eastAsia="Times New Roman" w:hAnsi="Times New Roman" w:cs="Times New Roman"/>
        </w:rPr>
        <w:t>punitive work first welfare reform</w:t>
      </w:r>
      <w:r w:rsidR="00DD5F00">
        <w:rPr>
          <w:rFonts w:ascii="Times New Roman" w:eastAsia="Times New Roman" w:hAnsi="Times New Roman" w:cs="Times New Roman"/>
        </w:rPr>
        <w:t>s’.</w:t>
      </w:r>
      <w:r w:rsidR="00146CBD">
        <w:rPr>
          <w:rStyle w:val="FootnoteReference"/>
          <w:rFonts w:ascii="Times New Roman" w:eastAsia="Times New Roman" w:hAnsi="Times New Roman" w:cs="Times New Roman"/>
        </w:rPr>
        <w:footnoteReference w:id="18"/>
      </w:r>
      <w:r w:rsidR="00DD5F00">
        <w:rPr>
          <w:rFonts w:ascii="Times New Roman" w:eastAsia="Times New Roman" w:hAnsi="Times New Roman" w:cs="Times New Roman"/>
        </w:rPr>
        <w:t xml:space="preserve"> </w:t>
      </w:r>
      <w:r>
        <w:rPr>
          <w:rFonts w:ascii="Times New Roman" w:eastAsia="Times New Roman" w:hAnsi="Times New Roman" w:cs="Times New Roman"/>
        </w:rPr>
        <w:t xml:space="preserve">What is different, however, is that the March 2025 edition of the </w:t>
      </w:r>
      <w:r>
        <w:rPr>
          <w:rFonts w:ascii="Times New Roman" w:eastAsia="Times New Roman" w:hAnsi="Times New Roman" w:cs="Times New Roman"/>
          <w:i/>
        </w:rPr>
        <w:t xml:space="preserve">Pathways to Work </w:t>
      </w:r>
      <w:r>
        <w:rPr>
          <w:rFonts w:ascii="Times New Roman" w:eastAsia="Times New Roman" w:hAnsi="Times New Roman" w:cs="Times New Roman"/>
        </w:rPr>
        <w:t>franchise was far broader than incapacity benefit – the green paper proposed fundamental reforms to both disability support and the social security system more generally that cut across most areas of working-age benefits.</w:t>
      </w:r>
    </w:p>
    <w:p w14:paraId="5A20DD1A" w14:textId="77777777" w:rsidR="00C7554F" w:rsidRDefault="00000000" w:rsidP="00D51F58">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rPr>
        <w:t>Ambitious green papers heralding far-reaching welfare reforms are nothing new - they are an evergreen feature of social security policy across much of the western world. The 'major changes' to the benefits system in the Pathways to Work paper however, represented arguably the most significant reforms in a generation, seeking to undertake 'fundamental reform to decouple financial support from capability to work', alongside wide-ranging changes to other aspects of the benefits system.</w:t>
      </w:r>
      <w:r>
        <w:rPr>
          <w:rFonts w:ascii="Times New Roman" w:eastAsia="Times New Roman" w:hAnsi="Times New Roman" w:cs="Times New Roman"/>
          <w:vertAlign w:val="superscript"/>
        </w:rPr>
        <w:footnoteReference w:id="19"/>
      </w:r>
      <w:r>
        <w:rPr>
          <w:rFonts w:ascii="Times New Roman" w:eastAsia="Times New Roman" w:hAnsi="Times New Roman" w:cs="Times New Roman"/>
        </w:rPr>
        <w:t xml:space="preserve"> Table One sets out a brief summary of key reforms laid out in the Green Paper in March 2025, looking at the area of the reform, the timetable laid out, and whether it was subject to consultation.</w:t>
      </w:r>
    </w:p>
    <w:p w14:paraId="39CF22F6" w14:textId="77777777" w:rsidR="00C7554F" w:rsidRDefault="00C7554F" w:rsidP="00D51F58">
      <w:pPr>
        <w:spacing w:line="276" w:lineRule="auto"/>
        <w:jc w:val="both"/>
        <w:rPr>
          <w:rFonts w:ascii="Times New Roman" w:eastAsia="Times New Roman" w:hAnsi="Times New Roman" w:cs="Times New Roman"/>
        </w:rPr>
      </w:pPr>
    </w:p>
    <w:p w14:paraId="5A7CFC26" w14:textId="77777777" w:rsidR="00C7554F" w:rsidRDefault="00000000" w:rsidP="00D51F58">
      <w:pPr>
        <w:spacing w:line="276" w:lineRule="auto"/>
        <w:jc w:val="both"/>
        <w:rPr>
          <w:rFonts w:ascii="Times New Roman" w:eastAsia="Times New Roman" w:hAnsi="Times New Roman" w:cs="Times New Roman"/>
        </w:rPr>
      </w:pPr>
      <w:r>
        <w:br w:type="page"/>
      </w:r>
    </w:p>
    <w:p w14:paraId="07E23445" w14:textId="77777777" w:rsidR="00C7554F" w:rsidRDefault="00000000" w:rsidP="00D51F58">
      <w:pPr>
        <w:spacing w:line="276" w:lineRule="auto"/>
        <w:jc w:val="both"/>
        <w:rPr>
          <w:rFonts w:ascii="Times New Roman" w:eastAsia="Times New Roman" w:hAnsi="Times New Roman" w:cs="Times New Roman"/>
          <w:b/>
        </w:rPr>
      </w:pPr>
      <w:r>
        <w:rPr>
          <w:rFonts w:ascii="Times New Roman" w:eastAsia="Times New Roman" w:hAnsi="Times New Roman" w:cs="Times New Roman"/>
          <w:b/>
        </w:rPr>
        <w:lastRenderedPageBreak/>
        <w:t>Table 1: Summary of Key Reforms Proposed in the 2025 Pathways to Work Green Paper</w:t>
      </w:r>
    </w:p>
    <w:tbl>
      <w:tblPr>
        <w:tblStyle w:val="a"/>
        <w:tblW w:w="8926" w:type="dxa"/>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659"/>
        <w:gridCol w:w="4432"/>
        <w:gridCol w:w="1275"/>
        <w:gridCol w:w="1560"/>
      </w:tblGrid>
      <w:tr w:rsidR="00E9506E" w14:paraId="32C6DB05" w14:textId="77777777" w:rsidTr="00E950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9" w:type="dxa"/>
          </w:tcPr>
          <w:p w14:paraId="0BFBF537" w14:textId="77777777" w:rsidR="00C7554F" w:rsidRDefault="00000000" w:rsidP="00D51F58">
            <w:pPr>
              <w:spacing w:after="16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Reform Area</w:t>
            </w:r>
          </w:p>
        </w:tc>
        <w:tc>
          <w:tcPr>
            <w:tcW w:w="4432" w:type="dxa"/>
          </w:tcPr>
          <w:p w14:paraId="5BFAF0A8" w14:textId="77777777" w:rsidR="00C7554F" w:rsidRDefault="00000000" w:rsidP="00D51F58">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Pr>
                <w:rFonts w:ascii="Times New Roman" w:eastAsia="Times New Roman" w:hAnsi="Times New Roman" w:cs="Times New Roman"/>
                <w:sz w:val="22"/>
                <w:szCs w:val="22"/>
              </w:rPr>
              <w:t>Proposed Changes</w:t>
            </w:r>
          </w:p>
        </w:tc>
        <w:tc>
          <w:tcPr>
            <w:tcW w:w="1275" w:type="dxa"/>
          </w:tcPr>
          <w:p w14:paraId="44EF4748" w14:textId="77777777" w:rsidR="00C7554F" w:rsidRDefault="00000000" w:rsidP="00D51F58">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Pr>
                <w:rFonts w:ascii="Times New Roman" w:eastAsia="Times New Roman" w:hAnsi="Times New Roman" w:cs="Times New Roman"/>
                <w:sz w:val="22"/>
                <w:szCs w:val="22"/>
              </w:rPr>
              <w:t>Proposed Timeline</w:t>
            </w:r>
          </w:p>
        </w:tc>
        <w:tc>
          <w:tcPr>
            <w:tcW w:w="1560" w:type="dxa"/>
          </w:tcPr>
          <w:p w14:paraId="2A8E5E5D" w14:textId="77777777" w:rsidR="00C7554F" w:rsidRDefault="00000000" w:rsidP="00D51F58">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Pr>
                <w:rFonts w:ascii="Times New Roman" w:eastAsia="Times New Roman" w:hAnsi="Times New Roman" w:cs="Times New Roman"/>
                <w:sz w:val="22"/>
                <w:szCs w:val="22"/>
              </w:rPr>
              <w:t>Consultation Status</w:t>
            </w:r>
          </w:p>
        </w:tc>
      </w:tr>
      <w:tr w:rsidR="00E9506E" w14:paraId="30676CDC" w14:textId="77777777" w:rsidTr="00E9506E">
        <w:tc>
          <w:tcPr>
            <w:cnfStyle w:val="001000000000" w:firstRow="0" w:lastRow="0" w:firstColumn="1" w:lastColumn="0" w:oddVBand="0" w:evenVBand="0" w:oddHBand="0" w:evenHBand="0" w:firstRowFirstColumn="0" w:firstRowLastColumn="0" w:lastRowFirstColumn="0" w:lastRowLastColumn="0"/>
            <w:tcW w:w="1659" w:type="dxa"/>
            <w:vAlign w:val="center"/>
          </w:tcPr>
          <w:p w14:paraId="11CD225D" w14:textId="77777777" w:rsidR="00C7554F" w:rsidRDefault="00000000" w:rsidP="00D51F58">
            <w:pPr>
              <w:spacing w:after="16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Work Capability Assessment (WCA)</w:t>
            </w:r>
          </w:p>
        </w:tc>
        <w:tc>
          <w:tcPr>
            <w:tcW w:w="4432" w:type="dxa"/>
            <w:vAlign w:val="center"/>
          </w:tcPr>
          <w:p w14:paraId="05AC1192" w14:textId="5E147119" w:rsidR="00C7554F" w:rsidRDefault="00000000" w:rsidP="00D51F58">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Pr>
                <w:rFonts w:ascii="Times New Roman" w:eastAsia="Times New Roman" w:hAnsi="Times New Roman" w:cs="Times New Roman"/>
                <w:sz w:val="22"/>
                <w:szCs w:val="22"/>
              </w:rPr>
              <w:t>Complete abolition of WCA. Financial support for health conditions in UC to be assessed via</w:t>
            </w:r>
            <w:r w:rsidR="00951E7D">
              <w:rPr>
                <w:rFonts w:ascii="Times New Roman" w:eastAsia="Times New Roman" w:hAnsi="Times New Roman" w:cs="Times New Roman"/>
                <w:sz w:val="22"/>
                <w:szCs w:val="22"/>
              </w:rPr>
              <w:t xml:space="preserve"> the</w:t>
            </w:r>
            <w:r>
              <w:rPr>
                <w:rFonts w:ascii="Times New Roman" w:eastAsia="Times New Roman" w:hAnsi="Times New Roman" w:cs="Times New Roman"/>
                <w:sz w:val="22"/>
                <w:szCs w:val="22"/>
              </w:rPr>
              <w:t xml:space="preserve"> PIP assessment.</w:t>
            </w:r>
          </w:p>
        </w:tc>
        <w:tc>
          <w:tcPr>
            <w:tcW w:w="1275" w:type="dxa"/>
            <w:vAlign w:val="center"/>
          </w:tcPr>
          <w:p w14:paraId="352AC1F7" w14:textId="77777777" w:rsidR="00C7554F" w:rsidRDefault="00000000" w:rsidP="00D51F58">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Pr>
                <w:rFonts w:ascii="Times New Roman" w:eastAsia="Times New Roman" w:hAnsi="Times New Roman" w:cs="Times New Roman"/>
                <w:sz w:val="22"/>
                <w:szCs w:val="22"/>
              </w:rPr>
              <w:t>Starting 2028/29</w:t>
            </w:r>
          </w:p>
        </w:tc>
        <w:tc>
          <w:tcPr>
            <w:tcW w:w="1560" w:type="dxa"/>
            <w:vAlign w:val="center"/>
          </w:tcPr>
          <w:p w14:paraId="445FF5D9" w14:textId="77777777" w:rsidR="00C7554F" w:rsidRDefault="00000000" w:rsidP="00D51F58">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Pr>
                <w:rFonts w:ascii="Times New Roman" w:eastAsia="Times New Roman" w:hAnsi="Times New Roman" w:cs="Times New Roman"/>
                <w:sz w:val="22"/>
                <w:szCs w:val="22"/>
              </w:rPr>
              <w:t>Not subject to consultation</w:t>
            </w:r>
          </w:p>
        </w:tc>
      </w:tr>
      <w:tr w:rsidR="00E9506E" w14:paraId="1087D6C7" w14:textId="77777777" w:rsidTr="00E9506E">
        <w:tc>
          <w:tcPr>
            <w:cnfStyle w:val="001000000000" w:firstRow="0" w:lastRow="0" w:firstColumn="1" w:lastColumn="0" w:oddVBand="0" w:evenVBand="0" w:oddHBand="0" w:evenHBand="0" w:firstRowFirstColumn="0" w:firstRowLastColumn="0" w:lastRowFirstColumn="0" w:lastRowLastColumn="0"/>
            <w:tcW w:w="1659" w:type="dxa"/>
            <w:vAlign w:val="center"/>
          </w:tcPr>
          <w:p w14:paraId="0AC80466" w14:textId="77777777" w:rsidR="00C7554F" w:rsidRDefault="00000000" w:rsidP="00D51F58">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UC Health Element Eligibility</w:t>
            </w:r>
          </w:p>
        </w:tc>
        <w:tc>
          <w:tcPr>
            <w:tcW w:w="4432" w:type="dxa"/>
            <w:vAlign w:val="center"/>
          </w:tcPr>
          <w:p w14:paraId="365D73AE" w14:textId="77777777" w:rsidR="00C7554F" w:rsidRDefault="00000000" w:rsidP="00D51F5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Pr>
                <w:rFonts w:ascii="Times New Roman" w:eastAsia="Times New Roman" w:hAnsi="Times New Roman" w:cs="Times New Roman"/>
                <w:sz w:val="22"/>
                <w:szCs w:val="22"/>
              </w:rPr>
              <w:t>Eligibility for the Health Element in UC to be tied to the Daily Living Component of PIP</w:t>
            </w:r>
          </w:p>
        </w:tc>
        <w:tc>
          <w:tcPr>
            <w:tcW w:w="1275" w:type="dxa"/>
            <w:vAlign w:val="center"/>
          </w:tcPr>
          <w:p w14:paraId="3A2B9DA6" w14:textId="77777777" w:rsidR="00C7554F" w:rsidRDefault="00000000" w:rsidP="00D51F5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Pr>
                <w:rFonts w:ascii="Times New Roman" w:eastAsia="Times New Roman" w:hAnsi="Times New Roman" w:cs="Times New Roman"/>
                <w:sz w:val="22"/>
                <w:szCs w:val="22"/>
              </w:rPr>
              <w:t>Starting 2028/29</w:t>
            </w:r>
          </w:p>
        </w:tc>
        <w:tc>
          <w:tcPr>
            <w:tcW w:w="1560" w:type="dxa"/>
            <w:vAlign w:val="center"/>
          </w:tcPr>
          <w:p w14:paraId="364BAF10" w14:textId="77777777" w:rsidR="00C7554F" w:rsidRDefault="00000000" w:rsidP="00D51F5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Pr>
                <w:rFonts w:ascii="Times New Roman" w:eastAsia="Times New Roman" w:hAnsi="Times New Roman" w:cs="Times New Roman"/>
                <w:sz w:val="22"/>
                <w:szCs w:val="22"/>
              </w:rPr>
              <w:t>Not subject to consultation</w:t>
            </w:r>
          </w:p>
        </w:tc>
      </w:tr>
      <w:tr w:rsidR="00E9506E" w14:paraId="0C46FD9E" w14:textId="77777777" w:rsidTr="00E9506E">
        <w:tc>
          <w:tcPr>
            <w:cnfStyle w:val="001000000000" w:firstRow="0" w:lastRow="0" w:firstColumn="1" w:lastColumn="0" w:oddVBand="0" w:evenVBand="0" w:oddHBand="0" w:evenHBand="0" w:firstRowFirstColumn="0" w:firstRowLastColumn="0" w:lastRowFirstColumn="0" w:lastRowLastColumn="0"/>
            <w:tcW w:w="1659" w:type="dxa"/>
            <w:vAlign w:val="center"/>
          </w:tcPr>
          <w:p w14:paraId="46473B3A" w14:textId="77777777" w:rsidR="00C7554F" w:rsidRDefault="00000000" w:rsidP="00D51F58">
            <w:pPr>
              <w:spacing w:after="16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Removing Barriers to Trying Work</w:t>
            </w:r>
          </w:p>
        </w:tc>
        <w:tc>
          <w:tcPr>
            <w:tcW w:w="4432" w:type="dxa"/>
            <w:vAlign w:val="center"/>
          </w:tcPr>
          <w:p w14:paraId="35B7FCFB" w14:textId="77777777" w:rsidR="00C7554F" w:rsidRDefault="00000000" w:rsidP="00D51F58">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Pr>
                <w:rFonts w:ascii="Times New Roman" w:eastAsia="Times New Roman" w:hAnsi="Times New Roman" w:cs="Times New Roman"/>
                <w:sz w:val="22"/>
                <w:szCs w:val="22"/>
              </w:rPr>
              <w:t>Legislation to guarantee work will not (‘in and of itself’) trigger reassessment and increasing awareness of rules about working while on benefits</w:t>
            </w:r>
          </w:p>
        </w:tc>
        <w:tc>
          <w:tcPr>
            <w:tcW w:w="1275" w:type="dxa"/>
            <w:vAlign w:val="center"/>
          </w:tcPr>
          <w:p w14:paraId="6E710C03" w14:textId="77777777" w:rsidR="00C7554F" w:rsidRDefault="00000000" w:rsidP="00D51F58">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Pr>
                <w:rFonts w:ascii="Times New Roman" w:eastAsia="Times New Roman" w:hAnsi="Times New Roman" w:cs="Times New Roman"/>
                <w:sz w:val="22"/>
                <w:szCs w:val="22"/>
              </w:rPr>
              <w:t>2026/27</w:t>
            </w:r>
          </w:p>
        </w:tc>
        <w:tc>
          <w:tcPr>
            <w:tcW w:w="1560" w:type="dxa"/>
            <w:vAlign w:val="center"/>
          </w:tcPr>
          <w:p w14:paraId="01E6BF56" w14:textId="77777777" w:rsidR="00C7554F" w:rsidRDefault="00000000" w:rsidP="00D51F58">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Pr>
                <w:rFonts w:ascii="Times New Roman" w:eastAsia="Times New Roman" w:hAnsi="Times New Roman" w:cs="Times New Roman"/>
                <w:sz w:val="22"/>
                <w:szCs w:val="22"/>
              </w:rPr>
              <w:t>Subject to consultation (Q1)</w:t>
            </w:r>
          </w:p>
        </w:tc>
      </w:tr>
      <w:tr w:rsidR="00E9506E" w14:paraId="342D4CF2" w14:textId="77777777" w:rsidTr="00E9506E">
        <w:tc>
          <w:tcPr>
            <w:cnfStyle w:val="001000000000" w:firstRow="0" w:lastRow="0" w:firstColumn="1" w:lastColumn="0" w:oddVBand="0" w:evenVBand="0" w:oddHBand="0" w:evenHBand="0" w:firstRowFirstColumn="0" w:firstRowLastColumn="0" w:lastRowFirstColumn="0" w:lastRowLastColumn="0"/>
            <w:tcW w:w="1659" w:type="dxa"/>
            <w:vAlign w:val="center"/>
          </w:tcPr>
          <w:p w14:paraId="1A7C52CC" w14:textId="77777777" w:rsidR="00C7554F" w:rsidRDefault="00000000" w:rsidP="00D51F58">
            <w:pPr>
              <w:spacing w:after="16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Changes to UC Allowances</w:t>
            </w:r>
          </w:p>
        </w:tc>
        <w:tc>
          <w:tcPr>
            <w:tcW w:w="4432" w:type="dxa"/>
            <w:vAlign w:val="center"/>
          </w:tcPr>
          <w:p w14:paraId="2E810FA7" w14:textId="77777777" w:rsidR="00C7554F" w:rsidRDefault="00000000" w:rsidP="00D51F58">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Pr>
                <w:rFonts w:ascii="Times New Roman" w:eastAsia="Times New Roman" w:hAnsi="Times New Roman" w:cs="Times New Roman"/>
                <w:sz w:val="22"/>
                <w:szCs w:val="22"/>
              </w:rPr>
              <w:t>a) Standard allowance increased by £7pw for all b) Health element frozen at £97pw for existing claimants until 2029/30 c) Health element reduced to £50pw for new claimants d) New premium for most severe conditions</w:t>
            </w:r>
          </w:p>
        </w:tc>
        <w:tc>
          <w:tcPr>
            <w:tcW w:w="1275" w:type="dxa"/>
            <w:vAlign w:val="center"/>
          </w:tcPr>
          <w:p w14:paraId="28424310" w14:textId="77777777" w:rsidR="00C7554F" w:rsidRDefault="00000000" w:rsidP="00D51F58">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Pr>
                <w:rFonts w:ascii="Times New Roman" w:eastAsia="Times New Roman" w:hAnsi="Times New Roman" w:cs="Times New Roman"/>
                <w:sz w:val="22"/>
                <w:szCs w:val="22"/>
              </w:rPr>
              <w:t>Beginning April 2026</w:t>
            </w:r>
          </w:p>
        </w:tc>
        <w:tc>
          <w:tcPr>
            <w:tcW w:w="1560" w:type="dxa"/>
            <w:vAlign w:val="center"/>
          </w:tcPr>
          <w:p w14:paraId="1113804A" w14:textId="77777777" w:rsidR="00C7554F" w:rsidRDefault="00000000" w:rsidP="00D51F58">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Pr>
                <w:rFonts w:ascii="Times New Roman" w:eastAsia="Times New Roman" w:hAnsi="Times New Roman" w:cs="Times New Roman"/>
                <w:sz w:val="22"/>
                <w:szCs w:val="22"/>
              </w:rPr>
              <w:t>Not subject to consultation</w:t>
            </w:r>
          </w:p>
        </w:tc>
      </w:tr>
      <w:tr w:rsidR="00E9506E" w14:paraId="5F122B80" w14:textId="77777777" w:rsidTr="00E9506E">
        <w:tc>
          <w:tcPr>
            <w:cnfStyle w:val="001000000000" w:firstRow="0" w:lastRow="0" w:firstColumn="1" w:lastColumn="0" w:oddVBand="0" w:evenVBand="0" w:oddHBand="0" w:evenHBand="0" w:firstRowFirstColumn="0" w:firstRowLastColumn="0" w:lastRowFirstColumn="0" w:lastRowLastColumn="0"/>
            <w:tcW w:w="1659" w:type="dxa"/>
            <w:vAlign w:val="center"/>
          </w:tcPr>
          <w:p w14:paraId="48EDA8A2" w14:textId="77777777" w:rsidR="00C7554F" w:rsidRDefault="00000000" w:rsidP="00D51F58">
            <w:pPr>
              <w:spacing w:after="16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PIP Eligibility Tightening</w:t>
            </w:r>
          </w:p>
        </w:tc>
        <w:tc>
          <w:tcPr>
            <w:tcW w:w="4432" w:type="dxa"/>
            <w:vAlign w:val="center"/>
          </w:tcPr>
          <w:p w14:paraId="606B2056" w14:textId="77777777" w:rsidR="00C7554F" w:rsidRDefault="00000000" w:rsidP="00D51F58">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Pr>
                <w:rFonts w:ascii="Times New Roman" w:eastAsia="Times New Roman" w:hAnsi="Times New Roman" w:cs="Times New Roman"/>
                <w:sz w:val="22"/>
                <w:szCs w:val="22"/>
              </w:rPr>
              <w:t>New requirement to score a minimum 4 points on one PIP daily living activity to receive daily living element</w:t>
            </w:r>
          </w:p>
        </w:tc>
        <w:tc>
          <w:tcPr>
            <w:tcW w:w="1275" w:type="dxa"/>
            <w:vAlign w:val="center"/>
          </w:tcPr>
          <w:p w14:paraId="08C45E5C" w14:textId="77777777" w:rsidR="00C7554F" w:rsidRDefault="00000000" w:rsidP="00D51F58">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Pr>
                <w:rFonts w:ascii="Times New Roman" w:eastAsia="Times New Roman" w:hAnsi="Times New Roman" w:cs="Times New Roman"/>
                <w:sz w:val="22"/>
                <w:szCs w:val="22"/>
              </w:rPr>
              <w:t>From autumn 2026</w:t>
            </w:r>
          </w:p>
        </w:tc>
        <w:tc>
          <w:tcPr>
            <w:tcW w:w="1560" w:type="dxa"/>
            <w:vAlign w:val="center"/>
          </w:tcPr>
          <w:p w14:paraId="70649E19" w14:textId="77777777" w:rsidR="00C7554F" w:rsidRDefault="00000000" w:rsidP="00D51F58">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Pr>
                <w:rFonts w:ascii="Times New Roman" w:eastAsia="Times New Roman" w:hAnsi="Times New Roman" w:cs="Times New Roman"/>
                <w:sz w:val="22"/>
                <w:szCs w:val="22"/>
              </w:rPr>
              <w:t>Not subject to consultation</w:t>
            </w:r>
          </w:p>
        </w:tc>
      </w:tr>
      <w:tr w:rsidR="00E9506E" w14:paraId="1B917590" w14:textId="77777777" w:rsidTr="00E9506E">
        <w:tc>
          <w:tcPr>
            <w:cnfStyle w:val="001000000000" w:firstRow="0" w:lastRow="0" w:firstColumn="1" w:lastColumn="0" w:oddVBand="0" w:evenVBand="0" w:oddHBand="0" w:evenHBand="0" w:firstRowFirstColumn="0" w:firstRowLastColumn="0" w:lastRowFirstColumn="0" w:lastRowLastColumn="0"/>
            <w:tcW w:w="1659" w:type="dxa"/>
            <w:vAlign w:val="center"/>
          </w:tcPr>
          <w:p w14:paraId="571BC89B" w14:textId="77777777" w:rsidR="00C7554F" w:rsidRDefault="00000000" w:rsidP="00D51F58">
            <w:pPr>
              <w:spacing w:after="16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Person Health Budgets Review</w:t>
            </w:r>
          </w:p>
        </w:tc>
        <w:tc>
          <w:tcPr>
            <w:tcW w:w="4432" w:type="dxa"/>
            <w:vAlign w:val="center"/>
          </w:tcPr>
          <w:p w14:paraId="5FEBCCDB" w14:textId="77777777" w:rsidR="00C7554F" w:rsidRDefault="00000000" w:rsidP="00D51F58">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Pr>
                <w:rFonts w:ascii="Times New Roman" w:eastAsia="Times New Roman" w:hAnsi="Times New Roman" w:cs="Times New Roman"/>
                <w:sz w:val="22"/>
                <w:szCs w:val="22"/>
              </w:rPr>
              <w:t>Review of health and eligible care needs for those losing PIP; potential expansion of Personal Health Budgets</w:t>
            </w:r>
          </w:p>
        </w:tc>
        <w:tc>
          <w:tcPr>
            <w:tcW w:w="1275" w:type="dxa"/>
            <w:vAlign w:val="center"/>
          </w:tcPr>
          <w:p w14:paraId="741ED2A2" w14:textId="77777777" w:rsidR="00C7554F" w:rsidRDefault="00000000" w:rsidP="00D51F58">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Pr>
                <w:rFonts w:ascii="Times New Roman" w:eastAsia="Times New Roman" w:hAnsi="Times New Roman" w:cs="Times New Roman"/>
                <w:sz w:val="22"/>
                <w:szCs w:val="22"/>
              </w:rPr>
              <w:t>2027/28</w:t>
            </w:r>
          </w:p>
        </w:tc>
        <w:tc>
          <w:tcPr>
            <w:tcW w:w="1560" w:type="dxa"/>
            <w:vAlign w:val="center"/>
          </w:tcPr>
          <w:p w14:paraId="5D839253" w14:textId="77777777" w:rsidR="00C7554F" w:rsidRDefault="00000000" w:rsidP="00D51F58">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Pr>
                <w:rFonts w:ascii="Times New Roman" w:eastAsia="Times New Roman" w:hAnsi="Times New Roman" w:cs="Times New Roman"/>
                <w:sz w:val="22"/>
                <w:szCs w:val="22"/>
              </w:rPr>
              <w:t>Subject to consultation (Q3)</w:t>
            </w:r>
          </w:p>
        </w:tc>
      </w:tr>
      <w:tr w:rsidR="00E9506E" w14:paraId="642E553D" w14:textId="77777777" w:rsidTr="00E9506E">
        <w:tc>
          <w:tcPr>
            <w:cnfStyle w:val="001000000000" w:firstRow="0" w:lastRow="0" w:firstColumn="1" w:lastColumn="0" w:oddVBand="0" w:evenVBand="0" w:oddHBand="0" w:evenHBand="0" w:firstRowFirstColumn="0" w:firstRowLastColumn="0" w:lastRowFirstColumn="0" w:lastRowLastColumn="0"/>
            <w:tcW w:w="1659" w:type="dxa"/>
            <w:vAlign w:val="center"/>
          </w:tcPr>
          <w:p w14:paraId="3657CF02" w14:textId="77777777" w:rsidR="00C7554F" w:rsidRDefault="00000000" w:rsidP="00D51F58">
            <w:pPr>
              <w:spacing w:after="16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New replacement for ESA</w:t>
            </w:r>
          </w:p>
        </w:tc>
        <w:tc>
          <w:tcPr>
            <w:tcW w:w="4432" w:type="dxa"/>
            <w:vAlign w:val="center"/>
          </w:tcPr>
          <w:p w14:paraId="61AD5452" w14:textId="77777777" w:rsidR="00C7554F" w:rsidRDefault="00000000" w:rsidP="00D51F58">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Pr>
                <w:rFonts w:ascii="Times New Roman" w:eastAsia="Times New Roman" w:hAnsi="Times New Roman" w:cs="Times New Roman"/>
                <w:sz w:val="22"/>
                <w:szCs w:val="22"/>
              </w:rPr>
              <w:t>New non-means tested, time-limited benefit to replace contribution-based JSA and ESA to be paid at current ESA rate (£138pw)</w:t>
            </w:r>
          </w:p>
        </w:tc>
        <w:tc>
          <w:tcPr>
            <w:tcW w:w="1275" w:type="dxa"/>
            <w:vAlign w:val="center"/>
          </w:tcPr>
          <w:p w14:paraId="5188AA66" w14:textId="77777777" w:rsidR="00C7554F" w:rsidRDefault="00000000" w:rsidP="00D51F58">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Pr>
                <w:rFonts w:ascii="Times New Roman" w:eastAsia="Times New Roman" w:hAnsi="Times New Roman" w:cs="Times New Roman"/>
                <w:sz w:val="22"/>
                <w:szCs w:val="22"/>
              </w:rPr>
              <w:t>2028/29</w:t>
            </w:r>
          </w:p>
        </w:tc>
        <w:tc>
          <w:tcPr>
            <w:tcW w:w="1560" w:type="dxa"/>
            <w:vAlign w:val="center"/>
          </w:tcPr>
          <w:p w14:paraId="02FDF861" w14:textId="77777777" w:rsidR="00C7554F" w:rsidRDefault="00000000" w:rsidP="00D51F58">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Pr>
                <w:rFonts w:ascii="Times New Roman" w:eastAsia="Times New Roman" w:hAnsi="Times New Roman" w:cs="Times New Roman"/>
                <w:sz w:val="22"/>
                <w:szCs w:val="22"/>
              </w:rPr>
              <w:t>Subject to consultation (Q4)</w:t>
            </w:r>
          </w:p>
        </w:tc>
      </w:tr>
    </w:tbl>
    <w:p w14:paraId="6088E13F" w14:textId="77777777" w:rsidR="00C7554F" w:rsidRDefault="00C7554F" w:rsidP="00D51F58">
      <w:pPr>
        <w:spacing w:line="276" w:lineRule="auto"/>
        <w:jc w:val="both"/>
        <w:rPr>
          <w:rFonts w:ascii="Times New Roman" w:eastAsia="Times New Roman" w:hAnsi="Times New Roman" w:cs="Times New Roman"/>
        </w:rPr>
      </w:pPr>
    </w:p>
    <w:p w14:paraId="7E3627CB" w14:textId="77777777" w:rsidR="00C7554F" w:rsidRDefault="00000000" w:rsidP="00D51F58">
      <w:pPr>
        <w:spacing w:line="276" w:lineRule="auto"/>
        <w:jc w:val="both"/>
        <w:rPr>
          <w:rFonts w:ascii="Times New Roman" w:eastAsia="Times New Roman" w:hAnsi="Times New Roman" w:cs="Times New Roman"/>
        </w:rPr>
      </w:pPr>
      <w:r>
        <w:br w:type="page"/>
      </w:r>
    </w:p>
    <w:p w14:paraId="7EA184E3" w14:textId="77777777"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By far the most controversial aspect of the reforms was the tightening of PIP eligibility by introducing a new requirement to score a minimum 4 points on one PIP daily living activity to receive the daily living element. On this front, the Green Paper was lean and mean. Lean, because the reform package left a lot of questions unanswered for affected claimants and – for specific reforms including this PIP eligibility change – offered no opportunity to reflect their views. Immediately on its publication, concerns were raised at the lack of consultation on key parts of the wide-ranging reform package proposed, with the National Association of Welfare Rights advisors expressing their ‘extreme concern’ that the Government were not intending to consult on the tightening of PIP criteria, the scrapping of WCA and making the health element of universal credit contingent on PIP eligibility.</w:t>
      </w:r>
      <w:r>
        <w:rPr>
          <w:rFonts w:ascii="Times New Roman" w:eastAsia="Times New Roman" w:hAnsi="Times New Roman" w:cs="Times New Roman"/>
          <w:vertAlign w:val="superscript"/>
        </w:rPr>
        <w:footnoteReference w:id="20"/>
      </w:r>
      <w:r>
        <w:rPr>
          <w:rFonts w:ascii="Times New Roman" w:eastAsia="Times New Roman" w:hAnsi="Times New Roman" w:cs="Times New Roman"/>
        </w:rPr>
        <w:t xml:space="preserve"> Indeed, evidence presented to the Work and Pensions Committee in their dedicated inquiry on the green paper was critical not only of the changes themselves, but also of the lack of ‘engagement and consultation with disabled people more generally’.</w:t>
      </w:r>
      <w:bookmarkStart w:id="3" w:name="_Ref205384425"/>
      <w:r>
        <w:rPr>
          <w:rFonts w:ascii="Times New Roman" w:eastAsia="Times New Roman" w:hAnsi="Times New Roman" w:cs="Times New Roman"/>
          <w:vertAlign w:val="superscript"/>
        </w:rPr>
        <w:footnoteReference w:id="21"/>
      </w:r>
      <w:bookmarkEnd w:id="3"/>
    </w:p>
    <w:p w14:paraId="1573F945" w14:textId="77777777"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rPr>
        <w:t>Mean, because of its projected impact on claimants. Government analysis published alongside the proposals revealed the harsh financial consequences facing millions of households. The DWP estimated that 3.2 million households, including current and future recipients of health and disability benefits, would lose out financially as a result of the overall package, with an average loss of £1,720 per year by 2029/30.</w:t>
      </w:r>
      <w:r>
        <w:rPr>
          <w:rFonts w:ascii="Times New Roman" w:eastAsia="Times New Roman" w:hAnsi="Times New Roman" w:cs="Times New Roman"/>
          <w:vertAlign w:val="superscript"/>
        </w:rPr>
        <w:footnoteReference w:id="22"/>
      </w:r>
      <w:r>
        <w:rPr>
          <w:rFonts w:ascii="Times New Roman" w:eastAsia="Times New Roman" w:hAnsi="Times New Roman" w:cs="Times New Roman"/>
        </w:rPr>
        <w:t xml:space="preserve"> While 3.8 million households would gain financially, their average gain of £480 per year was considerably smaller than the losses faced by those adversely affected (principally through restrictions to PIP eligibility).</w:t>
      </w:r>
      <w:r>
        <w:rPr>
          <w:rFonts w:ascii="Times New Roman" w:eastAsia="Times New Roman" w:hAnsi="Times New Roman" w:cs="Times New Roman"/>
          <w:vertAlign w:val="superscript"/>
        </w:rPr>
        <w:footnoteReference w:id="23"/>
      </w:r>
    </w:p>
    <w:p w14:paraId="1D443922" w14:textId="33D90826" w:rsidR="00C7554F" w:rsidRDefault="00000000" w:rsidP="00506385">
      <w:pPr>
        <w:spacing w:line="276" w:lineRule="auto"/>
        <w:jc w:val="both"/>
        <w:rPr>
          <w:rFonts w:ascii="Times New Roman" w:eastAsia="Times New Roman" w:hAnsi="Times New Roman" w:cs="Times New Roman"/>
          <w:b/>
        </w:rPr>
      </w:pPr>
      <w:r>
        <w:rPr>
          <w:rFonts w:ascii="Times New Roman" w:eastAsia="Times New Roman" w:hAnsi="Times New Roman" w:cs="Times New Roman"/>
        </w:rPr>
        <w:t>This projected impact had a keen geographical edge. In the course of the consultation period, the DWP released data on the percentage of PIP claimants who score fewer than four points across all daily living activities.</w:t>
      </w:r>
      <w:r>
        <w:rPr>
          <w:rFonts w:ascii="Times New Roman" w:eastAsia="Times New Roman" w:hAnsi="Times New Roman" w:cs="Times New Roman"/>
          <w:vertAlign w:val="superscript"/>
        </w:rPr>
        <w:footnoteReference w:id="24"/>
      </w:r>
      <w:r>
        <w:rPr>
          <w:rFonts w:ascii="Times New Roman" w:eastAsia="Times New Roman" w:hAnsi="Times New Roman" w:cs="Times New Roman"/>
        </w:rPr>
        <w:t xml:space="preserve"> These data – broken down by constituency and Local Authority - reveal considerable variations in the number of PIP claimants who would be affected by the proposed reforms. The figure below details the percentage of PIP claimants in receipt of Daily Living who score fewer than four points across all activities by Parliamentary constituency. This illustrates the wide-variation in the numbers affected, from over half in Boston and Skegness to 36% in Sheffield.</w:t>
      </w:r>
      <w:r>
        <w:br w:type="page"/>
      </w:r>
    </w:p>
    <w:p w14:paraId="5D509A74" w14:textId="77777777"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b/>
        </w:rPr>
        <w:lastRenderedPageBreak/>
        <w:t>Figure:</w:t>
      </w:r>
      <w:r>
        <w:rPr>
          <w:rFonts w:ascii="Times New Roman" w:eastAsia="Times New Roman" w:hAnsi="Times New Roman" w:cs="Times New Roman"/>
        </w:rPr>
        <w:t xml:space="preserve"> </w:t>
      </w:r>
      <w:r>
        <w:rPr>
          <w:rFonts w:ascii="Times New Roman" w:eastAsia="Times New Roman" w:hAnsi="Times New Roman" w:cs="Times New Roman"/>
          <w:b/>
        </w:rPr>
        <w:t xml:space="preserve">Percentage of PIP claimants in receipt of Daily Living who score less than four points in each activity by Parliamentary Constituency (interactive version at: </w:t>
      </w:r>
      <w:hyperlink r:id="rId11">
        <w:r w:rsidR="00C7554F">
          <w:rPr>
            <w:rFonts w:ascii="Times New Roman" w:eastAsia="Times New Roman" w:hAnsi="Times New Roman" w:cs="Times New Roman"/>
            <w:b/>
            <w:color w:val="467886"/>
            <w:u w:val="single"/>
          </w:rPr>
          <w:t>https://datawrapper.dwcdn.net/XLrt5/1/</w:t>
        </w:r>
      </w:hyperlink>
      <w:r>
        <w:rPr>
          <w:rFonts w:ascii="Times New Roman" w:eastAsia="Times New Roman" w:hAnsi="Times New Roman" w:cs="Times New Roman"/>
          <w:b/>
        </w:rPr>
        <w:t>)</w:t>
      </w:r>
    </w:p>
    <w:p w14:paraId="78422A74" w14:textId="77777777" w:rsidR="00C7554F" w:rsidRDefault="00000000" w:rsidP="00D51F58">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4D036854" wp14:editId="16C635E3">
            <wp:extent cx="3428564" cy="4330847"/>
            <wp:effectExtent l="0" t="0" r="0" b="0"/>
            <wp:docPr id="1" name="image1.png" descr="A map of england with a whit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1" name="image1.png" descr="A map of england with a white background&#10;&#10;AI-generated content may be incorrect."/>
                    <pic:cNvPicPr/>
                  </pic:nvPicPr>
                  <pic:blipFill>
                    <a:blip r:embed="rId12"/>
                    <a:stretch>
                      <a:fillRect/>
                    </a:stretch>
                  </pic:blipFill>
                  <pic:spPr>
                    <a:xfrm>
                      <a:off x="0" y="0"/>
                      <a:ext cx="3428564" cy="4330847"/>
                    </a:xfrm>
                    <a:prstGeom prst="rect">
                      <a:avLst/>
                    </a:prstGeom>
                  </pic:spPr>
                </pic:pic>
              </a:graphicData>
            </a:graphic>
          </wp:inline>
        </w:drawing>
      </w:r>
    </w:p>
    <w:p w14:paraId="1D63ADF0" w14:textId="77777777" w:rsidR="00C7554F" w:rsidRDefault="00C7554F" w:rsidP="00D51F58">
      <w:pPr>
        <w:spacing w:line="276" w:lineRule="auto"/>
        <w:jc w:val="both"/>
        <w:rPr>
          <w:rFonts w:ascii="Times New Roman" w:eastAsia="Times New Roman" w:hAnsi="Times New Roman" w:cs="Times New Roman"/>
          <w:sz w:val="28"/>
          <w:szCs w:val="28"/>
        </w:rPr>
      </w:pPr>
    </w:p>
    <w:p w14:paraId="1414852A" w14:textId="77777777"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rPr>
        <w:t>Based on Office for Budget Responsibility assessments, inclusive of expected behavioural change by claimants, the proposed change to PIP eligibility would lead to 370,000 current PIP recipients (approximately 1 in 10 total claimants) losing entitlement by 2029/2030 at their next award review.</w:t>
      </w:r>
      <w:r>
        <w:rPr>
          <w:rFonts w:ascii="Times New Roman" w:eastAsia="Times New Roman" w:hAnsi="Times New Roman" w:cs="Times New Roman"/>
          <w:vertAlign w:val="superscript"/>
        </w:rPr>
        <w:footnoteReference w:id="25"/>
      </w:r>
      <w:r>
        <w:rPr>
          <w:rFonts w:ascii="Times New Roman" w:eastAsia="Times New Roman" w:hAnsi="Times New Roman" w:cs="Times New Roman"/>
        </w:rPr>
        <w:t xml:space="preserve"> An estimated 800,000 people would not receive the daily living component of PIP who would have under current rules, with an average loss of £4,500 per year for those affected.</w:t>
      </w:r>
      <w:r>
        <w:rPr>
          <w:rFonts w:ascii="Times New Roman" w:eastAsia="Times New Roman" w:hAnsi="Times New Roman" w:cs="Times New Roman"/>
          <w:vertAlign w:val="superscript"/>
        </w:rPr>
        <w:footnoteReference w:id="26"/>
      </w:r>
      <w:r>
        <w:rPr>
          <w:rFonts w:ascii="Times New Roman" w:eastAsia="Times New Roman" w:hAnsi="Times New Roman" w:cs="Times New Roman"/>
        </w:rPr>
        <w:t xml:space="preserve"> The Government's equality analysis revealed the concentrated nature of the impact across the Green Paper’s reforms: 96% of families that would lose financially were estimated to have someone with a disability in the household, with 20% of all families reporting a disabled household member facing financial losses.</w:t>
      </w:r>
      <w:r>
        <w:rPr>
          <w:rFonts w:ascii="Times New Roman" w:eastAsia="Times New Roman" w:hAnsi="Times New Roman" w:cs="Times New Roman"/>
          <w:vertAlign w:val="superscript"/>
        </w:rPr>
        <w:footnoteReference w:id="27"/>
      </w:r>
      <w:r>
        <w:rPr>
          <w:rFonts w:ascii="Times New Roman" w:eastAsia="Times New Roman" w:hAnsi="Times New Roman" w:cs="Times New Roman"/>
        </w:rPr>
        <w:t xml:space="preserve"> The distributional effects extended </w:t>
      </w:r>
      <w:r>
        <w:rPr>
          <w:rFonts w:ascii="Times New Roman" w:eastAsia="Times New Roman" w:hAnsi="Times New Roman" w:cs="Times New Roman"/>
        </w:rPr>
        <w:lastRenderedPageBreak/>
        <w:t>beyond disability, with single women more likely to lose than single men, and families with older heads of household facing slightly higher average losses.</w:t>
      </w:r>
      <w:r>
        <w:rPr>
          <w:rFonts w:ascii="Times New Roman" w:eastAsia="Times New Roman" w:hAnsi="Times New Roman" w:cs="Times New Roman"/>
          <w:vertAlign w:val="superscript"/>
        </w:rPr>
        <w:footnoteReference w:id="28"/>
      </w:r>
    </w:p>
    <w:p w14:paraId="72455FD7" w14:textId="7A6B839B"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rPr>
        <w:t>The poverty implications were projected to be particularly stark. The Government's own impact analysis estimated that an additional 250,000 people in Great Britain, including 50,000 children, would be in poverty by 2029/30 as a result of the reforms set out.</w:t>
      </w:r>
      <w:r>
        <w:rPr>
          <w:rFonts w:ascii="Times New Roman" w:eastAsia="Times New Roman" w:hAnsi="Times New Roman" w:cs="Times New Roman"/>
          <w:vertAlign w:val="superscript"/>
        </w:rPr>
        <w:footnoteReference w:id="29"/>
      </w:r>
      <w:r>
        <w:rPr>
          <w:rFonts w:ascii="Times New Roman" w:eastAsia="Times New Roman" w:hAnsi="Times New Roman" w:cs="Times New Roman"/>
        </w:rPr>
        <w:t xml:space="preserve"> The Child Poverty Action Group argued that the Government had significantly understated these effects, estimating that the cuts to the UC health element alone would push 100,000 children into poverty, representing a 'true impact' that was 'likely to be far greater than the Government presented' in their accompanying impact assessments.</w:t>
      </w:r>
      <w:r>
        <w:rPr>
          <w:rFonts w:ascii="Times New Roman" w:eastAsia="Times New Roman" w:hAnsi="Times New Roman" w:cs="Times New Roman"/>
          <w:vertAlign w:val="superscript"/>
        </w:rPr>
        <w:footnoteReference w:id="30"/>
      </w:r>
    </w:p>
    <w:p w14:paraId="6A7AB529" w14:textId="2C754967"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highlight w:val="white"/>
        </w:rPr>
        <w:t xml:space="preserve">It is difficult not to conclude that the main focus of the proposed PIP reforms was saving money, </w:t>
      </w:r>
      <w:r>
        <w:rPr>
          <w:rFonts w:ascii="Times New Roman" w:eastAsia="Times New Roman" w:hAnsi="Times New Roman" w:cs="Times New Roman"/>
        </w:rPr>
        <w:t>with these savings extracted primarily from those least able to bear the burden</w:t>
      </w:r>
      <w:r>
        <w:rPr>
          <w:rFonts w:ascii="Times New Roman" w:eastAsia="Times New Roman" w:hAnsi="Times New Roman" w:cs="Times New Roman"/>
          <w:highlight w:val="white"/>
        </w:rPr>
        <w:t>.</w:t>
      </w:r>
      <w:r w:rsidR="00B21BAC">
        <w:rPr>
          <w:rFonts w:ascii="Times New Roman" w:eastAsia="Times New Roman" w:hAnsi="Times New Roman" w:cs="Times New Roman"/>
          <w:highlight w:val="white"/>
        </w:rPr>
        <w:t xml:space="preserve"> As the UN Special Rapporteurs on the R</w:t>
      </w:r>
      <w:r w:rsidR="00B21BAC" w:rsidRPr="00B21BAC">
        <w:rPr>
          <w:rFonts w:ascii="Times New Roman" w:eastAsia="Times New Roman" w:hAnsi="Times New Roman" w:cs="Times New Roman"/>
          <w:highlight w:val="white"/>
        </w:rPr>
        <w:t xml:space="preserve">ights of </w:t>
      </w:r>
      <w:r w:rsidR="00B21BAC">
        <w:rPr>
          <w:rFonts w:ascii="Times New Roman" w:eastAsia="Times New Roman" w:hAnsi="Times New Roman" w:cs="Times New Roman"/>
          <w:highlight w:val="white"/>
        </w:rPr>
        <w:t>P</w:t>
      </w:r>
      <w:r w:rsidR="00B21BAC" w:rsidRPr="00B21BAC">
        <w:rPr>
          <w:rFonts w:ascii="Times New Roman" w:eastAsia="Times New Roman" w:hAnsi="Times New Roman" w:cs="Times New Roman"/>
          <w:highlight w:val="white"/>
        </w:rPr>
        <w:t xml:space="preserve">ersons with </w:t>
      </w:r>
      <w:r w:rsidR="00B21BAC">
        <w:rPr>
          <w:rFonts w:ascii="Times New Roman" w:eastAsia="Times New Roman" w:hAnsi="Times New Roman" w:cs="Times New Roman"/>
          <w:highlight w:val="white"/>
        </w:rPr>
        <w:t>D</w:t>
      </w:r>
      <w:r w:rsidR="00B21BAC" w:rsidRPr="00B21BAC">
        <w:rPr>
          <w:rFonts w:ascii="Times New Roman" w:eastAsia="Times New Roman" w:hAnsi="Times New Roman" w:cs="Times New Roman"/>
          <w:highlight w:val="white"/>
        </w:rPr>
        <w:t>isabilities</w:t>
      </w:r>
      <w:r w:rsidR="00B21BAC">
        <w:rPr>
          <w:rFonts w:ascii="Times New Roman" w:eastAsia="Times New Roman" w:hAnsi="Times New Roman" w:cs="Times New Roman"/>
          <w:highlight w:val="white"/>
        </w:rPr>
        <w:t xml:space="preserve"> and on Extreme Poverty and Human Rights put it, with understatement, ‘</w:t>
      </w:r>
      <w:r w:rsidR="00B21BAC">
        <w:rPr>
          <w:rFonts w:ascii="Times New Roman" w:eastAsia="Times New Roman" w:hAnsi="Times New Roman" w:cs="Times New Roman"/>
        </w:rPr>
        <w:t>w</w:t>
      </w:r>
      <w:r w:rsidR="00B21BAC" w:rsidRPr="00B21BAC">
        <w:rPr>
          <w:rFonts w:ascii="Times New Roman" w:eastAsia="Times New Roman" w:hAnsi="Times New Roman" w:cs="Times New Roman"/>
        </w:rPr>
        <w:t>e fear that this process may have put fiscal considerations</w:t>
      </w:r>
      <w:r w:rsidR="00B21BAC">
        <w:rPr>
          <w:rFonts w:ascii="Times New Roman" w:eastAsia="Times New Roman" w:hAnsi="Times New Roman" w:cs="Times New Roman"/>
        </w:rPr>
        <w:t xml:space="preserve"> </w:t>
      </w:r>
      <w:r w:rsidR="00B21BAC" w:rsidRPr="00B21BAC">
        <w:rPr>
          <w:rFonts w:ascii="Times New Roman" w:eastAsia="Times New Roman" w:hAnsi="Times New Roman" w:cs="Times New Roman"/>
        </w:rPr>
        <w:t>before the duties</w:t>
      </w:r>
      <w:r w:rsidR="00B21BAC">
        <w:rPr>
          <w:rFonts w:ascii="Times New Roman" w:eastAsia="Times New Roman" w:hAnsi="Times New Roman" w:cs="Times New Roman"/>
        </w:rPr>
        <w:t xml:space="preserve"> of the UK…</w:t>
      </w:r>
      <w:r w:rsidR="00B21BAC" w:rsidRPr="00B21BAC">
        <w:t xml:space="preserve"> </w:t>
      </w:r>
      <w:r w:rsidR="00B21BAC" w:rsidRPr="00B21BAC">
        <w:rPr>
          <w:rFonts w:ascii="Times New Roman" w:eastAsia="Times New Roman" w:hAnsi="Times New Roman" w:cs="Times New Roman"/>
        </w:rPr>
        <w:t>under</w:t>
      </w:r>
      <w:r w:rsidR="00B21BAC">
        <w:rPr>
          <w:rFonts w:ascii="Times New Roman" w:eastAsia="Times New Roman" w:hAnsi="Times New Roman" w:cs="Times New Roman"/>
        </w:rPr>
        <w:t xml:space="preserve"> </w:t>
      </w:r>
      <w:r w:rsidR="00B21BAC" w:rsidRPr="00B21BAC">
        <w:rPr>
          <w:rFonts w:ascii="Times New Roman" w:eastAsia="Times New Roman" w:hAnsi="Times New Roman" w:cs="Times New Roman"/>
        </w:rPr>
        <w:t>the international human rights</w:t>
      </w:r>
      <w:r w:rsidR="00B21BAC">
        <w:rPr>
          <w:rFonts w:ascii="Times New Roman" w:eastAsia="Times New Roman" w:hAnsi="Times New Roman" w:cs="Times New Roman"/>
        </w:rPr>
        <w:t xml:space="preserve"> </w:t>
      </w:r>
      <w:r w:rsidR="00B21BAC" w:rsidRPr="00B21BAC">
        <w:rPr>
          <w:rFonts w:ascii="Times New Roman" w:eastAsia="Times New Roman" w:hAnsi="Times New Roman" w:cs="Times New Roman"/>
        </w:rPr>
        <w:t>instruments it has ratified</w:t>
      </w:r>
      <w:r w:rsidR="00B21BAC">
        <w:rPr>
          <w:rFonts w:ascii="Times New Roman" w:eastAsia="Times New Roman" w:hAnsi="Times New Roman" w:cs="Times New Roman"/>
        </w:rPr>
        <w:t>.’</w:t>
      </w:r>
      <w:r w:rsidR="003479F0">
        <w:rPr>
          <w:rStyle w:val="FootnoteReference"/>
          <w:rFonts w:ascii="Times New Roman" w:eastAsia="Times New Roman" w:hAnsi="Times New Roman" w:cs="Times New Roman"/>
        </w:rPr>
        <w:footnoteReference w:id="31"/>
      </w:r>
      <w:r w:rsidR="00B21BAC" w:rsidRPr="00B21BAC">
        <w:rPr>
          <w:rFonts w:ascii="Times New Roman" w:eastAsia="Times New Roman" w:hAnsi="Times New Roman" w:cs="Times New Roman"/>
        </w:rPr>
        <w:t xml:space="preserve"> </w:t>
      </w:r>
      <w:r>
        <w:rPr>
          <w:rFonts w:ascii="Times New Roman" w:eastAsia="Times New Roman" w:hAnsi="Times New Roman" w:cs="Times New Roman"/>
          <w:highlight w:val="white"/>
        </w:rPr>
        <w:t>Indeed, increases in disability and incapacity benefit spending were the key framing adopted in both the political rhetoric surrounding the reforms and form a key basis of the Green Paper’s rationale on its own terms.</w:t>
      </w:r>
      <w:r>
        <w:rPr>
          <w:rFonts w:ascii="Times New Roman" w:eastAsia="Times New Roman" w:hAnsi="Times New Roman" w:cs="Times New Roman"/>
          <w:highlight w:val="white"/>
          <w:vertAlign w:val="superscript"/>
        </w:rPr>
        <w:footnoteReference w:id="32"/>
      </w:r>
      <w:r>
        <w:rPr>
          <w:rFonts w:ascii="Times New Roman" w:eastAsia="Times New Roman" w:hAnsi="Times New Roman" w:cs="Times New Roman"/>
        </w:rPr>
        <w:t xml:space="preserve"> Spending on both disability and incapacity benefits has increased in recent years and was projected to increase further. On disability benefits, spending had risen by 89% between 2013/14 and 2022/23 (alongside an increase in caseload from 2.4 million in 2020 to 3.7 million in 2025); with spending on incapacity benefits increasing by 34% over the same period (with caseloads increasing from 2.6 million in 2019/20 to 3.3 million in 2023/24).</w:t>
      </w:r>
      <w:r>
        <w:rPr>
          <w:rFonts w:ascii="Times New Roman" w:eastAsia="Times New Roman" w:hAnsi="Times New Roman" w:cs="Times New Roman"/>
          <w:vertAlign w:val="superscript"/>
        </w:rPr>
        <w:footnoteReference w:id="33"/>
      </w:r>
      <w:r>
        <w:rPr>
          <w:rFonts w:ascii="Times New Roman" w:eastAsia="Times New Roman" w:hAnsi="Times New Roman" w:cs="Times New Roman"/>
        </w:rPr>
        <w:t xml:space="preserve"> The savings targeted by the measures were substantial, with the combined measures expected to save £4.7 billion by 2029/30, rising to an estimated £10 billion per year in the long run according to Institute for Fiscal Studies projections.</w:t>
      </w:r>
      <w:r>
        <w:rPr>
          <w:rFonts w:ascii="Times New Roman" w:eastAsia="Times New Roman" w:hAnsi="Times New Roman" w:cs="Times New Roman"/>
          <w:vertAlign w:val="superscript"/>
        </w:rPr>
        <w:footnoteReference w:id="34"/>
      </w:r>
    </w:p>
    <w:p w14:paraId="0084E20E" w14:textId="77777777"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rPr>
        <w:t>However, as Geiger underscored in advance of the Green Paper’s publication - and in evidence drawn on in the Work &amp; Pensions Committee’s analysis - a focus solely on disability related benefit expenditure can present a misleading picture of overall trends.</w:t>
      </w:r>
      <w:r>
        <w:rPr>
          <w:rFonts w:ascii="Times New Roman" w:eastAsia="Times New Roman" w:hAnsi="Times New Roman" w:cs="Times New Roman"/>
          <w:vertAlign w:val="superscript"/>
        </w:rPr>
        <w:footnoteReference w:id="35"/>
      </w:r>
      <w:r>
        <w:rPr>
          <w:rFonts w:ascii="Times New Roman" w:eastAsia="Times New Roman" w:hAnsi="Times New Roman" w:cs="Times New Roman"/>
        </w:rPr>
        <w:t xml:space="preserve"> Although disability-related benefit expenditure has increased substantially in recent years, overall expenditure on working-age benefits is not much higher than it was in 2008. Indeed, spending on non-health-</w:t>
      </w:r>
      <w:r>
        <w:rPr>
          <w:rFonts w:ascii="Times New Roman" w:eastAsia="Times New Roman" w:hAnsi="Times New Roman" w:cs="Times New Roman"/>
        </w:rPr>
        <w:lastRenderedPageBreak/>
        <w:t>related benefits fell from 4% of GDP in 2009/10 to 2.6% in 2023/24.</w:t>
      </w:r>
      <w:r>
        <w:rPr>
          <w:rFonts w:ascii="Times New Roman" w:eastAsia="Times New Roman" w:hAnsi="Times New Roman" w:cs="Times New Roman"/>
          <w:vertAlign w:val="superscript"/>
        </w:rPr>
        <w:footnoteReference w:id="36"/>
      </w:r>
      <w:r>
        <w:rPr>
          <w:rFonts w:ascii="Times New Roman" w:eastAsia="Times New Roman" w:hAnsi="Times New Roman" w:cs="Times New Roman"/>
        </w:rPr>
        <w:t xml:space="preserve"> This leads to the Work &amp; Pensions Committee to conclude that, although the increases in disability-related benefits are concerning, ‘we cannot ignore the fact that spending on non-health related, non-pensioner welfare has fallen, especially given the possibility that the increase in the first might be partly the result of the reduction in the second.’</w:t>
      </w:r>
      <w:r>
        <w:rPr>
          <w:rFonts w:ascii="Times New Roman" w:eastAsia="Times New Roman" w:hAnsi="Times New Roman" w:cs="Times New Roman"/>
          <w:vertAlign w:val="superscript"/>
        </w:rPr>
        <w:footnoteReference w:id="37"/>
      </w:r>
      <w:r>
        <w:rPr>
          <w:rFonts w:ascii="Times New Roman" w:eastAsia="Times New Roman" w:hAnsi="Times New Roman" w:cs="Times New Roman"/>
        </w:rPr>
        <w:t xml:space="preserve"> </w:t>
      </w:r>
    </w:p>
    <w:p w14:paraId="04E0E5BE" w14:textId="77777777" w:rsidR="00C7554F" w:rsidRDefault="00000000" w:rsidP="00D51F58">
      <w:pPr>
        <w:spacing w:line="276" w:lineRule="auto"/>
        <w:jc w:val="both"/>
        <w:rPr>
          <w:rFonts w:ascii="Times New Roman" w:eastAsia="Times New Roman" w:hAnsi="Times New Roman" w:cs="Times New Roman"/>
          <w:b/>
        </w:rPr>
      </w:pPr>
      <w:r>
        <w:rPr>
          <w:rFonts w:ascii="Times New Roman" w:eastAsia="Times New Roman" w:hAnsi="Times New Roman" w:cs="Times New Roman"/>
        </w:rPr>
        <w:t>It is also clear that the levels of disability in the population (particularly with regard to mental health and diagnosed neurodivergence) has increased significantly since 2007.</w:t>
      </w:r>
      <w:r>
        <w:rPr>
          <w:rFonts w:ascii="Times New Roman" w:eastAsia="Times New Roman" w:hAnsi="Times New Roman" w:cs="Times New Roman"/>
          <w:vertAlign w:val="superscript"/>
        </w:rPr>
        <w:footnoteReference w:id="38"/>
      </w:r>
      <w:r>
        <w:rPr>
          <w:rFonts w:ascii="Times New Roman" w:eastAsia="Times New Roman" w:hAnsi="Times New Roman" w:cs="Times New Roman"/>
        </w:rPr>
        <w:t xml:space="preserve"> The government recognises that paid work can have a positive effect on mental health and has ambitions to support individuals into work.</w:t>
      </w:r>
      <w:r>
        <w:rPr>
          <w:rFonts w:ascii="Times New Roman" w:eastAsia="Times New Roman" w:hAnsi="Times New Roman" w:cs="Times New Roman"/>
          <w:vertAlign w:val="superscript"/>
        </w:rPr>
        <w:footnoteReference w:id="39"/>
      </w:r>
      <w:r>
        <w:rPr>
          <w:rFonts w:ascii="Times New Roman" w:eastAsia="Times New Roman" w:hAnsi="Times New Roman" w:cs="Times New Roman"/>
        </w:rPr>
        <w:t xml:space="preserve"> However, there is arguably a disconnect between the timescale of benefit changes and the longer term changes to health and employment envisioned by the government, which we return to below.</w:t>
      </w:r>
    </w:p>
    <w:p w14:paraId="42DA5569" w14:textId="77777777" w:rsidR="00C7554F" w:rsidRDefault="00000000" w:rsidP="00D51F58">
      <w:pPr>
        <w:spacing w:line="276" w:lineRule="auto"/>
        <w:jc w:val="both"/>
        <w:rPr>
          <w:rFonts w:ascii="Times New Roman" w:eastAsia="Times New Roman" w:hAnsi="Times New Roman" w:cs="Times New Roman"/>
          <w:b/>
        </w:rPr>
      </w:pPr>
      <w:r>
        <w:rPr>
          <w:rFonts w:ascii="Times New Roman" w:eastAsia="Times New Roman" w:hAnsi="Times New Roman" w:cs="Times New Roman"/>
          <w:b/>
        </w:rPr>
        <w:t>Other proposed reforms</w:t>
      </w:r>
    </w:p>
    <w:p w14:paraId="4D0B62A3" w14:textId="77777777"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rPr>
        <w:t>However, the changes were not limited to these large-scale reforms set out in Table One above. In addition to the large-scale changes set out in Table One, the Green Paper outlined extensive reforms to assessment processes more generally. It committed to a comprehensive review of the PIP assessment (now commonly referred to as the Timms Review, after the Minister responsible, Sir Stephen Timms MP) recognising that ‘it is over a decade since PIP was introduced, during which time there have been significant shifts in the nature of long-term conditions and disability’.</w:t>
      </w:r>
      <w:r>
        <w:rPr>
          <w:rFonts w:ascii="Times New Roman" w:eastAsia="Times New Roman" w:hAnsi="Times New Roman" w:cs="Times New Roman"/>
          <w:vertAlign w:val="superscript"/>
        </w:rPr>
        <w:footnoteReference w:id="40"/>
      </w:r>
      <w:r>
        <w:rPr>
          <w:rFonts w:ascii="Times New Roman" w:eastAsia="Times New Roman" w:hAnsi="Times New Roman" w:cs="Times New Roman"/>
        </w:rPr>
        <w:t xml:space="preserve"> This review promises to involve ‘a range of experts, stakeholders and people with lived experience’ to ensure the assessment remained fit for purpose in the reformed system.</w:t>
      </w:r>
    </w:p>
    <w:p w14:paraId="48D3D85D" w14:textId="77777777"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rPr>
        <w:t>Several immediate improvements to assessment processes were proposed without consultation. The government intended to restart WCA reassessments that had been paused during COVID-19, noting that reassessments had fallen from 611,000 in 2019 to just 118,000 in 2023.</w:t>
      </w:r>
      <w:r>
        <w:rPr>
          <w:rFonts w:ascii="Times New Roman" w:eastAsia="Times New Roman" w:hAnsi="Times New Roman" w:cs="Times New Roman"/>
          <w:vertAlign w:val="superscript"/>
        </w:rPr>
        <w:footnoteReference w:id="41"/>
      </w:r>
      <w:r>
        <w:rPr>
          <w:rFonts w:ascii="Times New Roman" w:eastAsia="Times New Roman" w:hAnsi="Times New Roman" w:cs="Times New Roman"/>
        </w:rPr>
        <w:t xml:space="preserve"> The Green Paper also proposed shifting back towards face-to-face assessments, highlighting that the combined proportion across PIP and WCA had dropped from 77% pre-pandemic to 7% by 2024.</w:t>
      </w:r>
      <w:r>
        <w:rPr>
          <w:rFonts w:ascii="Times New Roman" w:eastAsia="Times New Roman" w:hAnsi="Times New Roman" w:cs="Times New Roman"/>
          <w:vertAlign w:val="superscript"/>
        </w:rPr>
        <w:footnoteReference w:id="42"/>
      </w:r>
      <w:r>
        <w:rPr>
          <w:rFonts w:ascii="Times New Roman" w:eastAsia="Times New Roman" w:hAnsi="Times New Roman" w:cs="Times New Roman"/>
        </w:rPr>
        <w:t xml:space="preserve"> To build trust in the system, assessments would be audio recorded as standard practice.</w:t>
      </w:r>
      <w:r>
        <w:rPr>
          <w:rFonts w:ascii="Times New Roman" w:eastAsia="Times New Roman" w:hAnsi="Times New Roman" w:cs="Times New Roman"/>
          <w:vertAlign w:val="superscript"/>
        </w:rPr>
        <w:footnoteReference w:id="43"/>
      </w:r>
    </w:p>
    <w:p w14:paraId="022036C4" w14:textId="77777777"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For those with severe conditions, the proposals aimed to reduce assessment burden by using evidence from other services, particularly for young people transitioning from DLA who ‘have </w:t>
      </w:r>
      <w:r>
        <w:rPr>
          <w:rFonts w:ascii="Times New Roman" w:eastAsia="Times New Roman" w:hAnsi="Times New Roman" w:cs="Times New Roman"/>
        </w:rPr>
        <w:lastRenderedPageBreak/>
        <w:t>already undergone intensive assessments’.</w:t>
      </w:r>
      <w:r>
        <w:rPr>
          <w:rFonts w:ascii="Times New Roman" w:eastAsia="Times New Roman" w:hAnsi="Times New Roman" w:cs="Times New Roman"/>
          <w:vertAlign w:val="superscript"/>
        </w:rPr>
        <w:footnoteReference w:id="44"/>
      </w:r>
      <w:r>
        <w:rPr>
          <w:rFonts w:ascii="Times New Roman" w:eastAsia="Times New Roman" w:hAnsi="Times New Roman" w:cs="Times New Roman"/>
        </w:rPr>
        <w:t xml:space="preserve"> Communications would also be improved for those on ongoing PIP awards, with better information about the 'light touch' review process and consideration of review frequency.</w:t>
      </w:r>
      <w:r>
        <w:rPr>
          <w:rFonts w:ascii="Times New Roman" w:eastAsia="Times New Roman" w:hAnsi="Times New Roman" w:cs="Times New Roman"/>
          <w:vertAlign w:val="superscript"/>
        </w:rPr>
        <w:footnoteReference w:id="45"/>
      </w:r>
    </w:p>
    <w:p w14:paraId="28E19B8D" w14:textId="77777777"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rPr>
        <w:t>The Green Paper placed significant emphasis on safeguarding, proposing ‘a new published safeguarding approach’ that would provide clarity on departmental responsibilities and rebuild trust.</w:t>
      </w:r>
      <w:r>
        <w:rPr>
          <w:rFonts w:ascii="Times New Roman" w:eastAsia="Times New Roman" w:hAnsi="Times New Roman" w:cs="Times New Roman"/>
          <w:vertAlign w:val="superscript"/>
        </w:rPr>
        <w:footnoteReference w:id="46"/>
      </w:r>
      <w:r>
        <w:rPr>
          <w:rFonts w:ascii="Times New Roman" w:eastAsia="Times New Roman" w:hAnsi="Times New Roman" w:cs="Times New Roman"/>
        </w:rPr>
        <w:t xml:space="preserve"> This represented ‘a significant departure from the way things are done now’ and would be subject to consultation. </w:t>
      </w:r>
    </w:p>
    <w:p w14:paraId="7219395A" w14:textId="77777777" w:rsidR="00C7554F" w:rsidRDefault="00000000" w:rsidP="00D51F58">
      <w:pPr>
        <w:spacing w:line="276" w:lineRule="auto"/>
        <w:jc w:val="both"/>
        <w:rPr>
          <w:rFonts w:ascii="Times New Roman" w:eastAsia="Times New Roman" w:hAnsi="Times New Roman" w:cs="Times New Roman"/>
          <w:b/>
          <w:i/>
        </w:rPr>
      </w:pPr>
      <w:r>
        <w:rPr>
          <w:rFonts w:ascii="Times New Roman" w:eastAsia="Times New Roman" w:hAnsi="Times New Roman" w:cs="Times New Roman"/>
          <w:b/>
          <w:i/>
        </w:rPr>
        <w:t>Employment Support Reforms</w:t>
      </w:r>
    </w:p>
    <w:p w14:paraId="4CBA2D54" w14:textId="77777777"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rPr>
        <w:t>Central to the Green Paper was a major expansion of employment support, backed by ‘an additional £1 billion a year by 2029/30’ to create a new ‘pathways to work’ support offer.</w:t>
      </w:r>
      <w:r>
        <w:rPr>
          <w:rFonts w:ascii="Times New Roman" w:eastAsia="Times New Roman" w:hAnsi="Times New Roman" w:cs="Times New Roman"/>
          <w:vertAlign w:val="superscript"/>
        </w:rPr>
        <w:footnoteReference w:id="47"/>
      </w:r>
      <w:r>
        <w:rPr>
          <w:rFonts w:ascii="Times New Roman" w:eastAsia="Times New Roman" w:hAnsi="Times New Roman" w:cs="Times New Roman"/>
        </w:rPr>
        <w:t xml:space="preserve"> This guarantee would ensure that ‘anyone with a health condition or disability who is claiming out of work benefits will be able to access personalised employment, health and skills support’.</w:t>
      </w:r>
      <w:r>
        <w:rPr>
          <w:rFonts w:ascii="Times New Roman" w:eastAsia="Times New Roman" w:hAnsi="Times New Roman" w:cs="Times New Roman"/>
          <w:vertAlign w:val="superscript"/>
        </w:rPr>
        <w:footnoteReference w:id="48"/>
      </w:r>
    </w:p>
    <w:p w14:paraId="1D69BE45" w14:textId="77777777" w:rsidR="00C7554F" w:rsidRDefault="00000000" w:rsidP="00D51F58">
      <w:pPr>
        <w:spacing w:line="276" w:lineRule="auto"/>
        <w:jc w:val="both"/>
        <w:rPr>
          <w:rFonts w:ascii="Times New Roman" w:eastAsia="Times New Roman" w:hAnsi="Times New Roman" w:cs="Times New Roman"/>
          <w:vertAlign w:val="superscript"/>
        </w:rPr>
      </w:pPr>
      <w:r>
        <w:rPr>
          <w:rFonts w:ascii="Times New Roman" w:eastAsia="Times New Roman" w:hAnsi="Times New Roman" w:cs="Times New Roman"/>
        </w:rPr>
        <w:t>The cornerstone of this new approach was a ‘support conversation’ focused on ‘goals and aspirations’ rather than assessment of incapacity.</w:t>
      </w:r>
      <w:r>
        <w:rPr>
          <w:rFonts w:ascii="Times New Roman" w:eastAsia="Times New Roman" w:hAnsi="Times New Roman" w:cs="Times New Roman"/>
          <w:vertAlign w:val="superscript"/>
        </w:rPr>
        <w:footnoteReference w:id="49"/>
      </w:r>
      <w:r>
        <w:rPr>
          <w:rFonts w:ascii="Times New Roman" w:eastAsia="Times New Roman" w:hAnsi="Times New Roman" w:cs="Times New Roman"/>
        </w:rPr>
        <w:t xml:space="preserve"> This conversation would act as a gateway to various support options including ‘specialist one-to-one support,’ ‘more intensive longer-term work, health and skills support,’ and ‘periodic engagement’ for those not ready for work-focused activity.</w:t>
      </w:r>
      <w:r>
        <w:rPr>
          <w:rFonts w:ascii="Times New Roman" w:eastAsia="Times New Roman" w:hAnsi="Times New Roman" w:cs="Times New Roman"/>
          <w:vertAlign w:val="superscript"/>
        </w:rPr>
        <w:footnoteReference w:id="50"/>
      </w:r>
      <w:r>
        <w:rPr>
          <w:rFonts w:ascii="Times New Roman" w:eastAsia="Times New Roman" w:hAnsi="Times New Roman" w:cs="Times New Roman"/>
        </w:rPr>
        <w:t xml:space="preserve"> Significantly, the Green Paper proposed new baseline expectations that ‘most people in receipt of the health element in UC should be expected in the reformed system to, as a minimum, engage in conversations from time to time about their aspirations to work’.</w:t>
      </w:r>
      <w:r>
        <w:rPr>
          <w:rFonts w:ascii="Times New Roman" w:eastAsia="Times New Roman" w:hAnsi="Times New Roman" w:cs="Times New Roman"/>
          <w:vertAlign w:val="superscript"/>
        </w:rPr>
        <w:footnoteReference w:id="51"/>
      </w:r>
      <w:r>
        <w:rPr>
          <w:rFonts w:ascii="Times New Roman" w:eastAsia="Times New Roman" w:hAnsi="Times New Roman" w:cs="Times New Roman"/>
        </w:rPr>
        <w:t xml:space="preserve"> This marks a change from the existing system where those in the LCWRA group typically had no engagement requirements. The proposals drew on evidence from pilots showing that even voluntary engagement increased employment outcomes by a third.</w:t>
      </w:r>
      <w:r>
        <w:rPr>
          <w:rFonts w:ascii="Times New Roman" w:eastAsia="Times New Roman" w:hAnsi="Times New Roman" w:cs="Times New Roman"/>
          <w:vertAlign w:val="superscript"/>
        </w:rPr>
        <w:footnoteReference w:id="52"/>
      </w:r>
    </w:p>
    <w:p w14:paraId="7CB50CDE" w14:textId="31D86131" w:rsidR="00C7554F" w:rsidRPr="00D40043" w:rsidRDefault="00000000" w:rsidP="00D51F58">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However, these ‘conversations’ are not necessarily anything new</w:t>
      </w:r>
      <w:r w:rsidR="0039495C">
        <w:rPr>
          <w:rFonts w:ascii="Times New Roman" w:eastAsia="Times New Roman" w:hAnsi="Times New Roman" w:cs="Times New Roman"/>
        </w:rPr>
        <w:t xml:space="preserve"> per se</w:t>
      </w:r>
      <w:r>
        <w:rPr>
          <w:rFonts w:ascii="Times New Roman" w:eastAsia="Times New Roman" w:hAnsi="Times New Roman" w:cs="Times New Roman"/>
        </w:rPr>
        <w:t>. They are similar to the ‘Work Focused Health Related Assessments’ initially proposed in the development of ESA, and ‘similar approaches’ subsequently called for in other reviews and Green Papers, such as the ‘Health and Work conversation’ (to be delivered by work coaches) announced in the 2017 Health, Work and Disability Green Paper published by the then Conservative Government.</w:t>
      </w:r>
      <w:r>
        <w:rPr>
          <w:rFonts w:ascii="Times New Roman" w:eastAsia="Times New Roman" w:hAnsi="Times New Roman" w:cs="Times New Roman"/>
          <w:vertAlign w:val="superscript"/>
        </w:rPr>
        <w:footnoteReference w:id="53"/>
      </w:r>
      <w:r>
        <w:rPr>
          <w:rFonts w:ascii="Times New Roman" w:eastAsia="Times New Roman" w:hAnsi="Times New Roman" w:cs="Times New Roman"/>
        </w:rPr>
        <w:t xml:space="preserve"> The Work Focused Health Related Assessments, designed to be a conversation on how a claimant’s capability or likelihood of obtaining work could be improved were discontinued </w:t>
      </w:r>
      <w:r>
        <w:rPr>
          <w:rFonts w:ascii="Times New Roman" w:eastAsia="Times New Roman" w:hAnsi="Times New Roman" w:cs="Times New Roman"/>
        </w:rPr>
        <w:lastRenderedPageBreak/>
        <w:t>seemingly almost as soon as they begun.</w:t>
      </w:r>
      <w:r>
        <w:rPr>
          <w:rFonts w:ascii="Times New Roman" w:eastAsia="Times New Roman" w:hAnsi="Times New Roman" w:cs="Times New Roman"/>
          <w:vertAlign w:val="superscript"/>
        </w:rPr>
        <w:footnoteReference w:id="54"/>
      </w:r>
      <w:r w:rsidR="0039495C">
        <w:rPr>
          <w:rFonts w:ascii="Times New Roman" w:eastAsia="Times New Roman" w:hAnsi="Times New Roman" w:cs="Times New Roman"/>
        </w:rPr>
        <w:t xml:space="preserve"> However, the context in which these reforms sit is clearly different. </w:t>
      </w:r>
      <w:r w:rsidR="00D40043">
        <w:rPr>
          <w:rFonts w:ascii="Times New Roman" w:eastAsia="Times New Roman" w:hAnsi="Times New Roman" w:cs="Times New Roman"/>
        </w:rPr>
        <w:t xml:space="preserve">Although infrequent attendance for these assessments was intended to be mandatory, disabled benefit recipients were not </w:t>
      </w:r>
      <w:r w:rsidR="00D40043">
        <w:rPr>
          <w:rFonts w:ascii="Times New Roman" w:eastAsia="Times New Roman" w:hAnsi="Times New Roman" w:cs="Times New Roman"/>
          <w:i/>
          <w:iCs/>
        </w:rPr>
        <w:t xml:space="preserve">required </w:t>
      </w:r>
      <w:r w:rsidR="00D40043">
        <w:rPr>
          <w:rFonts w:ascii="Times New Roman" w:eastAsia="Times New Roman" w:hAnsi="Times New Roman" w:cs="Times New Roman"/>
        </w:rPr>
        <w:t>(by means of conditionality) to engage in training, accept job offers, and so on.</w:t>
      </w:r>
      <w:r w:rsidR="00E95A86">
        <w:rPr>
          <w:rFonts w:ascii="Times New Roman" w:eastAsia="Times New Roman" w:hAnsi="Times New Roman" w:cs="Times New Roman"/>
        </w:rPr>
        <w:t xml:space="preserve"> The parallel ‘New Deal For Disabled People’ was voluntary and provided additional support, with evidence of some success.</w:t>
      </w:r>
      <w:r w:rsidR="00101AA5">
        <w:rPr>
          <w:rStyle w:val="FootnoteReference"/>
          <w:rFonts w:ascii="Times New Roman" w:eastAsia="Times New Roman" w:hAnsi="Times New Roman" w:cs="Times New Roman"/>
        </w:rPr>
        <w:footnoteReference w:id="55"/>
      </w:r>
      <w:r w:rsidR="000B313C">
        <w:rPr>
          <w:rFonts w:ascii="Times New Roman" w:eastAsia="Times New Roman" w:hAnsi="Times New Roman" w:cs="Times New Roman"/>
        </w:rPr>
        <w:t xml:space="preserve"> Even if not ‘new’ in format therefore, the social security system in which it sits is clearly a more adverse environment for claimants. </w:t>
      </w:r>
    </w:p>
    <w:p w14:paraId="48BB9C81" w14:textId="77777777" w:rsidR="00C7554F" w:rsidRDefault="00C7554F" w:rsidP="00D51F58">
      <w:pPr>
        <w:spacing w:after="0" w:line="276" w:lineRule="auto"/>
        <w:jc w:val="both"/>
        <w:rPr>
          <w:rFonts w:ascii="Times New Roman" w:eastAsia="Times New Roman" w:hAnsi="Times New Roman" w:cs="Times New Roman"/>
        </w:rPr>
      </w:pPr>
    </w:p>
    <w:p w14:paraId="606FE471" w14:textId="77777777" w:rsidR="00C7554F" w:rsidRDefault="00000000" w:rsidP="00D51F58">
      <w:pPr>
        <w:spacing w:line="276" w:lineRule="auto"/>
        <w:jc w:val="both"/>
        <w:rPr>
          <w:rFonts w:ascii="Times New Roman" w:eastAsia="Times New Roman" w:hAnsi="Times New Roman" w:cs="Times New Roman"/>
          <w:b/>
          <w:i/>
        </w:rPr>
      </w:pPr>
      <w:r>
        <w:rPr>
          <w:rFonts w:ascii="Times New Roman" w:eastAsia="Times New Roman" w:hAnsi="Times New Roman" w:cs="Times New Roman"/>
          <w:b/>
          <w:i/>
        </w:rPr>
        <w:t>Reforms targeted at 16-24 year olds</w:t>
      </w:r>
    </w:p>
    <w:p w14:paraId="3F9BAC40" w14:textId="77777777"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rPr>
        <w:t>The Green Paper devoted considerable attention to young people, noting that ‘one in eight 16-24 year olds in the UK were not in education, employment or training (NEET)’ as of December 2024.</w:t>
      </w:r>
      <w:r>
        <w:rPr>
          <w:rFonts w:ascii="Times New Roman" w:eastAsia="Times New Roman" w:hAnsi="Times New Roman" w:cs="Times New Roman"/>
          <w:vertAlign w:val="superscript"/>
        </w:rPr>
        <w:footnoteReference w:id="56"/>
      </w:r>
      <w:r>
        <w:rPr>
          <w:rFonts w:ascii="Times New Roman" w:eastAsia="Times New Roman" w:hAnsi="Times New Roman" w:cs="Times New Roman"/>
        </w:rPr>
        <w:t xml:space="preserve"> Two major reforms were proposed, both subject to consultation.</w:t>
      </w:r>
    </w:p>
    <w:p w14:paraId="522BEDFD" w14:textId="77777777"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rPr>
        <w:t>First, the government proposed delaying access to the UC health element until age 22, affecting approximately 66,000 people aged 18-21 in the LCWRA group.</w:t>
      </w:r>
      <w:r>
        <w:rPr>
          <w:rFonts w:ascii="Times New Roman" w:eastAsia="Times New Roman" w:hAnsi="Times New Roman" w:cs="Times New Roman"/>
          <w:vertAlign w:val="superscript"/>
        </w:rPr>
        <w:footnoteReference w:id="57"/>
      </w:r>
      <w:r>
        <w:rPr>
          <w:rFonts w:ascii="Times New Roman" w:eastAsia="Times New Roman" w:hAnsi="Times New Roman" w:cs="Times New Roman"/>
        </w:rPr>
        <w:t xml:space="preserve"> This change would support the Youth Guarantee by ensuring resources were ‘diverted instead to expanding and improving the work and training opportunities’.</w:t>
      </w:r>
      <w:r>
        <w:rPr>
          <w:rFonts w:ascii="Times New Roman" w:eastAsia="Times New Roman" w:hAnsi="Times New Roman" w:cs="Times New Roman"/>
          <w:vertAlign w:val="superscript"/>
        </w:rPr>
        <w:footnoteReference w:id="58"/>
      </w:r>
    </w:p>
    <w:p w14:paraId="7A55DB79" w14:textId="77777777"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rPr>
        <w:t>Second, the Green Paper consulted on raising the age for claiming PIP from 16 to 18, affecting approximately 48,000 young people annually who transition from DLA.</w:t>
      </w:r>
      <w:r>
        <w:rPr>
          <w:rFonts w:ascii="Times New Roman" w:eastAsia="Times New Roman" w:hAnsi="Times New Roman" w:cs="Times New Roman"/>
          <w:vertAlign w:val="superscript"/>
        </w:rPr>
        <w:footnoteReference w:id="59"/>
      </w:r>
      <w:r>
        <w:rPr>
          <w:rFonts w:ascii="Times New Roman" w:eastAsia="Times New Roman" w:hAnsi="Times New Roman" w:cs="Times New Roman"/>
        </w:rPr>
        <w:t xml:space="preserve"> The rationale was to ‘better align the age at which young people first claim adult disability benefits with other key milestones in the transition to adulthood’.</w:t>
      </w:r>
      <w:r>
        <w:rPr>
          <w:rFonts w:ascii="Times New Roman" w:eastAsia="Times New Roman" w:hAnsi="Times New Roman" w:cs="Times New Roman"/>
          <w:vertAlign w:val="superscript"/>
        </w:rPr>
        <w:footnoteReference w:id="60"/>
      </w:r>
    </w:p>
    <w:p w14:paraId="4AD1A59F" w14:textId="77777777" w:rsidR="00C7554F" w:rsidRDefault="00000000" w:rsidP="00D51F58">
      <w:pPr>
        <w:spacing w:line="276" w:lineRule="auto"/>
        <w:jc w:val="both"/>
        <w:rPr>
          <w:rFonts w:ascii="Times New Roman" w:eastAsia="Times New Roman" w:hAnsi="Times New Roman" w:cs="Times New Roman"/>
          <w:b/>
          <w:i/>
        </w:rPr>
      </w:pPr>
      <w:r>
        <w:rPr>
          <w:rFonts w:ascii="Times New Roman" w:eastAsia="Times New Roman" w:hAnsi="Times New Roman" w:cs="Times New Roman"/>
          <w:b/>
          <w:i/>
        </w:rPr>
        <w:t>Employer Support Reforms</w:t>
      </w:r>
    </w:p>
    <w:p w14:paraId="67CB978E" w14:textId="77777777"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rPr>
        <w:t>The final area of reform focused on Access to Work, with the Green Paper noting that despite spending £258 million in 2023/24, the scheme reached ‘just 1% of the working disabled population’.</w:t>
      </w:r>
      <w:r>
        <w:rPr>
          <w:rFonts w:ascii="Times New Roman" w:eastAsia="Times New Roman" w:hAnsi="Times New Roman" w:cs="Times New Roman"/>
          <w:vertAlign w:val="superscript"/>
        </w:rPr>
        <w:footnoteReference w:id="61"/>
      </w:r>
      <w:r>
        <w:rPr>
          <w:rFonts w:ascii="Times New Roman" w:eastAsia="Times New Roman" w:hAnsi="Times New Roman" w:cs="Times New Roman"/>
        </w:rPr>
        <w:t xml:space="preserve"> The proposals, all subject to consultation, envisioned fundamental reform along three potential directions: ‘supporting employers directly to make workplaces accessible and inclusive,’ ‘providing targeted funds to individuals,’ and ‘shaping the market for aids, appliances and assistive technology’.</w:t>
      </w:r>
      <w:r>
        <w:rPr>
          <w:rFonts w:ascii="Times New Roman" w:eastAsia="Times New Roman" w:hAnsi="Times New Roman" w:cs="Times New Roman"/>
          <w:vertAlign w:val="superscript"/>
        </w:rPr>
        <w:footnoteReference w:id="62"/>
      </w:r>
    </w:p>
    <w:p w14:paraId="088217C7" w14:textId="77777777"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rPr>
        <w:t>The Green Paper emphasised that ‘the scheme itself has not changed significantly since it was established in 1994’.</w:t>
      </w:r>
      <w:r>
        <w:rPr>
          <w:rFonts w:ascii="Times New Roman" w:eastAsia="Times New Roman" w:hAnsi="Times New Roman" w:cs="Times New Roman"/>
          <w:vertAlign w:val="superscript"/>
        </w:rPr>
        <w:footnoteReference w:id="63"/>
      </w:r>
      <w:r>
        <w:rPr>
          <w:rFonts w:ascii="Times New Roman" w:eastAsia="Times New Roman" w:hAnsi="Times New Roman" w:cs="Times New Roman"/>
        </w:rPr>
        <w:t xml:space="preserve"> Future delivery models were also under consideration, ranging from </w:t>
      </w:r>
      <w:r>
        <w:rPr>
          <w:rFonts w:ascii="Times New Roman" w:eastAsia="Times New Roman" w:hAnsi="Times New Roman" w:cs="Times New Roman"/>
        </w:rPr>
        <w:lastRenderedPageBreak/>
        <w:t>continued DWP administration to ‘alternative organisational forms that could more directly involve disabled people and employers’.</w:t>
      </w:r>
      <w:r>
        <w:rPr>
          <w:rFonts w:ascii="Times New Roman" w:eastAsia="Times New Roman" w:hAnsi="Times New Roman" w:cs="Times New Roman"/>
          <w:vertAlign w:val="superscript"/>
        </w:rPr>
        <w:footnoteReference w:id="64"/>
      </w:r>
    </w:p>
    <w:p w14:paraId="01D6E412" w14:textId="77777777" w:rsidR="00C7554F" w:rsidRDefault="00000000" w:rsidP="00506385">
      <w:pPr>
        <w:pStyle w:val="Heading1"/>
        <w:spacing w:line="276" w:lineRule="auto"/>
      </w:pPr>
      <w:r>
        <w:t>WHAT IS CHANGING</w:t>
      </w:r>
    </w:p>
    <w:p w14:paraId="2BF8318D" w14:textId="77777777"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rPr>
        <w:t>The parliamentary journey from the Pathways to Work Green Paper to the Universal Credit Bill demonstrates the extent to which sustained opposition forced the Government to abandon significant elements of its reform agenda. While the surviving package is substantially reduced in scope compared to the original proposals, it nonetheless represents a significant restructuring of financial support for disabled people and those with health conditions. The changes came in two phases in quick succession. First, a week before the Universal Credit and Personal Independence Bill’s second reading, a reasoned amendment (supported by over 120 Labour MPs) led to the Government making a number of concessions, including protecting existing PIP recipients from the changes and protecting existing UC Health recipients from the freeze to their entitlement.</w:t>
      </w:r>
      <w:r>
        <w:rPr>
          <w:rFonts w:ascii="Times New Roman" w:eastAsia="Times New Roman" w:hAnsi="Times New Roman" w:cs="Times New Roman"/>
          <w:vertAlign w:val="superscript"/>
        </w:rPr>
        <w:footnoteReference w:id="65"/>
      </w:r>
      <w:r>
        <w:rPr>
          <w:rFonts w:ascii="Times New Roman" w:eastAsia="Times New Roman" w:hAnsi="Times New Roman" w:cs="Times New Roman"/>
        </w:rPr>
        <w:t xml:space="preserve"> Then, during the Second Reading debate of the Bill itself, Sir Stephen Timms MP - the Minister of State for Social Security and Disability - announced that reforms to PIP would only be proposed after the conclusion of the Timms Review in 2026:</w:t>
      </w:r>
    </w:p>
    <w:p w14:paraId="6B91ABBD" w14:textId="77777777" w:rsidR="00C7554F" w:rsidRDefault="00000000" w:rsidP="00D51F58">
      <w:pPr>
        <w:spacing w:line="276" w:lineRule="auto"/>
        <w:ind w:left="900" w:right="840"/>
        <w:jc w:val="both"/>
        <w:rPr>
          <w:rFonts w:ascii="Times New Roman" w:eastAsia="Times New Roman" w:hAnsi="Times New Roman" w:cs="Times New Roman"/>
        </w:rPr>
      </w:pPr>
      <w:r>
        <w:rPr>
          <w:rFonts w:ascii="Times New Roman" w:eastAsia="Times New Roman" w:hAnsi="Times New Roman" w:cs="Times New Roman"/>
        </w:rPr>
        <w:t>During this debate, my hon. Friend and others across the House have raised concerns that the changes to PIP are coming ahead of the conclusions of the review of the assessment that I will be leading. We have heard those concerns, and that is why I can announce that we are going to remove clause 5 from the Bill in Committee. We will move straight to the wider review—sometimes referred to as the Timms review—and only make changes to PIP eligibility activities and descriptors following that review. The Government are committed to concluding the review by the autumn of next year.</w:t>
      </w:r>
      <w:r>
        <w:rPr>
          <w:rFonts w:ascii="Times New Roman" w:eastAsia="Times New Roman" w:hAnsi="Times New Roman" w:cs="Times New Roman"/>
          <w:vertAlign w:val="superscript"/>
        </w:rPr>
        <w:footnoteReference w:id="66"/>
      </w:r>
    </w:p>
    <w:p w14:paraId="4E76675F" w14:textId="77777777"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rPr>
        <w:t>This concession effectively removed the entirety of the PIP changes from the Bill, pushing changes into the long grass of the Timms Review’s conclusion in the autumn of 2026. As the Bill progressed in the Commons and into the House of Lords, it was retitled from the ‘Universal Credit and Personal Independence Payment Bill’ to just the ‘Universal Credit Bill’ to account for the significant curtailment of its remit. However, many significant changes proposed within the Green Paper do live on into the current Bill, with more reforms promised. Table Two sets out the surviving changes with associated timescales.</w:t>
      </w:r>
    </w:p>
    <w:p w14:paraId="2F688F24" w14:textId="77777777" w:rsidR="00C7554F" w:rsidRDefault="00000000" w:rsidP="00D51F58">
      <w:pPr>
        <w:spacing w:line="276" w:lineRule="auto"/>
        <w:jc w:val="both"/>
        <w:rPr>
          <w:rFonts w:ascii="Times New Roman" w:eastAsia="Times New Roman" w:hAnsi="Times New Roman" w:cs="Times New Roman"/>
        </w:rPr>
      </w:pPr>
      <w:r>
        <w:br w:type="page"/>
      </w:r>
    </w:p>
    <w:p w14:paraId="59481392" w14:textId="77777777" w:rsidR="00C7554F" w:rsidRDefault="00000000" w:rsidP="00D51F58">
      <w:pPr>
        <w:spacing w:line="276" w:lineRule="auto"/>
        <w:jc w:val="both"/>
        <w:rPr>
          <w:rFonts w:ascii="Times New Roman" w:eastAsia="Times New Roman" w:hAnsi="Times New Roman" w:cs="Times New Roman"/>
          <w:b/>
        </w:rPr>
      </w:pPr>
      <w:r>
        <w:rPr>
          <w:rFonts w:ascii="Times New Roman" w:eastAsia="Times New Roman" w:hAnsi="Times New Roman" w:cs="Times New Roman"/>
          <w:b/>
        </w:rPr>
        <w:lastRenderedPageBreak/>
        <w:t>Table Two: Changes surviving into the Universal Credit Bill</w:t>
      </w:r>
    </w:p>
    <w:tbl>
      <w:tblPr>
        <w:tblStyle w:val="a0"/>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3"/>
        <w:gridCol w:w="2693"/>
        <w:gridCol w:w="4910"/>
      </w:tblGrid>
      <w:tr w:rsidR="00E9506E" w14:paraId="4EC5E41C" w14:textId="77777777" w:rsidTr="00E950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top w:val="single" w:sz="8" w:space="0" w:color="000000"/>
              <w:left w:val="single" w:sz="8" w:space="0" w:color="000000"/>
              <w:bottom w:val="single" w:sz="8" w:space="0" w:color="000000"/>
              <w:right w:val="single" w:sz="8" w:space="0" w:color="000000"/>
            </w:tcBorders>
          </w:tcPr>
          <w:p w14:paraId="3D23AA6C" w14:textId="77777777"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rPr>
              <w:t>Timeline</w:t>
            </w:r>
          </w:p>
        </w:tc>
        <w:tc>
          <w:tcPr>
            <w:tcW w:w="2693" w:type="dxa"/>
            <w:tcBorders>
              <w:top w:val="single" w:sz="8" w:space="0" w:color="000000"/>
              <w:left w:val="single" w:sz="8" w:space="0" w:color="000000"/>
              <w:bottom w:val="single" w:sz="8" w:space="0" w:color="000000"/>
              <w:right w:val="single" w:sz="8" w:space="0" w:color="000000"/>
            </w:tcBorders>
          </w:tcPr>
          <w:p w14:paraId="1C4DB7AB" w14:textId="77777777" w:rsidR="00C7554F" w:rsidRDefault="00000000" w:rsidP="00D51F58">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Change</w:t>
            </w:r>
          </w:p>
        </w:tc>
        <w:tc>
          <w:tcPr>
            <w:tcW w:w="4910" w:type="dxa"/>
            <w:tcBorders>
              <w:top w:val="single" w:sz="8" w:space="0" w:color="000000"/>
              <w:left w:val="single" w:sz="8" w:space="0" w:color="000000"/>
              <w:bottom w:val="single" w:sz="8" w:space="0" w:color="000000"/>
              <w:right w:val="single" w:sz="8" w:space="0" w:color="000000"/>
            </w:tcBorders>
          </w:tcPr>
          <w:p w14:paraId="6C8BEB11" w14:textId="77777777" w:rsidR="00C7554F" w:rsidRDefault="00000000" w:rsidP="00D51F58">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Further context</w:t>
            </w:r>
          </w:p>
        </w:tc>
      </w:tr>
      <w:tr w:rsidR="00E9506E" w14:paraId="49E48580" w14:textId="77777777" w:rsidTr="00E950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val="restart"/>
            <w:tcBorders>
              <w:top w:val="single" w:sz="8" w:space="0" w:color="000000"/>
              <w:left w:val="single" w:sz="8" w:space="0" w:color="000000"/>
              <w:bottom w:val="single" w:sz="8" w:space="0" w:color="000000"/>
              <w:right w:val="single" w:sz="8" w:space="0" w:color="000000"/>
            </w:tcBorders>
            <w:vAlign w:val="center"/>
          </w:tcPr>
          <w:p w14:paraId="18CCE69B" w14:textId="77777777"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rPr>
              <w:t>2025/26</w:t>
            </w:r>
          </w:p>
        </w:tc>
        <w:tc>
          <w:tcPr>
            <w:tcW w:w="2693" w:type="dxa"/>
            <w:tcBorders>
              <w:top w:val="single" w:sz="8" w:space="0" w:color="000000"/>
              <w:left w:val="single" w:sz="8" w:space="0" w:color="000000"/>
              <w:bottom w:val="single" w:sz="8" w:space="0" w:color="000000"/>
              <w:right w:val="single" w:sz="8" w:space="0" w:color="000000"/>
            </w:tcBorders>
            <w:shd w:val="clear" w:color="auto" w:fill="F2F2F2"/>
          </w:tcPr>
          <w:p w14:paraId="07B79963" w14:textId="77777777" w:rsidR="00C7554F" w:rsidRDefault="00000000" w:rsidP="00D51F58">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Increase in ‘back to work’ support</w:t>
            </w:r>
          </w:p>
        </w:tc>
        <w:tc>
          <w:tcPr>
            <w:tcW w:w="4910" w:type="dxa"/>
            <w:tcBorders>
              <w:top w:val="single" w:sz="8" w:space="0" w:color="000000"/>
              <w:left w:val="single" w:sz="8" w:space="0" w:color="000000"/>
              <w:bottom w:val="single" w:sz="8" w:space="0" w:color="000000"/>
              <w:right w:val="single" w:sz="8" w:space="0" w:color="000000"/>
            </w:tcBorders>
          </w:tcPr>
          <w:p w14:paraId="29840C9C" w14:textId="78A4C419" w:rsidR="00C7554F" w:rsidRDefault="00000000" w:rsidP="00D51F58">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Promise of 1,000 new </w:t>
            </w:r>
            <w:r w:rsidR="00763236">
              <w:rPr>
                <w:rFonts w:ascii="Times New Roman" w:eastAsia="Times New Roman" w:hAnsi="Times New Roman" w:cs="Times New Roman"/>
              </w:rPr>
              <w:t>Work</w:t>
            </w:r>
            <w:r>
              <w:rPr>
                <w:rFonts w:ascii="Times New Roman" w:eastAsia="Times New Roman" w:hAnsi="Times New Roman" w:cs="Times New Roman"/>
              </w:rPr>
              <w:t xml:space="preserve"> Coaches for ‘intensive employment support’ alongside a range of localised initiatives and pilots</w:t>
            </w:r>
          </w:p>
        </w:tc>
      </w:tr>
      <w:tr w:rsidR="00E9506E" w14:paraId="65C2EBE2" w14:textId="77777777" w:rsidTr="00E9506E">
        <w:tc>
          <w:tcPr>
            <w:cnfStyle w:val="001000000000" w:firstRow="0" w:lastRow="0" w:firstColumn="1" w:lastColumn="0" w:oddVBand="0" w:evenVBand="0" w:oddHBand="0" w:evenHBand="0" w:firstRowFirstColumn="0" w:firstRowLastColumn="0" w:lastRowFirstColumn="0" w:lastRowLastColumn="0"/>
            <w:tcW w:w="1413" w:type="dxa"/>
            <w:vMerge/>
            <w:tcBorders>
              <w:top w:val="single" w:sz="8" w:space="0" w:color="000000"/>
              <w:left w:val="single" w:sz="8" w:space="0" w:color="000000"/>
              <w:bottom w:val="single" w:sz="8" w:space="0" w:color="000000"/>
              <w:right w:val="single" w:sz="8" w:space="0" w:color="000000"/>
            </w:tcBorders>
            <w:vAlign w:val="center"/>
          </w:tcPr>
          <w:p w14:paraId="5EE26E9E" w14:textId="77777777" w:rsidR="00C7554F" w:rsidRDefault="00C7554F" w:rsidP="00D51F58">
            <w:pPr>
              <w:widowControl w:val="0"/>
              <w:pBdr>
                <w:top w:val="nil"/>
                <w:left w:val="nil"/>
                <w:bottom w:val="nil"/>
                <w:right w:val="nil"/>
                <w:between w:val="nil"/>
              </w:pBdr>
              <w:spacing w:line="276" w:lineRule="auto"/>
              <w:jc w:val="both"/>
              <w:rPr>
                <w:rFonts w:ascii="Times New Roman" w:eastAsia="Times New Roman" w:hAnsi="Times New Roman" w:cs="Times New Roman"/>
              </w:rPr>
            </w:pPr>
          </w:p>
        </w:tc>
        <w:tc>
          <w:tcPr>
            <w:tcW w:w="2693" w:type="dxa"/>
            <w:tcBorders>
              <w:top w:val="single" w:sz="8" w:space="0" w:color="000000"/>
              <w:left w:val="single" w:sz="8" w:space="0" w:color="000000"/>
              <w:bottom w:val="single" w:sz="8" w:space="0" w:color="000000"/>
              <w:right w:val="single" w:sz="8" w:space="0" w:color="000000"/>
            </w:tcBorders>
            <w:shd w:val="clear" w:color="auto" w:fill="F2F2F2"/>
          </w:tcPr>
          <w:p w14:paraId="2FBA8B8D" w14:textId="77777777" w:rsidR="00C7554F" w:rsidRDefault="00000000" w:rsidP="00D51F5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More frequent face-to-face assessments</w:t>
            </w:r>
          </w:p>
        </w:tc>
        <w:tc>
          <w:tcPr>
            <w:tcW w:w="4910" w:type="dxa"/>
            <w:tcBorders>
              <w:top w:val="single" w:sz="8" w:space="0" w:color="000000"/>
              <w:left w:val="single" w:sz="8" w:space="0" w:color="000000"/>
              <w:bottom w:val="single" w:sz="8" w:space="0" w:color="000000"/>
              <w:right w:val="single" w:sz="8" w:space="0" w:color="000000"/>
            </w:tcBorders>
          </w:tcPr>
          <w:p w14:paraId="22886622" w14:textId="77777777" w:rsidR="00C7554F" w:rsidRDefault="00000000" w:rsidP="00D51F5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Promise of move towards ‘pre-pandemic’ levels of face-to-face work capability assessments – currently most assessments are over the telephone</w:t>
            </w:r>
          </w:p>
        </w:tc>
      </w:tr>
      <w:tr w:rsidR="00E9506E" w14:paraId="5BF747B5" w14:textId="77777777" w:rsidTr="00E950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Borders>
              <w:top w:val="single" w:sz="8" w:space="0" w:color="000000"/>
              <w:left w:val="single" w:sz="8" w:space="0" w:color="000000"/>
              <w:bottom w:val="single" w:sz="8" w:space="0" w:color="000000"/>
              <w:right w:val="single" w:sz="8" w:space="0" w:color="000000"/>
            </w:tcBorders>
            <w:vAlign w:val="center"/>
          </w:tcPr>
          <w:p w14:paraId="01E02C86" w14:textId="77777777" w:rsidR="00C7554F" w:rsidRDefault="00C7554F" w:rsidP="00D51F58">
            <w:pPr>
              <w:widowControl w:val="0"/>
              <w:pBdr>
                <w:top w:val="nil"/>
                <w:left w:val="nil"/>
                <w:bottom w:val="nil"/>
                <w:right w:val="nil"/>
                <w:between w:val="nil"/>
              </w:pBdr>
              <w:spacing w:line="276" w:lineRule="auto"/>
              <w:jc w:val="both"/>
              <w:rPr>
                <w:rFonts w:ascii="Times New Roman" w:eastAsia="Times New Roman" w:hAnsi="Times New Roman" w:cs="Times New Roman"/>
              </w:rPr>
            </w:pPr>
          </w:p>
        </w:tc>
        <w:tc>
          <w:tcPr>
            <w:tcW w:w="2693" w:type="dxa"/>
            <w:tcBorders>
              <w:top w:val="single" w:sz="8" w:space="0" w:color="000000"/>
              <w:left w:val="single" w:sz="8" w:space="0" w:color="000000"/>
              <w:bottom w:val="single" w:sz="8" w:space="0" w:color="000000"/>
              <w:right w:val="single" w:sz="8" w:space="0" w:color="000000"/>
            </w:tcBorders>
            <w:shd w:val="clear" w:color="auto" w:fill="F2F2F2"/>
          </w:tcPr>
          <w:p w14:paraId="1018C7FB" w14:textId="77777777" w:rsidR="00C7554F" w:rsidRDefault="00000000" w:rsidP="00D51F58">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‘Pathways to Work’ White Paper published</w:t>
            </w:r>
          </w:p>
        </w:tc>
        <w:tc>
          <w:tcPr>
            <w:tcW w:w="4910" w:type="dxa"/>
            <w:tcBorders>
              <w:top w:val="single" w:sz="8" w:space="0" w:color="000000"/>
              <w:left w:val="single" w:sz="8" w:space="0" w:color="000000"/>
              <w:bottom w:val="single" w:sz="8" w:space="0" w:color="000000"/>
              <w:right w:val="single" w:sz="8" w:space="0" w:color="000000"/>
            </w:tcBorders>
          </w:tcPr>
          <w:p w14:paraId="21BC9D9D" w14:textId="77777777" w:rsidR="00C7554F" w:rsidRDefault="00000000" w:rsidP="00D51F58">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The date for this is unconfirmed, but the White Paper should set out detailed proposals on many of the changes listed below and will confirm the full terms of reference for the Timms Review.</w:t>
            </w:r>
          </w:p>
        </w:tc>
      </w:tr>
      <w:tr w:rsidR="00E9506E" w14:paraId="1E6B3E50" w14:textId="77777777" w:rsidTr="00E9506E">
        <w:tc>
          <w:tcPr>
            <w:cnfStyle w:val="001000000000" w:firstRow="0" w:lastRow="0" w:firstColumn="1" w:lastColumn="0" w:oddVBand="0" w:evenVBand="0" w:oddHBand="0" w:evenHBand="0" w:firstRowFirstColumn="0" w:firstRowLastColumn="0" w:lastRowFirstColumn="0" w:lastRowLastColumn="0"/>
            <w:tcW w:w="1413" w:type="dxa"/>
            <w:vMerge w:val="restart"/>
            <w:tcBorders>
              <w:top w:val="single" w:sz="8" w:space="0" w:color="000000"/>
              <w:left w:val="single" w:sz="8" w:space="0" w:color="000000"/>
              <w:bottom w:val="single" w:sz="8" w:space="0" w:color="000000"/>
              <w:right w:val="single" w:sz="8" w:space="0" w:color="000000"/>
            </w:tcBorders>
            <w:vAlign w:val="center"/>
          </w:tcPr>
          <w:p w14:paraId="3886C305" w14:textId="77777777"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rPr>
              <w:t>April 2026</w:t>
            </w:r>
          </w:p>
        </w:tc>
        <w:tc>
          <w:tcPr>
            <w:tcW w:w="2693" w:type="dxa"/>
            <w:tcBorders>
              <w:top w:val="single" w:sz="8" w:space="0" w:color="000000"/>
              <w:left w:val="single" w:sz="8" w:space="0" w:color="000000"/>
              <w:bottom w:val="single" w:sz="8" w:space="0" w:color="000000"/>
              <w:right w:val="single" w:sz="8" w:space="0" w:color="000000"/>
            </w:tcBorders>
            <w:shd w:val="clear" w:color="auto" w:fill="F2F2F2"/>
          </w:tcPr>
          <w:p w14:paraId="24F46F9C" w14:textId="77777777" w:rsidR="00C7554F" w:rsidRDefault="00000000" w:rsidP="00D51F5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LCWRA reduced for new claimants outside of the new ‘Severe Conditions Criteria Claimant’ (SCCC) category</w:t>
            </w:r>
          </w:p>
        </w:tc>
        <w:tc>
          <w:tcPr>
            <w:tcW w:w="4910" w:type="dxa"/>
            <w:tcBorders>
              <w:top w:val="single" w:sz="8" w:space="0" w:color="000000"/>
              <w:left w:val="single" w:sz="8" w:space="0" w:color="000000"/>
              <w:bottom w:val="single" w:sz="8" w:space="0" w:color="000000"/>
              <w:right w:val="single" w:sz="8" w:space="0" w:color="000000"/>
            </w:tcBorders>
          </w:tcPr>
          <w:p w14:paraId="506A7083" w14:textId="77777777" w:rsidR="00C7554F" w:rsidRDefault="00000000" w:rsidP="00D51F5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The level of LCWRA will be reduced by approximately 50% for new awards</w:t>
            </w:r>
          </w:p>
        </w:tc>
      </w:tr>
      <w:tr w:rsidR="00E9506E" w14:paraId="0F60067E" w14:textId="77777777" w:rsidTr="00E950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Borders>
              <w:top w:val="single" w:sz="8" w:space="0" w:color="000000"/>
              <w:left w:val="single" w:sz="8" w:space="0" w:color="000000"/>
              <w:bottom w:val="single" w:sz="8" w:space="0" w:color="000000"/>
              <w:right w:val="single" w:sz="8" w:space="0" w:color="000000"/>
            </w:tcBorders>
            <w:vAlign w:val="center"/>
          </w:tcPr>
          <w:p w14:paraId="13424C0C" w14:textId="77777777" w:rsidR="00C7554F" w:rsidRDefault="00C7554F" w:rsidP="00D51F58">
            <w:pPr>
              <w:widowControl w:val="0"/>
              <w:pBdr>
                <w:top w:val="nil"/>
                <w:left w:val="nil"/>
                <w:bottom w:val="nil"/>
                <w:right w:val="nil"/>
                <w:between w:val="nil"/>
              </w:pBdr>
              <w:spacing w:line="276" w:lineRule="auto"/>
              <w:jc w:val="both"/>
              <w:rPr>
                <w:rFonts w:ascii="Times New Roman" w:eastAsia="Times New Roman" w:hAnsi="Times New Roman" w:cs="Times New Roman"/>
              </w:rPr>
            </w:pPr>
          </w:p>
        </w:tc>
        <w:tc>
          <w:tcPr>
            <w:tcW w:w="2693" w:type="dxa"/>
            <w:tcBorders>
              <w:top w:val="single" w:sz="8" w:space="0" w:color="000000"/>
              <w:left w:val="single" w:sz="8" w:space="0" w:color="000000"/>
              <w:bottom w:val="single" w:sz="8" w:space="0" w:color="000000"/>
              <w:right w:val="single" w:sz="8" w:space="0" w:color="000000"/>
            </w:tcBorders>
            <w:shd w:val="clear" w:color="auto" w:fill="F2F2F2"/>
          </w:tcPr>
          <w:p w14:paraId="716C18AF" w14:textId="77777777" w:rsidR="00C7554F" w:rsidRDefault="00000000" w:rsidP="00D51F58">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Additional premium and protection from reassessment introduced for SCCC</w:t>
            </w:r>
          </w:p>
        </w:tc>
        <w:tc>
          <w:tcPr>
            <w:tcW w:w="4910" w:type="dxa"/>
            <w:tcBorders>
              <w:top w:val="single" w:sz="8" w:space="0" w:color="000000"/>
              <w:left w:val="single" w:sz="8" w:space="0" w:color="000000"/>
              <w:bottom w:val="single" w:sz="8" w:space="0" w:color="000000"/>
              <w:right w:val="single" w:sz="8" w:space="0" w:color="000000"/>
            </w:tcBorders>
          </w:tcPr>
          <w:p w14:paraId="5AFBF7D8" w14:textId="77777777" w:rsidR="00C7554F" w:rsidRDefault="00000000" w:rsidP="00D51F58">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For claimants who have ‘the most severe, life-long condition’ an ‘additional premium’ and different rules on re-assessment will apply</w:t>
            </w:r>
          </w:p>
        </w:tc>
      </w:tr>
      <w:tr w:rsidR="00E9506E" w14:paraId="62C8F987" w14:textId="77777777" w:rsidTr="00E9506E">
        <w:tc>
          <w:tcPr>
            <w:cnfStyle w:val="001000000000" w:firstRow="0" w:lastRow="0" w:firstColumn="1" w:lastColumn="0" w:oddVBand="0" w:evenVBand="0" w:oddHBand="0" w:evenHBand="0" w:firstRowFirstColumn="0" w:firstRowLastColumn="0" w:lastRowFirstColumn="0" w:lastRowLastColumn="0"/>
            <w:tcW w:w="1413" w:type="dxa"/>
            <w:vMerge/>
            <w:tcBorders>
              <w:top w:val="single" w:sz="8" w:space="0" w:color="000000"/>
              <w:left w:val="single" w:sz="8" w:space="0" w:color="000000"/>
              <w:bottom w:val="single" w:sz="8" w:space="0" w:color="000000"/>
              <w:right w:val="single" w:sz="8" w:space="0" w:color="000000"/>
            </w:tcBorders>
            <w:vAlign w:val="center"/>
          </w:tcPr>
          <w:p w14:paraId="71E5CE43" w14:textId="77777777" w:rsidR="00C7554F" w:rsidRDefault="00C7554F" w:rsidP="00D51F58">
            <w:pPr>
              <w:widowControl w:val="0"/>
              <w:pBdr>
                <w:top w:val="nil"/>
                <w:left w:val="nil"/>
                <w:bottom w:val="nil"/>
                <w:right w:val="nil"/>
                <w:between w:val="nil"/>
              </w:pBdr>
              <w:spacing w:line="276" w:lineRule="auto"/>
              <w:jc w:val="both"/>
              <w:rPr>
                <w:rFonts w:ascii="Times New Roman" w:eastAsia="Times New Roman" w:hAnsi="Times New Roman" w:cs="Times New Roman"/>
              </w:rPr>
            </w:pPr>
          </w:p>
        </w:tc>
        <w:tc>
          <w:tcPr>
            <w:tcW w:w="2693" w:type="dxa"/>
            <w:tcBorders>
              <w:top w:val="single" w:sz="8" w:space="0" w:color="000000"/>
              <w:left w:val="single" w:sz="8" w:space="0" w:color="000000"/>
              <w:bottom w:val="single" w:sz="8" w:space="0" w:color="000000"/>
              <w:right w:val="single" w:sz="8" w:space="0" w:color="000000"/>
            </w:tcBorders>
            <w:shd w:val="clear" w:color="auto" w:fill="F2F2F2"/>
          </w:tcPr>
          <w:p w14:paraId="1826CCEA" w14:textId="77777777" w:rsidR="00C7554F" w:rsidRDefault="00000000" w:rsidP="00D51F5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‘Right to try’ legislation comes into effect</w:t>
            </w:r>
          </w:p>
        </w:tc>
        <w:tc>
          <w:tcPr>
            <w:tcW w:w="4910" w:type="dxa"/>
            <w:tcBorders>
              <w:top w:val="single" w:sz="8" w:space="0" w:color="000000"/>
              <w:left w:val="single" w:sz="8" w:space="0" w:color="000000"/>
              <w:bottom w:val="single" w:sz="8" w:space="0" w:color="000000"/>
              <w:right w:val="single" w:sz="8" w:space="0" w:color="000000"/>
            </w:tcBorders>
          </w:tcPr>
          <w:p w14:paraId="238FE821" w14:textId="77777777" w:rsidR="00C7554F" w:rsidRDefault="00000000" w:rsidP="00D51F5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Legislation comes into force to confirm that moving into work is not a change of circumstances</w:t>
            </w:r>
          </w:p>
        </w:tc>
      </w:tr>
      <w:tr w:rsidR="00E9506E" w14:paraId="5B708042" w14:textId="77777777" w:rsidTr="00E950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top w:val="single" w:sz="8" w:space="0" w:color="000000"/>
              <w:left w:val="single" w:sz="8" w:space="0" w:color="000000"/>
              <w:bottom w:val="single" w:sz="8" w:space="0" w:color="000000"/>
              <w:right w:val="single" w:sz="8" w:space="0" w:color="000000"/>
            </w:tcBorders>
            <w:vAlign w:val="center"/>
          </w:tcPr>
          <w:p w14:paraId="53198B14" w14:textId="77777777"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rPr>
              <w:t>Autumn 2026</w:t>
            </w:r>
          </w:p>
        </w:tc>
        <w:tc>
          <w:tcPr>
            <w:tcW w:w="2693" w:type="dxa"/>
            <w:tcBorders>
              <w:top w:val="single" w:sz="8" w:space="0" w:color="000000"/>
              <w:left w:val="single" w:sz="8" w:space="0" w:color="000000"/>
              <w:bottom w:val="single" w:sz="8" w:space="0" w:color="000000"/>
              <w:right w:val="single" w:sz="8" w:space="0" w:color="000000"/>
            </w:tcBorders>
            <w:shd w:val="clear" w:color="auto" w:fill="F2F2F2"/>
          </w:tcPr>
          <w:p w14:paraId="15F972B5" w14:textId="77777777" w:rsidR="00C7554F" w:rsidRDefault="00000000" w:rsidP="00D51F58">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Timms review of PIP published</w:t>
            </w:r>
          </w:p>
        </w:tc>
        <w:tc>
          <w:tcPr>
            <w:tcW w:w="4910" w:type="dxa"/>
            <w:tcBorders>
              <w:top w:val="single" w:sz="8" w:space="0" w:color="000000"/>
              <w:left w:val="single" w:sz="8" w:space="0" w:color="000000"/>
              <w:bottom w:val="single" w:sz="8" w:space="0" w:color="000000"/>
              <w:right w:val="single" w:sz="8" w:space="0" w:color="000000"/>
            </w:tcBorders>
          </w:tcPr>
          <w:p w14:paraId="1DB24792" w14:textId="77777777" w:rsidR="00C7554F" w:rsidRDefault="00000000" w:rsidP="00D51F58">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This review is due to make recommendations for changes to PIP eligibility</w:t>
            </w:r>
          </w:p>
        </w:tc>
      </w:tr>
      <w:tr w:rsidR="00E9506E" w14:paraId="609009B6" w14:textId="77777777" w:rsidTr="00E9506E">
        <w:tc>
          <w:tcPr>
            <w:cnfStyle w:val="001000000000" w:firstRow="0" w:lastRow="0" w:firstColumn="1" w:lastColumn="0" w:oddVBand="0" w:evenVBand="0" w:oddHBand="0" w:evenHBand="0" w:firstRowFirstColumn="0" w:firstRowLastColumn="0" w:lastRowFirstColumn="0" w:lastRowLastColumn="0"/>
            <w:tcW w:w="1413" w:type="dxa"/>
            <w:vMerge w:val="restart"/>
            <w:tcBorders>
              <w:top w:val="single" w:sz="8" w:space="0" w:color="000000"/>
              <w:left w:val="single" w:sz="8" w:space="0" w:color="000000"/>
              <w:bottom w:val="single" w:sz="8" w:space="0" w:color="000000"/>
              <w:right w:val="single" w:sz="8" w:space="0" w:color="000000"/>
            </w:tcBorders>
            <w:vAlign w:val="center"/>
          </w:tcPr>
          <w:p w14:paraId="05F5441D" w14:textId="77777777"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rPr>
              <w:t>2027/28</w:t>
            </w:r>
          </w:p>
        </w:tc>
        <w:tc>
          <w:tcPr>
            <w:tcW w:w="2693" w:type="dxa"/>
            <w:tcBorders>
              <w:top w:val="single" w:sz="8" w:space="0" w:color="000000"/>
              <w:left w:val="single" w:sz="8" w:space="0" w:color="000000"/>
              <w:bottom w:val="single" w:sz="8" w:space="0" w:color="000000"/>
              <w:right w:val="single" w:sz="8" w:space="0" w:color="000000"/>
            </w:tcBorders>
            <w:shd w:val="clear" w:color="auto" w:fill="F2F2F2"/>
          </w:tcPr>
          <w:p w14:paraId="2D42C1BC" w14:textId="77777777" w:rsidR="00C7554F" w:rsidRDefault="00000000" w:rsidP="00D51F5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Claimants under 22 prevented from claiming LCWRA/Health Element</w:t>
            </w:r>
          </w:p>
        </w:tc>
        <w:tc>
          <w:tcPr>
            <w:tcW w:w="4910" w:type="dxa"/>
            <w:tcBorders>
              <w:top w:val="single" w:sz="8" w:space="0" w:color="000000"/>
              <w:left w:val="single" w:sz="8" w:space="0" w:color="000000"/>
              <w:bottom w:val="single" w:sz="8" w:space="0" w:color="000000"/>
              <w:right w:val="single" w:sz="8" w:space="0" w:color="000000"/>
            </w:tcBorders>
          </w:tcPr>
          <w:p w14:paraId="750F21C9" w14:textId="77777777" w:rsidR="00C7554F" w:rsidRDefault="00000000" w:rsidP="00D51F5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This means that disabled young people who qualify for UC will only receive the standard allowance</w:t>
            </w:r>
          </w:p>
        </w:tc>
      </w:tr>
      <w:tr w:rsidR="00E9506E" w14:paraId="07C67C18" w14:textId="77777777" w:rsidTr="00E950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Borders>
              <w:top w:val="single" w:sz="8" w:space="0" w:color="000000"/>
              <w:left w:val="single" w:sz="8" w:space="0" w:color="000000"/>
              <w:bottom w:val="single" w:sz="8" w:space="0" w:color="000000"/>
              <w:right w:val="single" w:sz="8" w:space="0" w:color="000000"/>
            </w:tcBorders>
            <w:vAlign w:val="center"/>
          </w:tcPr>
          <w:p w14:paraId="10D18853" w14:textId="77777777" w:rsidR="00C7554F" w:rsidRDefault="00C7554F" w:rsidP="00D51F58">
            <w:pPr>
              <w:widowControl w:val="0"/>
              <w:pBdr>
                <w:top w:val="nil"/>
                <w:left w:val="nil"/>
                <w:bottom w:val="nil"/>
                <w:right w:val="nil"/>
                <w:between w:val="nil"/>
              </w:pBdr>
              <w:spacing w:line="276" w:lineRule="auto"/>
              <w:jc w:val="both"/>
              <w:rPr>
                <w:rFonts w:ascii="Times New Roman" w:eastAsia="Times New Roman" w:hAnsi="Times New Roman" w:cs="Times New Roman"/>
              </w:rPr>
            </w:pPr>
          </w:p>
        </w:tc>
        <w:tc>
          <w:tcPr>
            <w:tcW w:w="2693" w:type="dxa"/>
            <w:tcBorders>
              <w:top w:val="single" w:sz="8" w:space="0" w:color="000000"/>
              <w:left w:val="single" w:sz="8" w:space="0" w:color="000000"/>
              <w:bottom w:val="single" w:sz="8" w:space="0" w:color="000000"/>
              <w:right w:val="single" w:sz="8" w:space="0" w:color="000000"/>
            </w:tcBorders>
            <w:shd w:val="clear" w:color="auto" w:fill="F2F2F2"/>
          </w:tcPr>
          <w:p w14:paraId="51679FA2" w14:textId="77777777" w:rsidR="00C7554F" w:rsidRDefault="00000000" w:rsidP="00D51F58">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Recommendations from the Timms Review likely to come into effect</w:t>
            </w:r>
          </w:p>
        </w:tc>
        <w:tc>
          <w:tcPr>
            <w:tcW w:w="4910" w:type="dxa"/>
            <w:tcBorders>
              <w:top w:val="single" w:sz="8" w:space="0" w:color="000000"/>
              <w:left w:val="single" w:sz="8" w:space="0" w:color="000000"/>
              <w:bottom w:val="single" w:sz="8" w:space="0" w:color="000000"/>
              <w:right w:val="single" w:sz="8" w:space="0" w:color="000000"/>
            </w:tcBorders>
          </w:tcPr>
          <w:p w14:paraId="0F63EEA2" w14:textId="77777777" w:rsidR="00C7554F" w:rsidRDefault="00000000" w:rsidP="00D51F58">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The timeline implies that changes from the PIP review will be due from April 2027</w:t>
            </w:r>
          </w:p>
        </w:tc>
      </w:tr>
      <w:tr w:rsidR="00E9506E" w14:paraId="75ABE435" w14:textId="77777777" w:rsidTr="00E9506E">
        <w:tc>
          <w:tcPr>
            <w:cnfStyle w:val="001000000000" w:firstRow="0" w:lastRow="0" w:firstColumn="1" w:lastColumn="0" w:oddVBand="0" w:evenVBand="0" w:oddHBand="0" w:evenHBand="0" w:firstRowFirstColumn="0" w:firstRowLastColumn="0" w:lastRowFirstColumn="0" w:lastRowLastColumn="0"/>
            <w:tcW w:w="1413" w:type="dxa"/>
            <w:vMerge w:val="restart"/>
            <w:tcBorders>
              <w:top w:val="single" w:sz="8" w:space="0" w:color="000000"/>
              <w:left w:val="single" w:sz="8" w:space="0" w:color="000000"/>
              <w:bottom w:val="single" w:sz="8" w:space="0" w:color="000000"/>
              <w:right w:val="single" w:sz="8" w:space="0" w:color="000000"/>
            </w:tcBorders>
            <w:vAlign w:val="center"/>
          </w:tcPr>
          <w:p w14:paraId="649363E2" w14:textId="77777777"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rPr>
              <w:t>2028/29</w:t>
            </w:r>
          </w:p>
        </w:tc>
        <w:tc>
          <w:tcPr>
            <w:tcW w:w="2693" w:type="dxa"/>
            <w:tcBorders>
              <w:top w:val="single" w:sz="8" w:space="0" w:color="000000"/>
              <w:left w:val="single" w:sz="8" w:space="0" w:color="000000"/>
              <w:bottom w:val="single" w:sz="8" w:space="0" w:color="000000"/>
              <w:right w:val="single" w:sz="8" w:space="0" w:color="000000"/>
            </w:tcBorders>
            <w:shd w:val="clear" w:color="auto" w:fill="F2F2F2"/>
          </w:tcPr>
          <w:p w14:paraId="056BB3AA" w14:textId="77777777" w:rsidR="00C7554F" w:rsidRDefault="00000000" w:rsidP="00D51F5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Work Capability Assessment scrapped</w:t>
            </w:r>
          </w:p>
        </w:tc>
        <w:tc>
          <w:tcPr>
            <w:tcW w:w="4910" w:type="dxa"/>
            <w:tcBorders>
              <w:top w:val="single" w:sz="8" w:space="0" w:color="000000"/>
              <w:left w:val="single" w:sz="8" w:space="0" w:color="000000"/>
              <w:bottom w:val="single" w:sz="8" w:space="0" w:color="000000"/>
              <w:right w:val="single" w:sz="8" w:space="0" w:color="000000"/>
            </w:tcBorders>
          </w:tcPr>
          <w:p w14:paraId="0FD83D14" w14:textId="20C94663" w:rsidR="00C7554F" w:rsidRDefault="00000000" w:rsidP="00D51F5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Entitlement to LCWRA to instead be based </w:t>
            </w:r>
            <w:r w:rsidR="00951E7D">
              <w:rPr>
                <w:rFonts w:ascii="Times New Roman" w:eastAsia="Times New Roman" w:hAnsi="Times New Roman" w:cs="Times New Roman"/>
              </w:rPr>
              <w:t>on the PIP assessment.</w:t>
            </w:r>
          </w:p>
        </w:tc>
      </w:tr>
      <w:tr w:rsidR="00E9506E" w14:paraId="5911A18D" w14:textId="77777777" w:rsidTr="00E950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Borders>
              <w:top w:val="single" w:sz="8" w:space="0" w:color="000000"/>
              <w:left w:val="single" w:sz="8" w:space="0" w:color="000000"/>
              <w:bottom w:val="single" w:sz="8" w:space="0" w:color="000000"/>
              <w:right w:val="single" w:sz="8" w:space="0" w:color="000000"/>
            </w:tcBorders>
            <w:vAlign w:val="center"/>
          </w:tcPr>
          <w:p w14:paraId="5E5EAB14" w14:textId="77777777" w:rsidR="00C7554F" w:rsidRDefault="00C7554F" w:rsidP="00D51F58">
            <w:pPr>
              <w:widowControl w:val="0"/>
              <w:pBdr>
                <w:top w:val="nil"/>
                <w:left w:val="nil"/>
                <w:bottom w:val="nil"/>
                <w:right w:val="nil"/>
                <w:between w:val="nil"/>
              </w:pBdr>
              <w:spacing w:line="276" w:lineRule="auto"/>
              <w:jc w:val="both"/>
              <w:rPr>
                <w:rFonts w:ascii="Times New Roman" w:eastAsia="Times New Roman" w:hAnsi="Times New Roman" w:cs="Times New Roman"/>
              </w:rPr>
            </w:pPr>
          </w:p>
        </w:tc>
        <w:tc>
          <w:tcPr>
            <w:tcW w:w="2693" w:type="dxa"/>
            <w:tcBorders>
              <w:top w:val="single" w:sz="8" w:space="0" w:color="000000"/>
              <w:left w:val="single" w:sz="8" w:space="0" w:color="000000"/>
              <w:bottom w:val="single" w:sz="8" w:space="0" w:color="000000"/>
              <w:right w:val="single" w:sz="8" w:space="0" w:color="000000"/>
            </w:tcBorders>
            <w:shd w:val="clear" w:color="auto" w:fill="F2F2F2"/>
          </w:tcPr>
          <w:p w14:paraId="70D618C5" w14:textId="77777777" w:rsidR="00C7554F" w:rsidRDefault="00000000" w:rsidP="00D51F58">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New Unemployment Insurance contributory benefit</w:t>
            </w:r>
          </w:p>
        </w:tc>
        <w:tc>
          <w:tcPr>
            <w:tcW w:w="4910" w:type="dxa"/>
            <w:tcBorders>
              <w:top w:val="single" w:sz="8" w:space="0" w:color="000000"/>
              <w:left w:val="single" w:sz="8" w:space="0" w:color="000000"/>
              <w:bottom w:val="single" w:sz="8" w:space="0" w:color="000000"/>
              <w:right w:val="single" w:sz="8" w:space="0" w:color="000000"/>
            </w:tcBorders>
          </w:tcPr>
          <w:p w14:paraId="60813D18" w14:textId="77777777" w:rsidR="00C7554F" w:rsidRDefault="00000000" w:rsidP="00D51F58">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A time-limited replacement for New Style Employment and Support Allowance and New Style Jobseeker’s Allowance introduced</w:t>
            </w:r>
          </w:p>
        </w:tc>
      </w:tr>
    </w:tbl>
    <w:p w14:paraId="146F8447" w14:textId="77777777" w:rsidR="00C7554F" w:rsidRDefault="00C7554F" w:rsidP="00D51F58">
      <w:pPr>
        <w:spacing w:line="276" w:lineRule="auto"/>
        <w:jc w:val="both"/>
        <w:rPr>
          <w:rFonts w:ascii="Times New Roman" w:eastAsia="Times New Roman" w:hAnsi="Times New Roman" w:cs="Times New Roman"/>
          <w:b/>
        </w:rPr>
      </w:pPr>
    </w:p>
    <w:p w14:paraId="15325A68" w14:textId="77777777"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This remains a wide-ranging reform agenda with implications across the social security system and the promise of more change to come. Here, we explore four key issues: the fundamental change to incapacity benefits, the integration of localities in the labour market activation offer, </w:t>
      </w:r>
      <w:r>
        <w:rPr>
          <w:rFonts w:ascii="Times New Roman" w:eastAsia="Times New Roman" w:hAnsi="Times New Roman" w:cs="Times New Roman"/>
        </w:rPr>
        <w:lastRenderedPageBreak/>
        <w:t>a newfound emphasis on safeguarding, and the potential, promise and high stakes of the upcoming ‘Timms Review’ of the PIP assessment.</w:t>
      </w:r>
    </w:p>
    <w:p w14:paraId="47C30D9D" w14:textId="77777777" w:rsidR="00C7554F" w:rsidRPr="009F0D32" w:rsidRDefault="00000000" w:rsidP="00D51F58">
      <w:pPr>
        <w:spacing w:line="276" w:lineRule="auto"/>
        <w:jc w:val="both"/>
        <w:rPr>
          <w:rFonts w:ascii="Times New Roman" w:eastAsia="Times New Roman" w:hAnsi="Times New Roman" w:cs="Times New Roman"/>
          <w:b/>
        </w:rPr>
      </w:pPr>
      <w:r>
        <w:rPr>
          <w:rFonts w:ascii="Times New Roman" w:eastAsia="Times New Roman" w:hAnsi="Times New Roman" w:cs="Times New Roman"/>
          <w:b/>
        </w:rPr>
        <w:t>A new approach to Incapacity Benefit</w:t>
      </w:r>
    </w:p>
    <w:p w14:paraId="20EE24F7" w14:textId="77777777" w:rsidR="00C7554F" w:rsidRDefault="00000000" w:rsidP="00D51F58">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rPr>
        <w:t>The promised removal of the WCA is a departure from the last half-century of incapacity benefit in the UK. The UK welfare state has long operated separate assessments for work incapacity – the ‘earnings replacement benefits’ that provide an income for individuals unable to earn as a result of sickness or disability (generally referred to as ‘incapacity benefits’) – and ‘extra costs benefits’ – that provide help towards additional costs incurred as a result of disability. As Gulland argues, the test for incapacity benefits had ‘effectively remained unchanged from 1911 to 1995’.</w:t>
      </w:r>
      <w:bookmarkStart w:id="4" w:name="_Ref205388549"/>
      <w:r>
        <w:rPr>
          <w:rFonts w:ascii="Times New Roman" w:eastAsia="Times New Roman" w:hAnsi="Times New Roman" w:cs="Times New Roman"/>
          <w:vertAlign w:val="superscript"/>
        </w:rPr>
        <w:footnoteReference w:id="67"/>
      </w:r>
      <w:bookmarkEnd w:id="4"/>
      <w:r>
        <w:rPr>
          <w:rFonts w:ascii="Times New Roman" w:eastAsia="Times New Roman" w:hAnsi="Times New Roman" w:cs="Times New Roman"/>
        </w:rPr>
        <w:t xml:space="preserve"> A</w:t>
      </w:r>
      <w:r>
        <w:rPr>
          <w:rFonts w:ascii="Times New Roman" w:eastAsia="Times New Roman" w:hAnsi="Times New Roman" w:cs="Times New Roman"/>
          <w:color w:val="000000"/>
        </w:rPr>
        <w:t xml:space="preserve"> person’s eligibility for support has been assessed – as was the case for the introduction of </w:t>
      </w:r>
      <w:r>
        <w:rPr>
          <w:rFonts w:ascii="Times New Roman" w:eastAsia="Times New Roman" w:hAnsi="Times New Roman" w:cs="Times New Roman"/>
        </w:rPr>
        <w:t xml:space="preserve">Invalidity Benefit in 1971 – </w:t>
      </w:r>
      <w:r>
        <w:rPr>
          <w:rFonts w:ascii="Times New Roman" w:eastAsia="Times New Roman" w:hAnsi="Times New Roman" w:cs="Times New Roman"/>
          <w:color w:val="000000"/>
        </w:rPr>
        <w:t>on whether they were ‘incapable of work by reason of some specific disease or bodily or mental disablement’.</w:t>
      </w:r>
      <w:bookmarkStart w:id="5" w:name="_Ref205388354"/>
      <w:r>
        <w:rPr>
          <w:rFonts w:ascii="Times New Roman" w:eastAsia="Times New Roman" w:hAnsi="Times New Roman" w:cs="Times New Roman"/>
          <w:color w:val="000000"/>
          <w:vertAlign w:val="superscript"/>
        </w:rPr>
        <w:footnoteReference w:id="68"/>
      </w:r>
      <w:bookmarkEnd w:id="5"/>
      <w:r>
        <w:rPr>
          <w:rFonts w:ascii="Times New Roman" w:eastAsia="Times New Roman" w:hAnsi="Times New Roman" w:cs="Times New Roman"/>
          <w:color w:val="000000"/>
        </w:rPr>
        <w:t xml:space="preserve"> ‘Work’ in this context meaning ‘work which the person can reasonably be expected to do.’</w:t>
      </w:r>
      <w:r>
        <w:rPr>
          <w:rFonts w:ascii="Times New Roman" w:eastAsia="Times New Roman" w:hAnsi="Times New Roman" w:cs="Times New Roman"/>
          <w:color w:val="000000"/>
          <w:vertAlign w:val="superscript"/>
        </w:rPr>
        <w:footnoteReference w:id="69"/>
      </w:r>
      <w:r>
        <w:rPr>
          <w:rFonts w:ascii="Times New Roman" w:eastAsia="Times New Roman" w:hAnsi="Times New Roman" w:cs="Times New Roman"/>
          <w:color w:val="000000"/>
        </w:rPr>
        <w:t xml:space="preserve"> This approach – characterised as the ‘own occupation test’ – gave way (at least for ‘long-term’ claims) to the ‘all work test’ introduced when Incapacity Benefit replaced Invalidity Benefit in 1995.</w:t>
      </w:r>
      <w:bookmarkStart w:id="6" w:name="_Ref205388400"/>
      <w:r>
        <w:rPr>
          <w:rFonts w:ascii="Times New Roman" w:eastAsia="Times New Roman" w:hAnsi="Times New Roman" w:cs="Times New Roman"/>
          <w:color w:val="000000"/>
          <w:vertAlign w:val="superscript"/>
        </w:rPr>
        <w:footnoteReference w:id="70"/>
      </w:r>
      <w:bookmarkEnd w:id="6"/>
      <w:r>
        <w:rPr>
          <w:rFonts w:ascii="Times New Roman" w:eastAsia="Times New Roman" w:hAnsi="Times New Roman" w:cs="Times New Roman"/>
          <w:color w:val="000000"/>
        </w:rPr>
        <w:t xml:space="preserve"> This established a test focused entirely on medical incapacity for work (rather than one addressing other factors, like age, experience, or other issues),</w:t>
      </w:r>
      <w:r>
        <w:rPr>
          <w:rFonts w:ascii="Times New Roman" w:eastAsia="Times New Roman" w:hAnsi="Times New Roman" w:cs="Times New Roman"/>
          <w:color w:val="000000"/>
          <w:vertAlign w:val="superscript"/>
        </w:rPr>
        <w:footnoteReference w:id="71"/>
      </w:r>
      <w:r>
        <w:rPr>
          <w:rFonts w:ascii="Times New Roman" w:eastAsia="Times New Roman" w:hAnsi="Times New Roman" w:cs="Times New Roman"/>
          <w:color w:val="000000"/>
        </w:rPr>
        <w:t xml:space="preserve"> based on a series of point-based descriptors – from bending, lifting, carrying, coping with pressure, manual dexterity and so on.</w:t>
      </w:r>
      <w:r>
        <w:rPr>
          <w:rFonts w:ascii="Times New Roman" w:eastAsia="Times New Roman" w:hAnsi="Times New Roman" w:cs="Times New Roman"/>
          <w:color w:val="000000"/>
          <w:vertAlign w:val="superscript"/>
        </w:rPr>
        <w:footnoteReference w:id="72"/>
      </w:r>
      <w:r>
        <w:rPr>
          <w:rFonts w:ascii="Times New Roman" w:eastAsia="Times New Roman" w:hAnsi="Times New Roman" w:cs="Times New Roman"/>
          <w:color w:val="000000"/>
        </w:rPr>
        <w:t xml:space="preserve"> Perhaps the most (in)famous of this roster of descriptors were the ability to lift a 2.5 kg bag of potatoes or the ability to walk sideways downstairs.</w:t>
      </w:r>
      <w:r>
        <w:rPr>
          <w:rFonts w:ascii="Times New Roman" w:eastAsia="Times New Roman" w:hAnsi="Times New Roman" w:cs="Times New Roman"/>
          <w:color w:val="000000"/>
          <w:vertAlign w:val="superscript"/>
        </w:rPr>
        <w:footnoteReference w:id="73"/>
      </w:r>
    </w:p>
    <w:p w14:paraId="6B0CE4E8" w14:textId="77777777" w:rsidR="00C7554F" w:rsidRDefault="00000000" w:rsidP="00D51F58">
      <w:pPr>
        <w:spacing w:line="276" w:lineRule="auto"/>
        <w:jc w:val="both"/>
        <w:rPr>
          <w:rFonts w:ascii="Times New Roman" w:eastAsia="Times New Roman" w:hAnsi="Times New Roman" w:cs="Times New Roman"/>
          <w:vertAlign w:val="superscript"/>
        </w:rPr>
      </w:pPr>
      <w:r>
        <w:rPr>
          <w:rFonts w:ascii="Times New Roman" w:eastAsia="Times New Roman" w:hAnsi="Times New Roman" w:cs="Times New Roman"/>
          <w:color w:val="000000"/>
        </w:rPr>
        <w:t>The WCA regime, reflected in ESA and UC’s ‘limited capability for work’ tests,</w:t>
      </w:r>
      <w:r>
        <w:rPr>
          <w:rFonts w:ascii="Times New Roman" w:eastAsia="Times New Roman" w:hAnsi="Times New Roman" w:cs="Times New Roman"/>
          <w:color w:val="000000"/>
          <w:vertAlign w:val="superscript"/>
        </w:rPr>
        <w:footnoteReference w:id="74"/>
      </w:r>
      <w:r>
        <w:rPr>
          <w:rFonts w:ascii="Times New Roman" w:eastAsia="Times New Roman" w:hAnsi="Times New Roman" w:cs="Times New Roman"/>
          <w:color w:val="000000"/>
        </w:rPr>
        <w:t xml:space="preserve"> continue this focus on an entirely individualised medical assessment </w:t>
      </w:r>
      <w:r>
        <w:rPr>
          <w:rFonts w:ascii="Times New Roman" w:eastAsia="Times New Roman" w:hAnsi="Times New Roman" w:cs="Times New Roman"/>
        </w:rPr>
        <w:t>of claimants'</w:t>
      </w:r>
      <w:r>
        <w:rPr>
          <w:rFonts w:ascii="Times New Roman" w:eastAsia="Times New Roman" w:hAnsi="Times New Roman" w:cs="Times New Roman"/>
          <w:color w:val="000000"/>
        </w:rPr>
        <w:t xml:space="preserve"> impairments.</w:t>
      </w:r>
      <w:r>
        <w:rPr>
          <w:rFonts w:ascii="Times New Roman" w:eastAsia="Times New Roman" w:hAnsi="Times New Roman" w:cs="Times New Roman"/>
          <w:color w:val="000000"/>
          <w:vertAlign w:val="superscript"/>
        </w:rPr>
        <w:footnoteReference w:id="75"/>
      </w:r>
      <w:r>
        <w:rPr>
          <w:rFonts w:ascii="Times New Roman" w:eastAsia="Times New Roman" w:hAnsi="Times New Roman" w:cs="Times New Roman"/>
          <w:color w:val="000000"/>
        </w:rPr>
        <w:t xml:space="preserve"> Indeed, as Gulland argues, for all of the changes reflected in the Work Capability Assessment ‘the principle has stayed essentially the same’ – that claimants must ‘prove their individual incapacity or limited capability for work on a medical assessment.’</w:t>
      </w:r>
      <w:r>
        <w:rPr>
          <w:rFonts w:ascii="Times New Roman" w:eastAsia="Times New Roman" w:hAnsi="Times New Roman" w:cs="Times New Roman"/>
          <w:color w:val="000000"/>
          <w:vertAlign w:val="superscript"/>
        </w:rPr>
        <w:footnoteReference w:id="76"/>
      </w:r>
      <w:r>
        <w:rPr>
          <w:rFonts w:ascii="Times New Roman" w:eastAsia="Times New Roman" w:hAnsi="Times New Roman" w:cs="Times New Roman"/>
          <w:color w:val="000000"/>
        </w:rPr>
        <w:t xml:space="preserve"> Even in these different guises, many of the problems have remained the same too. As Wikeley puts it – echoing Mashaw – a basic reality of disability adjudication is that ‘functional ability or disability is a </w:t>
      </w:r>
      <w:r>
        <w:rPr>
          <w:rFonts w:ascii="Times New Roman" w:eastAsia="Times New Roman" w:hAnsi="Times New Roman" w:cs="Times New Roman"/>
          <w:color w:val="000000"/>
        </w:rPr>
        <w:lastRenderedPageBreak/>
        <w:t>continuum; only the decisions are bipolar’.</w:t>
      </w:r>
      <w:r>
        <w:rPr>
          <w:rFonts w:ascii="Times New Roman" w:eastAsia="Times New Roman" w:hAnsi="Times New Roman" w:cs="Times New Roman"/>
          <w:color w:val="000000"/>
          <w:vertAlign w:val="superscript"/>
        </w:rPr>
        <w:footnoteReference w:id="77"/>
      </w:r>
      <w:r>
        <w:rPr>
          <w:rFonts w:ascii="Times New Roman" w:eastAsia="Times New Roman" w:hAnsi="Times New Roman" w:cs="Times New Roman"/>
          <w:color w:val="000000"/>
        </w:rPr>
        <w:t xml:space="preserve"> Indeed, this binary classification – whether individuals are ‘fit for work’ or ‘not fit for work’ – is an explicit criticism made of incapacity benefits in the </w:t>
      </w:r>
      <w:r>
        <w:rPr>
          <w:rFonts w:ascii="Times New Roman" w:eastAsia="Times New Roman" w:hAnsi="Times New Roman" w:cs="Times New Roman"/>
          <w:i/>
          <w:color w:val="000000"/>
        </w:rPr>
        <w:t xml:space="preserve">Pathways to Work </w:t>
      </w:r>
      <w:r>
        <w:rPr>
          <w:rFonts w:ascii="Times New Roman" w:eastAsia="Times New Roman" w:hAnsi="Times New Roman" w:cs="Times New Roman"/>
          <w:color w:val="000000"/>
        </w:rPr>
        <w:t>Green Paper, albeit one that (as the Work and Pensions Committee point out) is difficult to square with a tripartite system under LCW and LCWRA.</w:t>
      </w:r>
      <w:r>
        <w:rPr>
          <w:rFonts w:ascii="Times New Roman" w:eastAsia="Times New Roman" w:hAnsi="Times New Roman" w:cs="Times New Roman"/>
          <w:color w:val="000000"/>
          <w:vertAlign w:val="superscript"/>
        </w:rPr>
        <w:footnoteReference w:id="78"/>
      </w:r>
      <w:r>
        <w:rPr>
          <w:rFonts w:ascii="Times New Roman" w:eastAsia="Times New Roman" w:hAnsi="Times New Roman" w:cs="Times New Roman"/>
          <w:color w:val="000000"/>
        </w:rPr>
        <w:t xml:space="preserve"> Likewise, however detailed individual descriptors may be or however narrow and medicalised the assessment, the ‘scope for differing views’ on a claimants’ incapacity is considerable, as reflected in appeal rates from Invalidity Benefit onwards.</w:t>
      </w:r>
      <w:r>
        <w:rPr>
          <w:rFonts w:ascii="Times New Roman" w:eastAsia="Times New Roman" w:hAnsi="Times New Roman" w:cs="Times New Roman"/>
          <w:color w:val="000000"/>
          <w:vertAlign w:val="superscript"/>
        </w:rPr>
        <w:footnoteReference w:id="79"/>
      </w:r>
    </w:p>
    <w:p w14:paraId="68B67591" w14:textId="47CDD1E6" w:rsidR="00C7554F" w:rsidRDefault="00000000" w:rsidP="00D51F58">
      <w:pPr>
        <w:spacing w:line="276" w:lineRule="auto"/>
        <w:jc w:val="both"/>
        <w:rPr>
          <w:rFonts w:ascii="Times New Roman" w:eastAsia="Times New Roman" w:hAnsi="Times New Roman" w:cs="Times New Roman"/>
          <w:vertAlign w:val="superscript"/>
        </w:rPr>
      </w:pPr>
      <w:r>
        <w:rPr>
          <w:rFonts w:ascii="Times New Roman" w:eastAsia="Times New Roman" w:hAnsi="Times New Roman" w:cs="Times New Roman"/>
          <w:color w:val="000000"/>
        </w:rPr>
        <w:t>The Green Paper instead seeks to abolish the WCA and, in linking receipt of UC Health to PIP daily living</w:t>
      </w:r>
      <w:r w:rsidR="00E31E14">
        <w:rPr>
          <w:rFonts w:ascii="Times New Roman" w:eastAsia="Times New Roman" w:hAnsi="Times New Roman" w:cs="Times New Roman"/>
          <w:color w:val="000000"/>
        </w:rPr>
        <w:t xml:space="preserve"> (since clarified as being tied to </w:t>
      </w:r>
      <w:r w:rsidR="00370CEE">
        <w:rPr>
          <w:rFonts w:ascii="Times New Roman" w:eastAsia="Times New Roman" w:hAnsi="Times New Roman" w:cs="Times New Roman"/>
          <w:color w:val="000000"/>
        </w:rPr>
        <w:t>a revised</w:t>
      </w:r>
      <w:r w:rsidR="00E31E14">
        <w:rPr>
          <w:rFonts w:ascii="Times New Roman" w:eastAsia="Times New Roman" w:hAnsi="Times New Roman" w:cs="Times New Roman"/>
          <w:color w:val="000000"/>
        </w:rPr>
        <w:t xml:space="preserve"> PIP assessment more generally)</w:t>
      </w:r>
      <w:r>
        <w:rPr>
          <w:rFonts w:ascii="Times New Roman" w:eastAsia="Times New Roman" w:hAnsi="Times New Roman" w:cs="Times New Roman"/>
          <w:color w:val="000000"/>
        </w:rPr>
        <w:t xml:space="preserve">, remove this longstanding separate treatment of incapacity benefits. Indeed, as the Work and Pensions Committee underscore, the </w:t>
      </w:r>
      <w:r>
        <w:rPr>
          <w:rFonts w:ascii="Times New Roman" w:eastAsia="Times New Roman" w:hAnsi="Times New Roman" w:cs="Times New Roman"/>
        </w:rPr>
        <w:t>Government is entirely ‘explicit that it wants to decouple access to UC health from an assessment of a person’s capacity for work’.</w:t>
      </w:r>
      <w:r>
        <w:rPr>
          <w:rFonts w:ascii="Times New Roman" w:eastAsia="Times New Roman" w:hAnsi="Times New Roman" w:cs="Times New Roman"/>
          <w:vertAlign w:val="superscript"/>
        </w:rPr>
        <w:footnoteReference w:id="80"/>
      </w:r>
      <w:r>
        <w:rPr>
          <w:rFonts w:ascii="Times New Roman" w:eastAsia="Times New Roman" w:hAnsi="Times New Roman" w:cs="Times New Roman"/>
        </w:rPr>
        <w:t xml:space="preserve"> Although this is a considerable change to the structure of the benefits system for claimants with health issu</w:t>
      </w:r>
      <w:r w:rsidRPr="00506385">
        <w:rPr>
          <w:rFonts w:ascii="Times New Roman" w:eastAsia="Times New Roman" w:hAnsi="Times New Roman" w:cs="Times New Roman"/>
        </w:rPr>
        <w:t>es, it perhaps makes explicit was previously tacit.</w:t>
      </w:r>
      <w:r>
        <w:rPr>
          <w:rFonts w:ascii="Times New Roman" w:eastAsia="Times New Roman" w:hAnsi="Times New Roman" w:cs="Times New Roman"/>
        </w:rPr>
        <w:t xml:space="preserve"> As Gulland has underscored, the direction of travel over previous decades has been towards an assessment process for incapacity benefits that looks more like an assessment of disability benefit. The concepts of ‘sickness’ and ‘disability’ have been increasingly blurred, with the distinction between short and longer term drivers of incapacity to work largely neglected.</w:t>
      </w:r>
      <w:r>
        <w:rPr>
          <w:rFonts w:ascii="Times New Roman" w:eastAsia="Times New Roman" w:hAnsi="Times New Roman" w:cs="Times New Roman"/>
          <w:vertAlign w:val="superscript"/>
        </w:rPr>
        <w:footnoteReference w:id="81"/>
      </w:r>
      <w:r>
        <w:rPr>
          <w:rFonts w:ascii="Times New Roman" w:eastAsia="Times New Roman" w:hAnsi="Times New Roman" w:cs="Times New Roman"/>
        </w:rPr>
        <w:t xml:space="preserve"> Likewise, assessments have become narrower and more medicalised, rooted in a medical model of disability that focuses on impairments rather than how ‘than socio‐economic structures disables people’, from ‘the education and skills of individuals, the nature of local labour markets and the attitudes of employers’.</w:t>
      </w:r>
      <w:r>
        <w:rPr>
          <w:rFonts w:ascii="Times New Roman" w:eastAsia="Times New Roman" w:hAnsi="Times New Roman" w:cs="Times New Roman"/>
          <w:vertAlign w:val="superscript"/>
        </w:rPr>
        <w:footnoteReference w:id="82"/>
      </w:r>
      <w:r>
        <w:rPr>
          <w:rFonts w:ascii="Times New Roman" w:eastAsia="Times New Roman" w:hAnsi="Times New Roman" w:cs="Times New Roman"/>
        </w:rPr>
        <w:t xml:space="preserve"> As Gulland argues, the reality of the world of work or disabling barriers encountered by people has long been ‘almost wholly disregarded’ in these assessment processes.</w:t>
      </w:r>
      <w:r>
        <w:rPr>
          <w:rFonts w:ascii="Times New Roman" w:eastAsia="Times New Roman" w:hAnsi="Times New Roman" w:cs="Times New Roman"/>
          <w:vertAlign w:val="superscript"/>
        </w:rPr>
        <w:footnoteReference w:id="83"/>
      </w:r>
    </w:p>
    <w:p w14:paraId="3AC91B0F" w14:textId="77777777"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rPr>
        <w:t>The Green Paper effectively codifies this long direction of travel by changing the UC Health element into a new kind of benefit. The Work and Pensions Committee suggests it may be better described as a kind of ‘means-tested disability benefit’ as opposed to a kind of incapacity benefit.</w:t>
      </w:r>
      <w:r>
        <w:rPr>
          <w:rFonts w:ascii="Times New Roman" w:eastAsia="Times New Roman" w:hAnsi="Times New Roman" w:cs="Times New Roman"/>
          <w:vertAlign w:val="superscript"/>
        </w:rPr>
        <w:footnoteReference w:id="84"/>
      </w:r>
      <w:r>
        <w:rPr>
          <w:rFonts w:ascii="Times New Roman" w:eastAsia="Times New Roman" w:hAnsi="Times New Roman" w:cs="Times New Roman"/>
        </w:rPr>
        <w:t xml:space="preserve"> Adopting the language of Berthoud’s 1998 review of disability benefits perhaps better illustrates the extent of the shift.</w:t>
      </w:r>
      <w:r>
        <w:rPr>
          <w:rFonts w:ascii="Times New Roman" w:eastAsia="Times New Roman" w:hAnsi="Times New Roman" w:cs="Times New Roman"/>
          <w:vertAlign w:val="superscript"/>
        </w:rPr>
        <w:footnoteReference w:id="85"/>
      </w:r>
      <w:r>
        <w:rPr>
          <w:rFonts w:ascii="Times New Roman" w:eastAsia="Times New Roman" w:hAnsi="Times New Roman" w:cs="Times New Roman"/>
        </w:rPr>
        <w:t xml:space="preserve"> He suggests that the three key types of benefit tied to health conditions aim to provide:</w:t>
      </w:r>
    </w:p>
    <w:p w14:paraId="501FF10E" w14:textId="77777777" w:rsidR="00C7554F" w:rsidRDefault="00000000" w:rsidP="00D51F58">
      <w:pPr>
        <w:numPr>
          <w:ilvl w:val="0"/>
          <w:numId w:val="2"/>
        </w:numPr>
        <w:spacing w:after="0" w:line="276" w:lineRule="auto"/>
        <w:jc w:val="both"/>
        <w:rPr>
          <w:rFonts w:ascii="Times New Roman" w:eastAsia="Times New Roman" w:hAnsi="Times New Roman" w:cs="Times New Roman"/>
        </w:rPr>
      </w:pPr>
      <w:r>
        <w:rPr>
          <w:rFonts w:ascii="Times New Roman" w:eastAsia="Times New Roman" w:hAnsi="Times New Roman" w:cs="Times New Roman"/>
          <w:i/>
        </w:rPr>
        <w:t xml:space="preserve">Earnings replacement </w:t>
      </w:r>
      <w:r>
        <w:rPr>
          <w:rFonts w:ascii="Times New Roman" w:eastAsia="Times New Roman" w:hAnsi="Times New Roman" w:cs="Times New Roman"/>
        </w:rPr>
        <w:t>(providing an income to people unable to work due to impairments).</w:t>
      </w:r>
    </w:p>
    <w:p w14:paraId="746F816C" w14:textId="77777777" w:rsidR="00C7554F" w:rsidRDefault="00000000" w:rsidP="00D51F58">
      <w:pPr>
        <w:numPr>
          <w:ilvl w:val="0"/>
          <w:numId w:val="2"/>
        </w:numPr>
        <w:spacing w:after="0" w:line="276" w:lineRule="auto"/>
        <w:jc w:val="both"/>
        <w:rPr>
          <w:rFonts w:ascii="Times New Roman" w:eastAsia="Times New Roman" w:hAnsi="Times New Roman" w:cs="Times New Roman"/>
        </w:rPr>
      </w:pPr>
      <w:r>
        <w:rPr>
          <w:rFonts w:ascii="Times New Roman" w:eastAsia="Times New Roman" w:hAnsi="Times New Roman" w:cs="Times New Roman"/>
          <w:i/>
        </w:rPr>
        <w:lastRenderedPageBreak/>
        <w:t>Extra costs</w:t>
      </w:r>
      <w:r>
        <w:rPr>
          <w:rFonts w:ascii="Times New Roman" w:eastAsia="Times New Roman" w:hAnsi="Times New Roman" w:cs="Times New Roman"/>
        </w:rPr>
        <w:t xml:space="preserve"> (providing support to cover the higher cost of living faced by disabled people).</w:t>
      </w:r>
    </w:p>
    <w:p w14:paraId="74C4F62E" w14:textId="77777777" w:rsidR="00C7554F" w:rsidRDefault="00000000" w:rsidP="00D51F58">
      <w:pPr>
        <w:numPr>
          <w:ilvl w:val="0"/>
          <w:numId w:val="2"/>
        </w:numPr>
        <w:spacing w:line="276" w:lineRule="auto"/>
        <w:jc w:val="both"/>
        <w:rPr>
          <w:rFonts w:ascii="Times New Roman" w:eastAsia="Times New Roman" w:hAnsi="Times New Roman" w:cs="Times New Roman"/>
        </w:rPr>
      </w:pPr>
      <w:r>
        <w:rPr>
          <w:rFonts w:ascii="Times New Roman" w:eastAsia="Times New Roman" w:hAnsi="Times New Roman" w:cs="Times New Roman"/>
          <w:i/>
        </w:rPr>
        <w:t>Compensation</w:t>
      </w:r>
      <w:r>
        <w:rPr>
          <w:rFonts w:ascii="Times New Roman" w:eastAsia="Times New Roman" w:hAnsi="Times New Roman" w:cs="Times New Roman"/>
        </w:rPr>
        <w:t xml:space="preserve"> (offering additional income to those who impairments resulted from their work in the armed forces, in certain sectors, etc).</w:t>
      </w:r>
    </w:p>
    <w:p w14:paraId="43253CEB" w14:textId="77777777"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rPr>
        <w:t>And of these, broadly speaking, there are three main types of eligibility:</w:t>
      </w:r>
    </w:p>
    <w:p w14:paraId="069EE71B" w14:textId="77777777" w:rsidR="00C7554F" w:rsidRDefault="00000000" w:rsidP="00D51F58">
      <w:pPr>
        <w:numPr>
          <w:ilvl w:val="0"/>
          <w:numId w:val="1"/>
        </w:numPr>
        <w:spacing w:after="0" w:line="276" w:lineRule="auto"/>
        <w:jc w:val="both"/>
        <w:rPr>
          <w:rFonts w:ascii="Times New Roman" w:eastAsia="Times New Roman" w:hAnsi="Times New Roman" w:cs="Times New Roman"/>
        </w:rPr>
      </w:pPr>
      <w:r>
        <w:rPr>
          <w:rFonts w:ascii="Times New Roman" w:eastAsia="Times New Roman" w:hAnsi="Times New Roman" w:cs="Times New Roman"/>
          <w:i/>
        </w:rPr>
        <w:t xml:space="preserve">Contributory </w:t>
      </w:r>
      <w:r>
        <w:rPr>
          <w:rFonts w:ascii="Times New Roman" w:eastAsia="Times New Roman" w:hAnsi="Times New Roman" w:cs="Times New Roman"/>
        </w:rPr>
        <w:t>(where claimants must have paid national insurance contributions).</w:t>
      </w:r>
    </w:p>
    <w:p w14:paraId="1914A139" w14:textId="77777777" w:rsidR="00C7554F" w:rsidRDefault="00000000" w:rsidP="00D51F58">
      <w:pPr>
        <w:numPr>
          <w:ilvl w:val="0"/>
          <w:numId w:val="1"/>
        </w:numPr>
        <w:spacing w:after="0" w:line="276" w:lineRule="auto"/>
        <w:jc w:val="both"/>
        <w:rPr>
          <w:rFonts w:ascii="Times New Roman" w:eastAsia="Times New Roman" w:hAnsi="Times New Roman" w:cs="Times New Roman"/>
        </w:rPr>
      </w:pPr>
      <w:r>
        <w:rPr>
          <w:rFonts w:ascii="Times New Roman" w:eastAsia="Times New Roman" w:hAnsi="Times New Roman" w:cs="Times New Roman"/>
          <w:i/>
        </w:rPr>
        <w:t xml:space="preserve">Means-tested </w:t>
      </w:r>
      <w:r>
        <w:rPr>
          <w:rFonts w:ascii="Times New Roman" w:eastAsia="Times New Roman" w:hAnsi="Times New Roman" w:cs="Times New Roman"/>
        </w:rPr>
        <w:t>(where the claimant must meet an income and capital threshold).</w:t>
      </w:r>
    </w:p>
    <w:p w14:paraId="4779B3D7" w14:textId="77777777" w:rsidR="00C7554F" w:rsidRDefault="00000000" w:rsidP="00D51F58">
      <w:pPr>
        <w:numPr>
          <w:ilvl w:val="0"/>
          <w:numId w:val="1"/>
        </w:numPr>
        <w:spacing w:line="276" w:lineRule="auto"/>
        <w:jc w:val="both"/>
        <w:rPr>
          <w:rFonts w:ascii="Times New Roman" w:eastAsia="Times New Roman" w:hAnsi="Times New Roman" w:cs="Times New Roman"/>
        </w:rPr>
      </w:pPr>
      <w:r>
        <w:rPr>
          <w:rFonts w:ascii="Times New Roman" w:eastAsia="Times New Roman" w:hAnsi="Times New Roman" w:cs="Times New Roman"/>
          <w:i/>
        </w:rPr>
        <w:t xml:space="preserve">Contingent </w:t>
      </w:r>
      <w:r>
        <w:rPr>
          <w:rFonts w:ascii="Times New Roman" w:eastAsia="Times New Roman" w:hAnsi="Times New Roman" w:cs="Times New Roman"/>
        </w:rPr>
        <w:t>(where the benefit is based on the claimant’s needs, without contribution conditions or a means test).</w:t>
      </w:r>
      <w:r>
        <w:rPr>
          <w:rFonts w:ascii="Times New Roman" w:eastAsia="Times New Roman" w:hAnsi="Times New Roman" w:cs="Times New Roman"/>
          <w:vertAlign w:val="superscript"/>
        </w:rPr>
        <w:footnoteReference w:id="86"/>
      </w:r>
    </w:p>
    <w:p w14:paraId="22F5186C" w14:textId="77777777"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Historically, forms of incapacity benefit have sat within the </w:t>
      </w:r>
      <w:r>
        <w:rPr>
          <w:rFonts w:ascii="Times New Roman" w:eastAsia="Times New Roman" w:hAnsi="Times New Roman" w:cs="Times New Roman"/>
          <w:i/>
        </w:rPr>
        <w:t>earnings replacement</w:t>
      </w:r>
      <w:r>
        <w:rPr>
          <w:rFonts w:ascii="Times New Roman" w:eastAsia="Times New Roman" w:hAnsi="Times New Roman" w:cs="Times New Roman"/>
        </w:rPr>
        <w:t xml:space="preserve"> type, coupled with either an accompanying</w:t>
      </w:r>
      <w:r>
        <w:rPr>
          <w:rFonts w:ascii="Times New Roman" w:eastAsia="Times New Roman" w:hAnsi="Times New Roman" w:cs="Times New Roman"/>
          <w:i/>
        </w:rPr>
        <w:t xml:space="preserve"> contributory</w:t>
      </w:r>
      <w:r>
        <w:rPr>
          <w:rFonts w:ascii="Times New Roman" w:eastAsia="Times New Roman" w:hAnsi="Times New Roman" w:cs="Times New Roman"/>
        </w:rPr>
        <w:t xml:space="preserve"> eligibility requirement (as with Incapacity Benefit) or a </w:t>
      </w:r>
      <w:r>
        <w:rPr>
          <w:rFonts w:ascii="Times New Roman" w:eastAsia="Times New Roman" w:hAnsi="Times New Roman" w:cs="Times New Roman"/>
          <w:i/>
        </w:rPr>
        <w:t>means-test</w:t>
      </w:r>
      <w:r>
        <w:rPr>
          <w:rFonts w:ascii="Times New Roman" w:eastAsia="Times New Roman" w:hAnsi="Times New Roman" w:cs="Times New Roman"/>
        </w:rPr>
        <w:t xml:space="preserve"> (as with Disabled Working Allowance). Here, the scrapping of the WCA effectively adopts a </w:t>
      </w:r>
      <w:r>
        <w:rPr>
          <w:rFonts w:ascii="Times New Roman" w:eastAsia="Times New Roman" w:hAnsi="Times New Roman" w:cs="Times New Roman"/>
          <w:i/>
        </w:rPr>
        <w:t>contingent</w:t>
      </w:r>
      <w:r>
        <w:rPr>
          <w:rFonts w:ascii="Times New Roman" w:eastAsia="Times New Roman" w:hAnsi="Times New Roman" w:cs="Times New Roman"/>
        </w:rPr>
        <w:t xml:space="preserve"> test designed to provide an </w:t>
      </w:r>
      <w:r>
        <w:rPr>
          <w:rFonts w:ascii="Times New Roman" w:eastAsia="Times New Roman" w:hAnsi="Times New Roman" w:cs="Times New Roman"/>
          <w:i/>
        </w:rPr>
        <w:t>extra costs</w:t>
      </w:r>
      <w:r>
        <w:rPr>
          <w:rFonts w:ascii="Times New Roman" w:eastAsia="Times New Roman" w:hAnsi="Times New Roman" w:cs="Times New Roman"/>
        </w:rPr>
        <w:t xml:space="preserve"> benefit, as a proxy for providing </w:t>
      </w:r>
      <w:r>
        <w:rPr>
          <w:rFonts w:ascii="Times New Roman" w:eastAsia="Times New Roman" w:hAnsi="Times New Roman" w:cs="Times New Roman"/>
          <w:i/>
        </w:rPr>
        <w:t xml:space="preserve">means-tested </w:t>
      </w:r>
      <w:r>
        <w:rPr>
          <w:rFonts w:ascii="Times New Roman" w:eastAsia="Times New Roman" w:hAnsi="Times New Roman" w:cs="Times New Roman"/>
        </w:rPr>
        <w:t xml:space="preserve">support for </w:t>
      </w:r>
      <w:r>
        <w:rPr>
          <w:rFonts w:ascii="Times New Roman" w:eastAsia="Times New Roman" w:hAnsi="Times New Roman" w:cs="Times New Roman"/>
          <w:i/>
        </w:rPr>
        <w:t>earnings replacement</w:t>
      </w:r>
      <w:r>
        <w:rPr>
          <w:rFonts w:ascii="Times New Roman" w:eastAsia="Times New Roman" w:hAnsi="Times New Roman" w:cs="Times New Roman"/>
        </w:rPr>
        <w:t>.</w:t>
      </w:r>
    </w:p>
    <w:p w14:paraId="2FB6AE7E" w14:textId="77777777"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rPr>
        <w:t>At the time of writing, it is unclear how things may change in respect of the PIP assessment to accommodate this change following the Timms Review, or if some equivalent to the WCA may be required to assess capability for work again further down the line. For instance, the Green Paper refers to the New Unemployment Insurance Benefit carrying requirements to actively seek work, with ‘easements’ for those with work-limiting health conditions. How those will be determined without the WCA - and whether that too will be reliant on using the PIP daily living descriptors as a proxy - remains unclear.</w:t>
      </w:r>
    </w:p>
    <w:p w14:paraId="0E50E7A6" w14:textId="77777777"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b/>
        </w:rPr>
        <w:t>A ‘new support conversation’: An eco-system of pilots and programmes</w:t>
      </w:r>
    </w:p>
    <w:p w14:paraId="50D396E8" w14:textId="77777777"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rPr>
        <w:t>Throughout the suite of ‘pathways to work’ reforms, the Government places significant emphasis on the role of regional and local government in shaping the employment support offer for all working age households. Indeed, the green paper underscores the importance of ‘mobilising local leadership’ in tackling economic inactivity by ‘backing local areas’ to design and deliver ‘a coherent offer of support across work, health and skills, and to effectively engage local people and local employers in that offer.’</w:t>
      </w:r>
      <w:r>
        <w:rPr>
          <w:rFonts w:ascii="Times New Roman" w:eastAsia="Times New Roman" w:hAnsi="Times New Roman" w:cs="Times New Roman"/>
          <w:vertAlign w:val="superscript"/>
        </w:rPr>
        <w:footnoteReference w:id="87"/>
      </w:r>
      <w:r>
        <w:rPr>
          <w:rFonts w:ascii="Times New Roman" w:eastAsia="Times New Roman" w:hAnsi="Times New Roman" w:cs="Times New Roman"/>
        </w:rPr>
        <w:t xml:space="preserve"> This is billed as being part of the Green Paper’s promise of a ‘new support conversation’ for ‘individuals who have a health condition or disability that is affecting their ability to get into work or return to work.’</w:t>
      </w:r>
      <w:r>
        <w:rPr>
          <w:rFonts w:ascii="Times New Roman" w:eastAsia="Times New Roman" w:hAnsi="Times New Roman" w:cs="Times New Roman"/>
          <w:vertAlign w:val="superscript"/>
        </w:rPr>
        <w:footnoteReference w:id="88"/>
      </w:r>
    </w:p>
    <w:p w14:paraId="605126AF" w14:textId="77777777"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There are four planks to this flagged in the green paper. The first is requirement for every area in England to develop a ‘Get Britain Working Plan’ that tackles ‘the six key issues’ of labour market exclusion, youth transitions, job quality, women's employment barriers, skills shortages, and geographic disparities in labour market outcomes. Guidance published earlier this year makes clear the wide-ranging demands on local areas, including: labour market analysis identifying disadvantaged groups and geographic hotspots; examination of drivers and </w:t>
      </w:r>
      <w:r>
        <w:rPr>
          <w:rFonts w:ascii="Times New Roman" w:eastAsia="Times New Roman" w:hAnsi="Times New Roman" w:cs="Times New Roman"/>
        </w:rPr>
        <w:lastRenderedPageBreak/>
        <w:t>causes of economic inactivity including education, skills, health, transport, housing, and caring responsibilities; mapping of current support systems across organisations; outlining partnership working mechanisms; identifying required systemic changes; setting ‘ambitious yet achievable priorities for the next 12-24 months’; and establishing formal governance arrangements.</w:t>
      </w:r>
      <w:r>
        <w:rPr>
          <w:rFonts w:ascii="Times New Roman" w:eastAsia="Times New Roman" w:hAnsi="Times New Roman" w:cs="Times New Roman"/>
          <w:vertAlign w:val="superscript"/>
        </w:rPr>
        <w:footnoteReference w:id="89"/>
      </w:r>
    </w:p>
    <w:p w14:paraId="2445F0B3" w14:textId="77777777"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rPr>
        <w:t>These plans – billed as ‘Get [place] Working plans’ for each individual area (e.g. ‘Get York Working’, ‘Get Berkshire Working’, etc) – are due for publication by September 2025 at the latest, with the deadline for submitting outlines to the DWP having already passed.</w:t>
      </w:r>
      <w:r>
        <w:rPr>
          <w:rFonts w:ascii="Times New Roman" w:eastAsia="Times New Roman" w:hAnsi="Times New Roman" w:cs="Times New Roman"/>
          <w:vertAlign w:val="superscript"/>
        </w:rPr>
        <w:footnoteReference w:id="90"/>
      </w:r>
      <w:r>
        <w:rPr>
          <w:rFonts w:ascii="Times New Roman" w:eastAsia="Times New Roman" w:hAnsi="Times New Roman" w:cs="Times New Roman"/>
        </w:rPr>
        <w:t xml:space="preserve"> These plans are a significant ask of local areas. Taking the ‘Get Worcestershire Working’ plan as an example, there are both and engagement and data streams to the ask. The guidance requires lead authorities – usually the Combined Authority for areas with one, or the upper-tier authority if not – to work with Integrated Care Boards, Job Centre Plus and a range of stakeholders to develop provision in their locality. This sits alongside a broad-ranging data collection and analysis requirement to understand the extent and drivers of economic inactivity.</w:t>
      </w:r>
      <w:r>
        <w:rPr>
          <w:rFonts w:ascii="Times New Roman" w:eastAsia="Times New Roman" w:hAnsi="Times New Roman" w:cs="Times New Roman"/>
          <w:vertAlign w:val="superscript"/>
        </w:rPr>
        <w:footnoteReference w:id="91"/>
      </w:r>
    </w:p>
    <w:p w14:paraId="2A2FD6CD" w14:textId="77777777"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rPr>
        <w:t>These plans sit alongside another plank of this devolution agenda, running on a similar timeframe: the localised ‘Connect to Work’ scheme.</w:t>
      </w:r>
      <w:r>
        <w:rPr>
          <w:rFonts w:ascii="Times New Roman" w:eastAsia="Times New Roman" w:hAnsi="Times New Roman" w:cs="Times New Roman"/>
          <w:vertAlign w:val="superscript"/>
        </w:rPr>
        <w:footnoteReference w:id="92"/>
      </w:r>
      <w:r>
        <w:rPr>
          <w:rFonts w:ascii="Times New Roman" w:eastAsia="Times New Roman" w:hAnsi="Times New Roman" w:cs="Times New Roman"/>
        </w:rPr>
        <w:t xml:space="preserve"> This scheme is effectively a replacement for the prior ‘Universal Support’ initiative, a local authority-delivered programme to provide digital and personal budgeting support for claimants (a scheme criticised for being expensive relative to outcomes and geographically ‘variable’ in quality and extent of take-up).</w:t>
      </w:r>
      <w:r>
        <w:rPr>
          <w:rFonts w:ascii="Times New Roman" w:eastAsia="Times New Roman" w:hAnsi="Times New Roman" w:cs="Times New Roman"/>
          <w:vertAlign w:val="superscript"/>
        </w:rPr>
        <w:footnoteReference w:id="93"/>
      </w:r>
      <w:r>
        <w:rPr>
          <w:rFonts w:ascii="Times New Roman" w:eastAsia="Times New Roman" w:hAnsi="Times New Roman" w:cs="Times New Roman"/>
        </w:rPr>
        <w:t xml:space="preserve"> Universal Support aims to help ‘disabled people, those with health conditions and people with complex barriers to employment’ by offering them ‘voluntary support based on the high-fidelity model of Supported Employment.’</w:t>
      </w:r>
      <w:r>
        <w:rPr>
          <w:rFonts w:ascii="Times New Roman" w:eastAsia="Times New Roman" w:hAnsi="Times New Roman" w:cs="Times New Roman"/>
          <w:vertAlign w:val="superscript"/>
        </w:rPr>
        <w:footnoteReference w:id="94"/>
      </w:r>
      <w:r>
        <w:rPr>
          <w:rFonts w:ascii="Times New Roman" w:eastAsia="Times New Roman" w:hAnsi="Times New Roman" w:cs="Times New Roman"/>
        </w:rPr>
        <w:t xml:space="preserve"> The responsible authorities map broadly with those for the ‘Get </w:t>
      </w:r>
      <w:r>
        <w:rPr>
          <w:rFonts w:ascii="Times New Roman" w:eastAsia="Times New Roman" w:hAnsi="Times New Roman" w:cs="Times New Roman"/>
        </w:rPr>
        <w:lastRenderedPageBreak/>
        <w:t>[Place] Working’ plans – with combined authorities responsible (where there is one) and upper-tier authorities where there is not.</w:t>
      </w:r>
      <w:r>
        <w:rPr>
          <w:rFonts w:ascii="Times New Roman" w:eastAsia="Times New Roman" w:hAnsi="Times New Roman" w:cs="Times New Roman"/>
          <w:vertAlign w:val="superscript"/>
        </w:rPr>
        <w:footnoteReference w:id="95"/>
      </w:r>
    </w:p>
    <w:p w14:paraId="08502CCD" w14:textId="77777777"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rPr>
        <w:t>In addition to these two structured programmes, the third plank is a set of sixteen ‘place-based trailblazers’ across England and Wales: eight ‘testing delivery’ of the new Youth Guarantee and eight with additional funding to tackle ‘economic inactivity through increased engagement and tailored approaches’.</w:t>
      </w:r>
      <w:r>
        <w:rPr>
          <w:rFonts w:ascii="Times New Roman" w:eastAsia="Times New Roman" w:hAnsi="Times New Roman" w:cs="Times New Roman"/>
          <w:vertAlign w:val="superscript"/>
        </w:rPr>
        <w:footnoteReference w:id="96"/>
      </w:r>
      <w:r>
        <w:rPr>
          <w:rFonts w:ascii="Times New Roman" w:eastAsia="Times New Roman" w:hAnsi="Times New Roman" w:cs="Times New Roman"/>
        </w:rPr>
        <w:t xml:space="preserve"> The ‘Youth Guarantee Trailblazers’ will focus on youth programmes and supporting NEET young people aged 18-21, particularly with a view to moving towards a guarantee that ‘all 18-to-21-year-olds in England have access to education, training or help to find a job or an apprenticeship’</w:t>
      </w:r>
      <w:bookmarkStart w:id="7" w:name="_Ref205389796"/>
      <w:r>
        <w:rPr>
          <w:rFonts w:ascii="Times New Roman" w:eastAsia="Times New Roman" w:hAnsi="Times New Roman" w:cs="Times New Roman"/>
          <w:vertAlign w:val="superscript"/>
        </w:rPr>
        <w:footnoteReference w:id="97"/>
      </w:r>
      <w:bookmarkEnd w:id="7"/>
      <w:r>
        <w:rPr>
          <w:rFonts w:ascii="Times New Roman" w:eastAsia="Times New Roman" w:hAnsi="Times New Roman" w:cs="Times New Roman"/>
        </w:rPr>
        <w:t xml:space="preserve"> (not to be confused with the prior ‘National Youth Guarantee’ scheme, focused instead on access to regular out of school activities and other kinds of support).</w:t>
      </w:r>
      <w:r>
        <w:rPr>
          <w:rFonts w:ascii="Times New Roman" w:eastAsia="Times New Roman" w:hAnsi="Times New Roman" w:cs="Times New Roman"/>
          <w:vertAlign w:val="superscript"/>
        </w:rPr>
        <w:footnoteReference w:id="98"/>
      </w:r>
      <w:r>
        <w:rPr>
          <w:rFonts w:ascii="Times New Roman" w:eastAsia="Times New Roman" w:hAnsi="Times New Roman" w:cs="Times New Roman"/>
        </w:rPr>
        <w:t xml:space="preserve"> The latter set of trailblazers focus far more broadly on co-ordinating work, health and skills support for people who are out of work.</w:t>
      </w:r>
      <w:r>
        <w:rPr>
          <w:rFonts w:ascii="Times New Roman" w:eastAsia="Times New Roman" w:hAnsi="Times New Roman" w:cs="Times New Roman"/>
          <w:vertAlign w:val="superscript"/>
        </w:rPr>
        <w:footnoteReference w:id="99"/>
      </w:r>
    </w:p>
    <w:p w14:paraId="06D35C0A" w14:textId="77777777" w:rsidR="00C7554F" w:rsidRDefault="00000000" w:rsidP="00D51F58">
      <w:pPr>
        <w:spacing w:line="276" w:lineRule="auto"/>
        <w:jc w:val="both"/>
        <w:rPr>
          <w:rFonts w:ascii="Times New Roman" w:eastAsia="Times New Roman" w:hAnsi="Times New Roman" w:cs="Times New Roman"/>
          <w:vertAlign w:val="superscript"/>
        </w:rPr>
      </w:pPr>
      <w:r>
        <w:rPr>
          <w:rFonts w:ascii="Times New Roman" w:eastAsia="Times New Roman" w:hAnsi="Times New Roman" w:cs="Times New Roman"/>
        </w:rPr>
        <w:t>Finally, the Green Paper flags the ‘WorkWell’ programme – a series of 15 local partnerships formed between health systems, local government and Jobcentres in England intended to deliver integrated work and health support.</w:t>
      </w:r>
      <w:r>
        <w:rPr>
          <w:rFonts w:ascii="Times New Roman" w:eastAsia="Times New Roman" w:hAnsi="Times New Roman" w:cs="Times New Roman"/>
          <w:vertAlign w:val="superscript"/>
        </w:rPr>
        <w:footnoteReference w:id="100"/>
      </w:r>
      <w:r>
        <w:rPr>
          <w:rFonts w:ascii="Times New Roman" w:eastAsia="Times New Roman" w:hAnsi="Times New Roman" w:cs="Times New Roman"/>
        </w:rPr>
        <w:t xml:space="preserve"> These areas – called the ‘WorkWell Vanguards’ – will provide disabled people and people with health conditions with access to ‘an early-intervention work and health assessment service’ to address ‘health-related barriers to employment’ (providing services like employer liaison and coaching) and ‘a single, joined-up view and gateway into the services that are available locally’ (including healthcare professional and what the guidance terms ‘more intensive employment support’).</w:t>
      </w:r>
      <w:r>
        <w:rPr>
          <w:rFonts w:ascii="Times New Roman" w:eastAsia="Times New Roman" w:hAnsi="Times New Roman" w:cs="Times New Roman"/>
          <w:vertAlign w:val="superscript"/>
        </w:rPr>
        <w:footnoteReference w:id="101"/>
      </w:r>
    </w:p>
    <w:p w14:paraId="757E9B82" w14:textId="77777777" w:rsidR="00C7554F" w:rsidRDefault="00000000" w:rsidP="00D51F58">
      <w:pPr>
        <w:spacing w:line="276" w:lineRule="auto"/>
        <w:jc w:val="both"/>
        <w:rPr>
          <w:rFonts w:ascii="Times New Roman" w:eastAsia="Times New Roman" w:hAnsi="Times New Roman" w:cs="Times New Roman"/>
          <w:vertAlign w:val="superscript"/>
        </w:rPr>
      </w:pPr>
      <w:r>
        <w:rPr>
          <w:rFonts w:ascii="Times New Roman" w:eastAsia="Times New Roman" w:hAnsi="Times New Roman" w:cs="Times New Roman"/>
        </w:rPr>
        <w:t xml:space="preserve">Importantly, this range of localised schemes, though providing welfare additional support, sit somewhat uncomfortably against the timescales for other reforms. The support they provide might come too late, and be too modest, to help those facing reductions in their entitlement. For instance, reductions in the LCWRA (now known as the Health Element) are due to be implemented in April 2026.  However, the annual trailblazer grant for placement programmes for all neurodivergent claimants in the North East Combined Authority is only £875,000 during the 2025/6 financial year across the seven authorities making up the area - as little as £125 per </w:t>
      </w:r>
      <w:r>
        <w:rPr>
          <w:rFonts w:ascii="Times New Roman" w:eastAsia="Times New Roman" w:hAnsi="Times New Roman" w:cs="Times New Roman"/>
        </w:rPr>
        <w:lastRenderedPageBreak/>
        <w:t>affected claimant.</w:t>
      </w:r>
      <w:r>
        <w:rPr>
          <w:rFonts w:ascii="Times New Roman" w:eastAsia="Times New Roman" w:hAnsi="Times New Roman" w:cs="Times New Roman"/>
          <w:vertAlign w:val="superscript"/>
        </w:rPr>
        <w:footnoteReference w:id="102"/>
      </w:r>
      <w:r>
        <w:rPr>
          <w:rFonts w:ascii="Times New Roman" w:eastAsia="Times New Roman" w:hAnsi="Times New Roman" w:cs="Times New Roman"/>
        </w:rPr>
        <w:t xml:space="preserve"> Indeed, a lasting re-engagement with the employment market can be a nuanced and long-term affair considering that over 16% of publicly employed and approaching 7% of privately employed workers are incapable of work due to mental health problems.</w:t>
      </w:r>
      <w:r>
        <w:rPr>
          <w:rFonts w:ascii="Times New Roman" w:eastAsia="Times New Roman" w:hAnsi="Times New Roman" w:cs="Times New Roman"/>
          <w:vertAlign w:val="superscript"/>
        </w:rPr>
        <w:footnoteReference w:id="103"/>
      </w:r>
      <w:r>
        <w:rPr>
          <w:rFonts w:ascii="Times New Roman" w:eastAsia="Times New Roman" w:hAnsi="Times New Roman" w:cs="Times New Roman"/>
        </w:rPr>
        <w:t xml:space="preserve"> These schemes are therefore welcome, and likely to make a difference for many claimants, but - in common with other kinds of localised support - are a risk of becoming a sticking plaster for far larger-scale reforms to the centralised benefit system.</w:t>
      </w:r>
    </w:p>
    <w:p w14:paraId="1520CD0E" w14:textId="77777777"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b/>
        </w:rPr>
        <w:t>A new approach to safeguarding?</w:t>
      </w:r>
    </w:p>
    <w:p w14:paraId="26674B42" w14:textId="77777777"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rPr>
        <w:t>A key plank of the Government’s reform efforts signposted in the Green paper is a consultation on improving safeguarding measures for benefit claimants.</w:t>
      </w:r>
      <w:r>
        <w:rPr>
          <w:rFonts w:ascii="Times New Roman" w:eastAsia="Times New Roman" w:hAnsi="Times New Roman" w:cs="Times New Roman"/>
          <w:vertAlign w:val="superscript"/>
        </w:rPr>
        <w:footnoteReference w:id="104"/>
      </w:r>
      <w:r>
        <w:rPr>
          <w:rFonts w:ascii="Times New Roman" w:eastAsia="Times New Roman" w:hAnsi="Times New Roman" w:cs="Times New Roman"/>
        </w:rPr>
        <w:t xml:space="preserve"> Current evidence suggests there is a lack of transparency with regard to safeguarding and complaint processes, with little value reported by claimants in examining issues. The consultation aims to develop provisions that are enforceable and accountable, though specific mechanisms remain to be determined. The documentation notes that where current processes are only internal, this does not lead to the most effective options. There is an identified need to work with the government to make safeguarding provisions real, enforceable and accountable, and to develop cooperative processes to counter negative effects.</w:t>
      </w:r>
      <w:r>
        <w:rPr>
          <w:rFonts w:ascii="Times New Roman" w:eastAsia="Times New Roman" w:hAnsi="Times New Roman" w:cs="Times New Roman"/>
          <w:vertAlign w:val="superscript"/>
        </w:rPr>
        <w:footnoteReference w:id="105"/>
      </w:r>
    </w:p>
    <w:p w14:paraId="63BEED27" w14:textId="77777777"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rPr>
        <w:t>This builds on a comprehensive inquiry by the Work and Pensions Committee, which raised significant concerns about the adequacy of current safeguarding measures for benefit claimants. The Committee's report, based on evidence from claimants and staff, concluded that the DWP's current safeguarding approach is 'deficient' and resembles 'a patchwork of mitigations and adaptations to existing policies, rather than a fundamental policy which underpins how our social security system operates.’</w:t>
      </w:r>
      <w:r>
        <w:rPr>
          <w:rFonts w:ascii="Times New Roman" w:eastAsia="Times New Roman" w:hAnsi="Times New Roman" w:cs="Times New Roman"/>
          <w:vertAlign w:val="superscript"/>
        </w:rPr>
        <w:footnoteReference w:id="106"/>
      </w:r>
    </w:p>
    <w:p w14:paraId="2E9CEAA1" w14:textId="77777777"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rPr>
        <w:t>The scale of the problem is considerable, with the DWP having conducted at least 240 Internal Process Reviews into cases where departmental actions may have contributed to serious harm or death between 2020-21 and 2023-24, though the Committee believes the true number is likely to be 'much higher.'</w:t>
      </w:r>
      <w:r>
        <w:rPr>
          <w:rFonts w:ascii="Times New Roman" w:eastAsia="Times New Roman" w:hAnsi="Times New Roman" w:cs="Times New Roman"/>
          <w:vertAlign w:val="superscript"/>
        </w:rPr>
        <w:footnoteReference w:id="107"/>
      </w:r>
      <w:r>
        <w:rPr>
          <w:rFonts w:ascii="Times New Roman" w:eastAsia="Times New Roman" w:hAnsi="Times New Roman" w:cs="Times New Roman"/>
        </w:rPr>
        <w:t xml:space="preserve"> Survey evidence from 1,711 DWP staff revealed that only 18% felt they had enough time to deal with safeguarding concerns properly, with staff warning that 'vulnerable customers are falling through the gaps.’</w:t>
      </w:r>
      <w:r>
        <w:rPr>
          <w:rFonts w:ascii="Times New Roman" w:eastAsia="Times New Roman" w:hAnsi="Times New Roman" w:cs="Times New Roman"/>
          <w:vertAlign w:val="superscript"/>
        </w:rPr>
        <w:t xml:space="preserve"> </w:t>
      </w:r>
      <w:r>
        <w:rPr>
          <w:rFonts w:ascii="Times New Roman" w:eastAsia="Times New Roman" w:hAnsi="Times New Roman" w:cs="Times New Roman"/>
          <w:vertAlign w:val="superscript"/>
        </w:rPr>
        <w:footnoteReference w:id="108"/>
      </w:r>
      <w:r>
        <w:rPr>
          <w:rFonts w:ascii="Times New Roman" w:eastAsia="Times New Roman" w:hAnsi="Times New Roman" w:cs="Times New Roman"/>
        </w:rPr>
        <w:t xml:space="preserve"> The impact on claimants has been profound, with many reporting 'feeling undeserving of support, or fearful of the DWP' and 'made to feel guilty for claiming benefits.'</w:t>
      </w:r>
      <w:r>
        <w:rPr>
          <w:rFonts w:ascii="Times New Roman" w:eastAsia="Times New Roman" w:hAnsi="Times New Roman" w:cs="Times New Roman"/>
          <w:vertAlign w:val="superscript"/>
        </w:rPr>
        <w:footnoteReference w:id="109"/>
      </w:r>
      <w:r>
        <w:rPr>
          <w:rFonts w:ascii="Times New Roman" w:eastAsia="Times New Roman" w:hAnsi="Times New Roman" w:cs="Times New Roman"/>
        </w:rPr>
        <w:t xml:space="preserve"> In response to these findings, the Committee has made 21 recommendations for sweeping reforms, with their 'principal' recommendation being </w:t>
      </w:r>
      <w:r>
        <w:rPr>
          <w:rFonts w:ascii="Times New Roman" w:eastAsia="Times New Roman" w:hAnsi="Times New Roman" w:cs="Times New Roman"/>
        </w:rPr>
        <w:lastRenderedPageBreak/>
        <w:t>for the Government to 'legislate for a statutory duty to safeguard vulnerable claimants that applies to the whole Department, and for which the Secretary of State is ultimately accountable.’</w:t>
      </w:r>
      <w:r>
        <w:rPr>
          <w:rFonts w:ascii="Times New Roman" w:eastAsia="Times New Roman" w:hAnsi="Times New Roman" w:cs="Times New Roman"/>
          <w:vertAlign w:val="superscript"/>
        </w:rPr>
        <w:footnoteReference w:id="110"/>
      </w:r>
    </w:p>
    <w:p w14:paraId="54E1E6D2" w14:textId="77777777"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rPr>
        <w:t>With the scrapping of the WCA planned in 2028, safeguarding procedures become increasingly relevant. Under current regulations, disabled claimants can be exempt from all activity to bring themselves closer to the jobs market (LCWRA), be expected to undertake “work preparation” (LCW) or be available for work (albeit with some level of restrictions). People who do not come within the descriptors under the functional test can still receive the protection of the ‘no work’ group if they can demonstrate that they, or another person, would suffer substantial risk of health worsening if found capable of work related activity.</w:t>
      </w:r>
      <w:r>
        <w:rPr>
          <w:rFonts w:ascii="Times New Roman" w:eastAsia="Times New Roman" w:hAnsi="Times New Roman" w:cs="Times New Roman"/>
          <w:vertAlign w:val="superscript"/>
        </w:rPr>
        <w:footnoteReference w:id="111"/>
      </w:r>
      <w:r>
        <w:rPr>
          <w:rFonts w:ascii="Times New Roman" w:eastAsia="Times New Roman" w:hAnsi="Times New Roman" w:cs="Times New Roman"/>
        </w:rPr>
        <w:t xml:space="preserve">  Where claimant might be at substantial risk the presumption is in favour of this applying unless work related activity is identified that does not present substantial risk.</w:t>
      </w:r>
      <w:r>
        <w:rPr>
          <w:rFonts w:ascii="Times New Roman" w:eastAsia="Times New Roman" w:hAnsi="Times New Roman" w:cs="Times New Roman"/>
          <w:vertAlign w:val="superscript"/>
        </w:rPr>
        <w:footnoteReference w:id="112"/>
      </w:r>
    </w:p>
    <w:p w14:paraId="7960F94D" w14:textId="77777777"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rPr>
        <w:t>Following the changes, the determination of risk or capability will fall within the purview of DWP workers.  Since, in our casework experience, appeal claimants often identify interaction with the Work Coach themselves as a cause of worsening anxiety, such a role could give rise to conflicts.  Research by CPAG suggests that there are significant shortfalls in the following of due process, assessing evidence and keeping claimants informed in the case of existing provision.</w:t>
      </w:r>
      <w:r>
        <w:rPr>
          <w:rFonts w:ascii="Times New Roman" w:eastAsia="Times New Roman" w:hAnsi="Times New Roman" w:cs="Times New Roman"/>
          <w:vertAlign w:val="superscript"/>
        </w:rPr>
        <w:footnoteReference w:id="113"/>
      </w:r>
      <w:r>
        <w:rPr>
          <w:rFonts w:ascii="Times New Roman" w:eastAsia="Times New Roman" w:hAnsi="Times New Roman" w:cs="Times New Roman"/>
        </w:rPr>
        <w:t xml:space="preserve"> This suggests significant training and management obstacles to ensuring that due process, treatment of claimant evidence and transparency are required.  </w:t>
      </w:r>
    </w:p>
    <w:p w14:paraId="1848F836" w14:textId="77777777"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rPr>
        <w:t>The development of a more comprehensive safeguarding offer is, therefore, welcome and the confirmation that it will be ‘ transparent, accountable, and rooted in lived experience’</w:t>
      </w:r>
      <w:r>
        <w:rPr>
          <w:rFonts w:ascii="Times New Roman" w:eastAsia="Times New Roman" w:hAnsi="Times New Roman" w:cs="Times New Roman"/>
          <w:vertAlign w:val="superscript"/>
        </w:rPr>
        <w:footnoteReference w:id="114"/>
      </w:r>
      <w:r>
        <w:rPr>
          <w:rFonts w:ascii="Times New Roman" w:eastAsia="Times New Roman" w:hAnsi="Times New Roman" w:cs="Times New Roman"/>
        </w:rPr>
        <w:t xml:space="preserve"> However, it is not entirely clear in what way  and to whom accountability is to be held.  There is also a lack of ‘enforceability’ in the list of aims for the process. Without incentives for claimants to pursue issues or the active inclusion of outside agencies to initiate and trace issues as part of the safeguarding process the focus of the activity. There are no current proposals for such local involvement and the complaints procedure is generally seen to be unfit for the purpose of holding the department to account.</w:t>
      </w:r>
      <w:r>
        <w:rPr>
          <w:rFonts w:ascii="Times New Roman" w:eastAsia="Times New Roman" w:hAnsi="Times New Roman" w:cs="Times New Roman"/>
          <w:vertAlign w:val="superscript"/>
        </w:rPr>
        <w:footnoteReference w:id="115"/>
      </w:r>
      <w:r>
        <w:rPr>
          <w:rFonts w:ascii="Times New Roman" w:eastAsia="Times New Roman" w:hAnsi="Times New Roman" w:cs="Times New Roman"/>
        </w:rPr>
        <w:t xml:space="preserve"> Such an internal focus for safeguarding would be a lost opportunity to encourage processes that reflect a wider outcomes for social security adjudication.</w:t>
      </w:r>
    </w:p>
    <w:p w14:paraId="4266DF32" w14:textId="77777777"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b/>
        </w:rPr>
        <w:t>The pivotal role of the Timms Review</w:t>
      </w:r>
    </w:p>
    <w:p w14:paraId="7F8D681D" w14:textId="77777777"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rPr>
        <w:t>Almost as soon as PIP was introduced (and indeed, even before then),</w:t>
      </w:r>
      <w:r>
        <w:rPr>
          <w:rFonts w:ascii="Times New Roman" w:eastAsia="Times New Roman" w:hAnsi="Times New Roman" w:cs="Times New Roman"/>
          <w:vertAlign w:val="superscript"/>
        </w:rPr>
        <w:footnoteReference w:id="116"/>
      </w:r>
      <w:r>
        <w:rPr>
          <w:rFonts w:ascii="Times New Roman" w:eastAsia="Times New Roman" w:hAnsi="Times New Roman" w:cs="Times New Roman"/>
        </w:rPr>
        <w:t xml:space="preserve"> research has suggested that the claim and assessment process is not designed or working in practice as well as it could </w:t>
      </w:r>
      <w:r>
        <w:rPr>
          <w:rFonts w:ascii="Times New Roman" w:eastAsia="Times New Roman" w:hAnsi="Times New Roman" w:cs="Times New Roman"/>
        </w:rPr>
        <w:lastRenderedPageBreak/>
        <w:t>be. As tends to be the case with reforms to ‘extra costs’ disability benefits, there were ‘winners and losers’ from the move from DLA to PIP descriptors</w:t>
      </w:r>
      <w:r>
        <w:rPr>
          <w:rFonts w:ascii="Times New Roman" w:eastAsia="Times New Roman" w:hAnsi="Times New Roman" w:cs="Times New Roman"/>
          <w:vertAlign w:val="superscript"/>
        </w:rPr>
        <w:footnoteReference w:id="117"/>
      </w:r>
      <w:r>
        <w:rPr>
          <w:rFonts w:ascii="Times New Roman" w:eastAsia="Times New Roman" w:hAnsi="Times New Roman" w:cs="Times New Roman"/>
        </w:rPr>
        <w:t xml:space="preserve"> - but problems with claimant experiences of the assessment process, particularly for people with mental health issues, have abounded since its introduction in 2013.</w:t>
      </w:r>
      <w:r>
        <w:rPr>
          <w:rFonts w:ascii="Times New Roman" w:eastAsia="Times New Roman" w:hAnsi="Times New Roman" w:cs="Times New Roman"/>
          <w:vertAlign w:val="superscript"/>
        </w:rPr>
        <w:footnoteReference w:id="118"/>
      </w:r>
      <w:r>
        <w:rPr>
          <w:rFonts w:ascii="Times New Roman" w:eastAsia="Times New Roman" w:hAnsi="Times New Roman" w:cs="Times New Roman"/>
        </w:rPr>
        <w:t xml:space="preserve"> In Alldrige’s critique of the scheme, which also draws on his own experience as a PIP claimant, he goes as far as to characterise the implementation of the assessment process in particular as the creation of a ‘hostile environment’ for people with disabilities.</w:t>
      </w:r>
      <w:r>
        <w:rPr>
          <w:rFonts w:ascii="Times New Roman" w:eastAsia="Times New Roman" w:hAnsi="Times New Roman" w:cs="Times New Roman"/>
          <w:vertAlign w:val="superscript"/>
        </w:rPr>
        <w:footnoteReference w:id="119"/>
      </w:r>
      <w:r>
        <w:rPr>
          <w:rFonts w:ascii="Times New Roman" w:eastAsia="Times New Roman" w:hAnsi="Times New Roman" w:cs="Times New Roman"/>
        </w:rPr>
        <w:t xml:space="preserve"> As reflected across evidence to the Work &amp; Pensions Committee’s inquiry, this has led to a crisis of trust in the DWP from recipients of disability benefits - a problem that is not reflected to the same extent in other western welfare states.</w:t>
      </w:r>
      <w:r>
        <w:rPr>
          <w:rFonts w:ascii="Times New Roman" w:eastAsia="Times New Roman" w:hAnsi="Times New Roman" w:cs="Times New Roman"/>
          <w:vertAlign w:val="superscript"/>
        </w:rPr>
        <w:footnoteReference w:id="120"/>
      </w:r>
    </w:p>
    <w:p w14:paraId="6EE01067" w14:textId="77777777"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rPr>
        <w:t>The Timms Review is therefore an important opportunity to revisit the PIP assessment process in its entirety. As its draft terms of reference point out, although there have been two independent reviews of PIP already - one in 2014 and another in 2016 - both ‘focussed on the quality and consistency of decision making and the claims process’.</w:t>
      </w:r>
      <w:r>
        <w:rPr>
          <w:rFonts w:ascii="Times New Roman" w:eastAsia="Times New Roman" w:hAnsi="Times New Roman" w:cs="Times New Roman"/>
          <w:vertAlign w:val="superscript"/>
        </w:rPr>
        <w:footnoteReference w:id="121"/>
      </w:r>
      <w:r>
        <w:rPr>
          <w:rFonts w:ascii="Times New Roman" w:eastAsia="Times New Roman" w:hAnsi="Times New Roman" w:cs="Times New Roman"/>
        </w:rPr>
        <w:t xml:space="preserve"> The actual assessment itself has never been reviewed since PIP’s introduction. The review therefore has an incredibly broad-ranging remit that could re-shape the future design and delivery of extra-costs disability support. Its scope includes: the PIP assessment (including its expanded role as a ‘single gateway to health-related benefits’ following the scrapping of the WCA), the assessment criteria themselves (including activities, descriptors and associated points), and the nature of evidence assessed (including whether it would be appropriate to include an individual’s personal circumstances and environment).</w:t>
      </w:r>
      <w:r>
        <w:rPr>
          <w:rFonts w:ascii="Times New Roman" w:eastAsia="Times New Roman" w:hAnsi="Times New Roman" w:cs="Times New Roman"/>
          <w:vertAlign w:val="superscript"/>
        </w:rPr>
        <w:footnoteReference w:id="122"/>
      </w:r>
    </w:p>
    <w:p w14:paraId="24E2209A" w14:textId="77777777"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rPr>
        <w:t>In the context of this lack of trust, evidence of negative experiences, and the significant remit, how this review is undertaken will be of paramount importance - both for the shape of reforms proposed and for the confidence of claimants in its findings. Sir Stephen Timms MP, the namesake minister leading the review, has made repeated assurances that the review will be ‘co-produced’ with disabled people:</w:t>
      </w:r>
    </w:p>
    <w:p w14:paraId="12097E0D" w14:textId="77777777" w:rsidR="00C7554F" w:rsidRDefault="00000000" w:rsidP="00D51F58">
      <w:pPr>
        <w:spacing w:line="276" w:lineRule="auto"/>
        <w:ind w:left="720" w:right="1110"/>
        <w:jc w:val="both"/>
        <w:rPr>
          <w:rFonts w:ascii="Times New Roman" w:eastAsia="Times New Roman" w:hAnsi="Times New Roman" w:cs="Times New Roman"/>
        </w:rPr>
      </w:pPr>
      <w:r>
        <w:rPr>
          <w:rFonts w:ascii="Times New Roman" w:eastAsia="Times New Roman" w:hAnsi="Times New Roman" w:cs="Times New Roman"/>
        </w:rPr>
        <w:t xml:space="preserve">We are committed to co-producing the review with disabled people, the organisations that represent them, clinicians, experts, Members of Parliament and other stakeholders, to ensure that a wide range of views and voices are heard. We will engage widely over the summer to design the </w:t>
      </w:r>
      <w:r>
        <w:rPr>
          <w:rFonts w:ascii="Times New Roman" w:eastAsia="Times New Roman" w:hAnsi="Times New Roman" w:cs="Times New Roman"/>
        </w:rPr>
        <w:lastRenderedPageBreak/>
        <w:t>process for the work of the review and consider how it can best be co-produced to ensure that expertise from a range of different perspectives is drawn upon.</w:t>
      </w:r>
      <w:r>
        <w:rPr>
          <w:rFonts w:ascii="Times New Roman" w:eastAsia="Times New Roman" w:hAnsi="Times New Roman" w:cs="Times New Roman"/>
          <w:vertAlign w:val="superscript"/>
        </w:rPr>
        <w:footnoteReference w:id="123"/>
      </w:r>
    </w:p>
    <w:p w14:paraId="113584DA" w14:textId="77777777"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rPr>
        <w:t>Speaking to the BBC, Timms - when asked in this context, ‘what does co-production mean to you? - confirmed that what he envisages:</w:t>
      </w:r>
    </w:p>
    <w:p w14:paraId="4D3667A7" w14:textId="77777777" w:rsidR="00C7554F" w:rsidRDefault="00000000" w:rsidP="00D51F58">
      <w:pPr>
        <w:spacing w:line="276" w:lineRule="auto"/>
        <w:ind w:left="720" w:right="1110"/>
        <w:jc w:val="both"/>
        <w:rPr>
          <w:rFonts w:ascii="Times New Roman" w:eastAsia="Times New Roman" w:hAnsi="Times New Roman" w:cs="Times New Roman"/>
        </w:rPr>
      </w:pPr>
      <w:r>
        <w:rPr>
          <w:rFonts w:ascii="Times New Roman" w:eastAsia="Times New Roman" w:hAnsi="Times New Roman" w:cs="Times New Roman"/>
        </w:rPr>
        <w:t>…will be a fairly small group of ten people, something like that, who will work very closely with me as the minister for the period of this review, and they will have a lot of say and a lot of sway over the form that the recommendations emerge in.</w:t>
      </w:r>
      <w:r>
        <w:rPr>
          <w:rFonts w:ascii="Times New Roman" w:eastAsia="Times New Roman" w:hAnsi="Times New Roman" w:cs="Times New Roman"/>
          <w:vertAlign w:val="superscript"/>
        </w:rPr>
        <w:footnoteReference w:id="124"/>
      </w:r>
    </w:p>
    <w:p w14:paraId="3B333DF2" w14:textId="77777777"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rPr>
        <w:t>As disability organisations have underscored, the commitments on co-production to date are some way from the assurances given during the passing of the Universal Credit Bill and are in danger of becoming what Disability Rights UK have characterised as a ‘tick box exercise.’</w:t>
      </w:r>
      <w:r>
        <w:rPr>
          <w:rFonts w:ascii="Times New Roman" w:eastAsia="Times New Roman" w:hAnsi="Times New Roman" w:cs="Times New Roman"/>
          <w:vertAlign w:val="superscript"/>
        </w:rPr>
        <w:footnoteReference w:id="125"/>
      </w:r>
      <w:r>
        <w:rPr>
          <w:rFonts w:ascii="Times New Roman" w:eastAsia="Times New Roman" w:hAnsi="Times New Roman" w:cs="Times New Roman"/>
        </w:rPr>
        <w:t xml:space="preserve"> Dr Marie Tidball’s proposed amendment to the Bill (itself co-produced and supported by Disability Rights UK and the Spinal Injuries Association) which sought to make ‘provision for co-production of the Timms review’, calling for a ‘Disability Co-Production Taskforce’ with oversight and support to interrogate its conduct and findings - an amendment withdrawn following warm words from Sir Stephen Timms MP welcoming it is a ‘a helpful checklist of the desirable features of our co-produced review.’</w:t>
      </w:r>
      <w:r>
        <w:rPr>
          <w:rFonts w:ascii="Times New Roman" w:eastAsia="Times New Roman" w:hAnsi="Times New Roman" w:cs="Times New Roman"/>
          <w:vertAlign w:val="superscript"/>
        </w:rPr>
        <w:footnoteReference w:id="126"/>
      </w:r>
    </w:p>
    <w:p w14:paraId="37DC434F" w14:textId="77777777"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b/>
        </w:rPr>
        <w:t>Restructured Financial Support</w:t>
      </w:r>
    </w:p>
    <w:p w14:paraId="180EF1BD" w14:textId="77777777"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rPr>
        <w:t>Finally, it is worth underscoring that a key change that has survived from the Green Paper is a substantial reduction in the LCWRA element of Universal Credit for new claimants from April 2026. The health element will be cut by approximately 50% for new awards, falling from its current level to around £47 per week.</w:t>
      </w:r>
      <w:r>
        <w:rPr>
          <w:rFonts w:ascii="Times New Roman" w:eastAsia="Times New Roman" w:hAnsi="Times New Roman" w:cs="Times New Roman"/>
          <w:vertAlign w:val="superscript"/>
        </w:rPr>
        <w:footnoteReference w:id="127"/>
      </w:r>
      <w:r>
        <w:rPr>
          <w:rFonts w:ascii="Times New Roman" w:eastAsia="Times New Roman" w:hAnsi="Times New Roman" w:cs="Times New Roman"/>
        </w:rPr>
        <w:t xml:space="preserve"> This change affects only new claimants, with existing recipients who were awarded the health element before April 2026 and remain continuously entitled being protected from this cash reduction, though their awards will be frozen until 2029/30.</w:t>
      </w:r>
      <w:r>
        <w:rPr>
          <w:rFonts w:ascii="Times New Roman" w:eastAsia="Times New Roman" w:hAnsi="Times New Roman" w:cs="Times New Roman"/>
          <w:vertAlign w:val="superscript"/>
        </w:rPr>
        <w:footnoteReference w:id="128"/>
      </w:r>
      <w:r>
        <w:rPr>
          <w:rFonts w:ascii="Times New Roman" w:eastAsia="Times New Roman" w:hAnsi="Times New Roman" w:cs="Times New Roman"/>
          <w:vertAlign w:val="superscript"/>
        </w:rPr>
        <w:t xml:space="preserve"> </w:t>
      </w:r>
      <w:r>
        <w:rPr>
          <w:rFonts w:ascii="Times New Roman" w:eastAsia="Times New Roman" w:hAnsi="Times New Roman" w:cs="Times New Roman"/>
        </w:rPr>
        <w:t>The Government will be introducing a new ‘Severe Conditions Criteria Claimant’ (SSCC) category, which exempts people with the most severe, lifelong conditions from the reduced rate even if they become entitled after April 2026.</w:t>
      </w:r>
      <w:r>
        <w:rPr>
          <w:rFonts w:ascii="Times New Roman" w:eastAsia="Times New Roman" w:hAnsi="Times New Roman" w:cs="Times New Roman"/>
          <w:vertAlign w:val="superscript"/>
        </w:rPr>
        <w:footnoteReference w:id="129"/>
      </w:r>
      <w:r>
        <w:rPr>
          <w:rFonts w:ascii="Times New Roman" w:eastAsia="Times New Roman" w:hAnsi="Times New Roman" w:cs="Times New Roman"/>
        </w:rPr>
        <w:t xml:space="preserve"> This category is based on existing </w:t>
      </w:r>
      <w:r>
        <w:rPr>
          <w:rFonts w:ascii="Times New Roman" w:eastAsia="Times New Roman" w:hAnsi="Times New Roman" w:cs="Times New Roman"/>
        </w:rPr>
        <w:lastRenderedPageBreak/>
        <w:t>guidance for claimants who do not require reassessment unless their conditions change or improve.</w:t>
      </w:r>
    </w:p>
    <w:p w14:paraId="105C9071" w14:textId="77777777"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rPr>
        <w:t>This raises two issues. First, this protection mechanism creates a differentiated system where the level of support depends on when an individual first became entitled to the health element. Artificial cut-off dates are not unusual in a benefits system of the UK’s size and complexity, but additional complications may arise from the ongoing managed migration from legacy benefits to UC. Although the target date for full migration is imminent, it this target date passes (which appears likely at current rates), the proposed reforms may need to account for how people from legacy benefits into the reformed health element will be treated in the new UC system.</w:t>
      </w:r>
    </w:p>
    <w:p w14:paraId="4A1DFC0B" w14:textId="77777777"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rPr>
        <w:t>Second, this reform alone will significantly increase poverty among some households with disabilities, even alongside increases to the standard allowance, with approximately 50,000 additional people with disabilities pushed into poverty by the change by 2030.</w:t>
      </w:r>
      <w:r>
        <w:rPr>
          <w:rFonts w:ascii="Times New Roman" w:eastAsia="Times New Roman" w:hAnsi="Times New Roman" w:cs="Times New Roman"/>
          <w:vertAlign w:val="superscript"/>
        </w:rPr>
        <w:footnoteReference w:id="130"/>
      </w:r>
      <w:r>
        <w:rPr>
          <w:rFonts w:ascii="Times New Roman" w:eastAsia="Times New Roman" w:hAnsi="Times New Roman" w:cs="Times New Roman"/>
        </w:rPr>
        <w:t xml:space="preserve"> As analysis from the Joseph Rowntree Foundation has continually highlighted, recipients of UC Health element are a group that face disproportionately high levels of hardship;</w:t>
      </w:r>
      <w:r>
        <w:rPr>
          <w:rFonts w:ascii="Times New Roman" w:eastAsia="Times New Roman" w:hAnsi="Times New Roman" w:cs="Times New Roman"/>
          <w:vertAlign w:val="superscript"/>
        </w:rPr>
        <w:footnoteReference w:id="131"/>
      </w:r>
      <w:r>
        <w:rPr>
          <w:rFonts w:ascii="Times New Roman" w:eastAsia="Times New Roman" w:hAnsi="Times New Roman" w:cs="Times New Roman"/>
        </w:rPr>
        <w:t xml:space="preserve"> even if current claimants are protected, the impact of reduced support on future claimants will be felt keenly. This concern leads to the Work &amp; Pensions Committee to recommend that the Government ‘delay the reduction in UC health until it has carried out an independent and comprehensive assessment of the impact the change could have on disabled people.’</w:t>
      </w:r>
      <w:r>
        <w:rPr>
          <w:rFonts w:ascii="Times New Roman" w:eastAsia="Times New Roman" w:hAnsi="Times New Roman" w:cs="Times New Roman"/>
          <w:vertAlign w:val="superscript"/>
        </w:rPr>
        <w:footnoteReference w:id="132"/>
      </w:r>
    </w:p>
    <w:p w14:paraId="7B5B064A" w14:textId="36617E1C" w:rsidR="00C7554F" w:rsidRDefault="00000000" w:rsidP="00506385">
      <w:pPr>
        <w:spacing w:line="276" w:lineRule="auto"/>
        <w:jc w:val="center"/>
        <w:rPr>
          <w:rFonts w:ascii="Times New Roman" w:eastAsia="Times New Roman" w:hAnsi="Times New Roman" w:cs="Times New Roman"/>
        </w:rPr>
      </w:pPr>
      <w:r>
        <w:rPr>
          <w:rFonts w:ascii="Times New Roman" w:eastAsia="Times New Roman" w:hAnsi="Times New Roman" w:cs="Times New Roman"/>
          <w:b/>
        </w:rPr>
        <w:t>C</w:t>
      </w:r>
      <w:r w:rsidR="00506385">
        <w:rPr>
          <w:rFonts w:ascii="Times New Roman" w:eastAsia="Times New Roman" w:hAnsi="Times New Roman" w:cs="Times New Roman"/>
          <w:b/>
        </w:rPr>
        <w:t>ONCLUSION</w:t>
      </w:r>
    </w:p>
    <w:p w14:paraId="6E0D2BFB" w14:textId="77777777"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rPr>
        <w:t>The 'hokey cokey' nature of the UK Labour Government's Pathways to Work agenda – with reforms in, then out, then shaken all about – has left the social security system in a state of profound uncertainty. As we noted in the introduction, millions of claimants face an anxious wait to understand not just what changes are coming, but what vision of social security underpins them. While the parliamentary journey from Green Paper to Universal Credit Bill forced the Government to abandon its most controversial proposals – particularly the immediate tightening of PIP eligibility that would have pushed hundreds of thousands into poverty – what remains is still a fundamental reshaping of health and disability benefits. The reforms that have survived represent not merely technical adjustments but a reimagining of how the state understands and responds to disability and ill-health, marking what may yet prove to be the most significant restructuring of incapacity benefits in a generation.</w:t>
      </w:r>
    </w:p>
    <w:p w14:paraId="0A5D39FE" w14:textId="77777777"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The abolition of the WCA marks the end of separate assessments for incapacity and extra costs health-related benefits. As we have argued, this change makes explicit what has been a long-standing drift towards increasingly medicalised and individualised assessments that ignore the broader factors affecting people's ability to work. In doing so the test also drifts further away </w:t>
      </w:r>
      <w:r>
        <w:rPr>
          <w:rFonts w:ascii="Times New Roman" w:eastAsia="Times New Roman" w:hAnsi="Times New Roman" w:cs="Times New Roman"/>
        </w:rPr>
        <w:lastRenderedPageBreak/>
        <w:t>from modeling disability which is intrinsically a fluid and variable state.</w:t>
      </w:r>
      <w:r>
        <w:rPr>
          <w:rFonts w:ascii="Times New Roman" w:eastAsia="Times New Roman" w:hAnsi="Times New Roman" w:cs="Times New Roman"/>
          <w:vertAlign w:val="superscript"/>
        </w:rPr>
        <w:footnoteReference w:id="133"/>
      </w:r>
      <w:r>
        <w:rPr>
          <w:rFonts w:ascii="Times New Roman" w:eastAsia="Times New Roman" w:hAnsi="Times New Roman" w:cs="Times New Roman"/>
        </w:rPr>
        <w:t xml:space="preserve">  However, the new system, which ties UC health eligibility to PIP daily living, effectively transforms what was an earnings replacement benefit into a means-tested disability benefit. This raises fundamental questions about the ability of the PIP assessment process to serve these two ends – an issue that will need to be explored in the forthcoming Timms Review.  </w:t>
      </w:r>
    </w:p>
    <w:p w14:paraId="358677DA" w14:textId="77777777"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rPr>
        <w:t>The concept of ‘right to try’ is at first sight attractive but the devil will be in the final detail. The Green Paper indicates only that trying work</w:t>
      </w:r>
      <w:r>
        <w:rPr>
          <w:rFonts w:ascii="Times New Roman" w:eastAsia="Times New Roman" w:hAnsi="Times New Roman" w:cs="Times New Roman"/>
          <w:b/>
          <w:i/>
        </w:rPr>
        <w:t xml:space="preserve"> in and of itself</w:t>
      </w:r>
      <w:r>
        <w:rPr>
          <w:rFonts w:ascii="Times New Roman" w:eastAsia="Times New Roman" w:hAnsi="Times New Roman" w:cs="Times New Roman"/>
        </w:rPr>
        <w:t xml:space="preserve"> is not a relevant change of circumstance” (emphasis added)</w:t>
      </w:r>
      <w:r>
        <w:rPr>
          <w:rFonts w:ascii="Times New Roman" w:eastAsia="Times New Roman" w:hAnsi="Times New Roman" w:cs="Times New Roman"/>
          <w:vertAlign w:val="superscript"/>
        </w:rPr>
        <w:footnoteReference w:id="134"/>
      </w:r>
      <w:r>
        <w:rPr>
          <w:rFonts w:ascii="Times New Roman" w:eastAsia="Times New Roman" w:hAnsi="Times New Roman" w:cs="Times New Roman"/>
        </w:rPr>
        <w:t xml:space="preserve"> .  The draft regulations produced as part of the last minute proposals to head of the parliamentary revolt merely state that a move into work is not to be treated as a supersession (i.e. grounds for review).  It is, however, arguable that moving into work never actually represented such grounds in any event, it is only the functions within work that a decision maker might see as incompatible with functional descriptors.  In any event the DWP has an unfettered right to request a review at any time and can rely on the production of a medical report to demonstrate grounds for supersession in any case.</w:t>
      </w:r>
      <w:r>
        <w:rPr>
          <w:rFonts w:ascii="Times New Roman" w:eastAsia="Times New Roman" w:hAnsi="Times New Roman" w:cs="Times New Roman"/>
          <w:vertAlign w:val="superscript"/>
        </w:rPr>
        <w:footnoteReference w:id="135"/>
      </w:r>
      <w:r>
        <w:rPr>
          <w:rFonts w:ascii="Times New Roman" w:eastAsia="Times New Roman" w:hAnsi="Times New Roman" w:cs="Times New Roman"/>
        </w:rPr>
        <w:t xml:space="preserve"> It remains to be seen, therefore, what any practical effect of this change may be.</w:t>
      </w:r>
    </w:p>
    <w:p w14:paraId="02B0B0FA" w14:textId="77777777"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rPr>
        <w:t>The integration of local areas through various pilots, trailblazers and programmes throughout the Green Paper shows the importance the Government ascribes to the localised elements of their Pathways to Work agenda. While the emphasis on local innovation and coordination could lead to more responsive and effective support, the smorgasbord overlapping initiatives – from 'Get [Place] Working' plans to Connect to Work schemes, Youth Guarantee Trailblazers to WorkWell Vanguards – risks creating a fragmented landscape that is difficult for claimants and policymakers alike to navigate and evaluate. The success of these initiatives will depend not just on local innovation but on sustained funding and genuine coordination across the local welfare eco-systems involved.</w:t>
      </w:r>
    </w:p>
    <w:p w14:paraId="4F8224EF" w14:textId="77777777"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rPr>
        <w:t>The newfound emphasis on safeguarding, while welcome given the documented failures in protecting vulnerable claimants, faces its own challenges. With the removal of the WCA's formalised architecture that provided some protection for claimants through regulations like the 'substantial risk' provisions, the need for robust safeguarding becomes even more acute. The promised statutory duty to safeguard, if implemented effectively, could mark a significant shift in how the DWP approaches its responsibilities to vulnerable claimants. However, as the Work and Pensions Committee's evidence starkly illustrates, moving from the current 'deficient' approach to one that genuinely protects claimants will require not just new policies but a fundamental cultural change within DWP practices.</w:t>
      </w:r>
    </w:p>
    <w:p w14:paraId="4ECFD4EB" w14:textId="77777777"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The Timms Review of PIP represents perhaps the most consequential element of the reform agenda still to come. Its expanded remit – examining not just the assessment process but the criteria themselves and PIP's new role as gateway to other benefits – gives it the potential to reshape disability support fundamentally. The Government's commitment to co-production is </w:t>
      </w:r>
      <w:r>
        <w:rPr>
          <w:rFonts w:ascii="Times New Roman" w:eastAsia="Times New Roman" w:hAnsi="Times New Roman" w:cs="Times New Roman"/>
        </w:rPr>
        <w:lastRenderedPageBreak/>
        <w:t>welcome, but as disability organisations have warned, there is a significant gap between rhetoric and meaningful involvement. The review's success will be measured not just by its recommendations but by whether it can rebuild trust between disabled people and a system many have come to fear.</w:t>
      </w:r>
    </w:p>
    <w:p w14:paraId="16282207" w14:textId="77777777"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Looking ahead, several practical challenges loom large. The interface between reserved and devolved matters creates particular complexity, as the Scottish Government's replacement of PIP with Adult Disability Payment raises questions about how UC health eligibility will be determined in Scotland once the WCA is abolished. The proposed shift back to face-to-face assessments, while potentially improving assessment quality, risks excluding those who struggle to attend appointments, particularly given the lack of assessment venues in many areas. </w:t>
      </w:r>
    </w:p>
    <w:p w14:paraId="1CAE142D" w14:textId="77777777" w:rsidR="00C7554F" w:rsidRDefault="00000000" w:rsidP="00D51F58">
      <w:pPr>
        <w:spacing w:line="276" w:lineRule="auto"/>
        <w:jc w:val="both"/>
        <w:rPr>
          <w:rFonts w:ascii="Times New Roman" w:eastAsia="Times New Roman" w:hAnsi="Times New Roman" w:cs="Times New Roman"/>
        </w:rPr>
      </w:pPr>
      <w:r>
        <w:rPr>
          <w:rFonts w:ascii="Times New Roman" w:eastAsia="Times New Roman" w:hAnsi="Times New Roman" w:cs="Times New Roman"/>
        </w:rPr>
        <w:t>More broadly, the Government faces a fundamental tension between its stated aim of supporting disabled people into work and the reality that benefit changes will be implemented well before meaningful employment support is in place. The reduction in the UC health element begins in April 2026, yet many of the employment support initiatives are still in their planning stages, with funding that appears modest relative to the scale of ambition. The annual trailblazer grant of just £875,000 for all 6900 neurodivergent claimants across the North East Combined Authority, for instance, suggests a significant gap between rhetoric and resource.</w:t>
      </w:r>
    </w:p>
    <w:p w14:paraId="5D48CD93" w14:textId="77777777" w:rsidR="00C7554F" w:rsidRDefault="00000000" w:rsidP="00D51F58">
      <w:pPr>
        <w:spacing w:line="276" w:lineRule="auto"/>
        <w:jc w:val="both"/>
        <w:rPr>
          <w:rFonts w:ascii="Times New Roman" w:eastAsia="Times New Roman" w:hAnsi="Times New Roman" w:cs="Times New Roman"/>
          <w:vertAlign w:val="superscript"/>
        </w:rPr>
      </w:pPr>
      <w:r>
        <w:rPr>
          <w:rFonts w:ascii="Times New Roman" w:eastAsia="Times New Roman" w:hAnsi="Times New Roman" w:cs="Times New Roman"/>
        </w:rPr>
        <w:t>As this article goes to print, the promised Pathways to Work White Paper looms, likely to confirm the details of further changes including the new Unemployment Insurance contributory benefit, restrictions on UC health for under-22s, and the raising of the PIP age threshold. Each of these represents significant policy choices with profound implications for those affected. The experience of the Green Paper's journey through Parliament suggests that the Government would be wise to engage more meaningfully with affected groups before, rather than after, announcing such changes.</w:t>
      </w:r>
    </w:p>
    <w:sectPr w:rsidR="00C7554F">
      <w:headerReference w:type="default" r:id="rId1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EC090A" w14:textId="77777777" w:rsidR="00817B67" w:rsidRDefault="00817B67">
      <w:pPr>
        <w:spacing w:after="0" w:line="240" w:lineRule="auto"/>
      </w:pPr>
      <w:r>
        <w:separator/>
      </w:r>
    </w:p>
  </w:endnote>
  <w:endnote w:type="continuationSeparator" w:id="0">
    <w:p w14:paraId="605504AD" w14:textId="77777777" w:rsidR="00817B67" w:rsidRDefault="00817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DFCE113C-2CCF-4337-AFE2-C508CDAAC04E}"/>
    <w:embedBold r:id="rId2" w:fontKey="{310C38A0-7F20-4B15-8C01-F440F16DC95B}"/>
    <w:embedItalic r:id="rId3" w:fontKey="{05FDE0DD-DA13-4ADA-B6E6-9BFB19C3559D}"/>
  </w:font>
  <w:font w:name="Play">
    <w:charset w:val="00"/>
    <w:family w:val="auto"/>
    <w:pitch w:val="default"/>
    <w:embedRegular r:id="rId4" w:fontKey="{B8E0037D-E8AB-47BD-A473-7FB4A49AAF4F}"/>
  </w:font>
  <w:font w:name="Calibri">
    <w:panose1 w:val="020F0502020204030204"/>
    <w:charset w:val="00"/>
    <w:family w:val="swiss"/>
    <w:pitch w:val="variable"/>
    <w:sig w:usb0="E4002EFF" w:usb1="C200247B" w:usb2="00000009" w:usb3="00000000" w:csb0="000001FF" w:csb1="00000000"/>
    <w:embedRegular r:id="rId5" w:fontKey="{8C94F768-391D-469A-8CC4-082E479D46AD}"/>
    <w:embedItalic r:id="rId6" w:fontKey="{137CBB73-BCC9-481D-8946-91086C29839E}"/>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7" w:fontKey="{01FCB352-1743-4E43-8C5B-F5D35088BA5F}"/>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34F12D" w14:textId="77777777" w:rsidR="00817B67" w:rsidRDefault="00817B67">
      <w:pPr>
        <w:spacing w:after="0" w:line="240" w:lineRule="auto"/>
      </w:pPr>
      <w:r>
        <w:separator/>
      </w:r>
    </w:p>
  </w:footnote>
  <w:footnote w:type="continuationSeparator" w:id="0">
    <w:p w14:paraId="251A9343" w14:textId="77777777" w:rsidR="00817B67" w:rsidRDefault="00817B67">
      <w:pPr>
        <w:spacing w:after="0" w:line="240" w:lineRule="auto"/>
      </w:pPr>
      <w:r>
        <w:continuationSeparator/>
      </w:r>
    </w:p>
  </w:footnote>
  <w:footnote w:id="1">
    <w:p w14:paraId="2A58F02A" w14:textId="5819A4D7"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lang w:val="fr-FR"/>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C41D5B" w:rsidRPr="000F7532">
        <w:rPr>
          <w:rFonts w:asciiTheme="majorBidi" w:eastAsia="Times New Roman" w:hAnsiTheme="majorBidi" w:cstheme="majorBidi"/>
          <w:color w:val="000000" w:themeColor="text1"/>
          <w:sz w:val="20"/>
          <w:szCs w:val="20"/>
        </w:rPr>
        <w:t xml:space="preserve">Senior Lecturer, York Law School, University of York, UK. </w:t>
      </w:r>
      <w:r w:rsidR="00C41D5B" w:rsidRPr="000F7532">
        <w:rPr>
          <w:rFonts w:asciiTheme="majorBidi" w:eastAsia="Times New Roman" w:hAnsiTheme="majorBidi" w:cstheme="majorBidi"/>
          <w:color w:val="000000" w:themeColor="text1"/>
          <w:sz w:val="20"/>
          <w:szCs w:val="20"/>
          <w:lang w:val="fr-FR"/>
        </w:rPr>
        <w:t>Email: jed.meers@york.ac.uk</w:t>
      </w:r>
    </w:p>
  </w:footnote>
  <w:footnote w:id="2">
    <w:p w14:paraId="31024583" w14:textId="11EDC8F9"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C41D5B" w:rsidRPr="000F7532">
        <w:rPr>
          <w:rFonts w:asciiTheme="majorBidi" w:eastAsia="Times New Roman" w:hAnsiTheme="majorBidi" w:cstheme="majorBidi"/>
          <w:color w:val="000000" w:themeColor="text1"/>
          <w:sz w:val="20"/>
          <w:szCs w:val="20"/>
        </w:rPr>
        <w:t>Specialist Caseworker/Advocate at Darlington Citizens Advice and PhD Candidate at York Law School, University of York, UK.</w:t>
      </w:r>
    </w:p>
  </w:footnote>
  <w:footnote w:id="3">
    <w:p w14:paraId="3F318CA7" w14:textId="77777777" w:rsidR="002041DD" w:rsidRPr="000F7532" w:rsidRDefault="00000000" w:rsidP="000F7532">
      <w:pPr>
        <w:pStyle w:val="FootnoteText"/>
        <w:spacing w:line="276" w:lineRule="auto"/>
        <w:rPr>
          <w:rFonts w:asciiTheme="majorBidi" w:hAnsiTheme="majorBidi" w:cstheme="majorBidi"/>
          <w:color w:val="000000" w:themeColor="text1"/>
        </w:rPr>
      </w:pPr>
      <w:r w:rsidRPr="000F7532">
        <w:rPr>
          <w:rStyle w:val="FootnoteReference"/>
          <w:rFonts w:asciiTheme="majorBidi" w:hAnsiTheme="majorBidi" w:cstheme="majorBidi"/>
          <w:color w:val="000000" w:themeColor="text1"/>
        </w:rPr>
        <w:footnoteRef/>
      </w:r>
      <w:r w:rsidRPr="000F7532">
        <w:rPr>
          <w:rFonts w:asciiTheme="majorBidi" w:hAnsiTheme="majorBidi" w:cstheme="majorBidi"/>
          <w:color w:val="000000" w:themeColor="text1"/>
        </w:rPr>
        <w:t xml:space="preserve"> Department for Work and Pensions, </w:t>
      </w:r>
      <w:r w:rsidRPr="000F7532">
        <w:rPr>
          <w:rFonts w:asciiTheme="majorBidi" w:hAnsiTheme="majorBidi" w:cstheme="majorBidi"/>
          <w:i/>
          <w:iCs/>
          <w:color w:val="000000" w:themeColor="text1"/>
        </w:rPr>
        <w:t>Pathways to Work: Reforming Benefits and Support to Get Britain Working Green Paper</w:t>
      </w:r>
      <w:r w:rsidRPr="000F7532">
        <w:rPr>
          <w:rFonts w:asciiTheme="majorBidi" w:hAnsiTheme="majorBidi" w:cstheme="majorBidi"/>
          <w:color w:val="000000" w:themeColor="text1"/>
        </w:rPr>
        <w:t xml:space="preserve"> (CP 1297, 2025)</w:t>
      </w:r>
    </w:p>
  </w:footnote>
  <w:footnote w:id="4">
    <w:p w14:paraId="19401D1C" w14:textId="58BE705F" w:rsidR="00B061C5" w:rsidRPr="000F7532" w:rsidRDefault="00B061C5" w:rsidP="000F7532">
      <w:pPr>
        <w:pStyle w:val="FootnoteText"/>
        <w:spacing w:line="276" w:lineRule="auto"/>
        <w:rPr>
          <w:rFonts w:asciiTheme="majorBidi" w:hAnsiTheme="majorBidi" w:cstheme="majorBidi"/>
        </w:rPr>
      </w:pPr>
      <w:r w:rsidRPr="000F7532">
        <w:rPr>
          <w:rStyle w:val="FootnoteReference"/>
          <w:rFonts w:asciiTheme="majorBidi" w:hAnsiTheme="majorBidi" w:cstheme="majorBidi"/>
        </w:rPr>
        <w:footnoteRef/>
      </w:r>
      <w:r w:rsidRPr="000F7532">
        <w:rPr>
          <w:rFonts w:asciiTheme="majorBidi" w:hAnsiTheme="majorBidi" w:cstheme="majorBidi"/>
        </w:rPr>
        <w:t xml:space="preserve"> The interface between reserved UC provisions and devolved disability benefits raises particular complexities for implementing these reforms in Scotland. Scotland has developed its own disability benefit (Adult Disability Payment replacing PIP) and employability support programmes, though Universal Credit and Jobcentre Plus services remain standardised across Great Britain with only minor payment flexibilities through 'Scottish choices'. This article does not cover these complexities, but readers are well-served by analyses elsewhere – see: Hayley Bennett and Jay Wigan, ‘Building on shaky foundations? Multi-level policy realities for Scottish social security policies’ (2025) at </w:t>
      </w:r>
      <w:hyperlink r:id="rId1" w:history="1">
        <w:r w:rsidR="00B74A65" w:rsidRPr="000F7532">
          <w:rPr>
            <w:rStyle w:val="Hyperlink"/>
            <w:rFonts w:asciiTheme="majorBidi" w:hAnsiTheme="majorBidi" w:cstheme="majorBidi"/>
            <w:color w:val="000000" w:themeColor="text1"/>
          </w:rPr>
          <w:t>https://www.centreonconstitutionalchange.ac.uk/news-and-opinion/building-shaky-foundations-multi-level-policy-realities-scottish-social-security</w:t>
        </w:r>
      </w:hyperlink>
      <w:r w:rsidR="00B74A65" w:rsidRPr="000F7532">
        <w:rPr>
          <w:rFonts w:asciiTheme="majorBidi" w:hAnsiTheme="majorBidi" w:cstheme="majorBidi"/>
          <w:color w:val="000000" w:themeColor="text1"/>
        </w:rPr>
        <w:t xml:space="preserve"> accessed </w:t>
      </w:r>
      <w:r w:rsidR="00B74A65" w:rsidRPr="000F7532">
        <w:rPr>
          <w:rFonts w:asciiTheme="majorBidi" w:hAnsiTheme="majorBidi" w:cstheme="majorBidi"/>
        </w:rPr>
        <w:t>12th September 2025.</w:t>
      </w:r>
    </w:p>
  </w:footnote>
  <w:footnote w:id="5">
    <w:p w14:paraId="6AEDC93E" w14:textId="52A162D8"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For but a few examples of many, see</w:t>
      </w:r>
      <w:r w:rsidR="002041DD" w:rsidRPr="000F7532">
        <w:rPr>
          <w:rFonts w:asciiTheme="majorBidi" w:eastAsia="Times New Roman" w:hAnsiTheme="majorBidi" w:cstheme="majorBidi"/>
          <w:color w:val="000000" w:themeColor="text1"/>
          <w:sz w:val="20"/>
          <w:szCs w:val="20"/>
        </w:rPr>
        <w:t xml:space="preserve">: Centre for Mental Health, 'Pathways to Work Green Paper: A Response from Centre for Mental Health' (June 2025) https://www.centreformentalhealth.org.uk/wp-content/uploads/2025/06/Pathways-to-Work-green-paper-response.pdf accessed 6 August 2025; and Campaign for Disability Justice, 'Green Paper 2025 Pathways to Work: Our Response' (2025) </w:t>
      </w:r>
      <w:hyperlink r:id="rId2" w:history="1">
        <w:r w:rsidR="002041DD" w:rsidRPr="000F7532">
          <w:rPr>
            <w:rStyle w:val="Hyperlink"/>
            <w:rFonts w:asciiTheme="majorBidi" w:eastAsia="Times New Roman" w:hAnsiTheme="majorBidi" w:cstheme="majorBidi"/>
            <w:color w:val="000000" w:themeColor="text1"/>
            <w:sz w:val="20"/>
            <w:szCs w:val="20"/>
          </w:rPr>
          <w:t>https://www.campaignfordisabilityjustice.org.uk/green_paper_2025_pathways_to_work_our_response</w:t>
        </w:r>
      </w:hyperlink>
      <w:r w:rsidR="002041DD" w:rsidRPr="000F7532">
        <w:rPr>
          <w:rFonts w:asciiTheme="majorBidi" w:eastAsia="Times New Roman" w:hAnsiTheme="majorBidi" w:cstheme="majorBidi"/>
          <w:color w:val="000000" w:themeColor="text1"/>
          <w:sz w:val="20"/>
          <w:szCs w:val="20"/>
        </w:rPr>
        <w:t xml:space="preserve"> accessed 6 August 2025.</w:t>
      </w:r>
    </w:p>
  </w:footnote>
  <w:footnote w:id="6">
    <w:p w14:paraId="3F4E42EA" w14:textId="77777777"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456B37" w:rsidRPr="000F7532">
        <w:rPr>
          <w:rFonts w:asciiTheme="majorBidi" w:eastAsia="Times New Roman" w:hAnsiTheme="majorBidi" w:cstheme="majorBidi"/>
          <w:color w:val="000000" w:themeColor="text1"/>
          <w:sz w:val="20"/>
          <w:szCs w:val="20"/>
        </w:rPr>
        <w:t>HC Deb 1 July 2025, vol 770, col 219.</w:t>
      </w:r>
    </w:p>
  </w:footnote>
  <w:footnote w:id="7">
    <w:p w14:paraId="3869DA5C" w14:textId="2CFCFA93" w:rsidR="00C7554F" w:rsidRPr="000F7532" w:rsidRDefault="00000000" w:rsidP="000F7532">
      <w:pP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00815E7B" w:rsidRPr="000F7532">
        <w:rPr>
          <w:rFonts w:asciiTheme="majorBidi" w:eastAsia="Times New Roman" w:hAnsiTheme="majorBidi" w:cstheme="majorBidi"/>
          <w:color w:val="000000" w:themeColor="text1"/>
          <w:sz w:val="20"/>
          <w:szCs w:val="20"/>
        </w:rPr>
        <w:t xml:space="preserve"> See </w:t>
      </w:r>
      <w:r w:rsidR="00815E7B" w:rsidRPr="000F7532">
        <w:rPr>
          <w:rFonts w:asciiTheme="majorBidi" w:hAnsiTheme="majorBidi" w:cstheme="majorBidi"/>
          <w:color w:val="000000" w:themeColor="text1"/>
          <w:sz w:val="20"/>
          <w:szCs w:val="20"/>
        </w:rPr>
        <w:t xml:space="preserve">Department for Work and Pensions (n </w:t>
      </w:r>
      <w:r w:rsidR="00815E7B" w:rsidRPr="000F7532">
        <w:rPr>
          <w:rFonts w:asciiTheme="majorBidi" w:hAnsiTheme="majorBidi" w:cstheme="majorBidi"/>
          <w:color w:val="000000" w:themeColor="text1"/>
          <w:sz w:val="20"/>
          <w:szCs w:val="20"/>
        </w:rPr>
        <w:fldChar w:fldCharType="begin"/>
      </w:r>
      <w:r w:rsidR="00815E7B" w:rsidRPr="000F7532">
        <w:rPr>
          <w:rFonts w:asciiTheme="majorBidi" w:hAnsiTheme="majorBidi" w:cstheme="majorBidi"/>
          <w:color w:val="000000" w:themeColor="text1"/>
          <w:sz w:val="20"/>
          <w:szCs w:val="20"/>
        </w:rPr>
        <w:instrText xml:space="preserve"> NOTEREF _Ref205383157 \h  \* MERGEFORMAT </w:instrText>
      </w:r>
      <w:r w:rsidR="00815E7B" w:rsidRPr="000F7532">
        <w:rPr>
          <w:rFonts w:asciiTheme="majorBidi" w:hAnsiTheme="majorBidi" w:cstheme="majorBidi"/>
          <w:color w:val="000000" w:themeColor="text1"/>
          <w:sz w:val="20"/>
          <w:szCs w:val="20"/>
        </w:rPr>
      </w:r>
      <w:r w:rsidR="00815E7B" w:rsidRPr="000F7532">
        <w:rPr>
          <w:rFonts w:asciiTheme="majorBidi" w:hAnsiTheme="majorBidi" w:cstheme="majorBidi"/>
          <w:color w:val="000000" w:themeColor="text1"/>
          <w:sz w:val="20"/>
          <w:szCs w:val="20"/>
        </w:rPr>
        <w:fldChar w:fldCharType="separate"/>
      </w:r>
      <w:r w:rsidR="003479F0" w:rsidRPr="000F7532">
        <w:rPr>
          <w:rFonts w:asciiTheme="majorBidi" w:hAnsiTheme="majorBidi" w:cstheme="majorBidi"/>
          <w:color w:val="000000" w:themeColor="text1"/>
          <w:sz w:val="20"/>
          <w:szCs w:val="20"/>
        </w:rPr>
        <w:t>3</w:t>
      </w:r>
      <w:r w:rsidR="00815E7B" w:rsidRPr="000F7532">
        <w:rPr>
          <w:rFonts w:asciiTheme="majorBidi" w:hAnsiTheme="majorBidi" w:cstheme="majorBidi"/>
          <w:color w:val="000000" w:themeColor="text1"/>
          <w:sz w:val="20"/>
          <w:szCs w:val="20"/>
        </w:rPr>
        <w:fldChar w:fldCharType="end"/>
      </w:r>
      <w:r w:rsidR="00815E7B" w:rsidRPr="000F7532">
        <w:rPr>
          <w:rFonts w:asciiTheme="majorBidi" w:hAnsiTheme="majorBidi" w:cstheme="majorBidi"/>
          <w:color w:val="000000" w:themeColor="text1"/>
          <w:sz w:val="20"/>
          <w:szCs w:val="20"/>
        </w:rPr>
        <w:t xml:space="preserve"> above).</w:t>
      </w:r>
    </w:p>
  </w:footnote>
  <w:footnote w:id="8">
    <w:p w14:paraId="599AD248" w14:textId="53689B47" w:rsidR="009C2161" w:rsidRPr="000F7532" w:rsidRDefault="009C2161" w:rsidP="000F7532">
      <w:pPr>
        <w:pStyle w:val="FootnoteText"/>
        <w:spacing w:line="276" w:lineRule="auto"/>
        <w:rPr>
          <w:rFonts w:asciiTheme="majorBidi" w:hAnsiTheme="majorBidi" w:cstheme="majorBidi"/>
        </w:rPr>
      </w:pPr>
      <w:r w:rsidRPr="000F7532">
        <w:rPr>
          <w:rStyle w:val="FootnoteReference"/>
          <w:rFonts w:asciiTheme="majorBidi" w:hAnsiTheme="majorBidi" w:cstheme="majorBidi"/>
        </w:rPr>
        <w:footnoteRef/>
      </w:r>
      <w:r w:rsidRPr="000F7532">
        <w:rPr>
          <w:rFonts w:asciiTheme="majorBidi" w:hAnsiTheme="majorBidi" w:cstheme="majorBidi"/>
        </w:rPr>
        <w:t xml:space="preserve"> Heba Hagrass and Olivier De Schutter, 'Communication to the Government of the United Kingdom of Great Britain and Northern Ireland' (UN Special Rapporteurs on the rights of persons with disabilities and on extreme poverty and human rights, 4 September 2025) OL GBR 12/2025.</w:t>
      </w:r>
    </w:p>
  </w:footnote>
  <w:footnote w:id="9">
    <w:p w14:paraId="4FEABC9C" w14:textId="77777777"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095B8F" w:rsidRPr="000F7532">
        <w:rPr>
          <w:rFonts w:asciiTheme="majorBidi" w:hAnsiTheme="majorBidi" w:cstheme="majorBidi"/>
          <w:color w:val="000000" w:themeColor="text1"/>
          <w:sz w:val="20"/>
          <w:szCs w:val="20"/>
        </w:rPr>
        <w:t xml:space="preserve">Roy Sainsbury, 'Administrative Justice, Discretion and the "Welfare to Work" Project' (2008) 30 </w:t>
      </w:r>
      <w:r w:rsidR="00095B8F" w:rsidRPr="000F7532">
        <w:rPr>
          <w:rFonts w:asciiTheme="majorBidi" w:hAnsiTheme="majorBidi" w:cstheme="majorBidi"/>
          <w:i/>
          <w:iCs/>
          <w:color w:val="000000" w:themeColor="text1"/>
          <w:sz w:val="20"/>
          <w:szCs w:val="20"/>
        </w:rPr>
        <w:t>Journal of Social Welfare and Family Law</w:t>
      </w:r>
      <w:r w:rsidR="00095B8F" w:rsidRPr="000F7532">
        <w:rPr>
          <w:rFonts w:asciiTheme="majorBidi" w:hAnsiTheme="majorBidi" w:cstheme="majorBidi"/>
          <w:color w:val="000000" w:themeColor="text1"/>
          <w:sz w:val="20"/>
          <w:szCs w:val="20"/>
        </w:rPr>
        <w:t xml:space="preserve"> 323</w:t>
      </w:r>
    </w:p>
  </w:footnote>
  <w:footnote w:id="10">
    <w:p w14:paraId="7B52878E" w14:textId="77777777"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b/>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095B8F" w:rsidRPr="000F7532">
        <w:rPr>
          <w:rFonts w:asciiTheme="majorBidi" w:eastAsia="Times New Roman" w:hAnsiTheme="majorBidi" w:cstheme="majorBidi"/>
          <w:color w:val="000000" w:themeColor="text1"/>
          <w:sz w:val="20"/>
          <w:szCs w:val="20"/>
        </w:rPr>
        <w:t xml:space="preserve">Neville Harris, 'Incapacity: What Lies Ahead?' (2009) 16 JSSL 169, </w:t>
      </w:r>
      <w:r w:rsidRPr="000F7532">
        <w:rPr>
          <w:rFonts w:asciiTheme="majorBidi" w:eastAsia="Times New Roman" w:hAnsiTheme="majorBidi" w:cstheme="majorBidi"/>
          <w:color w:val="000000" w:themeColor="text1"/>
          <w:sz w:val="20"/>
          <w:szCs w:val="20"/>
        </w:rPr>
        <w:t>169-170.</w:t>
      </w:r>
    </w:p>
  </w:footnote>
  <w:footnote w:id="11">
    <w:p w14:paraId="28275F74" w14:textId="77777777"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5110E2" w:rsidRPr="000F7532">
        <w:rPr>
          <w:rFonts w:asciiTheme="majorBidi" w:hAnsiTheme="majorBidi" w:cstheme="majorBidi"/>
          <w:color w:val="000000" w:themeColor="text1"/>
          <w:sz w:val="20"/>
          <w:szCs w:val="20"/>
        </w:rPr>
        <w:t>Keith Puttick, 'Empowering the Incapacitated Worker? The Employment and Support Allowance and Pathways to Work' (2007) 36 ILJ 388</w:t>
      </w:r>
    </w:p>
  </w:footnote>
  <w:footnote w:id="12">
    <w:p w14:paraId="0985AB34" w14:textId="40322785"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5110E2" w:rsidRPr="000F7532">
        <w:rPr>
          <w:rFonts w:asciiTheme="majorBidi" w:hAnsiTheme="majorBidi" w:cstheme="majorBidi"/>
          <w:color w:val="000000" w:themeColor="text1"/>
          <w:sz w:val="20"/>
          <w:szCs w:val="20"/>
        </w:rPr>
        <w:t xml:space="preserve">Sainsbury (n </w:t>
      </w:r>
      <w:r w:rsidR="005110E2" w:rsidRPr="000F7532">
        <w:rPr>
          <w:rFonts w:asciiTheme="majorBidi" w:hAnsiTheme="majorBidi" w:cstheme="majorBidi"/>
          <w:color w:val="000000" w:themeColor="text1"/>
          <w:sz w:val="20"/>
          <w:szCs w:val="20"/>
        </w:rPr>
        <w:fldChar w:fldCharType="begin"/>
      </w:r>
      <w:r w:rsidR="005110E2" w:rsidRPr="000F7532">
        <w:rPr>
          <w:rFonts w:asciiTheme="majorBidi" w:hAnsiTheme="majorBidi" w:cstheme="majorBidi"/>
          <w:color w:val="000000" w:themeColor="text1"/>
          <w:sz w:val="20"/>
          <w:szCs w:val="20"/>
        </w:rPr>
        <w:instrText xml:space="preserve"> NOTEREF _Ref205383991 \h </w:instrText>
      </w:r>
      <w:r w:rsidR="001B16B5" w:rsidRPr="000F7532">
        <w:rPr>
          <w:rFonts w:asciiTheme="majorBidi" w:hAnsiTheme="majorBidi" w:cstheme="majorBidi"/>
          <w:color w:val="000000" w:themeColor="text1"/>
          <w:sz w:val="20"/>
          <w:szCs w:val="20"/>
        </w:rPr>
        <w:instrText xml:space="preserve"> \* MERGEFORMAT </w:instrText>
      </w:r>
      <w:r w:rsidR="005110E2" w:rsidRPr="000F7532">
        <w:rPr>
          <w:rFonts w:asciiTheme="majorBidi" w:hAnsiTheme="majorBidi" w:cstheme="majorBidi"/>
          <w:color w:val="000000" w:themeColor="text1"/>
          <w:sz w:val="20"/>
          <w:szCs w:val="20"/>
        </w:rPr>
      </w:r>
      <w:r w:rsidR="005110E2" w:rsidRPr="000F7532">
        <w:rPr>
          <w:rFonts w:asciiTheme="majorBidi" w:hAnsiTheme="majorBidi" w:cstheme="majorBidi"/>
          <w:color w:val="000000" w:themeColor="text1"/>
          <w:sz w:val="20"/>
          <w:szCs w:val="20"/>
        </w:rPr>
        <w:fldChar w:fldCharType="separate"/>
      </w:r>
      <w:r w:rsidR="003479F0" w:rsidRPr="000F7532">
        <w:rPr>
          <w:rFonts w:asciiTheme="majorBidi" w:hAnsiTheme="majorBidi" w:cstheme="majorBidi"/>
          <w:color w:val="000000" w:themeColor="text1"/>
          <w:sz w:val="20"/>
          <w:szCs w:val="20"/>
        </w:rPr>
        <w:t>8</w:t>
      </w:r>
      <w:r w:rsidR="005110E2" w:rsidRPr="000F7532">
        <w:rPr>
          <w:rFonts w:asciiTheme="majorBidi" w:hAnsiTheme="majorBidi" w:cstheme="majorBidi"/>
          <w:color w:val="000000" w:themeColor="text1"/>
          <w:sz w:val="20"/>
          <w:szCs w:val="20"/>
        </w:rPr>
        <w:fldChar w:fldCharType="end"/>
      </w:r>
      <w:r w:rsidR="005110E2" w:rsidRPr="000F7532">
        <w:rPr>
          <w:rFonts w:asciiTheme="majorBidi" w:hAnsiTheme="majorBidi" w:cstheme="majorBidi"/>
          <w:color w:val="000000" w:themeColor="text1"/>
          <w:sz w:val="20"/>
          <w:szCs w:val="20"/>
        </w:rPr>
        <w:t xml:space="preserve"> above).</w:t>
      </w:r>
    </w:p>
  </w:footnote>
  <w:footnote w:id="13">
    <w:p w14:paraId="680596FF" w14:textId="77777777" w:rsidR="00C7554F" w:rsidRPr="000F7532" w:rsidRDefault="00000000" w:rsidP="000F7532">
      <w:pP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5110E2" w:rsidRPr="000F7532">
        <w:rPr>
          <w:rFonts w:asciiTheme="majorBidi" w:eastAsia="Times New Roman" w:hAnsiTheme="majorBidi" w:cstheme="majorBidi"/>
          <w:color w:val="000000" w:themeColor="text1"/>
          <w:sz w:val="20"/>
          <w:szCs w:val="20"/>
        </w:rPr>
        <w:t>Gráinne McKeever, 'Improving Decision Making in Employment and Support Allowance' (2014) 21 JSSL 13, 14.</w:t>
      </w:r>
    </w:p>
  </w:footnote>
  <w:footnote w:id="14">
    <w:p w14:paraId="397E9BD0" w14:textId="77777777"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5110E2" w:rsidRPr="000F7532">
        <w:rPr>
          <w:rFonts w:asciiTheme="majorBidi" w:eastAsia="Times New Roman" w:hAnsiTheme="majorBidi" w:cstheme="majorBidi"/>
          <w:color w:val="000000" w:themeColor="text1"/>
          <w:sz w:val="20"/>
          <w:szCs w:val="20"/>
        </w:rPr>
        <w:t>Ibid.</w:t>
      </w:r>
    </w:p>
  </w:footnote>
  <w:footnote w:id="15">
    <w:p w14:paraId="492C58F9" w14:textId="77777777"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5110E2" w:rsidRPr="000F7532">
        <w:rPr>
          <w:rFonts w:asciiTheme="majorBidi" w:eastAsia="Times New Roman" w:hAnsiTheme="majorBidi" w:cstheme="majorBidi"/>
          <w:color w:val="000000" w:themeColor="text1"/>
          <w:sz w:val="20"/>
          <w:szCs w:val="20"/>
        </w:rPr>
        <w:t>Ibid.</w:t>
      </w:r>
    </w:p>
  </w:footnote>
  <w:footnote w:id="16">
    <w:p w14:paraId="455E1D33" w14:textId="59C8F1BF"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5110E2" w:rsidRPr="000F7532">
        <w:rPr>
          <w:rFonts w:asciiTheme="majorBidi" w:eastAsia="Times New Roman" w:hAnsiTheme="majorBidi" w:cstheme="majorBidi"/>
          <w:color w:val="000000" w:themeColor="text1"/>
          <w:sz w:val="20"/>
          <w:szCs w:val="20"/>
        </w:rPr>
        <w:t xml:space="preserve">See Ibid, and </w:t>
      </w:r>
      <w:r w:rsidR="005110E2" w:rsidRPr="000F7532">
        <w:rPr>
          <w:rFonts w:asciiTheme="majorBidi" w:hAnsiTheme="majorBidi" w:cstheme="majorBidi"/>
          <w:color w:val="000000" w:themeColor="text1"/>
          <w:sz w:val="20"/>
          <w:szCs w:val="20"/>
        </w:rPr>
        <w:t xml:space="preserve">Puttick (n </w:t>
      </w:r>
      <w:r w:rsidR="005110E2" w:rsidRPr="000F7532">
        <w:rPr>
          <w:rFonts w:asciiTheme="majorBidi" w:hAnsiTheme="majorBidi" w:cstheme="majorBidi"/>
          <w:color w:val="000000" w:themeColor="text1"/>
          <w:sz w:val="20"/>
          <w:szCs w:val="20"/>
        </w:rPr>
        <w:fldChar w:fldCharType="begin"/>
      </w:r>
      <w:r w:rsidR="005110E2" w:rsidRPr="000F7532">
        <w:rPr>
          <w:rFonts w:asciiTheme="majorBidi" w:hAnsiTheme="majorBidi" w:cstheme="majorBidi"/>
          <w:color w:val="000000" w:themeColor="text1"/>
          <w:sz w:val="20"/>
          <w:szCs w:val="20"/>
        </w:rPr>
        <w:instrText xml:space="preserve"> NOTEREF _Ref205384062 \h </w:instrText>
      </w:r>
      <w:r w:rsidR="001B16B5" w:rsidRPr="000F7532">
        <w:rPr>
          <w:rFonts w:asciiTheme="majorBidi" w:hAnsiTheme="majorBidi" w:cstheme="majorBidi"/>
          <w:color w:val="000000" w:themeColor="text1"/>
          <w:sz w:val="20"/>
          <w:szCs w:val="20"/>
        </w:rPr>
        <w:instrText xml:space="preserve"> \* MERGEFORMAT </w:instrText>
      </w:r>
      <w:r w:rsidR="005110E2" w:rsidRPr="000F7532">
        <w:rPr>
          <w:rFonts w:asciiTheme="majorBidi" w:hAnsiTheme="majorBidi" w:cstheme="majorBidi"/>
          <w:color w:val="000000" w:themeColor="text1"/>
          <w:sz w:val="20"/>
          <w:szCs w:val="20"/>
        </w:rPr>
      </w:r>
      <w:r w:rsidR="005110E2" w:rsidRPr="000F7532">
        <w:rPr>
          <w:rFonts w:asciiTheme="majorBidi" w:hAnsiTheme="majorBidi" w:cstheme="majorBidi"/>
          <w:color w:val="000000" w:themeColor="text1"/>
          <w:sz w:val="20"/>
          <w:szCs w:val="20"/>
        </w:rPr>
        <w:fldChar w:fldCharType="separate"/>
      </w:r>
      <w:r w:rsidR="003479F0" w:rsidRPr="000F7532">
        <w:rPr>
          <w:rFonts w:asciiTheme="majorBidi" w:hAnsiTheme="majorBidi" w:cstheme="majorBidi"/>
          <w:color w:val="000000" w:themeColor="text1"/>
          <w:sz w:val="20"/>
          <w:szCs w:val="20"/>
        </w:rPr>
        <w:t>10</w:t>
      </w:r>
      <w:r w:rsidR="005110E2" w:rsidRPr="000F7532">
        <w:rPr>
          <w:rFonts w:asciiTheme="majorBidi" w:hAnsiTheme="majorBidi" w:cstheme="majorBidi"/>
          <w:color w:val="000000" w:themeColor="text1"/>
          <w:sz w:val="20"/>
          <w:szCs w:val="20"/>
        </w:rPr>
        <w:fldChar w:fldCharType="end"/>
      </w:r>
      <w:r w:rsidR="005110E2" w:rsidRPr="000F7532">
        <w:rPr>
          <w:rFonts w:asciiTheme="majorBidi" w:hAnsiTheme="majorBidi" w:cstheme="majorBidi"/>
          <w:color w:val="000000" w:themeColor="text1"/>
          <w:sz w:val="20"/>
          <w:szCs w:val="20"/>
        </w:rPr>
        <w:t xml:space="preserve"> above).</w:t>
      </w:r>
    </w:p>
  </w:footnote>
  <w:footnote w:id="17">
    <w:p w14:paraId="4C9BEF80" w14:textId="57DF270C" w:rsidR="00606484" w:rsidRPr="000F7532" w:rsidRDefault="00606484" w:rsidP="000F7532">
      <w:pPr>
        <w:pStyle w:val="FootnoteText"/>
        <w:spacing w:line="276" w:lineRule="auto"/>
        <w:rPr>
          <w:rFonts w:asciiTheme="majorBidi" w:hAnsiTheme="majorBidi" w:cstheme="majorBidi"/>
        </w:rPr>
      </w:pPr>
      <w:r w:rsidRPr="000F7532">
        <w:rPr>
          <w:rStyle w:val="FootnoteReference"/>
          <w:rFonts w:asciiTheme="majorBidi" w:hAnsiTheme="majorBidi" w:cstheme="majorBidi"/>
        </w:rPr>
        <w:footnoteRef/>
      </w:r>
      <w:r w:rsidRPr="000F7532">
        <w:rPr>
          <w:rFonts w:asciiTheme="majorBidi" w:hAnsiTheme="majorBidi" w:cstheme="majorBidi"/>
        </w:rPr>
        <w:t xml:space="preserve"> For an overview of these in the broader historical context see Ciara Fitzpatrick, ‘‘Poor citizens’: social welfare and the encouragement of work’ in Carr, H, Kirton-Darling, E, Meers, J &amp; Salcedo Repolês, Maria Fernanda (eds), </w:t>
      </w:r>
      <w:r w:rsidRPr="000F7532">
        <w:rPr>
          <w:rFonts w:asciiTheme="majorBidi" w:hAnsiTheme="majorBidi" w:cstheme="majorBidi"/>
          <w:i/>
          <w:iCs/>
        </w:rPr>
        <w:t xml:space="preserve">Research Handbook on Social Welfare Law </w:t>
      </w:r>
      <w:r w:rsidRPr="000F7532">
        <w:rPr>
          <w:rFonts w:asciiTheme="majorBidi" w:hAnsiTheme="majorBidi" w:cstheme="majorBidi"/>
        </w:rPr>
        <w:t>(Edward Elgar 2024) 60-80.</w:t>
      </w:r>
    </w:p>
  </w:footnote>
  <w:footnote w:id="18">
    <w:p w14:paraId="4119B789" w14:textId="3DF2290F" w:rsidR="00146CBD" w:rsidRPr="000F7532" w:rsidRDefault="00146CBD" w:rsidP="000F7532">
      <w:pPr>
        <w:pStyle w:val="FootnoteText"/>
        <w:spacing w:line="276" w:lineRule="auto"/>
        <w:rPr>
          <w:rFonts w:asciiTheme="majorBidi" w:hAnsiTheme="majorBidi" w:cstheme="majorBidi"/>
        </w:rPr>
      </w:pPr>
      <w:r w:rsidRPr="000F7532">
        <w:rPr>
          <w:rStyle w:val="FootnoteReference"/>
          <w:rFonts w:asciiTheme="majorBidi" w:hAnsiTheme="majorBidi" w:cstheme="majorBidi"/>
        </w:rPr>
        <w:footnoteRef/>
      </w:r>
      <w:r w:rsidRPr="000F7532">
        <w:rPr>
          <w:rFonts w:asciiTheme="majorBidi" w:hAnsiTheme="majorBidi" w:cstheme="majorBidi"/>
        </w:rPr>
        <w:t xml:space="preserve"> Sharon Wright, Laura Robertson, and Alasdair B. R. Stewart, ‘Universal Credit and the invalidation of mental health problems: claimant and Jobcentre Plus staff experiences’ (2022) 30(2) </w:t>
      </w:r>
      <w:r w:rsidRPr="000F7532">
        <w:rPr>
          <w:rFonts w:asciiTheme="majorBidi" w:hAnsiTheme="majorBidi" w:cstheme="majorBidi"/>
          <w:i/>
          <w:iCs/>
        </w:rPr>
        <w:t xml:space="preserve">Journal of Poverty and Social Justice, </w:t>
      </w:r>
      <w:r w:rsidRPr="000F7532">
        <w:rPr>
          <w:rFonts w:asciiTheme="majorBidi" w:hAnsiTheme="majorBidi" w:cstheme="majorBidi"/>
        </w:rPr>
        <w:t>151, 154.</w:t>
      </w:r>
    </w:p>
  </w:footnote>
  <w:footnote w:id="19">
    <w:p w14:paraId="46931813" w14:textId="48953354"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815E7B" w:rsidRPr="000F7532">
        <w:rPr>
          <w:rFonts w:asciiTheme="majorBidi" w:eastAsia="Times New Roman" w:hAnsiTheme="majorBidi" w:cstheme="majorBidi"/>
          <w:color w:val="000000" w:themeColor="text1"/>
          <w:sz w:val="20"/>
          <w:szCs w:val="20"/>
        </w:rPr>
        <w:t xml:space="preserve">See </w:t>
      </w:r>
      <w:r w:rsidR="00815E7B" w:rsidRPr="000F7532">
        <w:rPr>
          <w:rFonts w:asciiTheme="majorBidi" w:hAnsiTheme="majorBidi" w:cstheme="majorBidi"/>
          <w:color w:val="000000" w:themeColor="text1"/>
          <w:sz w:val="20"/>
          <w:szCs w:val="20"/>
        </w:rPr>
        <w:t xml:space="preserve">Department for Work and Pensions (n </w:t>
      </w:r>
      <w:r w:rsidR="00815E7B" w:rsidRPr="000F7532">
        <w:rPr>
          <w:rFonts w:asciiTheme="majorBidi" w:hAnsiTheme="majorBidi" w:cstheme="majorBidi"/>
          <w:color w:val="000000" w:themeColor="text1"/>
          <w:sz w:val="20"/>
          <w:szCs w:val="20"/>
        </w:rPr>
        <w:fldChar w:fldCharType="begin"/>
      </w:r>
      <w:r w:rsidR="00815E7B" w:rsidRPr="000F7532">
        <w:rPr>
          <w:rFonts w:asciiTheme="majorBidi" w:hAnsiTheme="majorBidi" w:cstheme="majorBidi"/>
          <w:color w:val="000000" w:themeColor="text1"/>
          <w:sz w:val="20"/>
          <w:szCs w:val="20"/>
        </w:rPr>
        <w:instrText xml:space="preserve"> NOTEREF _Ref205383157 \h  \* MERGEFORMAT </w:instrText>
      </w:r>
      <w:r w:rsidR="00815E7B" w:rsidRPr="000F7532">
        <w:rPr>
          <w:rFonts w:asciiTheme="majorBidi" w:hAnsiTheme="majorBidi" w:cstheme="majorBidi"/>
          <w:color w:val="000000" w:themeColor="text1"/>
          <w:sz w:val="20"/>
          <w:szCs w:val="20"/>
        </w:rPr>
      </w:r>
      <w:r w:rsidR="00815E7B" w:rsidRPr="000F7532">
        <w:rPr>
          <w:rFonts w:asciiTheme="majorBidi" w:hAnsiTheme="majorBidi" w:cstheme="majorBidi"/>
          <w:color w:val="000000" w:themeColor="text1"/>
          <w:sz w:val="20"/>
          <w:szCs w:val="20"/>
        </w:rPr>
        <w:fldChar w:fldCharType="separate"/>
      </w:r>
      <w:r w:rsidR="003479F0" w:rsidRPr="000F7532">
        <w:rPr>
          <w:rFonts w:asciiTheme="majorBidi" w:hAnsiTheme="majorBidi" w:cstheme="majorBidi"/>
          <w:color w:val="000000" w:themeColor="text1"/>
          <w:sz w:val="20"/>
          <w:szCs w:val="20"/>
        </w:rPr>
        <w:t>3</w:t>
      </w:r>
      <w:r w:rsidR="00815E7B" w:rsidRPr="000F7532">
        <w:rPr>
          <w:rFonts w:asciiTheme="majorBidi" w:hAnsiTheme="majorBidi" w:cstheme="majorBidi"/>
          <w:color w:val="000000" w:themeColor="text1"/>
          <w:sz w:val="20"/>
          <w:szCs w:val="20"/>
        </w:rPr>
        <w:fldChar w:fldCharType="end"/>
      </w:r>
      <w:r w:rsidR="00815E7B" w:rsidRPr="000F7532">
        <w:rPr>
          <w:rFonts w:asciiTheme="majorBidi" w:hAnsiTheme="majorBidi" w:cstheme="majorBidi"/>
          <w:color w:val="000000" w:themeColor="text1"/>
          <w:sz w:val="20"/>
          <w:szCs w:val="20"/>
        </w:rPr>
        <w:t xml:space="preserve"> above).</w:t>
      </w:r>
    </w:p>
  </w:footnote>
  <w:footnote w:id="20">
    <w:p w14:paraId="140F75FC" w14:textId="77777777"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5110E2" w:rsidRPr="000F7532">
        <w:rPr>
          <w:rFonts w:asciiTheme="majorBidi" w:hAnsiTheme="majorBidi" w:cstheme="majorBidi"/>
          <w:color w:val="000000" w:themeColor="text1"/>
          <w:sz w:val="20"/>
          <w:szCs w:val="20"/>
        </w:rPr>
        <w:t>National Association of Welfare Rights Advisers, 'Letter to Liz Kendall MP: Decision Not to Consult on a Number of Proposals within the Green Paper, Pathways to Work' (24 March 2025) https://www.nawra.org.uk/wordpress/wordpress/wp-content/uploads/2025/03/NAWRA-to-Liz-Kendall-Green-Paper-1.pdf accessed 6 August 2025</w:t>
      </w:r>
    </w:p>
  </w:footnote>
  <w:footnote w:id="21">
    <w:p w14:paraId="302DF94C" w14:textId="77777777"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5110E2" w:rsidRPr="000F7532">
        <w:rPr>
          <w:rFonts w:asciiTheme="majorBidi" w:hAnsiTheme="majorBidi" w:cstheme="majorBidi"/>
          <w:color w:val="000000" w:themeColor="text1"/>
          <w:sz w:val="20"/>
          <w:szCs w:val="20"/>
        </w:rPr>
        <w:t xml:space="preserve">House of Commons Work and Pensions Committee, Get Britain Working: Pathways to Work (2024-25, HC 837) https://committees.parliament.uk/publications/49050/documents/257767/default/ accessed 6 August 2025 </w:t>
      </w:r>
      <w:r w:rsidRPr="000F7532">
        <w:rPr>
          <w:rFonts w:asciiTheme="majorBidi" w:eastAsia="Times New Roman" w:hAnsiTheme="majorBidi" w:cstheme="majorBidi"/>
          <w:color w:val="000000" w:themeColor="text1"/>
          <w:sz w:val="20"/>
          <w:szCs w:val="20"/>
        </w:rPr>
        <w:t>pg. 2</w:t>
      </w:r>
    </w:p>
  </w:footnote>
  <w:footnote w:id="22">
    <w:p w14:paraId="6EC1ADA7" w14:textId="77777777"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5110E2" w:rsidRPr="000F7532">
        <w:rPr>
          <w:rFonts w:asciiTheme="majorBidi" w:eastAsia="Times New Roman" w:hAnsiTheme="majorBidi" w:cstheme="majorBidi"/>
          <w:color w:val="000000" w:themeColor="text1"/>
          <w:sz w:val="20"/>
          <w:szCs w:val="20"/>
        </w:rPr>
        <w:t>Department for Work and Pensions, 'Spring Statement 2025 Health and Disability Benefit Reforms – Impacts' (29 May 2025) https://www.gov.uk/government/consultations/pathways-to-work-reforming-benefits-and-support-to-get-britain-working-green-paper/spring-statement-2025-health-and-disability-benefit-reforms-impacts accessed 6 August 2025</w:t>
      </w:r>
    </w:p>
  </w:footnote>
  <w:footnote w:id="23">
    <w:p w14:paraId="172FBFBB" w14:textId="77777777"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Ibid.</w:t>
      </w:r>
    </w:p>
  </w:footnote>
  <w:footnote w:id="24">
    <w:p w14:paraId="1DDB1751" w14:textId="61B0673D"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UK Parliament, ‘Personal Independence Payment: Question for Department for Work and Pensions UIN 47378’ at: </w:t>
      </w:r>
      <w:hyperlink r:id="rId3">
        <w:r w:rsidR="00C7554F" w:rsidRPr="000F7532">
          <w:rPr>
            <w:rFonts w:asciiTheme="majorBidi" w:eastAsia="Times New Roman" w:hAnsiTheme="majorBidi" w:cstheme="majorBidi"/>
            <w:color w:val="000000" w:themeColor="text1"/>
            <w:sz w:val="20"/>
            <w:szCs w:val="20"/>
            <w:u w:val="single"/>
          </w:rPr>
          <w:t>https://questions-statements.parliament.uk/written-questions/detail/2025-04-23/47378</w:t>
        </w:r>
      </w:hyperlink>
      <w:r w:rsidRPr="000F7532">
        <w:rPr>
          <w:rFonts w:asciiTheme="majorBidi" w:eastAsia="Times New Roman" w:hAnsiTheme="majorBidi" w:cstheme="majorBidi"/>
          <w:color w:val="000000" w:themeColor="text1"/>
          <w:sz w:val="20"/>
          <w:szCs w:val="20"/>
        </w:rPr>
        <w:t xml:space="preserve"> [accessed 31st May 2025].</w:t>
      </w:r>
    </w:p>
  </w:footnote>
  <w:footnote w:id="25">
    <w:p w14:paraId="791A429B" w14:textId="6B8D66AD"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815E7B" w:rsidRPr="000F7532">
        <w:rPr>
          <w:rFonts w:asciiTheme="majorBidi" w:eastAsia="Times New Roman" w:hAnsiTheme="majorBidi" w:cstheme="majorBidi"/>
          <w:color w:val="000000" w:themeColor="text1"/>
          <w:sz w:val="20"/>
          <w:szCs w:val="20"/>
        </w:rPr>
        <w:t xml:space="preserve">See </w:t>
      </w:r>
      <w:r w:rsidR="00815E7B" w:rsidRPr="000F7532">
        <w:rPr>
          <w:rFonts w:asciiTheme="majorBidi" w:hAnsiTheme="majorBidi" w:cstheme="majorBidi"/>
          <w:color w:val="000000" w:themeColor="text1"/>
          <w:sz w:val="20"/>
          <w:szCs w:val="20"/>
        </w:rPr>
        <w:t xml:space="preserve">Department for Work and Pensions (n </w:t>
      </w:r>
      <w:r w:rsidR="00815E7B" w:rsidRPr="000F7532">
        <w:rPr>
          <w:rFonts w:asciiTheme="majorBidi" w:hAnsiTheme="majorBidi" w:cstheme="majorBidi"/>
          <w:color w:val="000000" w:themeColor="text1"/>
          <w:sz w:val="20"/>
          <w:szCs w:val="20"/>
        </w:rPr>
        <w:fldChar w:fldCharType="begin"/>
      </w:r>
      <w:r w:rsidR="00815E7B" w:rsidRPr="000F7532">
        <w:rPr>
          <w:rFonts w:asciiTheme="majorBidi" w:hAnsiTheme="majorBidi" w:cstheme="majorBidi"/>
          <w:color w:val="000000" w:themeColor="text1"/>
          <w:sz w:val="20"/>
          <w:szCs w:val="20"/>
        </w:rPr>
        <w:instrText xml:space="preserve"> NOTEREF _Ref205383157 \h  \* MERGEFORMAT </w:instrText>
      </w:r>
      <w:r w:rsidR="00815E7B" w:rsidRPr="000F7532">
        <w:rPr>
          <w:rFonts w:asciiTheme="majorBidi" w:hAnsiTheme="majorBidi" w:cstheme="majorBidi"/>
          <w:color w:val="000000" w:themeColor="text1"/>
          <w:sz w:val="20"/>
          <w:szCs w:val="20"/>
        </w:rPr>
      </w:r>
      <w:r w:rsidR="00815E7B" w:rsidRPr="000F7532">
        <w:rPr>
          <w:rFonts w:asciiTheme="majorBidi" w:hAnsiTheme="majorBidi" w:cstheme="majorBidi"/>
          <w:color w:val="000000" w:themeColor="text1"/>
          <w:sz w:val="20"/>
          <w:szCs w:val="20"/>
        </w:rPr>
        <w:fldChar w:fldCharType="separate"/>
      </w:r>
      <w:r w:rsidR="003479F0" w:rsidRPr="000F7532">
        <w:rPr>
          <w:rFonts w:asciiTheme="majorBidi" w:hAnsiTheme="majorBidi" w:cstheme="majorBidi"/>
          <w:color w:val="000000" w:themeColor="text1"/>
          <w:sz w:val="20"/>
          <w:szCs w:val="20"/>
        </w:rPr>
        <w:t>3</w:t>
      </w:r>
      <w:r w:rsidR="00815E7B" w:rsidRPr="000F7532">
        <w:rPr>
          <w:rFonts w:asciiTheme="majorBidi" w:hAnsiTheme="majorBidi" w:cstheme="majorBidi"/>
          <w:color w:val="000000" w:themeColor="text1"/>
          <w:sz w:val="20"/>
          <w:szCs w:val="20"/>
        </w:rPr>
        <w:fldChar w:fldCharType="end"/>
      </w:r>
      <w:r w:rsidR="00815E7B" w:rsidRPr="000F7532">
        <w:rPr>
          <w:rFonts w:asciiTheme="majorBidi" w:hAnsiTheme="majorBidi" w:cstheme="majorBidi"/>
          <w:color w:val="000000" w:themeColor="text1"/>
          <w:sz w:val="20"/>
          <w:szCs w:val="20"/>
        </w:rPr>
        <w:t xml:space="preserve"> above).</w:t>
      </w:r>
    </w:p>
  </w:footnote>
  <w:footnote w:id="26">
    <w:p w14:paraId="7F7A3FBF" w14:textId="77777777"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5110E2" w:rsidRPr="000F7532">
        <w:rPr>
          <w:rFonts w:asciiTheme="majorBidi" w:eastAsia="Times New Roman" w:hAnsiTheme="majorBidi" w:cstheme="majorBidi"/>
          <w:color w:val="000000" w:themeColor="text1"/>
          <w:sz w:val="20"/>
          <w:szCs w:val="20"/>
        </w:rPr>
        <w:t xml:space="preserve">Department for Work and Pensions, 'The Universal Credit and Personal Independence Payment Bill: Change to Personal Independence Payment Eligibility Requirement Impact Assessment' (18 June 2025) https://publications.parliament.uk/pa/bills/cbill/59-01/0267/hcb267_ia_no22025.pdf accessed 6 August 2025 </w:t>
      </w:r>
    </w:p>
  </w:footnote>
  <w:footnote w:id="27">
    <w:p w14:paraId="0FEC83F1" w14:textId="5F59EDE9"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5110E2" w:rsidRPr="000F7532">
        <w:rPr>
          <w:rFonts w:asciiTheme="majorBidi" w:eastAsia="Times New Roman" w:hAnsiTheme="majorBidi" w:cstheme="majorBidi"/>
          <w:color w:val="000000" w:themeColor="text1"/>
          <w:sz w:val="20"/>
          <w:szCs w:val="20"/>
        </w:rPr>
        <w:t xml:space="preserve">Department for Work and Pensions, 'Spring Statement 2025 Health and Disability Benefit Reforms – Impacts' (29 May 2025) </w:t>
      </w:r>
      <w:hyperlink r:id="rId4" w:history="1">
        <w:r w:rsidR="005110E2" w:rsidRPr="000F7532">
          <w:rPr>
            <w:rStyle w:val="Hyperlink"/>
            <w:rFonts w:asciiTheme="majorBidi" w:eastAsia="Times New Roman" w:hAnsiTheme="majorBidi" w:cstheme="majorBidi"/>
            <w:color w:val="000000" w:themeColor="text1"/>
            <w:sz w:val="20"/>
            <w:szCs w:val="20"/>
          </w:rPr>
          <w:t>https://www.gov.uk/government/consultations/pathways-to-work-reforming-benefits-and-support-to-get-britain-working-green-paper/spring-statement-2025-health-and-disability-benefit-reforms-impacts</w:t>
        </w:r>
      </w:hyperlink>
      <w:r w:rsidR="005110E2" w:rsidRPr="000F7532">
        <w:rPr>
          <w:rFonts w:asciiTheme="majorBidi" w:eastAsia="Times New Roman" w:hAnsiTheme="majorBidi" w:cstheme="majorBidi"/>
          <w:color w:val="000000" w:themeColor="text1"/>
          <w:sz w:val="20"/>
          <w:szCs w:val="20"/>
        </w:rPr>
        <w:t xml:space="preserve"> accessed 6 August 2025</w:t>
      </w:r>
    </w:p>
  </w:footnote>
  <w:footnote w:id="28">
    <w:p w14:paraId="7F8E6A45" w14:textId="77777777"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A74B48" w:rsidRPr="000F7532">
        <w:rPr>
          <w:rFonts w:asciiTheme="majorBidi" w:eastAsia="Times New Roman" w:hAnsiTheme="majorBidi" w:cstheme="majorBidi"/>
          <w:color w:val="000000" w:themeColor="text1"/>
          <w:sz w:val="20"/>
          <w:szCs w:val="20"/>
        </w:rPr>
        <w:t>I</w:t>
      </w:r>
      <w:r w:rsidRPr="000F7532">
        <w:rPr>
          <w:rFonts w:asciiTheme="majorBidi" w:eastAsia="Times New Roman" w:hAnsiTheme="majorBidi" w:cstheme="majorBidi"/>
          <w:color w:val="000000" w:themeColor="text1"/>
          <w:sz w:val="20"/>
          <w:szCs w:val="20"/>
        </w:rPr>
        <w:t>bid</w:t>
      </w:r>
      <w:r w:rsidR="00A74B48" w:rsidRPr="000F7532">
        <w:rPr>
          <w:rFonts w:asciiTheme="majorBidi" w:eastAsia="Times New Roman" w:hAnsiTheme="majorBidi" w:cstheme="majorBidi"/>
          <w:color w:val="000000" w:themeColor="text1"/>
          <w:sz w:val="20"/>
          <w:szCs w:val="20"/>
        </w:rPr>
        <w:t>.</w:t>
      </w:r>
      <w:r w:rsidRPr="000F7532">
        <w:rPr>
          <w:rFonts w:asciiTheme="majorBidi" w:eastAsia="Times New Roman" w:hAnsiTheme="majorBidi" w:cstheme="majorBidi"/>
          <w:color w:val="000000" w:themeColor="text1"/>
          <w:sz w:val="20"/>
          <w:szCs w:val="20"/>
        </w:rPr>
        <w:t xml:space="preserve"> p</w:t>
      </w:r>
      <w:r w:rsidR="00203112" w:rsidRPr="000F7532">
        <w:rPr>
          <w:rFonts w:asciiTheme="majorBidi" w:eastAsia="Times New Roman" w:hAnsiTheme="majorBidi" w:cstheme="majorBidi"/>
          <w:color w:val="000000" w:themeColor="text1"/>
          <w:sz w:val="20"/>
          <w:szCs w:val="20"/>
        </w:rPr>
        <w:t xml:space="preserve">. </w:t>
      </w:r>
      <w:r w:rsidRPr="000F7532">
        <w:rPr>
          <w:rFonts w:asciiTheme="majorBidi" w:eastAsia="Times New Roman" w:hAnsiTheme="majorBidi" w:cstheme="majorBidi"/>
          <w:color w:val="000000" w:themeColor="text1"/>
          <w:sz w:val="20"/>
          <w:szCs w:val="20"/>
        </w:rPr>
        <w:t>8-9.</w:t>
      </w:r>
    </w:p>
  </w:footnote>
  <w:footnote w:id="29">
    <w:p w14:paraId="158FE257" w14:textId="77777777"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A74B48" w:rsidRPr="000F7532">
        <w:rPr>
          <w:rFonts w:asciiTheme="majorBidi" w:eastAsia="Times New Roman" w:hAnsiTheme="majorBidi" w:cstheme="majorBidi"/>
          <w:color w:val="000000" w:themeColor="text1"/>
          <w:sz w:val="20"/>
          <w:szCs w:val="20"/>
        </w:rPr>
        <w:t>I</w:t>
      </w:r>
      <w:r w:rsidRPr="000F7532">
        <w:rPr>
          <w:rFonts w:asciiTheme="majorBidi" w:eastAsia="Times New Roman" w:hAnsiTheme="majorBidi" w:cstheme="majorBidi"/>
          <w:color w:val="000000" w:themeColor="text1"/>
          <w:sz w:val="20"/>
          <w:szCs w:val="20"/>
        </w:rPr>
        <w:t>bid</w:t>
      </w:r>
      <w:r w:rsidR="00A74B48" w:rsidRPr="000F7532">
        <w:rPr>
          <w:rFonts w:asciiTheme="majorBidi" w:eastAsia="Times New Roman" w:hAnsiTheme="majorBidi" w:cstheme="majorBidi"/>
          <w:color w:val="000000" w:themeColor="text1"/>
          <w:sz w:val="20"/>
          <w:szCs w:val="20"/>
        </w:rPr>
        <w:t>.</w:t>
      </w:r>
      <w:r w:rsidRPr="000F7532">
        <w:rPr>
          <w:rFonts w:asciiTheme="majorBidi" w:eastAsia="Times New Roman" w:hAnsiTheme="majorBidi" w:cstheme="majorBidi"/>
          <w:color w:val="000000" w:themeColor="text1"/>
          <w:sz w:val="20"/>
          <w:szCs w:val="20"/>
        </w:rPr>
        <w:t xml:space="preserve"> p</w:t>
      </w:r>
      <w:r w:rsidR="00203112" w:rsidRPr="000F7532">
        <w:rPr>
          <w:rFonts w:asciiTheme="majorBidi" w:eastAsia="Times New Roman" w:hAnsiTheme="majorBidi" w:cstheme="majorBidi"/>
          <w:color w:val="000000" w:themeColor="text1"/>
          <w:sz w:val="20"/>
          <w:szCs w:val="20"/>
        </w:rPr>
        <w:t xml:space="preserve">. </w:t>
      </w:r>
      <w:r w:rsidRPr="000F7532">
        <w:rPr>
          <w:rFonts w:asciiTheme="majorBidi" w:eastAsia="Times New Roman" w:hAnsiTheme="majorBidi" w:cstheme="majorBidi"/>
          <w:color w:val="000000" w:themeColor="text1"/>
          <w:sz w:val="20"/>
          <w:szCs w:val="20"/>
        </w:rPr>
        <w:t>5.</w:t>
      </w:r>
    </w:p>
  </w:footnote>
  <w:footnote w:id="30">
    <w:p w14:paraId="4BEACE17" w14:textId="27D227F6"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Child Poverty Action Group, 'Short briefing on Pathways to Work green paper' (2025) </w:t>
      </w:r>
      <w:hyperlink r:id="rId5">
        <w:r w:rsidR="00C7554F" w:rsidRPr="000F7532">
          <w:rPr>
            <w:rFonts w:asciiTheme="majorBidi" w:eastAsia="Times New Roman" w:hAnsiTheme="majorBidi" w:cstheme="majorBidi"/>
            <w:color w:val="000000" w:themeColor="text1"/>
            <w:sz w:val="20"/>
            <w:szCs w:val="20"/>
            <w:u w:val="single"/>
          </w:rPr>
          <w:t>https://cpag.org.uk/news/short-briefing-pathways-work-green-paper</w:t>
        </w:r>
      </w:hyperlink>
      <w:r w:rsidRPr="000F7532">
        <w:rPr>
          <w:rFonts w:asciiTheme="majorBidi" w:eastAsia="Times New Roman" w:hAnsiTheme="majorBidi" w:cstheme="majorBidi"/>
          <w:color w:val="000000" w:themeColor="text1"/>
          <w:sz w:val="20"/>
          <w:szCs w:val="20"/>
        </w:rPr>
        <w:t xml:space="preserve"> [accessed 30th May 2025].</w:t>
      </w:r>
    </w:p>
  </w:footnote>
  <w:footnote w:id="31">
    <w:p w14:paraId="2A8DB5AF" w14:textId="4DE98A72" w:rsidR="003479F0" w:rsidRPr="000F7532" w:rsidRDefault="003479F0" w:rsidP="000F7532">
      <w:pPr>
        <w:pStyle w:val="FootnoteText"/>
        <w:spacing w:line="276" w:lineRule="auto"/>
        <w:rPr>
          <w:rFonts w:asciiTheme="majorBidi" w:hAnsiTheme="majorBidi" w:cstheme="majorBidi"/>
        </w:rPr>
      </w:pPr>
      <w:r w:rsidRPr="000F7532">
        <w:rPr>
          <w:rStyle w:val="FootnoteReference"/>
          <w:rFonts w:asciiTheme="majorBidi" w:hAnsiTheme="majorBidi" w:cstheme="majorBidi"/>
        </w:rPr>
        <w:footnoteRef/>
      </w:r>
      <w:r w:rsidRPr="000F7532">
        <w:rPr>
          <w:rFonts w:asciiTheme="majorBidi" w:hAnsiTheme="majorBidi" w:cstheme="majorBidi"/>
        </w:rPr>
        <w:t xml:space="preserve"> Heba Hagrass and Olivier De Schutter, 'Communication to the Government of the United Kingdom of Great Britain and Northern Ireland' (UN Special Rapporteurs on the rights of persons with disabilities and on extreme poverty and human rights, 4 September 2025) OL GBR 12/2025</w:t>
      </w:r>
      <w:r w:rsidR="000F7532" w:rsidRPr="000F7532">
        <w:rPr>
          <w:rFonts w:asciiTheme="majorBidi" w:hAnsiTheme="majorBidi" w:cstheme="majorBidi"/>
        </w:rPr>
        <w:t>.</w:t>
      </w:r>
    </w:p>
  </w:footnote>
  <w:footnote w:id="32">
    <w:p w14:paraId="09F121D3" w14:textId="2CA616A6" w:rsidR="00C7554F" w:rsidRPr="000F7532" w:rsidRDefault="00000000" w:rsidP="000F7532">
      <w:pP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815E7B" w:rsidRPr="000F7532">
        <w:rPr>
          <w:rFonts w:asciiTheme="majorBidi" w:eastAsia="Times New Roman" w:hAnsiTheme="majorBidi" w:cstheme="majorBidi"/>
          <w:color w:val="000000" w:themeColor="text1"/>
          <w:sz w:val="20"/>
          <w:szCs w:val="20"/>
        </w:rPr>
        <w:t xml:space="preserve">See </w:t>
      </w:r>
      <w:r w:rsidR="00815E7B" w:rsidRPr="000F7532">
        <w:rPr>
          <w:rFonts w:asciiTheme="majorBidi" w:hAnsiTheme="majorBidi" w:cstheme="majorBidi"/>
          <w:color w:val="000000" w:themeColor="text1"/>
          <w:sz w:val="20"/>
          <w:szCs w:val="20"/>
        </w:rPr>
        <w:t xml:space="preserve">Department for Work and Pensions (n </w:t>
      </w:r>
      <w:r w:rsidR="00815E7B" w:rsidRPr="000F7532">
        <w:rPr>
          <w:rFonts w:asciiTheme="majorBidi" w:hAnsiTheme="majorBidi" w:cstheme="majorBidi"/>
          <w:color w:val="000000" w:themeColor="text1"/>
          <w:sz w:val="20"/>
          <w:szCs w:val="20"/>
        </w:rPr>
        <w:fldChar w:fldCharType="begin"/>
      </w:r>
      <w:r w:rsidR="00815E7B" w:rsidRPr="000F7532">
        <w:rPr>
          <w:rFonts w:asciiTheme="majorBidi" w:hAnsiTheme="majorBidi" w:cstheme="majorBidi"/>
          <w:color w:val="000000" w:themeColor="text1"/>
          <w:sz w:val="20"/>
          <w:szCs w:val="20"/>
        </w:rPr>
        <w:instrText xml:space="preserve"> NOTEREF _Ref205383157 \h  \* MERGEFORMAT </w:instrText>
      </w:r>
      <w:r w:rsidR="00815E7B" w:rsidRPr="000F7532">
        <w:rPr>
          <w:rFonts w:asciiTheme="majorBidi" w:hAnsiTheme="majorBidi" w:cstheme="majorBidi"/>
          <w:color w:val="000000" w:themeColor="text1"/>
          <w:sz w:val="20"/>
          <w:szCs w:val="20"/>
        </w:rPr>
      </w:r>
      <w:r w:rsidR="00815E7B" w:rsidRPr="000F7532">
        <w:rPr>
          <w:rFonts w:asciiTheme="majorBidi" w:hAnsiTheme="majorBidi" w:cstheme="majorBidi"/>
          <w:color w:val="000000" w:themeColor="text1"/>
          <w:sz w:val="20"/>
          <w:szCs w:val="20"/>
        </w:rPr>
        <w:fldChar w:fldCharType="separate"/>
      </w:r>
      <w:r w:rsidR="003479F0" w:rsidRPr="000F7532">
        <w:rPr>
          <w:rFonts w:asciiTheme="majorBidi" w:hAnsiTheme="majorBidi" w:cstheme="majorBidi"/>
          <w:color w:val="000000" w:themeColor="text1"/>
          <w:sz w:val="20"/>
          <w:szCs w:val="20"/>
        </w:rPr>
        <w:t>3</w:t>
      </w:r>
      <w:r w:rsidR="00815E7B" w:rsidRPr="000F7532">
        <w:rPr>
          <w:rFonts w:asciiTheme="majorBidi" w:hAnsiTheme="majorBidi" w:cstheme="majorBidi"/>
          <w:color w:val="000000" w:themeColor="text1"/>
          <w:sz w:val="20"/>
          <w:szCs w:val="20"/>
        </w:rPr>
        <w:fldChar w:fldCharType="end"/>
      </w:r>
      <w:r w:rsidR="00815E7B" w:rsidRPr="000F7532">
        <w:rPr>
          <w:rFonts w:asciiTheme="majorBidi" w:hAnsiTheme="majorBidi" w:cstheme="majorBidi"/>
          <w:color w:val="000000" w:themeColor="text1"/>
          <w:sz w:val="20"/>
          <w:szCs w:val="20"/>
        </w:rPr>
        <w:t xml:space="preserve"> above).</w:t>
      </w:r>
    </w:p>
  </w:footnote>
  <w:footnote w:id="33">
    <w:p w14:paraId="02AB4A7D" w14:textId="24847D98" w:rsidR="00C7554F" w:rsidRPr="000F7532" w:rsidRDefault="00000000" w:rsidP="000F7532">
      <w:pP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hAnsiTheme="majorBidi" w:cstheme="majorBidi"/>
          <w:color w:val="000000" w:themeColor="text1"/>
          <w:sz w:val="20"/>
          <w:szCs w:val="20"/>
        </w:rPr>
        <w:t xml:space="preserve"> </w:t>
      </w:r>
      <w:r w:rsidR="00203112" w:rsidRPr="000F7532">
        <w:rPr>
          <w:rFonts w:asciiTheme="majorBidi" w:eastAsia="Times New Roman" w:hAnsiTheme="majorBidi" w:cstheme="majorBidi"/>
          <w:color w:val="000000" w:themeColor="text1"/>
          <w:sz w:val="20"/>
          <w:szCs w:val="20"/>
        </w:rPr>
        <w:t xml:space="preserve">House of Commons Work and Pensions Committee (n </w:t>
      </w:r>
      <w:r w:rsidR="00203112" w:rsidRPr="000F7532">
        <w:rPr>
          <w:rFonts w:asciiTheme="majorBidi" w:eastAsia="Times New Roman" w:hAnsiTheme="majorBidi" w:cstheme="majorBidi"/>
          <w:color w:val="000000" w:themeColor="text1"/>
          <w:sz w:val="20"/>
          <w:szCs w:val="20"/>
        </w:rPr>
        <w:fldChar w:fldCharType="begin"/>
      </w:r>
      <w:r w:rsidR="00203112" w:rsidRPr="000F7532">
        <w:rPr>
          <w:rFonts w:asciiTheme="majorBidi" w:eastAsia="Times New Roman" w:hAnsiTheme="majorBidi" w:cstheme="majorBidi"/>
          <w:color w:val="000000" w:themeColor="text1"/>
          <w:sz w:val="20"/>
          <w:szCs w:val="20"/>
        </w:rPr>
        <w:instrText xml:space="preserve"> NOTEREF _Ref205384425 \h </w:instrText>
      </w:r>
      <w:r w:rsidR="001B16B5" w:rsidRPr="000F7532">
        <w:rPr>
          <w:rFonts w:asciiTheme="majorBidi" w:eastAsia="Times New Roman" w:hAnsiTheme="majorBidi" w:cstheme="majorBidi"/>
          <w:color w:val="000000" w:themeColor="text1"/>
          <w:sz w:val="20"/>
          <w:szCs w:val="20"/>
        </w:rPr>
        <w:instrText xml:space="preserve"> \* MERGEFORMAT </w:instrText>
      </w:r>
      <w:r w:rsidR="00203112" w:rsidRPr="000F7532">
        <w:rPr>
          <w:rFonts w:asciiTheme="majorBidi" w:eastAsia="Times New Roman" w:hAnsiTheme="majorBidi" w:cstheme="majorBidi"/>
          <w:color w:val="000000" w:themeColor="text1"/>
          <w:sz w:val="20"/>
          <w:szCs w:val="20"/>
        </w:rPr>
      </w:r>
      <w:r w:rsidR="00203112" w:rsidRPr="000F7532">
        <w:rPr>
          <w:rFonts w:asciiTheme="majorBidi" w:eastAsia="Times New Roman" w:hAnsiTheme="majorBidi" w:cstheme="majorBidi"/>
          <w:color w:val="000000" w:themeColor="text1"/>
          <w:sz w:val="20"/>
          <w:szCs w:val="20"/>
        </w:rPr>
        <w:fldChar w:fldCharType="separate"/>
      </w:r>
      <w:r w:rsidR="003479F0" w:rsidRPr="000F7532">
        <w:rPr>
          <w:rFonts w:asciiTheme="majorBidi" w:eastAsia="Times New Roman" w:hAnsiTheme="majorBidi" w:cstheme="majorBidi"/>
          <w:color w:val="000000" w:themeColor="text1"/>
          <w:sz w:val="20"/>
          <w:szCs w:val="20"/>
        </w:rPr>
        <w:t>20</w:t>
      </w:r>
      <w:r w:rsidR="00203112" w:rsidRPr="000F7532">
        <w:rPr>
          <w:rFonts w:asciiTheme="majorBidi" w:eastAsia="Times New Roman" w:hAnsiTheme="majorBidi" w:cstheme="majorBidi"/>
          <w:color w:val="000000" w:themeColor="text1"/>
          <w:sz w:val="20"/>
          <w:szCs w:val="20"/>
        </w:rPr>
        <w:fldChar w:fldCharType="end"/>
      </w:r>
      <w:r w:rsidR="00203112" w:rsidRPr="000F7532">
        <w:rPr>
          <w:rFonts w:asciiTheme="majorBidi" w:eastAsia="Times New Roman" w:hAnsiTheme="majorBidi" w:cstheme="majorBidi"/>
          <w:color w:val="000000" w:themeColor="text1"/>
          <w:sz w:val="20"/>
          <w:szCs w:val="20"/>
        </w:rPr>
        <w:t xml:space="preserve"> above) </w:t>
      </w:r>
      <w:r w:rsidRPr="000F7532">
        <w:rPr>
          <w:rFonts w:asciiTheme="majorBidi" w:eastAsia="Times New Roman" w:hAnsiTheme="majorBidi" w:cstheme="majorBidi"/>
          <w:color w:val="000000" w:themeColor="text1"/>
          <w:sz w:val="20"/>
          <w:szCs w:val="20"/>
        </w:rPr>
        <w:t>pg. 11</w:t>
      </w:r>
      <w:r w:rsidR="00203112" w:rsidRPr="000F7532">
        <w:rPr>
          <w:rFonts w:asciiTheme="majorBidi" w:eastAsia="Times New Roman" w:hAnsiTheme="majorBidi" w:cstheme="majorBidi"/>
          <w:color w:val="000000" w:themeColor="text1"/>
          <w:sz w:val="20"/>
          <w:szCs w:val="20"/>
        </w:rPr>
        <w:t>.</w:t>
      </w:r>
    </w:p>
  </w:footnote>
  <w:footnote w:id="34">
    <w:p w14:paraId="00553EAF" w14:textId="77777777" w:rsidR="00C7554F" w:rsidRPr="000F7532" w:rsidRDefault="00000000" w:rsidP="000F7532">
      <w:pP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A74B48" w:rsidRPr="000F7532">
        <w:rPr>
          <w:rFonts w:asciiTheme="majorBidi" w:eastAsia="Times New Roman" w:hAnsiTheme="majorBidi" w:cstheme="majorBidi"/>
          <w:color w:val="000000" w:themeColor="text1"/>
          <w:sz w:val="20"/>
          <w:szCs w:val="20"/>
        </w:rPr>
        <w:t>Eduin Latimer, Matthew Oulton and Tom Waters, 'The Government's Proposed Reforms to Health-Related Benefits: Incomes, Insurance and Incentives' (Institute for Fiscal Studies, 26 June 2025) https://ifs.org.uk/publications/governments-proposed-reforms-health-related-benefits-incomes-insurance-and-incentives accessed 6 August 2025.</w:t>
      </w:r>
    </w:p>
  </w:footnote>
  <w:footnote w:id="35">
    <w:p w14:paraId="61526590" w14:textId="77777777" w:rsidR="00C7554F" w:rsidRPr="000F7532" w:rsidRDefault="00000000" w:rsidP="000F7532">
      <w:pP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For a detailed analysis, see: </w:t>
      </w:r>
      <w:r w:rsidR="00C376F9" w:rsidRPr="000F7532">
        <w:rPr>
          <w:rFonts w:asciiTheme="majorBidi" w:hAnsiTheme="majorBidi" w:cstheme="majorBidi"/>
          <w:color w:val="000000" w:themeColor="text1"/>
          <w:sz w:val="20"/>
          <w:szCs w:val="20"/>
        </w:rPr>
        <w:t>Ben Baumberg Geiger, 'Is Welfare Spending "Out of Control"?' (Inequalities, 17 December 2024) https://inequalities.substack.com/p/is-welfare-spending-out-of-control accessed 6 August 2025</w:t>
      </w:r>
    </w:p>
  </w:footnote>
  <w:footnote w:id="36">
    <w:p w14:paraId="310F39AC" w14:textId="7DFC8CB9" w:rsidR="00C7554F" w:rsidRPr="000F7532" w:rsidRDefault="00000000" w:rsidP="000F7532">
      <w:pP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hAnsiTheme="majorBidi" w:cstheme="majorBidi"/>
          <w:color w:val="000000" w:themeColor="text1"/>
          <w:sz w:val="20"/>
          <w:szCs w:val="20"/>
        </w:rPr>
        <w:t xml:space="preserve"> </w:t>
      </w:r>
      <w:r w:rsidR="00203112" w:rsidRPr="000F7532">
        <w:rPr>
          <w:rFonts w:asciiTheme="majorBidi" w:eastAsia="Times New Roman" w:hAnsiTheme="majorBidi" w:cstheme="majorBidi"/>
          <w:color w:val="000000" w:themeColor="text1"/>
          <w:sz w:val="20"/>
          <w:szCs w:val="20"/>
        </w:rPr>
        <w:t xml:space="preserve">House of Commons Work and Pensions Committee (n </w:t>
      </w:r>
      <w:r w:rsidR="00203112" w:rsidRPr="000F7532">
        <w:rPr>
          <w:rFonts w:asciiTheme="majorBidi" w:eastAsia="Times New Roman" w:hAnsiTheme="majorBidi" w:cstheme="majorBidi"/>
          <w:color w:val="000000" w:themeColor="text1"/>
          <w:sz w:val="20"/>
          <w:szCs w:val="20"/>
        </w:rPr>
        <w:fldChar w:fldCharType="begin"/>
      </w:r>
      <w:r w:rsidR="00203112" w:rsidRPr="000F7532">
        <w:rPr>
          <w:rFonts w:asciiTheme="majorBidi" w:eastAsia="Times New Roman" w:hAnsiTheme="majorBidi" w:cstheme="majorBidi"/>
          <w:color w:val="000000" w:themeColor="text1"/>
          <w:sz w:val="20"/>
          <w:szCs w:val="20"/>
        </w:rPr>
        <w:instrText xml:space="preserve"> NOTEREF _Ref205384425 \h </w:instrText>
      </w:r>
      <w:r w:rsidR="001B16B5" w:rsidRPr="000F7532">
        <w:rPr>
          <w:rFonts w:asciiTheme="majorBidi" w:eastAsia="Times New Roman" w:hAnsiTheme="majorBidi" w:cstheme="majorBidi"/>
          <w:color w:val="000000" w:themeColor="text1"/>
          <w:sz w:val="20"/>
          <w:szCs w:val="20"/>
        </w:rPr>
        <w:instrText xml:space="preserve"> \* MERGEFORMAT </w:instrText>
      </w:r>
      <w:r w:rsidR="00203112" w:rsidRPr="000F7532">
        <w:rPr>
          <w:rFonts w:asciiTheme="majorBidi" w:eastAsia="Times New Roman" w:hAnsiTheme="majorBidi" w:cstheme="majorBidi"/>
          <w:color w:val="000000" w:themeColor="text1"/>
          <w:sz w:val="20"/>
          <w:szCs w:val="20"/>
        </w:rPr>
      </w:r>
      <w:r w:rsidR="00203112" w:rsidRPr="000F7532">
        <w:rPr>
          <w:rFonts w:asciiTheme="majorBidi" w:eastAsia="Times New Roman" w:hAnsiTheme="majorBidi" w:cstheme="majorBidi"/>
          <w:color w:val="000000" w:themeColor="text1"/>
          <w:sz w:val="20"/>
          <w:szCs w:val="20"/>
        </w:rPr>
        <w:fldChar w:fldCharType="separate"/>
      </w:r>
      <w:r w:rsidR="003479F0" w:rsidRPr="000F7532">
        <w:rPr>
          <w:rFonts w:asciiTheme="majorBidi" w:eastAsia="Times New Roman" w:hAnsiTheme="majorBidi" w:cstheme="majorBidi"/>
          <w:color w:val="000000" w:themeColor="text1"/>
          <w:sz w:val="20"/>
          <w:szCs w:val="20"/>
        </w:rPr>
        <w:t>20</w:t>
      </w:r>
      <w:r w:rsidR="00203112" w:rsidRPr="000F7532">
        <w:rPr>
          <w:rFonts w:asciiTheme="majorBidi" w:eastAsia="Times New Roman" w:hAnsiTheme="majorBidi" w:cstheme="majorBidi"/>
          <w:color w:val="000000" w:themeColor="text1"/>
          <w:sz w:val="20"/>
          <w:szCs w:val="20"/>
        </w:rPr>
        <w:fldChar w:fldCharType="end"/>
      </w:r>
      <w:r w:rsidR="00203112" w:rsidRPr="000F7532">
        <w:rPr>
          <w:rFonts w:asciiTheme="majorBidi" w:eastAsia="Times New Roman" w:hAnsiTheme="majorBidi" w:cstheme="majorBidi"/>
          <w:color w:val="000000" w:themeColor="text1"/>
          <w:sz w:val="20"/>
          <w:szCs w:val="20"/>
        </w:rPr>
        <w:t xml:space="preserve"> above) pg. 12-13.</w:t>
      </w:r>
    </w:p>
  </w:footnote>
  <w:footnote w:id="37">
    <w:p w14:paraId="30244870" w14:textId="587F1DD2" w:rsidR="00C7554F" w:rsidRPr="000F7532" w:rsidRDefault="00000000" w:rsidP="000F7532">
      <w:pP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203112" w:rsidRPr="000F7532">
        <w:rPr>
          <w:rFonts w:asciiTheme="majorBidi" w:eastAsia="Times New Roman" w:hAnsiTheme="majorBidi" w:cstheme="majorBidi"/>
          <w:color w:val="000000" w:themeColor="text1"/>
          <w:sz w:val="20"/>
          <w:szCs w:val="20"/>
        </w:rPr>
        <w:t xml:space="preserve">House of Commons Work and Pensions Committee (n </w:t>
      </w:r>
      <w:r w:rsidR="00203112" w:rsidRPr="000F7532">
        <w:rPr>
          <w:rFonts w:asciiTheme="majorBidi" w:eastAsia="Times New Roman" w:hAnsiTheme="majorBidi" w:cstheme="majorBidi"/>
          <w:color w:val="000000" w:themeColor="text1"/>
          <w:sz w:val="20"/>
          <w:szCs w:val="20"/>
        </w:rPr>
        <w:fldChar w:fldCharType="begin"/>
      </w:r>
      <w:r w:rsidR="00203112" w:rsidRPr="000F7532">
        <w:rPr>
          <w:rFonts w:asciiTheme="majorBidi" w:eastAsia="Times New Roman" w:hAnsiTheme="majorBidi" w:cstheme="majorBidi"/>
          <w:color w:val="000000" w:themeColor="text1"/>
          <w:sz w:val="20"/>
          <w:szCs w:val="20"/>
        </w:rPr>
        <w:instrText xml:space="preserve"> NOTEREF _Ref205384425 \h </w:instrText>
      </w:r>
      <w:r w:rsidR="001B16B5" w:rsidRPr="000F7532">
        <w:rPr>
          <w:rFonts w:asciiTheme="majorBidi" w:eastAsia="Times New Roman" w:hAnsiTheme="majorBidi" w:cstheme="majorBidi"/>
          <w:color w:val="000000" w:themeColor="text1"/>
          <w:sz w:val="20"/>
          <w:szCs w:val="20"/>
        </w:rPr>
        <w:instrText xml:space="preserve"> \* MERGEFORMAT </w:instrText>
      </w:r>
      <w:r w:rsidR="00203112" w:rsidRPr="000F7532">
        <w:rPr>
          <w:rFonts w:asciiTheme="majorBidi" w:eastAsia="Times New Roman" w:hAnsiTheme="majorBidi" w:cstheme="majorBidi"/>
          <w:color w:val="000000" w:themeColor="text1"/>
          <w:sz w:val="20"/>
          <w:szCs w:val="20"/>
        </w:rPr>
      </w:r>
      <w:r w:rsidR="00203112" w:rsidRPr="000F7532">
        <w:rPr>
          <w:rFonts w:asciiTheme="majorBidi" w:eastAsia="Times New Roman" w:hAnsiTheme="majorBidi" w:cstheme="majorBidi"/>
          <w:color w:val="000000" w:themeColor="text1"/>
          <w:sz w:val="20"/>
          <w:szCs w:val="20"/>
        </w:rPr>
        <w:fldChar w:fldCharType="separate"/>
      </w:r>
      <w:r w:rsidR="003479F0" w:rsidRPr="000F7532">
        <w:rPr>
          <w:rFonts w:asciiTheme="majorBidi" w:eastAsia="Times New Roman" w:hAnsiTheme="majorBidi" w:cstheme="majorBidi"/>
          <w:color w:val="000000" w:themeColor="text1"/>
          <w:sz w:val="20"/>
          <w:szCs w:val="20"/>
        </w:rPr>
        <w:t>20</w:t>
      </w:r>
      <w:r w:rsidR="00203112" w:rsidRPr="000F7532">
        <w:rPr>
          <w:rFonts w:asciiTheme="majorBidi" w:eastAsia="Times New Roman" w:hAnsiTheme="majorBidi" w:cstheme="majorBidi"/>
          <w:color w:val="000000" w:themeColor="text1"/>
          <w:sz w:val="20"/>
          <w:szCs w:val="20"/>
        </w:rPr>
        <w:fldChar w:fldCharType="end"/>
      </w:r>
      <w:r w:rsidR="00203112" w:rsidRPr="000F7532">
        <w:rPr>
          <w:rFonts w:asciiTheme="majorBidi" w:eastAsia="Times New Roman" w:hAnsiTheme="majorBidi" w:cstheme="majorBidi"/>
          <w:color w:val="000000" w:themeColor="text1"/>
          <w:sz w:val="20"/>
          <w:szCs w:val="20"/>
        </w:rPr>
        <w:t xml:space="preserve"> above) pg. 13.</w:t>
      </w:r>
    </w:p>
  </w:footnote>
  <w:footnote w:id="38">
    <w:p w14:paraId="7AFBB911" w14:textId="56E67F87" w:rsidR="00C7554F" w:rsidRPr="000F7532" w:rsidRDefault="00000000" w:rsidP="000F7532">
      <w:pP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hAnsiTheme="majorBidi" w:cstheme="majorBidi"/>
          <w:color w:val="000000" w:themeColor="text1"/>
          <w:sz w:val="20"/>
          <w:szCs w:val="20"/>
        </w:rPr>
        <w:t xml:space="preserve"> </w:t>
      </w:r>
      <w:r w:rsidR="00DA14BD" w:rsidRPr="000F7532">
        <w:rPr>
          <w:rFonts w:asciiTheme="majorBidi" w:hAnsiTheme="majorBidi" w:cstheme="majorBidi"/>
          <w:color w:val="000000" w:themeColor="text1"/>
          <w:sz w:val="20"/>
          <w:szCs w:val="20"/>
        </w:rPr>
        <w:t xml:space="preserve">NHS Digital, 'Adult Psychiatric Morbidity Survey: Survey of Mental Health and Wellbeing, England, 2023/4' (2025) </w:t>
      </w:r>
      <w:hyperlink r:id="rId6" w:history="1">
        <w:r w:rsidR="00DA14BD" w:rsidRPr="000F7532">
          <w:rPr>
            <w:rStyle w:val="Hyperlink"/>
            <w:rFonts w:asciiTheme="majorBidi" w:hAnsiTheme="majorBidi" w:cstheme="majorBidi"/>
            <w:color w:val="000000" w:themeColor="text1"/>
            <w:sz w:val="20"/>
            <w:szCs w:val="20"/>
          </w:rPr>
          <w:t>https://digital.nhs.uk/data-and-information/publications/statistical/adult-psychiatric-morbidity-survey/survey-of-mental-health-and-wellbeing-england-2023-24</w:t>
        </w:r>
      </w:hyperlink>
      <w:r w:rsidR="00DA14BD" w:rsidRPr="000F7532">
        <w:rPr>
          <w:rFonts w:asciiTheme="majorBidi" w:hAnsiTheme="majorBidi" w:cstheme="majorBidi"/>
          <w:color w:val="000000" w:themeColor="text1"/>
          <w:sz w:val="20"/>
          <w:szCs w:val="20"/>
        </w:rPr>
        <w:t xml:space="preserve"> accessed 6 August 2025</w:t>
      </w:r>
    </w:p>
  </w:footnote>
  <w:footnote w:id="39">
    <w:p w14:paraId="25F7ACDA" w14:textId="77777777" w:rsidR="00C7554F" w:rsidRPr="000F7532" w:rsidRDefault="00000000" w:rsidP="000F7532">
      <w:pP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hAnsiTheme="majorBidi" w:cstheme="majorBidi"/>
          <w:color w:val="000000" w:themeColor="text1"/>
          <w:sz w:val="20"/>
          <w:szCs w:val="20"/>
        </w:rPr>
        <w:t xml:space="preserve"> </w:t>
      </w:r>
      <w:r w:rsidR="00FB4E0E" w:rsidRPr="000F7532">
        <w:rPr>
          <w:rFonts w:asciiTheme="majorBidi" w:eastAsia="Times New Roman" w:hAnsiTheme="majorBidi" w:cstheme="majorBidi"/>
          <w:color w:val="000000" w:themeColor="text1"/>
          <w:sz w:val="20"/>
          <w:szCs w:val="20"/>
        </w:rPr>
        <w:t>Department for Work and Pensions, Get Britain Working White Paper (CP 1191, 2024) https://www.gov.uk/government/publications/get-britain-working-white-paper accessed 6 August 2025</w:t>
      </w:r>
    </w:p>
  </w:footnote>
  <w:footnote w:id="40">
    <w:p w14:paraId="29AEDB6C" w14:textId="057FF350"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815E7B" w:rsidRPr="000F7532">
        <w:rPr>
          <w:rFonts w:asciiTheme="majorBidi" w:eastAsia="Times New Roman" w:hAnsiTheme="majorBidi" w:cstheme="majorBidi"/>
          <w:color w:val="000000" w:themeColor="text1"/>
          <w:sz w:val="20"/>
          <w:szCs w:val="20"/>
        </w:rPr>
        <w:t xml:space="preserve">See </w:t>
      </w:r>
      <w:r w:rsidR="00815E7B" w:rsidRPr="000F7532">
        <w:rPr>
          <w:rFonts w:asciiTheme="majorBidi" w:hAnsiTheme="majorBidi" w:cstheme="majorBidi"/>
          <w:color w:val="000000" w:themeColor="text1"/>
          <w:sz w:val="20"/>
          <w:szCs w:val="20"/>
        </w:rPr>
        <w:t xml:space="preserve">Department for Work and Pensions (n </w:t>
      </w:r>
      <w:r w:rsidR="00815E7B" w:rsidRPr="000F7532">
        <w:rPr>
          <w:rFonts w:asciiTheme="majorBidi" w:hAnsiTheme="majorBidi" w:cstheme="majorBidi"/>
          <w:color w:val="000000" w:themeColor="text1"/>
          <w:sz w:val="20"/>
          <w:szCs w:val="20"/>
        </w:rPr>
        <w:fldChar w:fldCharType="begin"/>
      </w:r>
      <w:r w:rsidR="00815E7B" w:rsidRPr="000F7532">
        <w:rPr>
          <w:rFonts w:asciiTheme="majorBidi" w:hAnsiTheme="majorBidi" w:cstheme="majorBidi"/>
          <w:color w:val="000000" w:themeColor="text1"/>
          <w:sz w:val="20"/>
          <w:szCs w:val="20"/>
        </w:rPr>
        <w:instrText xml:space="preserve"> NOTEREF _Ref205383157 \h  \* MERGEFORMAT </w:instrText>
      </w:r>
      <w:r w:rsidR="00815E7B" w:rsidRPr="000F7532">
        <w:rPr>
          <w:rFonts w:asciiTheme="majorBidi" w:hAnsiTheme="majorBidi" w:cstheme="majorBidi"/>
          <w:color w:val="000000" w:themeColor="text1"/>
          <w:sz w:val="20"/>
          <w:szCs w:val="20"/>
        </w:rPr>
      </w:r>
      <w:r w:rsidR="00815E7B" w:rsidRPr="000F7532">
        <w:rPr>
          <w:rFonts w:asciiTheme="majorBidi" w:hAnsiTheme="majorBidi" w:cstheme="majorBidi"/>
          <w:color w:val="000000" w:themeColor="text1"/>
          <w:sz w:val="20"/>
          <w:szCs w:val="20"/>
        </w:rPr>
        <w:fldChar w:fldCharType="separate"/>
      </w:r>
      <w:r w:rsidR="003479F0" w:rsidRPr="000F7532">
        <w:rPr>
          <w:rFonts w:asciiTheme="majorBidi" w:hAnsiTheme="majorBidi" w:cstheme="majorBidi"/>
          <w:color w:val="000000" w:themeColor="text1"/>
          <w:sz w:val="20"/>
          <w:szCs w:val="20"/>
        </w:rPr>
        <w:t>3</w:t>
      </w:r>
      <w:r w:rsidR="00815E7B" w:rsidRPr="000F7532">
        <w:rPr>
          <w:rFonts w:asciiTheme="majorBidi" w:hAnsiTheme="majorBidi" w:cstheme="majorBidi"/>
          <w:color w:val="000000" w:themeColor="text1"/>
          <w:sz w:val="20"/>
          <w:szCs w:val="20"/>
        </w:rPr>
        <w:fldChar w:fldCharType="end"/>
      </w:r>
      <w:r w:rsidR="00815E7B" w:rsidRPr="000F7532">
        <w:rPr>
          <w:rFonts w:asciiTheme="majorBidi" w:hAnsiTheme="majorBidi" w:cstheme="majorBidi"/>
          <w:color w:val="000000" w:themeColor="text1"/>
          <w:sz w:val="20"/>
          <w:szCs w:val="20"/>
        </w:rPr>
        <w:t xml:space="preserve"> above) pg. 37.</w:t>
      </w:r>
    </w:p>
  </w:footnote>
  <w:footnote w:id="41">
    <w:p w14:paraId="342488DD" w14:textId="77777777"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815E7B" w:rsidRPr="000F7532">
        <w:rPr>
          <w:rFonts w:asciiTheme="majorBidi" w:eastAsia="Times New Roman" w:hAnsiTheme="majorBidi" w:cstheme="majorBidi"/>
          <w:color w:val="000000" w:themeColor="text1"/>
          <w:sz w:val="20"/>
          <w:szCs w:val="20"/>
        </w:rPr>
        <w:t>Ibid</w:t>
      </w:r>
      <w:r w:rsidR="00815E7B" w:rsidRPr="000F7532">
        <w:rPr>
          <w:rFonts w:asciiTheme="majorBidi" w:hAnsiTheme="majorBidi" w:cstheme="majorBidi"/>
          <w:color w:val="000000" w:themeColor="text1"/>
          <w:sz w:val="20"/>
          <w:szCs w:val="20"/>
        </w:rPr>
        <w:t xml:space="preserve"> pg. 38.</w:t>
      </w:r>
    </w:p>
  </w:footnote>
  <w:footnote w:id="42">
    <w:p w14:paraId="78A35CD3" w14:textId="77777777"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815E7B" w:rsidRPr="000F7532">
        <w:rPr>
          <w:rFonts w:asciiTheme="majorBidi" w:eastAsia="Times New Roman" w:hAnsiTheme="majorBidi" w:cstheme="majorBidi"/>
          <w:color w:val="000000" w:themeColor="text1"/>
          <w:sz w:val="20"/>
          <w:szCs w:val="20"/>
        </w:rPr>
        <w:t>Ibid.</w:t>
      </w:r>
    </w:p>
  </w:footnote>
  <w:footnote w:id="43">
    <w:p w14:paraId="2E2D02FD" w14:textId="77777777"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815E7B" w:rsidRPr="000F7532">
        <w:rPr>
          <w:rFonts w:asciiTheme="majorBidi" w:eastAsia="Times New Roman" w:hAnsiTheme="majorBidi" w:cstheme="majorBidi"/>
          <w:color w:val="000000" w:themeColor="text1"/>
          <w:sz w:val="20"/>
          <w:szCs w:val="20"/>
        </w:rPr>
        <w:t>Ibid pg. 39.</w:t>
      </w:r>
    </w:p>
  </w:footnote>
  <w:footnote w:id="44">
    <w:p w14:paraId="0FD872F6" w14:textId="77777777"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815E7B" w:rsidRPr="000F7532">
        <w:rPr>
          <w:rFonts w:asciiTheme="majorBidi" w:eastAsia="Times New Roman" w:hAnsiTheme="majorBidi" w:cstheme="majorBidi"/>
          <w:color w:val="000000" w:themeColor="text1"/>
          <w:sz w:val="20"/>
          <w:szCs w:val="20"/>
        </w:rPr>
        <w:t>Ibid pg. 39.</w:t>
      </w:r>
    </w:p>
  </w:footnote>
  <w:footnote w:id="45">
    <w:p w14:paraId="7DBF130B" w14:textId="77777777"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815E7B" w:rsidRPr="000F7532">
        <w:rPr>
          <w:rFonts w:asciiTheme="majorBidi" w:eastAsia="Times New Roman" w:hAnsiTheme="majorBidi" w:cstheme="majorBidi"/>
          <w:color w:val="000000" w:themeColor="text1"/>
          <w:sz w:val="20"/>
          <w:szCs w:val="20"/>
        </w:rPr>
        <w:t>Ibid pg.39-40.</w:t>
      </w:r>
    </w:p>
  </w:footnote>
  <w:footnote w:id="46">
    <w:p w14:paraId="264A785F" w14:textId="77777777"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9C7FFC" w:rsidRPr="000F7532">
        <w:rPr>
          <w:rFonts w:asciiTheme="majorBidi" w:eastAsia="Times New Roman" w:hAnsiTheme="majorBidi" w:cstheme="majorBidi"/>
          <w:color w:val="000000" w:themeColor="text1"/>
          <w:sz w:val="20"/>
          <w:szCs w:val="20"/>
        </w:rPr>
        <w:t>Ibid pg. 40.</w:t>
      </w:r>
    </w:p>
  </w:footnote>
  <w:footnote w:id="47">
    <w:p w14:paraId="11F8933B" w14:textId="77777777"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9C7FFC" w:rsidRPr="000F7532">
        <w:rPr>
          <w:rFonts w:asciiTheme="majorBidi" w:eastAsia="Times New Roman" w:hAnsiTheme="majorBidi" w:cstheme="majorBidi"/>
          <w:color w:val="000000" w:themeColor="text1"/>
          <w:sz w:val="20"/>
          <w:szCs w:val="20"/>
        </w:rPr>
        <w:t>Ibid pg. 80.</w:t>
      </w:r>
    </w:p>
  </w:footnote>
  <w:footnote w:id="48">
    <w:p w14:paraId="0834F330" w14:textId="77777777"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9C7FFC" w:rsidRPr="000F7532">
        <w:rPr>
          <w:rFonts w:asciiTheme="majorBidi" w:eastAsia="Times New Roman" w:hAnsiTheme="majorBidi" w:cstheme="majorBidi"/>
          <w:color w:val="000000" w:themeColor="text1"/>
          <w:sz w:val="20"/>
          <w:szCs w:val="20"/>
        </w:rPr>
        <w:t>Ibid.</w:t>
      </w:r>
    </w:p>
  </w:footnote>
  <w:footnote w:id="49">
    <w:p w14:paraId="7262271D" w14:textId="77777777"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9C7FFC" w:rsidRPr="000F7532">
        <w:rPr>
          <w:rFonts w:asciiTheme="majorBidi" w:eastAsia="Times New Roman" w:hAnsiTheme="majorBidi" w:cstheme="majorBidi"/>
          <w:color w:val="000000" w:themeColor="text1"/>
          <w:sz w:val="20"/>
          <w:szCs w:val="20"/>
        </w:rPr>
        <w:t>Ibid pg. 49.</w:t>
      </w:r>
    </w:p>
  </w:footnote>
  <w:footnote w:id="50">
    <w:p w14:paraId="3A8389F5" w14:textId="77777777"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9C7FFC" w:rsidRPr="000F7532">
        <w:rPr>
          <w:rFonts w:asciiTheme="majorBidi" w:eastAsia="Times New Roman" w:hAnsiTheme="majorBidi" w:cstheme="majorBidi"/>
          <w:color w:val="000000" w:themeColor="text1"/>
          <w:sz w:val="20"/>
          <w:szCs w:val="20"/>
        </w:rPr>
        <w:t>Ibid pg. 50.</w:t>
      </w:r>
    </w:p>
  </w:footnote>
  <w:footnote w:id="51">
    <w:p w14:paraId="635050BF" w14:textId="77777777"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9C7FFC" w:rsidRPr="000F7532">
        <w:rPr>
          <w:rFonts w:asciiTheme="majorBidi" w:eastAsia="Times New Roman" w:hAnsiTheme="majorBidi" w:cstheme="majorBidi"/>
          <w:color w:val="000000" w:themeColor="text1"/>
          <w:sz w:val="20"/>
          <w:szCs w:val="20"/>
        </w:rPr>
        <w:t>Ibid pg. 53.</w:t>
      </w:r>
    </w:p>
  </w:footnote>
  <w:footnote w:id="52">
    <w:p w14:paraId="1B3699F0" w14:textId="77777777"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9C7FFC" w:rsidRPr="000F7532">
        <w:rPr>
          <w:rFonts w:asciiTheme="majorBidi" w:eastAsia="Times New Roman" w:hAnsiTheme="majorBidi" w:cstheme="majorBidi"/>
          <w:color w:val="000000" w:themeColor="text1"/>
          <w:sz w:val="20"/>
          <w:szCs w:val="20"/>
        </w:rPr>
        <w:t>Ibid pg. 51.</w:t>
      </w:r>
    </w:p>
  </w:footnote>
  <w:footnote w:id="53">
    <w:p w14:paraId="18BC4AE8" w14:textId="1CF49BB8" w:rsidR="00C7554F" w:rsidRPr="000F7532" w:rsidRDefault="00000000" w:rsidP="000F7532">
      <w:pPr>
        <w:spacing w:after="0" w:line="276" w:lineRule="auto"/>
        <w:rPr>
          <w:rFonts w:asciiTheme="majorBidi"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hAnsiTheme="majorBidi" w:cstheme="majorBidi"/>
          <w:color w:val="000000" w:themeColor="text1"/>
          <w:sz w:val="20"/>
          <w:szCs w:val="20"/>
        </w:rPr>
        <w:t xml:space="preserve"> </w:t>
      </w:r>
      <w:r w:rsidR="00D9594E" w:rsidRPr="000F7532">
        <w:rPr>
          <w:rFonts w:asciiTheme="majorBidi" w:hAnsiTheme="majorBidi" w:cstheme="majorBidi"/>
          <w:color w:val="000000" w:themeColor="text1"/>
          <w:sz w:val="20"/>
          <w:szCs w:val="20"/>
        </w:rPr>
        <w:t xml:space="preserve">Department for Work and Pensions and Department of Health and Social Care, ‘Work, Health and Disability Green Paper: Improving Lives’ (November 2016) </w:t>
      </w:r>
      <w:hyperlink r:id="rId7" w:history="1">
        <w:r w:rsidR="00D9594E" w:rsidRPr="000F7532">
          <w:rPr>
            <w:rStyle w:val="Hyperlink"/>
            <w:rFonts w:asciiTheme="majorBidi" w:hAnsiTheme="majorBidi" w:cstheme="majorBidi"/>
            <w:color w:val="000000" w:themeColor="text1"/>
            <w:sz w:val="20"/>
            <w:szCs w:val="20"/>
          </w:rPr>
          <w:t>https://www.gov.uk/government/consultations/work-health-and-disability-improving-lives/work-health-and-disability-green-paper-improving-lives</w:t>
        </w:r>
      </w:hyperlink>
      <w:r w:rsidR="00D9594E" w:rsidRPr="000F7532">
        <w:rPr>
          <w:rFonts w:asciiTheme="majorBidi" w:hAnsiTheme="majorBidi" w:cstheme="majorBidi"/>
          <w:color w:val="000000" w:themeColor="text1"/>
          <w:sz w:val="20"/>
          <w:szCs w:val="20"/>
        </w:rPr>
        <w:t xml:space="preserve"> accessed 6 August 2025 </w:t>
      </w:r>
    </w:p>
  </w:footnote>
  <w:footnote w:id="54">
    <w:p w14:paraId="0A925B09" w14:textId="77777777" w:rsidR="00C7554F" w:rsidRPr="000F7532" w:rsidRDefault="00000000" w:rsidP="000F7532">
      <w:pPr>
        <w:spacing w:after="0" w:line="276" w:lineRule="auto"/>
        <w:rPr>
          <w:rFonts w:asciiTheme="majorBidi"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hAnsiTheme="majorBidi" w:cstheme="majorBidi"/>
          <w:color w:val="000000" w:themeColor="text1"/>
          <w:sz w:val="20"/>
          <w:szCs w:val="20"/>
        </w:rPr>
        <w:t xml:space="preserve"> For an overview, see U5403 at </w:t>
      </w:r>
      <w:r w:rsidR="00E4490B" w:rsidRPr="000F7532">
        <w:rPr>
          <w:rFonts w:asciiTheme="majorBidi" w:hAnsiTheme="majorBidi" w:cstheme="majorBidi"/>
          <w:color w:val="000000" w:themeColor="text1"/>
          <w:sz w:val="20"/>
          <w:szCs w:val="20"/>
        </w:rPr>
        <w:t>Department for Work and Pensions, 'ESA Claimant Responsibilities – Work-Related Requirements' in Advice for Decision Making: Chapter U5 https://assets.publishing.service.gov.uk/media/5a81f2b440f0b6230269a063/admu5.pdf accessed 6 August 2025</w:t>
      </w:r>
    </w:p>
  </w:footnote>
  <w:footnote w:id="55">
    <w:p w14:paraId="4296CEFE" w14:textId="568228F4" w:rsidR="00101AA5" w:rsidRPr="000F7532" w:rsidRDefault="00101AA5" w:rsidP="000F7532">
      <w:pPr>
        <w:pStyle w:val="FootnoteText"/>
        <w:spacing w:line="276" w:lineRule="auto"/>
        <w:rPr>
          <w:rFonts w:asciiTheme="majorBidi" w:hAnsiTheme="majorBidi" w:cstheme="majorBidi"/>
        </w:rPr>
      </w:pPr>
      <w:r w:rsidRPr="000F7532">
        <w:rPr>
          <w:rStyle w:val="FootnoteReference"/>
          <w:rFonts w:asciiTheme="majorBidi" w:hAnsiTheme="majorBidi" w:cstheme="majorBidi"/>
        </w:rPr>
        <w:footnoteRef/>
      </w:r>
      <w:r w:rsidRPr="000F7532">
        <w:rPr>
          <w:rFonts w:asciiTheme="majorBidi" w:hAnsiTheme="majorBidi" w:cstheme="majorBidi"/>
        </w:rPr>
        <w:t xml:space="preserve"> See Bruce Stafford, ‘New Deal for Disabled People: what’s new about New Deal?’ in Roulstone, A &amp; Barnes, C (eds) </w:t>
      </w:r>
      <w:r w:rsidRPr="000F7532">
        <w:rPr>
          <w:rFonts w:asciiTheme="majorBidi" w:hAnsiTheme="majorBidi" w:cstheme="majorBidi"/>
          <w:i/>
          <w:iCs/>
        </w:rPr>
        <w:t xml:space="preserve">Working Futures: Disabled People, Policy and Social Inclusion </w:t>
      </w:r>
      <w:r w:rsidRPr="000F7532">
        <w:rPr>
          <w:rFonts w:asciiTheme="majorBidi" w:hAnsiTheme="majorBidi" w:cstheme="majorBidi"/>
        </w:rPr>
        <w:t>(Bristol University Press 2005) 45-58.</w:t>
      </w:r>
    </w:p>
  </w:footnote>
  <w:footnote w:id="56">
    <w:p w14:paraId="2BBB16F4" w14:textId="2F5BBA3B"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A43BB5" w:rsidRPr="000F7532">
        <w:rPr>
          <w:rFonts w:asciiTheme="majorBidi" w:eastAsia="Times New Roman" w:hAnsiTheme="majorBidi" w:cstheme="majorBidi"/>
          <w:color w:val="000000" w:themeColor="text1"/>
          <w:sz w:val="20"/>
          <w:szCs w:val="20"/>
        </w:rPr>
        <w:t xml:space="preserve">See </w:t>
      </w:r>
      <w:r w:rsidR="00A43BB5" w:rsidRPr="000F7532">
        <w:rPr>
          <w:rFonts w:asciiTheme="majorBidi" w:hAnsiTheme="majorBidi" w:cstheme="majorBidi"/>
          <w:color w:val="000000" w:themeColor="text1"/>
          <w:sz w:val="20"/>
          <w:szCs w:val="20"/>
        </w:rPr>
        <w:t xml:space="preserve">Department for Work and Pensions (n </w:t>
      </w:r>
      <w:r w:rsidR="00A43BB5" w:rsidRPr="000F7532">
        <w:rPr>
          <w:rFonts w:asciiTheme="majorBidi" w:hAnsiTheme="majorBidi" w:cstheme="majorBidi"/>
          <w:color w:val="000000" w:themeColor="text1"/>
          <w:sz w:val="20"/>
          <w:szCs w:val="20"/>
        </w:rPr>
        <w:fldChar w:fldCharType="begin"/>
      </w:r>
      <w:r w:rsidR="00A43BB5" w:rsidRPr="000F7532">
        <w:rPr>
          <w:rFonts w:asciiTheme="majorBidi" w:hAnsiTheme="majorBidi" w:cstheme="majorBidi"/>
          <w:color w:val="000000" w:themeColor="text1"/>
          <w:sz w:val="20"/>
          <w:szCs w:val="20"/>
        </w:rPr>
        <w:instrText xml:space="preserve"> NOTEREF _Ref205383157 \h  \* MERGEFORMAT </w:instrText>
      </w:r>
      <w:r w:rsidR="00A43BB5" w:rsidRPr="000F7532">
        <w:rPr>
          <w:rFonts w:asciiTheme="majorBidi" w:hAnsiTheme="majorBidi" w:cstheme="majorBidi"/>
          <w:color w:val="000000" w:themeColor="text1"/>
          <w:sz w:val="20"/>
          <w:szCs w:val="20"/>
        </w:rPr>
      </w:r>
      <w:r w:rsidR="00A43BB5" w:rsidRPr="000F7532">
        <w:rPr>
          <w:rFonts w:asciiTheme="majorBidi" w:hAnsiTheme="majorBidi" w:cstheme="majorBidi"/>
          <w:color w:val="000000" w:themeColor="text1"/>
          <w:sz w:val="20"/>
          <w:szCs w:val="20"/>
        </w:rPr>
        <w:fldChar w:fldCharType="separate"/>
      </w:r>
      <w:r w:rsidR="003479F0" w:rsidRPr="000F7532">
        <w:rPr>
          <w:rFonts w:asciiTheme="majorBidi" w:hAnsiTheme="majorBidi" w:cstheme="majorBidi"/>
          <w:color w:val="000000" w:themeColor="text1"/>
          <w:sz w:val="20"/>
          <w:szCs w:val="20"/>
        </w:rPr>
        <w:t>3</w:t>
      </w:r>
      <w:r w:rsidR="00A43BB5" w:rsidRPr="000F7532">
        <w:rPr>
          <w:rFonts w:asciiTheme="majorBidi" w:hAnsiTheme="majorBidi" w:cstheme="majorBidi"/>
          <w:color w:val="000000" w:themeColor="text1"/>
          <w:sz w:val="20"/>
          <w:szCs w:val="20"/>
        </w:rPr>
        <w:fldChar w:fldCharType="end"/>
      </w:r>
      <w:r w:rsidR="00A43BB5" w:rsidRPr="000F7532">
        <w:rPr>
          <w:rFonts w:asciiTheme="majorBidi" w:hAnsiTheme="majorBidi" w:cstheme="majorBidi"/>
          <w:color w:val="000000" w:themeColor="text1"/>
          <w:sz w:val="20"/>
          <w:szCs w:val="20"/>
        </w:rPr>
        <w:t xml:space="preserve"> above) pg. 55.</w:t>
      </w:r>
    </w:p>
  </w:footnote>
  <w:footnote w:id="57">
    <w:p w14:paraId="436C4856" w14:textId="77777777"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A43BB5" w:rsidRPr="000F7532">
        <w:rPr>
          <w:rFonts w:asciiTheme="majorBidi" w:eastAsia="Times New Roman" w:hAnsiTheme="majorBidi" w:cstheme="majorBidi"/>
          <w:color w:val="000000" w:themeColor="text1"/>
          <w:sz w:val="20"/>
          <w:szCs w:val="20"/>
        </w:rPr>
        <w:t>Ibid pg. 56-57.</w:t>
      </w:r>
    </w:p>
  </w:footnote>
  <w:footnote w:id="58">
    <w:p w14:paraId="2C1FDFD6" w14:textId="77777777"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A43BB5" w:rsidRPr="000F7532">
        <w:rPr>
          <w:rFonts w:asciiTheme="majorBidi" w:eastAsia="Times New Roman" w:hAnsiTheme="majorBidi" w:cstheme="majorBidi"/>
          <w:color w:val="000000" w:themeColor="text1"/>
          <w:sz w:val="20"/>
          <w:szCs w:val="20"/>
        </w:rPr>
        <w:t>Ibid pg. 56.</w:t>
      </w:r>
    </w:p>
  </w:footnote>
  <w:footnote w:id="59">
    <w:p w14:paraId="5DDAF15A" w14:textId="77777777"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A43BB5" w:rsidRPr="000F7532">
        <w:rPr>
          <w:rFonts w:asciiTheme="majorBidi" w:eastAsia="Times New Roman" w:hAnsiTheme="majorBidi" w:cstheme="majorBidi"/>
          <w:color w:val="000000" w:themeColor="text1"/>
          <w:sz w:val="20"/>
          <w:szCs w:val="20"/>
        </w:rPr>
        <w:t>Ibid pg. 58.</w:t>
      </w:r>
    </w:p>
  </w:footnote>
  <w:footnote w:id="60">
    <w:p w14:paraId="3369F704" w14:textId="77777777"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A43BB5" w:rsidRPr="000F7532">
        <w:rPr>
          <w:rFonts w:asciiTheme="majorBidi" w:eastAsia="Times New Roman" w:hAnsiTheme="majorBidi" w:cstheme="majorBidi"/>
          <w:color w:val="000000" w:themeColor="text1"/>
          <w:sz w:val="20"/>
          <w:szCs w:val="20"/>
        </w:rPr>
        <w:t>Ibid pg. 57.</w:t>
      </w:r>
    </w:p>
  </w:footnote>
  <w:footnote w:id="61">
    <w:p w14:paraId="03362ED2" w14:textId="77777777"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A43BB5" w:rsidRPr="000F7532">
        <w:rPr>
          <w:rFonts w:asciiTheme="majorBidi" w:eastAsia="Times New Roman" w:hAnsiTheme="majorBidi" w:cstheme="majorBidi"/>
          <w:color w:val="000000" w:themeColor="text1"/>
          <w:sz w:val="20"/>
          <w:szCs w:val="20"/>
        </w:rPr>
        <w:t>Ibid pg. 61.</w:t>
      </w:r>
    </w:p>
  </w:footnote>
  <w:footnote w:id="62">
    <w:p w14:paraId="50AEE403" w14:textId="77777777"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A43BB5" w:rsidRPr="000F7532">
        <w:rPr>
          <w:rFonts w:asciiTheme="majorBidi" w:eastAsia="Times New Roman" w:hAnsiTheme="majorBidi" w:cstheme="majorBidi"/>
          <w:color w:val="000000" w:themeColor="text1"/>
          <w:sz w:val="20"/>
          <w:szCs w:val="20"/>
        </w:rPr>
        <w:t>Ibid pg. 54.</w:t>
      </w:r>
    </w:p>
  </w:footnote>
  <w:footnote w:id="63">
    <w:p w14:paraId="606E29FF" w14:textId="77777777"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A43BB5" w:rsidRPr="000F7532">
        <w:rPr>
          <w:rFonts w:asciiTheme="majorBidi" w:eastAsia="Times New Roman" w:hAnsiTheme="majorBidi" w:cstheme="majorBidi"/>
          <w:color w:val="000000" w:themeColor="text1"/>
          <w:sz w:val="20"/>
          <w:szCs w:val="20"/>
        </w:rPr>
        <w:t>Ibid pg. 61.</w:t>
      </w:r>
    </w:p>
  </w:footnote>
  <w:footnote w:id="64">
    <w:p w14:paraId="7D4E037C" w14:textId="77777777"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A43BB5" w:rsidRPr="000F7532">
        <w:rPr>
          <w:rFonts w:asciiTheme="majorBidi" w:eastAsia="Times New Roman" w:hAnsiTheme="majorBidi" w:cstheme="majorBidi"/>
          <w:color w:val="000000" w:themeColor="text1"/>
          <w:sz w:val="20"/>
          <w:szCs w:val="20"/>
        </w:rPr>
        <w:t>Ibid pg. 66-67.</w:t>
      </w:r>
    </w:p>
  </w:footnote>
  <w:footnote w:id="65">
    <w:p w14:paraId="34E8A2CF" w14:textId="581CC006" w:rsidR="00C7554F" w:rsidRPr="000F7532" w:rsidRDefault="00000000" w:rsidP="000F7532">
      <w:pPr>
        <w:spacing w:after="0" w:line="276" w:lineRule="auto"/>
        <w:rPr>
          <w:rFonts w:asciiTheme="majorBidi"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hAnsiTheme="majorBidi" w:cstheme="majorBidi"/>
          <w:color w:val="000000" w:themeColor="text1"/>
          <w:sz w:val="20"/>
          <w:szCs w:val="20"/>
        </w:rPr>
        <w:t xml:space="preserve"> </w:t>
      </w:r>
      <w:r w:rsidR="00E4490B" w:rsidRPr="000F7532">
        <w:rPr>
          <w:rFonts w:asciiTheme="majorBidi" w:eastAsia="Times New Roman" w:hAnsiTheme="majorBidi" w:cstheme="majorBidi"/>
          <w:color w:val="000000" w:themeColor="text1"/>
          <w:sz w:val="20"/>
          <w:szCs w:val="20"/>
        </w:rPr>
        <w:t xml:space="preserve">House of Commons Work and Pensions Committee (n </w:t>
      </w:r>
      <w:r w:rsidR="00E4490B" w:rsidRPr="000F7532">
        <w:rPr>
          <w:rFonts w:asciiTheme="majorBidi" w:eastAsia="Times New Roman" w:hAnsiTheme="majorBidi" w:cstheme="majorBidi"/>
          <w:color w:val="000000" w:themeColor="text1"/>
          <w:sz w:val="20"/>
          <w:szCs w:val="20"/>
        </w:rPr>
        <w:fldChar w:fldCharType="begin"/>
      </w:r>
      <w:r w:rsidR="00E4490B" w:rsidRPr="000F7532">
        <w:rPr>
          <w:rFonts w:asciiTheme="majorBidi" w:eastAsia="Times New Roman" w:hAnsiTheme="majorBidi" w:cstheme="majorBidi"/>
          <w:color w:val="000000" w:themeColor="text1"/>
          <w:sz w:val="20"/>
          <w:szCs w:val="20"/>
        </w:rPr>
        <w:instrText xml:space="preserve"> NOTEREF _Ref205384425 \h </w:instrText>
      </w:r>
      <w:r w:rsidR="001B16B5" w:rsidRPr="000F7532">
        <w:rPr>
          <w:rFonts w:asciiTheme="majorBidi" w:eastAsia="Times New Roman" w:hAnsiTheme="majorBidi" w:cstheme="majorBidi"/>
          <w:color w:val="000000" w:themeColor="text1"/>
          <w:sz w:val="20"/>
          <w:szCs w:val="20"/>
        </w:rPr>
        <w:instrText xml:space="preserve"> \* MERGEFORMAT </w:instrText>
      </w:r>
      <w:r w:rsidR="00E4490B" w:rsidRPr="000F7532">
        <w:rPr>
          <w:rFonts w:asciiTheme="majorBidi" w:eastAsia="Times New Roman" w:hAnsiTheme="majorBidi" w:cstheme="majorBidi"/>
          <w:color w:val="000000" w:themeColor="text1"/>
          <w:sz w:val="20"/>
          <w:szCs w:val="20"/>
        </w:rPr>
      </w:r>
      <w:r w:rsidR="00E4490B" w:rsidRPr="000F7532">
        <w:rPr>
          <w:rFonts w:asciiTheme="majorBidi" w:eastAsia="Times New Roman" w:hAnsiTheme="majorBidi" w:cstheme="majorBidi"/>
          <w:color w:val="000000" w:themeColor="text1"/>
          <w:sz w:val="20"/>
          <w:szCs w:val="20"/>
        </w:rPr>
        <w:fldChar w:fldCharType="separate"/>
      </w:r>
      <w:r w:rsidR="003479F0" w:rsidRPr="000F7532">
        <w:rPr>
          <w:rFonts w:asciiTheme="majorBidi" w:eastAsia="Times New Roman" w:hAnsiTheme="majorBidi" w:cstheme="majorBidi"/>
          <w:color w:val="000000" w:themeColor="text1"/>
          <w:sz w:val="20"/>
          <w:szCs w:val="20"/>
        </w:rPr>
        <w:t>20</w:t>
      </w:r>
      <w:r w:rsidR="00E4490B" w:rsidRPr="000F7532">
        <w:rPr>
          <w:rFonts w:asciiTheme="majorBidi" w:eastAsia="Times New Roman" w:hAnsiTheme="majorBidi" w:cstheme="majorBidi"/>
          <w:color w:val="000000" w:themeColor="text1"/>
          <w:sz w:val="20"/>
          <w:szCs w:val="20"/>
        </w:rPr>
        <w:fldChar w:fldCharType="end"/>
      </w:r>
      <w:r w:rsidR="00E4490B" w:rsidRPr="000F7532">
        <w:rPr>
          <w:rFonts w:asciiTheme="majorBidi" w:eastAsia="Times New Roman" w:hAnsiTheme="majorBidi" w:cstheme="majorBidi"/>
          <w:color w:val="000000" w:themeColor="text1"/>
          <w:sz w:val="20"/>
          <w:szCs w:val="20"/>
        </w:rPr>
        <w:t xml:space="preserve"> above) pg. 2.</w:t>
      </w:r>
    </w:p>
  </w:footnote>
  <w:footnote w:id="66">
    <w:p w14:paraId="5BBAB54A" w14:textId="77777777" w:rsidR="00C7554F" w:rsidRPr="000F7532" w:rsidRDefault="00000000" w:rsidP="000F7532">
      <w:pPr>
        <w:spacing w:after="0" w:line="276" w:lineRule="auto"/>
        <w:rPr>
          <w:rFonts w:asciiTheme="majorBidi"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hAnsiTheme="majorBidi" w:cstheme="majorBidi"/>
          <w:color w:val="000000" w:themeColor="text1"/>
          <w:sz w:val="20"/>
          <w:szCs w:val="20"/>
        </w:rPr>
        <w:t xml:space="preserve"> </w:t>
      </w:r>
      <w:r w:rsidR="00D9729B" w:rsidRPr="000F7532">
        <w:rPr>
          <w:rFonts w:asciiTheme="majorBidi" w:eastAsia="Times New Roman" w:hAnsiTheme="majorBidi" w:cstheme="majorBidi"/>
          <w:color w:val="000000" w:themeColor="text1"/>
          <w:sz w:val="20"/>
          <w:szCs w:val="20"/>
        </w:rPr>
        <w:t>HC Deb 1 July 2025, vol 770, col 219.</w:t>
      </w:r>
    </w:p>
  </w:footnote>
  <w:footnote w:id="67">
    <w:p w14:paraId="24C9CCC6" w14:textId="77777777"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3C61FF" w:rsidRPr="000F7532">
        <w:rPr>
          <w:rFonts w:asciiTheme="majorBidi" w:eastAsia="Times New Roman" w:hAnsiTheme="majorBidi" w:cstheme="majorBidi"/>
          <w:color w:val="000000" w:themeColor="text1"/>
          <w:sz w:val="20"/>
          <w:szCs w:val="20"/>
        </w:rPr>
        <w:t xml:space="preserve">Jackie Gulland, </w:t>
      </w:r>
      <w:r w:rsidR="003C61FF" w:rsidRPr="000F7532">
        <w:rPr>
          <w:rFonts w:asciiTheme="majorBidi" w:eastAsia="Times New Roman" w:hAnsiTheme="majorBidi" w:cstheme="majorBidi"/>
          <w:i/>
          <w:iCs/>
          <w:color w:val="000000" w:themeColor="text1"/>
          <w:sz w:val="20"/>
          <w:szCs w:val="20"/>
        </w:rPr>
        <w:t>Gender, Work and Social Control: A Century of Disability Benefits</w:t>
      </w:r>
      <w:r w:rsidR="003C61FF" w:rsidRPr="000F7532">
        <w:rPr>
          <w:rFonts w:asciiTheme="majorBidi" w:eastAsia="Times New Roman" w:hAnsiTheme="majorBidi" w:cstheme="majorBidi"/>
          <w:color w:val="000000" w:themeColor="text1"/>
          <w:sz w:val="20"/>
          <w:szCs w:val="20"/>
        </w:rPr>
        <w:t xml:space="preserve"> (Palgrave Macmillan, 2019) pg. 50.</w:t>
      </w:r>
    </w:p>
  </w:footnote>
  <w:footnote w:id="68">
    <w:p w14:paraId="6CC18931" w14:textId="77777777"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See </w:t>
      </w:r>
      <w:r w:rsidR="00CE6A7C" w:rsidRPr="000F7532">
        <w:rPr>
          <w:rFonts w:asciiTheme="majorBidi" w:eastAsia="Times New Roman" w:hAnsiTheme="majorBidi" w:cstheme="majorBidi"/>
          <w:color w:val="000000" w:themeColor="text1"/>
          <w:sz w:val="20"/>
          <w:szCs w:val="20"/>
        </w:rPr>
        <w:t>Nick Wikeley, 'The Social Security (Incapacity for Work) Act 1994' (1995) 58 Modern Law Review 523, 524.</w:t>
      </w:r>
    </w:p>
  </w:footnote>
  <w:footnote w:id="69">
    <w:p w14:paraId="57B8FEA8" w14:textId="77777777"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CE6A7C" w:rsidRPr="000F7532">
        <w:rPr>
          <w:rFonts w:asciiTheme="majorBidi" w:eastAsia="Times New Roman" w:hAnsiTheme="majorBidi" w:cstheme="majorBidi"/>
          <w:color w:val="000000" w:themeColor="text1"/>
          <w:sz w:val="20"/>
          <w:szCs w:val="20"/>
        </w:rPr>
        <w:t>Ibid.</w:t>
      </w:r>
    </w:p>
  </w:footnote>
  <w:footnote w:id="70">
    <w:p w14:paraId="6F0E558F" w14:textId="77777777"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For a more detailed assessment of these changes, see: </w:t>
      </w:r>
      <w:r w:rsidR="00CE6A7C" w:rsidRPr="000F7532">
        <w:rPr>
          <w:rFonts w:asciiTheme="majorBidi" w:hAnsiTheme="majorBidi" w:cstheme="majorBidi"/>
          <w:color w:val="000000" w:themeColor="text1"/>
          <w:sz w:val="20"/>
          <w:szCs w:val="20"/>
        </w:rPr>
        <w:t>Gráinne McKeever, 'Welfare to Work for the (In)capacitated - The Reform of Incapacity Benefit' (2000) 29(2) Industrial Law Journal 145.</w:t>
      </w:r>
    </w:p>
  </w:footnote>
  <w:footnote w:id="71">
    <w:p w14:paraId="13F549AF" w14:textId="2188D55F"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Wikeley</w:t>
      </w:r>
      <w:r w:rsidR="00CE6A7C" w:rsidRPr="000F7532">
        <w:rPr>
          <w:rFonts w:asciiTheme="majorBidi" w:eastAsia="Times New Roman" w:hAnsiTheme="majorBidi" w:cstheme="majorBidi"/>
          <w:color w:val="000000" w:themeColor="text1"/>
          <w:sz w:val="20"/>
          <w:szCs w:val="20"/>
        </w:rPr>
        <w:t xml:space="preserve"> (n </w:t>
      </w:r>
      <w:r w:rsidR="00CE6A7C" w:rsidRPr="000F7532">
        <w:rPr>
          <w:rFonts w:asciiTheme="majorBidi" w:eastAsia="Times New Roman" w:hAnsiTheme="majorBidi" w:cstheme="majorBidi"/>
          <w:color w:val="000000" w:themeColor="text1"/>
          <w:sz w:val="20"/>
          <w:szCs w:val="20"/>
        </w:rPr>
        <w:fldChar w:fldCharType="begin"/>
      </w:r>
      <w:r w:rsidR="00CE6A7C" w:rsidRPr="000F7532">
        <w:rPr>
          <w:rFonts w:asciiTheme="majorBidi" w:eastAsia="Times New Roman" w:hAnsiTheme="majorBidi" w:cstheme="majorBidi"/>
          <w:color w:val="000000" w:themeColor="text1"/>
          <w:sz w:val="20"/>
          <w:szCs w:val="20"/>
        </w:rPr>
        <w:instrText xml:space="preserve"> NOTEREF _Ref205388354 \h </w:instrText>
      </w:r>
      <w:r w:rsidR="001B16B5" w:rsidRPr="000F7532">
        <w:rPr>
          <w:rFonts w:asciiTheme="majorBidi" w:eastAsia="Times New Roman" w:hAnsiTheme="majorBidi" w:cstheme="majorBidi"/>
          <w:color w:val="000000" w:themeColor="text1"/>
          <w:sz w:val="20"/>
          <w:szCs w:val="20"/>
        </w:rPr>
        <w:instrText xml:space="preserve"> \* MERGEFORMAT </w:instrText>
      </w:r>
      <w:r w:rsidR="00CE6A7C" w:rsidRPr="000F7532">
        <w:rPr>
          <w:rFonts w:asciiTheme="majorBidi" w:eastAsia="Times New Roman" w:hAnsiTheme="majorBidi" w:cstheme="majorBidi"/>
          <w:color w:val="000000" w:themeColor="text1"/>
          <w:sz w:val="20"/>
          <w:szCs w:val="20"/>
        </w:rPr>
      </w:r>
      <w:r w:rsidR="00CE6A7C" w:rsidRPr="000F7532">
        <w:rPr>
          <w:rFonts w:asciiTheme="majorBidi" w:eastAsia="Times New Roman" w:hAnsiTheme="majorBidi" w:cstheme="majorBidi"/>
          <w:color w:val="000000" w:themeColor="text1"/>
          <w:sz w:val="20"/>
          <w:szCs w:val="20"/>
        </w:rPr>
        <w:fldChar w:fldCharType="separate"/>
      </w:r>
      <w:r w:rsidR="003479F0" w:rsidRPr="000F7532">
        <w:rPr>
          <w:rFonts w:asciiTheme="majorBidi" w:eastAsia="Times New Roman" w:hAnsiTheme="majorBidi" w:cstheme="majorBidi"/>
          <w:color w:val="000000" w:themeColor="text1"/>
          <w:sz w:val="20"/>
          <w:szCs w:val="20"/>
        </w:rPr>
        <w:t>67</w:t>
      </w:r>
      <w:r w:rsidR="00CE6A7C" w:rsidRPr="000F7532">
        <w:rPr>
          <w:rFonts w:asciiTheme="majorBidi" w:eastAsia="Times New Roman" w:hAnsiTheme="majorBidi" w:cstheme="majorBidi"/>
          <w:color w:val="000000" w:themeColor="text1"/>
          <w:sz w:val="20"/>
          <w:szCs w:val="20"/>
        </w:rPr>
        <w:fldChar w:fldCharType="end"/>
      </w:r>
      <w:r w:rsidR="00CE6A7C" w:rsidRPr="000F7532">
        <w:rPr>
          <w:rFonts w:asciiTheme="majorBidi" w:eastAsia="Times New Roman" w:hAnsiTheme="majorBidi" w:cstheme="majorBidi"/>
          <w:color w:val="000000" w:themeColor="text1"/>
          <w:sz w:val="20"/>
          <w:szCs w:val="20"/>
        </w:rPr>
        <w:t xml:space="preserve"> above) at </w:t>
      </w:r>
      <w:r w:rsidRPr="000F7532">
        <w:rPr>
          <w:rFonts w:asciiTheme="majorBidi" w:eastAsia="Times New Roman" w:hAnsiTheme="majorBidi" w:cstheme="majorBidi"/>
          <w:color w:val="000000" w:themeColor="text1"/>
          <w:sz w:val="20"/>
          <w:szCs w:val="20"/>
        </w:rPr>
        <w:t>530.</w:t>
      </w:r>
    </w:p>
  </w:footnote>
  <w:footnote w:id="72">
    <w:p w14:paraId="4418866E" w14:textId="395C3D9E"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CE6A7C" w:rsidRPr="000F7532">
        <w:rPr>
          <w:rFonts w:asciiTheme="majorBidi" w:hAnsiTheme="majorBidi" w:cstheme="majorBidi"/>
          <w:color w:val="000000" w:themeColor="text1"/>
          <w:sz w:val="20"/>
          <w:szCs w:val="20"/>
        </w:rPr>
        <w:t>McKeever</w:t>
      </w:r>
      <w:r w:rsidR="00CE6A7C" w:rsidRPr="000F7532">
        <w:rPr>
          <w:rFonts w:asciiTheme="majorBidi" w:eastAsia="Times New Roman" w:hAnsiTheme="majorBidi" w:cstheme="majorBidi"/>
          <w:color w:val="000000" w:themeColor="text1"/>
          <w:sz w:val="20"/>
          <w:szCs w:val="20"/>
        </w:rPr>
        <w:t xml:space="preserve"> (n </w:t>
      </w:r>
      <w:r w:rsidR="00CE6A7C" w:rsidRPr="000F7532">
        <w:rPr>
          <w:rFonts w:asciiTheme="majorBidi" w:eastAsia="Times New Roman" w:hAnsiTheme="majorBidi" w:cstheme="majorBidi"/>
          <w:color w:val="000000" w:themeColor="text1"/>
          <w:sz w:val="20"/>
          <w:szCs w:val="20"/>
        </w:rPr>
        <w:fldChar w:fldCharType="begin"/>
      </w:r>
      <w:r w:rsidR="00CE6A7C" w:rsidRPr="000F7532">
        <w:rPr>
          <w:rFonts w:asciiTheme="majorBidi" w:eastAsia="Times New Roman" w:hAnsiTheme="majorBidi" w:cstheme="majorBidi"/>
          <w:color w:val="000000" w:themeColor="text1"/>
          <w:sz w:val="20"/>
          <w:szCs w:val="20"/>
        </w:rPr>
        <w:instrText xml:space="preserve"> NOTEREF _Ref205388400 \h </w:instrText>
      </w:r>
      <w:r w:rsidR="001B16B5" w:rsidRPr="000F7532">
        <w:rPr>
          <w:rFonts w:asciiTheme="majorBidi" w:eastAsia="Times New Roman" w:hAnsiTheme="majorBidi" w:cstheme="majorBidi"/>
          <w:color w:val="000000" w:themeColor="text1"/>
          <w:sz w:val="20"/>
          <w:szCs w:val="20"/>
        </w:rPr>
        <w:instrText xml:space="preserve"> \* MERGEFORMAT </w:instrText>
      </w:r>
      <w:r w:rsidR="00CE6A7C" w:rsidRPr="000F7532">
        <w:rPr>
          <w:rFonts w:asciiTheme="majorBidi" w:eastAsia="Times New Roman" w:hAnsiTheme="majorBidi" w:cstheme="majorBidi"/>
          <w:color w:val="000000" w:themeColor="text1"/>
          <w:sz w:val="20"/>
          <w:szCs w:val="20"/>
        </w:rPr>
      </w:r>
      <w:r w:rsidR="00CE6A7C" w:rsidRPr="000F7532">
        <w:rPr>
          <w:rFonts w:asciiTheme="majorBidi" w:eastAsia="Times New Roman" w:hAnsiTheme="majorBidi" w:cstheme="majorBidi"/>
          <w:color w:val="000000" w:themeColor="text1"/>
          <w:sz w:val="20"/>
          <w:szCs w:val="20"/>
        </w:rPr>
        <w:fldChar w:fldCharType="separate"/>
      </w:r>
      <w:r w:rsidR="003479F0" w:rsidRPr="000F7532">
        <w:rPr>
          <w:rFonts w:asciiTheme="majorBidi" w:eastAsia="Times New Roman" w:hAnsiTheme="majorBidi" w:cstheme="majorBidi"/>
          <w:color w:val="000000" w:themeColor="text1"/>
          <w:sz w:val="20"/>
          <w:szCs w:val="20"/>
        </w:rPr>
        <w:t>69</w:t>
      </w:r>
      <w:r w:rsidR="00CE6A7C" w:rsidRPr="000F7532">
        <w:rPr>
          <w:rFonts w:asciiTheme="majorBidi" w:eastAsia="Times New Roman" w:hAnsiTheme="majorBidi" w:cstheme="majorBidi"/>
          <w:color w:val="000000" w:themeColor="text1"/>
          <w:sz w:val="20"/>
          <w:szCs w:val="20"/>
        </w:rPr>
        <w:fldChar w:fldCharType="end"/>
      </w:r>
      <w:r w:rsidR="00CE6A7C" w:rsidRPr="000F7532">
        <w:rPr>
          <w:rFonts w:asciiTheme="majorBidi" w:eastAsia="Times New Roman" w:hAnsiTheme="majorBidi" w:cstheme="majorBidi"/>
          <w:color w:val="000000" w:themeColor="text1"/>
          <w:sz w:val="20"/>
          <w:szCs w:val="20"/>
        </w:rPr>
        <w:t xml:space="preserve"> above) at </w:t>
      </w:r>
      <w:r w:rsidRPr="000F7532">
        <w:rPr>
          <w:rFonts w:asciiTheme="majorBidi" w:eastAsia="Times New Roman" w:hAnsiTheme="majorBidi" w:cstheme="majorBidi"/>
          <w:color w:val="000000" w:themeColor="text1"/>
          <w:sz w:val="20"/>
          <w:szCs w:val="20"/>
        </w:rPr>
        <w:t>174.</w:t>
      </w:r>
    </w:p>
  </w:footnote>
  <w:footnote w:id="73">
    <w:p w14:paraId="7BEA0B37" w14:textId="77777777"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6F2400" w:rsidRPr="000F7532">
        <w:rPr>
          <w:rFonts w:asciiTheme="majorBidi" w:hAnsiTheme="majorBidi" w:cstheme="majorBidi"/>
          <w:color w:val="000000" w:themeColor="text1"/>
          <w:sz w:val="20"/>
          <w:szCs w:val="20"/>
        </w:rPr>
        <w:t>Aimee Grant, 'Scroungers, Shirkers and the Sick: Disability and Welfare in the 21st Century' in Lee Gregory and Steve Iafrati (eds), Diversity and Welfare Provision: Tension and Discrimination in 21st Century Britain (Policy Press 2024) 175, 179.</w:t>
      </w:r>
    </w:p>
  </w:footnote>
  <w:footnote w:id="74">
    <w:p w14:paraId="5CBD3457" w14:textId="77777777"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See s.1(3)(a) Welfare Reform Act 2007 and s. 19(2)(a) Welfare Reform Act 2012.</w:t>
      </w:r>
    </w:p>
  </w:footnote>
  <w:footnote w:id="75">
    <w:p w14:paraId="618DD514" w14:textId="05534E72"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Gulland</w:t>
      </w:r>
      <w:r w:rsidR="00564C90" w:rsidRPr="000F7532">
        <w:rPr>
          <w:rFonts w:asciiTheme="majorBidi" w:eastAsia="Times New Roman" w:hAnsiTheme="majorBidi" w:cstheme="majorBidi"/>
          <w:color w:val="000000" w:themeColor="text1"/>
          <w:sz w:val="20"/>
          <w:szCs w:val="20"/>
        </w:rPr>
        <w:t xml:space="preserve"> (n </w:t>
      </w:r>
      <w:r w:rsidR="00564C90" w:rsidRPr="000F7532">
        <w:rPr>
          <w:rFonts w:asciiTheme="majorBidi" w:eastAsia="Times New Roman" w:hAnsiTheme="majorBidi" w:cstheme="majorBidi"/>
          <w:color w:val="000000" w:themeColor="text1"/>
          <w:sz w:val="20"/>
          <w:szCs w:val="20"/>
        </w:rPr>
        <w:fldChar w:fldCharType="begin"/>
      </w:r>
      <w:r w:rsidR="00564C90" w:rsidRPr="000F7532">
        <w:rPr>
          <w:rFonts w:asciiTheme="majorBidi" w:eastAsia="Times New Roman" w:hAnsiTheme="majorBidi" w:cstheme="majorBidi"/>
          <w:color w:val="000000" w:themeColor="text1"/>
          <w:sz w:val="20"/>
          <w:szCs w:val="20"/>
        </w:rPr>
        <w:instrText xml:space="preserve"> NOTEREF _Ref205388549 \h </w:instrText>
      </w:r>
      <w:r w:rsidR="001B16B5" w:rsidRPr="000F7532">
        <w:rPr>
          <w:rFonts w:asciiTheme="majorBidi" w:eastAsia="Times New Roman" w:hAnsiTheme="majorBidi" w:cstheme="majorBidi"/>
          <w:color w:val="000000" w:themeColor="text1"/>
          <w:sz w:val="20"/>
          <w:szCs w:val="20"/>
        </w:rPr>
        <w:instrText xml:space="preserve"> \* MERGEFORMAT </w:instrText>
      </w:r>
      <w:r w:rsidR="00564C90" w:rsidRPr="000F7532">
        <w:rPr>
          <w:rFonts w:asciiTheme="majorBidi" w:eastAsia="Times New Roman" w:hAnsiTheme="majorBidi" w:cstheme="majorBidi"/>
          <w:color w:val="000000" w:themeColor="text1"/>
          <w:sz w:val="20"/>
          <w:szCs w:val="20"/>
        </w:rPr>
      </w:r>
      <w:r w:rsidR="00564C90" w:rsidRPr="000F7532">
        <w:rPr>
          <w:rFonts w:asciiTheme="majorBidi" w:eastAsia="Times New Roman" w:hAnsiTheme="majorBidi" w:cstheme="majorBidi"/>
          <w:color w:val="000000" w:themeColor="text1"/>
          <w:sz w:val="20"/>
          <w:szCs w:val="20"/>
        </w:rPr>
        <w:fldChar w:fldCharType="separate"/>
      </w:r>
      <w:r w:rsidR="003479F0" w:rsidRPr="000F7532">
        <w:rPr>
          <w:rFonts w:asciiTheme="majorBidi" w:eastAsia="Times New Roman" w:hAnsiTheme="majorBidi" w:cstheme="majorBidi"/>
          <w:color w:val="000000" w:themeColor="text1"/>
          <w:sz w:val="20"/>
          <w:szCs w:val="20"/>
        </w:rPr>
        <w:t>66</w:t>
      </w:r>
      <w:r w:rsidR="00564C90" w:rsidRPr="000F7532">
        <w:rPr>
          <w:rFonts w:asciiTheme="majorBidi" w:eastAsia="Times New Roman" w:hAnsiTheme="majorBidi" w:cstheme="majorBidi"/>
          <w:color w:val="000000" w:themeColor="text1"/>
          <w:sz w:val="20"/>
          <w:szCs w:val="20"/>
        </w:rPr>
        <w:fldChar w:fldCharType="end"/>
      </w:r>
      <w:r w:rsidR="00564C90" w:rsidRPr="000F7532">
        <w:rPr>
          <w:rFonts w:asciiTheme="majorBidi" w:eastAsia="Times New Roman" w:hAnsiTheme="majorBidi" w:cstheme="majorBidi"/>
          <w:color w:val="000000" w:themeColor="text1"/>
          <w:sz w:val="20"/>
          <w:szCs w:val="20"/>
        </w:rPr>
        <w:t xml:space="preserve"> above)</w:t>
      </w:r>
      <w:r w:rsidRPr="000F7532">
        <w:rPr>
          <w:rFonts w:asciiTheme="majorBidi" w:eastAsia="Times New Roman" w:hAnsiTheme="majorBidi" w:cstheme="majorBidi"/>
          <w:color w:val="000000" w:themeColor="text1"/>
          <w:sz w:val="20"/>
          <w:szCs w:val="20"/>
        </w:rPr>
        <w:t xml:space="preserve"> pg. 35.</w:t>
      </w:r>
    </w:p>
  </w:footnote>
  <w:footnote w:id="76">
    <w:p w14:paraId="19345A8D" w14:textId="4010F520"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Gulland</w:t>
      </w:r>
      <w:r w:rsidR="00564C90" w:rsidRPr="000F7532">
        <w:rPr>
          <w:rFonts w:asciiTheme="majorBidi" w:eastAsia="Times New Roman" w:hAnsiTheme="majorBidi" w:cstheme="majorBidi"/>
          <w:color w:val="000000" w:themeColor="text1"/>
          <w:sz w:val="20"/>
          <w:szCs w:val="20"/>
        </w:rPr>
        <w:t xml:space="preserve"> (n </w:t>
      </w:r>
      <w:r w:rsidR="00564C90" w:rsidRPr="000F7532">
        <w:rPr>
          <w:rFonts w:asciiTheme="majorBidi" w:eastAsia="Times New Roman" w:hAnsiTheme="majorBidi" w:cstheme="majorBidi"/>
          <w:color w:val="000000" w:themeColor="text1"/>
          <w:sz w:val="20"/>
          <w:szCs w:val="20"/>
        </w:rPr>
        <w:fldChar w:fldCharType="begin"/>
      </w:r>
      <w:r w:rsidR="00564C90" w:rsidRPr="000F7532">
        <w:rPr>
          <w:rFonts w:asciiTheme="majorBidi" w:eastAsia="Times New Roman" w:hAnsiTheme="majorBidi" w:cstheme="majorBidi"/>
          <w:color w:val="000000" w:themeColor="text1"/>
          <w:sz w:val="20"/>
          <w:szCs w:val="20"/>
        </w:rPr>
        <w:instrText xml:space="preserve"> NOTEREF _Ref205388549 \h </w:instrText>
      </w:r>
      <w:r w:rsidR="001B16B5" w:rsidRPr="000F7532">
        <w:rPr>
          <w:rFonts w:asciiTheme="majorBidi" w:eastAsia="Times New Roman" w:hAnsiTheme="majorBidi" w:cstheme="majorBidi"/>
          <w:color w:val="000000" w:themeColor="text1"/>
          <w:sz w:val="20"/>
          <w:szCs w:val="20"/>
        </w:rPr>
        <w:instrText xml:space="preserve"> \* MERGEFORMAT </w:instrText>
      </w:r>
      <w:r w:rsidR="00564C90" w:rsidRPr="000F7532">
        <w:rPr>
          <w:rFonts w:asciiTheme="majorBidi" w:eastAsia="Times New Roman" w:hAnsiTheme="majorBidi" w:cstheme="majorBidi"/>
          <w:color w:val="000000" w:themeColor="text1"/>
          <w:sz w:val="20"/>
          <w:szCs w:val="20"/>
        </w:rPr>
      </w:r>
      <w:r w:rsidR="00564C90" w:rsidRPr="000F7532">
        <w:rPr>
          <w:rFonts w:asciiTheme="majorBidi" w:eastAsia="Times New Roman" w:hAnsiTheme="majorBidi" w:cstheme="majorBidi"/>
          <w:color w:val="000000" w:themeColor="text1"/>
          <w:sz w:val="20"/>
          <w:szCs w:val="20"/>
        </w:rPr>
        <w:fldChar w:fldCharType="separate"/>
      </w:r>
      <w:r w:rsidR="003479F0" w:rsidRPr="000F7532">
        <w:rPr>
          <w:rFonts w:asciiTheme="majorBidi" w:eastAsia="Times New Roman" w:hAnsiTheme="majorBidi" w:cstheme="majorBidi"/>
          <w:color w:val="000000" w:themeColor="text1"/>
          <w:sz w:val="20"/>
          <w:szCs w:val="20"/>
        </w:rPr>
        <w:t>66</w:t>
      </w:r>
      <w:r w:rsidR="00564C90" w:rsidRPr="000F7532">
        <w:rPr>
          <w:rFonts w:asciiTheme="majorBidi" w:eastAsia="Times New Roman" w:hAnsiTheme="majorBidi" w:cstheme="majorBidi"/>
          <w:color w:val="000000" w:themeColor="text1"/>
          <w:sz w:val="20"/>
          <w:szCs w:val="20"/>
        </w:rPr>
        <w:fldChar w:fldCharType="end"/>
      </w:r>
      <w:r w:rsidR="00564C90" w:rsidRPr="000F7532">
        <w:rPr>
          <w:rFonts w:asciiTheme="majorBidi" w:eastAsia="Times New Roman" w:hAnsiTheme="majorBidi" w:cstheme="majorBidi"/>
          <w:color w:val="000000" w:themeColor="text1"/>
          <w:sz w:val="20"/>
          <w:szCs w:val="20"/>
        </w:rPr>
        <w:t xml:space="preserve"> above)</w:t>
      </w:r>
      <w:r w:rsidRPr="000F7532">
        <w:rPr>
          <w:rFonts w:asciiTheme="majorBidi" w:eastAsia="Times New Roman" w:hAnsiTheme="majorBidi" w:cstheme="majorBidi"/>
          <w:color w:val="000000" w:themeColor="text1"/>
          <w:sz w:val="20"/>
          <w:szCs w:val="20"/>
        </w:rPr>
        <w:t xml:space="preserve"> pg. 35.</w:t>
      </w:r>
    </w:p>
  </w:footnote>
  <w:footnote w:id="77">
    <w:p w14:paraId="0882977C" w14:textId="2917D8DB"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See Wikeley</w:t>
      </w:r>
      <w:r w:rsidR="007310A6" w:rsidRPr="000F7532">
        <w:rPr>
          <w:rFonts w:asciiTheme="majorBidi" w:eastAsia="Times New Roman" w:hAnsiTheme="majorBidi" w:cstheme="majorBidi"/>
          <w:color w:val="000000" w:themeColor="text1"/>
          <w:sz w:val="20"/>
          <w:szCs w:val="20"/>
        </w:rPr>
        <w:t xml:space="preserve"> (n </w:t>
      </w:r>
      <w:r w:rsidR="007310A6" w:rsidRPr="000F7532">
        <w:rPr>
          <w:rFonts w:asciiTheme="majorBidi" w:eastAsia="Times New Roman" w:hAnsiTheme="majorBidi" w:cstheme="majorBidi"/>
          <w:color w:val="000000" w:themeColor="text1"/>
          <w:sz w:val="20"/>
          <w:szCs w:val="20"/>
        </w:rPr>
        <w:fldChar w:fldCharType="begin"/>
      </w:r>
      <w:r w:rsidR="007310A6" w:rsidRPr="000F7532">
        <w:rPr>
          <w:rFonts w:asciiTheme="majorBidi" w:eastAsia="Times New Roman" w:hAnsiTheme="majorBidi" w:cstheme="majorBidi"/>
          <w:color w:val="000000" w:themeColor="text1"/>
          <w:sz w:val="20"/>
          <w:szCs w:val="20"/>
        </w:rPr>
        <w:instrText xml:space="preserve"> NOTEREF _Ref205388354 \h </w:instrText>
      </w:r>
      <w:r w:rsidR="001B16B5" w:rsidRPr="000F7532">
        <w:rPr>
          <w:rFonts w:asciiTheme="majorBidi" w:eastAsia="Times New Roman" w:hAnsiTheme="majorBidi" w:cstheme="majorBidi"/>
          <w:color w:val="000000" w:themeColor="text1"/>
          <w:sz w:val="20"/>
          <w:szCs w:val="20"/>
        </w:rPr>
        <w:instrText xml:space="preserve"> \* MERGEFORMAT </w:instrText>
      </w:r>
      <w:r w:rsidR="007310A6" w:rsidRPr="000F7532">
        <w:rPr>
          <w:rFonts w:asciiTheme="majorBidi" w:eastAsia="Times New Roman" w:hAnsiTheme="majorBidi" w:cstheme="majorBidi"/>
          <w:color w:val="000000" w:themeColor="text1"/>
          <w:sz w:val="20"/>
          <w:szCs w:val="20"/>
        </w:rPr>
      </w:r>
      <w:r w:rsidR="007310A6" w:rsidRPr="000F7532">
        <w:rPr>
          <w:rFonts w:asciiTheme="majorBidi" w:eastAsia="Times New Roman" w:hAnsiTheme="majorBidi" w:cstheme="majorBidi"/>
          <w:color w:val="000000" w:themeColor="text1"/>
          <w:sz w:val="20"/>
          <w:szCs w:val="20"/>
        </w:rPr>
        <w:fldChar w:fldCharType="separate"/>
      </w:r>
      <w:r w:rsidR="003479F0" w:rsidRPr="000F7532">
        <w:rPr>
          <w:rFonts w:asciiTheme="majorBidi" w:eastAsia="Times New Roman" w:hAnsiTheme="majorBidi" w:cstheme="majorBidi"/>
          <w:color w:val="000000" w:themeColor="text1"/>
          <w:sz w:val="20"/>
          <w:szCs w:val="20"/>
        </w:rPr>
        <w:t>67</w:t>
      </w:r>
      <w:r w:rsidR="007310A6" w:rsidRPr="000F7532">
        <w:rPr>
          <w:rFonts w:asciiTheme="majorBidi" w:eastAsia="Times New Roman" w:hAnsiTheme="majorBidi" w:cstheme="majorBidi"/>
          <w:color w:val="000000" w:themeColor="text1"/>
          <w:sz w:val="20"/>
          <w:szCs w:val="20"/>
        </w:rPr>
        <w:fldChar w:fldCharType="end"/>
      </w:r>
      <w:r w:rsidR="007310A6" w:rsidRPr="000F7532">
        <w:rPr>
          <w:rFonts w:asciiTheme="majorBidi" w:eastAsia="Times New Roman" w:hAnsiTheme="majorBidi" w:cstheme="majorBidi"/>
          <w:color w:val="000000" w:themeColor="text1"/>
          <w:sz w:val="20"/>
          <w:szCs w:val="20"/>
        </w:rPr>
        <w:t xml:space="preserve"> above) at </w:t>
      </w:r>
      <w:r w:rsidRPr="000F7532">
        <w:rPr>
          <w:rFonts w:asciiTheme="majorBidi" w:eastAsia="Times New Roman" w:hAnsiTheme="majorBidi" w:cstheme="majorBidi"/>
          <w:color w:val="000000" w:themeColor="text1"/>
          <w:sz w:val="20"/>
          <w:szCs w:val="20"/>
        </w:rPr>
        <w:t>524</w:t>
      </w:r>
      <w:r w:rsidR="007310A6" w:rsidRPr="000F7532">
        <w:rPr>
          <w:rFonts w:asciiTheme="majorBidi" w:eastAsia="Times New Roman" w:hAnsiTheme="majorBidi" w:cstheme="majorBidi"/>
          <w:color w:val="000000" w:themeColor="text1"/>
          <w:sz w:val="20"/>
          <w:szCs w:val="20"/>
        </w:rPr>
        <w:t>, c</w:t>
      </w:r>
      <w:r w:rsidRPr="000F7532">
        <w:rPr>
          <w:rFonts w:asciiTheme="majorBidi" w:eastAsia="Times New Roman" w:hAnsiTheme="majorBidi" w:cstheme="majorBidi"/>
          <w:color w:val="000000" w:themeColor="text1"/>
          <w:sz w:val="20"/>
          <w:szCs w:val="20"/>
        </w:rPr>
        <w:t xml:space="preserve">iting </w:t>
      </w:r>
      <w:r w:rsidR="007310A6" w:rsidRPr="000F7532">
        <w:rPr>
          <w:rFonts w:asciiTheme="majorBidi" w:eastAsia="Times New Roman" w:hAnsiTheme="majorBidi" w:cstheme="majorBidi"/>
          <w:color w:val="000000" w:themeColor="text1"/>
          <w:sz w:val="20"/>
          <w:szCs w:val="20"/>
        </w:rPr>
        <w:t xml:space="preserve">Jerry </w:t>
      </w:r>
      <w:r w:rsidRPr="000F7532">
        <w:rPr>
          <w:rFonts w:asciiTheme="majorBidi" w:eastAsia="Times New Roman" w:hAnsiTheme="majorBidi" w:cstheme="majorBidi"/>
          <w:color w:val="000000" w:themeColor="text1"/>
          <w:sz w:val="20"/>
          <w:szCs w:val="20"/>
        </w:rPr>
        <w:t xml:space="preserve">Mashaw, </w:t>
      </w:r>
      <w:r w:rsidRPr="000F7532">
        <w:rPr>
          <w:rFonts w:asciiTheme="majorBidi" w:eastAsia="Times New Roman" w:hAnsiTheme="majorBidi" w:cstheme="majorBidi"/>
          <w:i/>
          <w:iCs/>
          <w:color w:val="000000" w:themeColor="text1"/>
          <w:sz w:val="20"/>
          <w:szCs w:val="20"/>
        </w:rPr>
        <w:t>Bureaucratic Justice</w:t>
      </w:r>
      <w:r w:rsidRPr="000F7532">
        <w:rPr>
          <w:rFonts w:asciiTheme="majorBidi" w:eastAsia="Times New Roman" w:hAnsiTheme="majorBidi" w:cstheme="majorBidi"/>
          <w:color w:val="000000" w:themeColor="text1"/>
          <w:sz w:val="20"/>
          <w:szCs w:val="20"/>
        </w:rPr>
        <w:t xml:space="preserve"> (</w:t>
      </w:r>
      <w:r w:rsidR="007310A6" w:rsidRPr="000F7532">
        <w:rPr>
          <w:rFonts w:asciiTheme="majorBidi" w:eastAsia="Times New Roman" w:hAnsiTheme="majorBidi" w:cstheme="majorBidi"/>
          <w:color w:val="000000" w:themeColor="text1"/>
          <w:sz w:val="20"/>
          <w:szCs w:val="20"/>
        </w:rPr>
        <w:t>1983,</w:t>
      </w:r>
      <w:r w:rsidRPr="000F7532">
        <w:rPr>
          <w:rFonts w:asciiTheme="majorBidi" w:eastAsia="Times New Roman" w:hAnsiTheme="majorBidi" w:cstheme="majorBidi"/>
          <w:color w:val="000000" w:themeColor="text1"/>
          <w:sz w:val="20"/>
          <w:szCs w:val="20"/>
        </w:rPr>
        <w:t xml:space="preserve"> Yale University Press</w:t>
      </w:r>
      <w:r w:rsidR="007310A6" w:rsidRPr="000F7532">
        <w:rPr>
          <w:rFonts w:asciiTheme="majorBidi" w:eastAsia="Times New Roman" w:hAnsiTheme="majorBidi" w:cstheme="majorBidi"/>
          <w:color w:val="000000" w:themeColor="text1"/>
          <w:sz w:val="20"/>
          <w:szCs w:val="20"/>
        </w:rPr>
        <w:t>)</w:t>
      </w:r>
      <w:r w:rsidRPr="000F7532">
        <w:rPr>
          <w:rFonts w:asciiTheme="majorBidi" w:eastAsia="Times New Roman" w:hAnsiTheme="majorBidi" w:cstheme="majorBidi"/>
          <w:color w:val="000000" w:themeColor="text1"/>
          <w:sz w:val="20"/>
          <w:szCs w:val="20"/>
        </w:rPr>
        <w:t xml:space="preserve"> </w:t>
      </w:r>
      <w:r w:rsidR="00D93876" w:rsidRPr="000F7532">
        <w:rPr>
          <w:rFonts w:asciiTheme="majorBidi" w:eastAsia="Times New Roman" w:hAnsiTheme="majorBidi" w:cstheme="majorBidi"/>
          <w:color w:val="000000" w:themeColor="text1"/>
          <w:sz w:val="20"/>
          <w:szCs w:val="20"/>
        </w:rPr>
        <w:t xml:space="preserve">at </w:t>
      </w:r>
      <w:r w:rsidRPr="000F7532">
        <w:rPr>
          <w:rFonts w:asciiTheme="majorBidi" w:eastAsia="Times New Roman" w:hAnsiTheme="majorBidi" w:cstheme="majorBidi"/>
          <w:color w:val="000000" w:themeColor="text1"/>
          <w:sz w:val="20"/>
          <w:szCs w:val="20"/>
        </w:rPr>
        <w:t>82.</w:t>
      </w:r>
    </w:p>
  </w:footnote>
  <w:footnote w:id="78">
    <w:p w14:paraId="14FA35BC" w14:textId="476B5B8E"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203112" w:rsidRPr="000F7532">
        <w:rPr>
          <w:rFonts w:asciiTheme="majorBidi" w:eastAsia="Times New Roman" w:hAnsiTheme="majorBidi" w:cstheme="majorBidi"/>
          <w:color w:val="000000" w:themeColor="text1"/>
          <w:sz w:val="20"/>
          <w:szCs w:val="20"/>
        </w:rPr>
        <w:t xml:space="preserve">House of Commons Work and Pensions Committee (n </w:t>
      </w:r>
      <w:r w:rsidR="00203112" w:rsidRPr="000F7532">
        <w:rPr>
          <w:rFonts w:asciiTheme="majorBidi" w:eastAsia="Times New Roman" w:hAnsiTheme="majorBidi" w:cstheme="majorBidi"/>
          <w:color w:val="000000" w:themeColor="text1"/>
          <w:sz w:val="20"/>
          <w:szCs w:val="20"/>
        </w:rPr>
        <w:fldChar w:fldCharType="begin"/>
      </w:r>
      <w:r w:rsidR="00203112" w:rsidRPr="000F7532">
        <w:rPr>
          <w:rFonts w:asciiTheme="majorBidi" w:eastAsia="Times New Roman" w:hAnsiTheme="majorBidi" w:cstheme="majorBidi"/>
          <w:color w:val="000000" w:themeColor="text1"/>
          <w:sz w:val="20"/>
          <w:szCs w:val="20"/>
        </w:rPr>
        <w:instrText xml:space="preserve"> NOTEREF _Ref205384425 \h </w:instrText>
      </w:r>
      <w:r w:rsidR="001B16B5" w:rsidRPr="000F7532">
        <w:rPr>
          <w:rFonts w:asciiTheme="majorBidi" w:eastAsia="Times New Roman" w:hAnsiTheme="majorBidi" w:cstheme="majorBidi"/>
          <w:color w:val="000000" w:themeColor="text1"/>
          <w:sz w:val="20"/>
          <w:szCs w:val="20"/>
        </w:rPr>
        <w:instrText xml:space="preserve"> \* MERGEFORMAT </w:instrText>
      </w:r>
      <w:r w:rsidR="00203112" w:rsidRPr="000F7532">
        <w:rPr>
          <w:rFonts w:asciiTheme="majorBidi" w:eastAsia="Times New Roman" w:hAnsiTheme="majorBidi" w:cstheme="majorBidi"/>
          <w:color w:val="000000" w:themeColor="text1"/>
          <w:sz w:val="20"/>
          <w:szCs w:val="20"/>
        </w:rPr>
      </w:r>
      <w:r w:rsidR="00203112" w:rsidRPr="000F7532">
        <w:rPr>
          <w:rFonts w:asciiTheme="majorBidi" w:eastAsia="Times New Roman" w:hAnsiTheme="majorBidi" w:cstheme="majorBidi"/>
          <w:color w:val="000000" w:themeColor="text1"/>
          <w:sz w:val="20"/>
          <w:szCs w:val="20"/>
        </w:rPr>
        <w:fldChar w:fldCharType="separate"/>
      </w:r>
      <w:r w:rsidR="003479F0" w:rsidRPr="000F7532">
        <w:rPr>
          <w:rFonts w:asciiTheme="majorBidi" w:eastAsia="Times New Roman" w:hAnsiTheme="majorBidi" w:cstheme="majorBidi"/>
          <w:color w:val="000000" w:themeColor="text1"/>
          <w:sz w:val="20"/>
          <w:szCs w:val="20"/>
        </w:rPr>
        <w:t>20</w:t>
      </w:r>
      <w:r w:rsidR="00203112" w:rsidRPr="000F7532">
        <w:rPr>
          <w:rFonts w:asciiTheme="majorBidi" w:eastAsia="Times New Roman" w:hAnsiTheme="majorBidi" w:cstheme="majorBidi"/>
          <w:color w:val="000000" w:themeColor="text1"/>
          <w:sz w:val="20"/>
          <w:szCs w:val="20"/>
        </w:rPr>
        <w:fldChar w:fldCharType="end"/>
      </w:r>
      <w:r w:rsidR="00203112" w:rsidRPr="000F7532">
        <w:rPr>
          <w:rFonts w:asciiTheme="majorBidi" w:eastAsia="Times New Roman" w:hAnsiTheme="majorBidi" w:cstheme="majorBidi"/>
          <w:color w:val="000000" w:themeColor="text1"/>
          <w:sz w:val="20"/>
          <w:szCs w:val="20"/>
        </w:rPr>
        <w:t xml:space="preserve"> above).</w:t>
      </w:r>
    </w:p>
  </w:footnote>
  <w:footnote w:id="79">
    <w:p w14:paraId="5DEC1DED" w14:textId="42C2CD2F"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D93876" w:rsidRPr="000F7532">
        <w:rPr>
          <w:rFonts w:asciiTheme="majorBidi" w:eastAsia="Times New Roman" w:hAnsiTheme="majorBidi" w:cstheme="majorBidi"/>
          <w:color w:val="000000" w:themeColor="text1"/>
          <w:sz w:val="20"/>
          <w:szCs w:val="20"/>
        </w:rPr>
        <w:t xml:space="preserve">See Wikeley (n </w:t>
      </w:r>
      <w:r w:rsidR="00D93876" w:rsidRPr="000F7532">
        <w:rPr>
          <w:rFonts w:asciiTheme="majorBidi" w:eastAsia="Times New Roman" w:hAnsiTheme="majorBidi" w:cstheme="majorBidi"/>
          <w:color w:val="000000" w:themeColor="text1"/>
          <w:sz w:val="20"/>
          <w:szCs w:val="20"/>
        </w:rPr>
        <w:fldChar w:fldCharType="begin"/>
      </w:r>
      <w:r w:rsidR="00D93876" w:rsidRPr="000F7532">
        <w:rPr>
          <w:rFonts w:asciiTheme="majorBidi" w:eastAsia="Times New Roman" w:hAnsiTheme="majorBidi" w:cstheme="majorBidi"/>
          <w:color w:val="000000" w:themeColor="text1"/>
          <w:sz w:val="20"/>
          <w:szCs w:val="20"/>
        </w:rPr>
        <w:instrText xml:space="preserve"> NOTEREF _Ref205388354 \h </w:instrText>
      </w:r>
      <w:r w:rsidR="001B16B5" w:rsidRPr="000F7532">
        <w:rPr>
          <w:rFonts w:asciiTheme="majorBidi" w:eastAsia="Times New Roman" w:hAnsiTheme="majorBidi" w:cstheme="majorBidi"/>
          <w:color w:val="000000" w:themeColor="text1"/>
          <w:sz w:val="20"/>
          <w:szCs w:val="20"/>
        </w:rPr>
        <w:instrText xml:space="preserve"> \* MERGEFORMAT </w:instrText>
      </w:r>
      <w:r w:rsidR="00D93876" w:rsidRPr="000F7532">
        <w:rPr>
          <w:rFonts w:asciiTheme="majorBidi" w:eastAsia="Times New Roman" w:hAnsiTheme="majorBidi" w:cstheme="majorBidi"/>
          <w:color w:val="000000" w:themeColor="text1"/>
          <w:sz w:val="20"/>
          <w:szCs w:val="20"/>
        </w:rPr>
      </w:r>
      <w:r w:rsidR="00D93876" w:rsidRPr="000F7532">
        <w:rPr>
          <w:rFonts w:asciiTheme="majorBidi" w:eastAsia="Times New Roman" w:hAnsiTheme="majorBidi" w:cstheme="majorBidi"/>
          <w:color w:val="000000" w:themeColor="text1"/>
          <w:sz w:val="20"/>
          <w:szCs w:val="20"/>
        </w:rPr>
        <w:fldChar w:fldCharType="separate"/>
      </w:r>
      <w:r w:rsidR="003479F0" w:rsidRPr="000F7532">
        <w:rPr>
          <w:rFonts w:asciiTheme="majorBidi" w:eastAsia="Times New Roman" w:hAnsiTheme="majorBidi" w:cstheme="majorBidi"/>
          <w:color w:val="000000" w:themeColor="text1"/>
          <w:sz w:val="20"/>
          <w:szCs w:val="20"/>
        </w:rPr>
        <w:t>67</w:t>
      </w:r>
      <w:r w:rsidR="00D93876" w:rsidRPr="000F7532">
        <w:rPr>
          <w:rFonts w:asciiTheme="majorBidi" w:eastAsia="Times New Roman" w:hAnsiTheme="majorBidi" w:cstheme="majorBidi"/>
          <w:color w:val="000000" w:themeColor="text1"/>
          <w:sz w:val="20"/>
          <w:szCs w:val="20"/>
        </w:rPr>
        <w:fldChar w:fldCharType="end"/>
      </w:r>
      <w:r w:rsidR="00D93876" w:rsidRPr="000F7532">
        <w:rPr>
          <w:rFonts w:asciiTheme="majorBidi" w:eastAsia="Times New Roman" w:hAnsiTheme="majorBidi" w:cstheme="majorBidi"/>
          <w:color w:val="000000" w:themeColor="text1"/>
          <w:sz w:val="20"/>
          <w:szCs w:val="20"/>
        </w:rPr>
        <w:t xml:space="preserve"> above) at </w:t>
      </w:r>
      <w:r w:rsidRPr="000F7532">
        <w:rPr>
          <w:rFonts w:asciiTheme="majorBidi" w:eastAsia="Times New Roman" w:hAnsiTheme="majorBidi" w:cstheme="majorBidi"/>
          <w:color w:val="000000" w:themeColor="text1"/>
          <w:sz w:val="20"/>
          <w:szCs w:val="20"/>
        </w:rPr>
        <w:t>524.</w:t>
      </w:r>
    </w:p>
  </w:footnote>
  <w:footnote w:id="80">
    <w:p w14:paraId="4644E284" w14:textId="124EC58C"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203112" w:rsidRPr="000F7532">
        <w:rPr>
          <w:rFonts w:asciiTheme="majorBidi" w:eastAsia="Times New Roman" w:hAnsiTheme="majorBidi" w:cstheme="majorBidi"/>
          <w:color w:val="000000" w:themeColor="text1"/>
          <w:sz w:val="20"/>
          <w:szCs w:val="20"/>
        </w:rPr>
        <w:t xml:space="preserve">House of Commons Work and Pensions Committee (n </w:t>
      </w:r>
      <w:r w:rsidR="00203112" w:rsidRPr="000F7532">
        <w:rPr>
          <w:rFonts w:asciiTheme="majorBidi" w:eastAsia="Times New Roman" w:hAnsiTheme="majorBidi" w:cstheme="majorBidi"/>
          <w:color w:val="000000" w:themeColor="text1"/>
          <w:sz w:val="20"/>
          <w:szCs w:val="20"/>
        </w:rPr>
        <w:fldChar w:fldCharType="begin"/>
      </w:r>
      <w:r w:rsidR="00203112" w:rsidRPr="000F7532">
        <w:rPr>
          <w:rFonts w:asciiTheme="majorBidi" w:eastAsia="Times New Roman" w:hAnsiTheme="majorBidi" w:cstheme="majorBidi"/>
          <w:color w:val="000000" w:themeColor="text1"/>
          <w:sz w:val="20"/>
          <w:szCs w:val="20"/>
        </w:rPr>
        <w:instrText xml:space="preserve"> NOTEREF _Ref205384425 \h </w:instrText>
      </w:r>
      <w:r w:rsidR="001B16B5" w:rsidRPr="000F7532">
        <w:rPr>
          <w:rFonts w:asciiTheme="majorBidi" w:eastAsia="Times New Roman" w:hAnsiTheme="majorBidi" w:cstheme="majorBidi"/>
          <w:color w:val="000000" w:themeColor="text1"/>
          <w:sz w:val="20"/>
          <w:szCs w:val="20"/>
        </w:rPr>
        <w:instrText xml:space="preserve"> \* MERGEFORMAT </w:instrText>
      </w:r>
      <w:r w:rsidR="00203112" w:rsidRPr="000F7532">
        <w:rPr>
          <w:rFonts w:asciiTheme="majorBidi" w:eastAsia="Times New Roman" w:hAnsiTheme="majorBidi" w:cstheme="majorBidi"/>
          <w:color w:val="000000" w:themeColor="text1"/>
          <w:sz w:val="20"/>
          <w:szCs w:val="20"/>
        </w:rPr>
      </w:r>
      <w:r w:rsidR="00203112" w:rsidRPr="000F7532">
        <w:rPr>
          <w:rFonts w:asciiTheme="majorBidi" w:eastAsia="Times New Roman" w:hAnsiTheme="majorBidi" w:cstheme="majorBidi"/>
          <w:color w:val="000000" w:themeColor="text1"/>
          <w:sz w:val="20"/>
          <w:szCs w:val="20"/>
        </w:rPr>
        <w:fldChar w:fldCharType="separate"/>
      </w:r>
      <w:r w:rsidR="003479F0" w:rsidRPr="000F7532">
        <w:rPr>
          <w:rFonts w:asciiTheme="majorBidi" w:eastAsia="Times New Roman" w:hAnsiTheme="majorBidi" w:cstheme="majorBidi"/>
          <w:color w:val="000000" w:themeColor="text1"/>
          <w:sz w:val="20"/>
          <w:szCs w:val="20"/>
        </w:rPr>
        <w:t>20</w:t>
      </w:r>
      <w:r w:rsidR="00203112" w:rsidRPr="000F7532">
        <w:rPr>
          <w:rFonts w:asciiTheme="majorBidi" w:eastAsia="Times New Roman" w:hAnsiTheme="majorBidi" w:cstheme="majorBidi"/>
          <w:color w:val="000000" w:themeColor="text1"/>
          <w:sz w:val="20"/>
          <w:szCs w:val="20"/>
        </w:rPr>
        <w:fldChar w:fldCharType="end"/>
      </w:r>
      <w:r w:rsidR="00203112" w:rsidRPr="000F7532">
        <w:rPr>
          <w:rFonts w:asciiTheme="majorBidi" w:eastAsia="Times New Roman" w:hAnsiTheme="majorBidi" w:cstheme="majorBidi"/>
          <w:color w:val="000000" w:themeColor="text1"/>
          <w:sz w:val="20"/>
          <w:szCs w:val="20"/>
        </w:rPr>
        <w:t xml:space="preserve"> above) </w:t>
      </w:r>
      <w:r w:rsidR="00D93876" w:rsidRPr="000F7532">
        <w:rPr>
          <w:rFonts w:asciiTheme="majorBidi" w:eastAsia="Times New Roman" w:hAnsiTheme="majorBidi" w:cstheme="majorBidi"/>
          <w:color w:val="000000" w:themeColor="text1"/>
          <w:sz w:val="20"/>
          <w:szCs w:val="20"/>
        </w:rPr>
        <w:t>at</w:t>
      </w:r>
      <w:r w:rsidR="00203112" w:rsidRPr="000F7532">
        <w:rPr>
          <w:rFonts w:asciiTheme="majorBidi" w:eastAsia="Times New Roman" w:hAnsiTheme="majorBidi" w:cstheme="majorBidi"/>
          <w:color w:val="000000" w:themeColor="text1"/>
          <w:sz w:val="20"/>
          <w:szCs w:val="20"/>
        </w:rPr>
        <w:t xml:space="preserve"> 3.</w:t>
      </w:r>
    </w:p>
  </w:footnote>
  <w:footnote w:id="81">
    <w:p w14:paraId="5BB2BE7D" w14:textId="7B2B389D"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D93876" w:rsidRPr="000F7532">
        <w:rPr>
          <w:rFonts w:asciiTheme="majorBidi" w:eastAsia="Times New Roman" w:hAnsiTheme="majorBidi" w:cstheme="majorBidi"/>
          <w:color w:val="000000" w:themeColor="text1"/>
          <w:sz w:val="20"/>
          <w:szCs w:val="20"/>
        </w:rPr>
        <w:t xml:space="preserve">Gulland (n </w:t>
      </w:r>
      <w:r w:rsidR="00D93876" w:rsidRPr="000F7532">
        <w:rPr>
          <w:rFonts w:asciiTheme="majorBidi" w:eastAsia="Times New Roman" w:hAnsiTheme="majorBidi" w:cstheme="majorBidi"/>
          <w:color w:val="000000" w:themeColor="text1"/>
          <w:sz w:val="20"/>
          <w:szCs w:val="20"/>
        </w:rPr>
        <w:fldChar w:fldCharType="begin"/>
      </w:r>
      <w:r w:rsidR="00D93876" w:rsidRPr="000F7532">
        <w:rPr>
          <w:rFonts w:asciiTheme="majorBidi" w:eastAsia="Times New Roman" w:hAnsiTheme="majorBidi" w:cstheme="majorBidi"/>
          <w:color w:val="000000" w:themeColor="text1"/>
          <w:sz w:val="20"/>
          <w:szCs w:val="20"/>
        </w:rPr>
        <w:instrText xml:space="preserve"> NOTEREF _Ref205388549 \h </w:instrText>
      </w:r>
      <w:r w:rsidR="001B16B5" w:rsidRPr="000F7532">
        <w:rPr>
          <w:rFonts w:asciiTheme="majorBidi" w:eastAsia="Times New Roman" w:hAnsiTheme="majorBidi" w:cstheme="majorBidi"/>
          <w:color w:val="000000" w:themeColor="text1"/>
          <w:sz w:val="20"/>
          <w:szCs w:val="20"/>
        </w:rPr>
        <w:instrText xml:space="preserve"> \* MERGEFORMAT </w:instrText>
      </w:r>
      <w:r w:rsidR="00D93876" w:rsidRPr="000F7532">
        <w:rPr>
          <w:rFonts w:asciiTheme="majorBidi" w:eastAsia="Times New Roman" w:hAnsiTheme="majorBidi" w:cstheme="majorBidi"/>
          <w:color w:val="000000" w:themeColor="text1"/>
          <w:sz w:val="20"/>
          <w:szCs w:val="20"/>
        </w:rPr>
      </w:r>
      <w:r w:rsidR="00D93876" w:rsidRPr="000F7532">
        <w:rPr>
          <w:rFonts w:asciiTheme="majorBidi" w:eastAsia="Times New Roman" w:hAnsiTheme="majorBidi" w:cstheme="majorBidi"/>
          <w:color w:val="000000" w:themeColor="text1"/>
          <w:sz w:val="20"/>
          <w:szCs w:val="20"/>
        </w:rPr>
        <w:fldChar w:fldCharType="separate"/>
      </w:r>
      <w:r w:rsidR="003479F0" w:rsidRPr="000F7532">
        <w:rPr>
          <w:rFonts w:asciiTheme="majorBidi" w:eastAsia="Times New Roman" w:hAnsiTheme="majorBidi" w:cstheme="majorBidi"/>
          <w:color w:val="000000" w:themeColor="text1"/>
          <w:sz w:val="20"/>
          <w:szCs w:val="20"/>
        </w:rPr>
        <w:t>66</w:t>
      </w:r>
      <w:r w:rsidR="00D93876" w:rsidRPr="000F7532">
        <w:rPr>
          <w:rFonts w:asciiTheme="majorBidi" w:eastAsia="Times New Roman" w:hAnsiTheme="majorBidi" w:cstheme="majorBidi"/>
          <w:color w:val="000000" w:themeColor="text1"/>
          <w:sz w:val="20"/>
          <w:szCs w:val="20"/>
        </w:rPr>
        <w:fldChar w:fldCharType="end"/>
      </w:r>
      <w:r w:rsidR="00D93876" w:rsidRPr="000F7532">
        <w:rPr>
          <w:rFonts w:asciiTheme="majorBidi" w:eastAsia="Times New Roman" w:hAnsiTheme="majorBidi" w:cstheme="majorBidi"/>
          <w:color w:val="000000" w:themeColor="text1"/>
          <w:sz w:val="20"/>
          <w:szCs w:val="20"/>
        </w:rPr>
        <w:t xml:space="preserve"> above) at </w:t>
      </w:r>
      <w:r w:rsidRPr="000F7532">
        <w:rPr>
          <w:rFonts w:asciiTheme="majorBidi" w:eastAsia="Times New Roman" w:hAnsiTheme="majorBidi" w:cstheme="majorBidi"/>
          <w:color w:val="000000" w:themeColor="text1"/>
          <w:sz w:val="20"/>
          <w:szCs w:val="20"/>
        </w:rPr>
        <w:t>35-39.</w:t>
      </w:r>
    </w:p>
  </w:footnote>
  <w:footnote w:id="82">
    <w:p w14:paraId="7342A7C2" w14:textId="77777777" w:rsidR="00C7554F" w:rsidRPr="000F7532" w:rsidRDefault="00000000" w:rsidP="000F7532">
      <w:pP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1825B4" w:rsidRPr="000F7532">
        <w:rPr>
          <w:rFonts w:asciiTheme="majorBidi" w:hAnsiTheme="majorBidi" w:cstheme="majorBidi"/>
          <w:color w:val="000000" w:themeColor="text1"/>
          <w:sz w:val="20"/>
          <w:szCs w:val="20"/>
        </w:rPr>
        <w:t>Chris Grover and Lynne Piggott, 'Social Security, Employment and Incapacity Benefit: Critical Reflections on A New Deal for Welfare' (2007) 22(7) Disability &amp; Society 733</w:t>
      </w:r>
    </w:p>
  </w:footnote>
  <w:footnote w:id="83">
    <w:p w14:paraId="5F2AC253" w14:textId="48A0796D"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D93876" w:rsidRPr="000F7532">
        <w:rPr>
          <w:rFonts w:asciiTheme="majorBidi" w:eastAsia="Times New Roman" w:hAnsiTheme="majorBidi" w:cstheme="majorBidi"/>
          <w:color w:val="000000" w:themeColor="text1"/>
          <w:sz w:val="20"/>
          <w:szCs w:val="20"/>
        </w:rPr>
        <w:t xml:space="preserve">Gulland (n </w:t>
      </w:r>
      <w:r w:rsidR="00D93876" w:rsidRPr="000F7532">
        <w:rPr>
          <w:rFonts w:asciiTheme="majorBidi" w:eastAsia="Times New Roman" w:hAnsiTheme="majorBidi" w:cstheme="majorBidi"/>
          <w:color w:val="000000" w:themeColor="text1"/>
          <w:sz w:val="20"/>
          <w:szCs w:val="20"/>
        </w:rPr>
        <w:fldChar w:fldCharType="begin"/>
      </w:r>
      <w:r w:rsidR="00D93876" w:rsidRPr="000F7532">
        <w:rPr>
          <w:rFonts w:asciiTheme="majorBidi" w:eastAsia="Times New Roman" w:hAnsiTheme="majorBidi" w:cstheme="majorBidi"/>
          <w:color w:val="000000" w:themeColor="text1"/>
          <w:sz w:val="20"/>
          <w:szCs w:val="20"/>
        </w:rPr>
        <w:instrText xml:space="preserve"> NOTEREF _Ref205388549 \h </w:instrText>
      </w:r>
      <w:r w:rsidR="001B16B5" w:rsidRPr="000F7532">
        <w:rPr>
          <w:rFonts w:asciiTheme="majorBidi" w:eastAsia="Times New Roman" w:hAnsiTheme="majorBidi" w:cstheme="majorBidi"/>
          <w:color w:val="000000" w:themeColor="text1"/>
          <w:sz w:val="20"/>
          <w:szCs w:val="20"/>
        </w:rPr>
        <w:instrText xml:space="preserve"> \* MERGEFORMAT </w:instrText>
      </w:r>
      <w:r w:rsidR="00D93876" w:rsidRPr="000F7532">
        <w:rPr>
          <w:rFonts w:asciiTheme="majorBidi" w:eastAsia="Times New Roman" w:hAnsiTheme="majorBidi" w:cstheme="majorBidi"/>
          <w:color w:val="000000" w:themeColor="text1"/>
          <w:sz w:val="20"/>
          <w:szCs w:val="20"/>
        </w:rPr>
      </w:r>
      <w:r w:rsidR="00D93876" w:rsidRPr="000F7532">
        <w:rPr>
          <w:rFonts w:asciiTheme="majorBidi" w:eastAsia="Times New Roman" w:hAnsiTheme="majorBidi" w:cstheme="majorBidi"/>
          <w:color w:val="000000" w:themeColor="text1"/>
          <w:sz w:val="20"/>
          <w:szCs w:val="20"/>
        </w:rPr>
        <w:fldChar w:fldCharType="separate"/>
      </w:r>
      <w:r w:rsidR="003479F0" w:rsidRPr="000F7532">
        <w:rPr>
          <w:rFonts w:asciiTheme="majorBidi" w:eastAsia="Times New Roman" w:hAnsiTheme="majorBidi" w:cstheme="majorBidi"/>
          <w:color w:val="000000" w:themeColor="text1"/>
          <w:sz w:val="20"/>
          <w:szCs w:val="20"/>
        </w:rPr>
        <w:t>66</w:t>
      </w:r>
      <w:r w:rsidR="00D93876" w:rsidRPr="000F7532">
        <w:rPr>
          <w:rFonts w:asciiTheme="majorBidi" w:eastAsia="Times New Roman" w:hAnsiTheme="majorBidi" w:cstheme="majorBidi"/>
          <w:color w:val="000000" w:themeColor="text1"/>
          <w:sz w:val="20"/>
          <w:szCs w:val="20"/>
        </w:rPr>
        <w:fldChar w:fldCharType="end"/>
      </w:r>
      <w:r w:rsidR="00D93876" w:rsidRPr="000F7532">
        <w:rPr>
          <w:rFonts w:asciiTheme="majorBidi" w:eastAsia="Times New Roman" w:hAnsiTheme="majorBidi" w:cstheme="majorBidi"/>
          <w:color w:val="000000" w:themeColor="text1"/>
          <w:sz w:val="20"/>
          <w:szCs w:val="20"/>
        </w:rPr>
        <w:t xml:space="preserve"> above) at 44-45.</w:t>
      </w:r>
    </w:p>
  </w:footnote>
  <w:footnote w:id="84">
    <w:p w14:paraId="066DC5F1" w14:textId="0DB868E0" w:rsidR="00C7554F" w:rsidRPr="000F7532" w:rsidRDefault="00000000" w:rsidP="000F7532">
      <w:pP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203112" w:rsidRPr="000F7532">
        <w:rPr>
          <w:rFonts w:asciiTheme="majorBidi" w:eastAsia="Times New Roman" w:hAnsiTheme="majorBidi" w:cstheme="majorBidi"/>
          <w:color w:val="000000" w:themeColor="text1"/>
          <w:sz w:val="20"/>
          <w:szCs w:val="20"/>
        </w:rPr>
        <w:t xml:space="preserve">House of Commons Work and Pensions Committee (n </w:t>
      </w:r>
      <w:r w:rsidR="00203112" w:rsidRPr="000F7532">
        <w:rPr>
          <w:rFonts w:asciiTheme="majorBidi" w:eastAsia="Times New Roman" w:hAnsiTheme="majorBidi" w:cstheme="majorBidi"/>
          <w:color w:val="000000" w:themeColor="text1"/>
          <w:sz w:val="20"/>
          <w:szCs w:val="20"/>
        </w:rPr>
        <w:fldChar w:fldCharType="begin"/>
      </w:r>
      <w:r w:rsidR="00203112" w:rsidRPr="000F7532">
        <w:rPr>
          <w:rFonts w:asciiTheme="majorBidi" w:eastAsia="Times New Roman" w:hAnsiTheme="majorBidi" w:cstheme="majorBidi"/>
          <w:color w:val="000000" w:themeColor="text1"/>
          <w:sz w:val="20"/>
          <w:szCs w:val="20"/>
        </w:rPr>
        <w:instrText xml:space="preserve"> NOTEREF _Ref205384425 \h </w:instrText>
      </w:r>
      <w:r w:rsidR="001B16B5" w:rsidRPr="000F7532">
        <w:rPr>
          <w:rFonts w:asciiTheme="majorBidi" w:eastAsia="Times New Roman" w:hAnsiTheme="majorBidi" w:cstheme="majorBidi"/>
          <w:color w:val="000000" w:themeColor="text1"/>
          <w:sz w:val="20"/>
          <w:szCs w:val="20"/>
        </w:rPr>
        <w:instrText xml:space="preserve"> \* MERGEFORMAT </w:instrText>
      </w:r>
      <w:r w:rsidR="00203112" w:rsidRPr="000F7532">
        <w:rPr>
          <w:rFonts w:asciiTheme="majorBidi" w:eastAsia="Times New Roman" w:hAnsiTheme="majorBidi" w:cstheme="majorBidi"/>
          <w:color w:val="000000" w:themeColor="text1"/>
          <w:sz w:val="20"/>
          <w:szCs w:val="20"/>
        </w:rPr>
      </w:r>
      <w:r w:rsidR="00203112" w:rsidRPr="000F7532">
        <w:rPr>
          <w:rFonts w:asciiTheme="majorBidi" w:eastAsia="Times New Roman" w:hAnsiTheme="majorBidi" w:cstheme="majorBidi"/>
          <w:color w:val="000000" w:themeColor="text1"/>
          <w:sz w:val="20"/>
          <w:szCs w:val="20"/>
        </w:rPr>
        <w:fldChar w:fldCharType="separate"/>
      </w:r>
      <w:r w:rsidR="003479F0" w:rsidRPr="000F7532">
        <w:rPr>
          <w:rFonts w:asciiTheme="majorBidi" w:eastAsia="Times New Roman" w:hAnsiTheme="majorBidi" w:cstheme="majorBidi"/>
          <w:color w:val="000000" w:themeColor="text1"/>
          <w:sz w:val="20"/>
          <w:szCs w:val="20"/>
        </w:rPr>
        <w:t>20</w:t>
      </w:r>
      <w:r w:rsidR="00203112" w:rsidRPr="000F7532">
        <w:rPr>
          <w:rFonts w:asciiTheme="majorBidi" w:eastAsia="Times New Roman" w:hAnsiTheme="majorBidi" w:cstheme="majorBidi"/>
          <w:color w:val="000000" w:themeColor="text1"/>
          <w:sz w:val="20"/>
          <w:szCs w:val="20"/>
        </w:rPr>
        <w:fldChar w:fldCharType="end"/>
      </w:r>
      <w:r w:rsidR="00203112" w:rsidRPr="000F7532">
        <w:rPr>
          <w:rFonts w:asciiTheme="majorBidi" w:eastAsia="Times New Roman" w:hAnsiTheme="majorBidi" w:cstheme="majorBidi"/>
          <w:color w:val="000000" w:themeColor="text1"/>
          <w:sz w:val="20"/>
          <w:szCs w:val="20"/>
        </w:rPr>
        <w:t xml:space="preserve"> above) pg. 3.</w:t>
      </w:r>
    </w:p>
  </w:footnote>
  <w:footnote w:id="85">
    <w:p w14:paraId="3C4F7595" w14:textId="77777777" w:rsidR="00C7554F" w:rsidRPr="000F7532" w:rsidRDefault="00000000" w:rsidP="000F7532">
      <w:pPr>
        <w:spacing w:after="0" w:line="276" w:lineRule="auto"/>
        <w:rPr>
          <w:rFonts w:asciiTheme="majorBidi"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hAnsiTheme="majorBidi" w:cstheme="majorBidi"/>
          <w:color w:val="000000" w:themeColor="text1"/>
          <w:sz w:val="20"/>
          <w:szCs w:val="20"/>
        </w:rPr>
        <w:t xml:space="preserve"> See Richard Berthoud, </w:t>
      </w:r>
      <w:r w:rsidRPr="000F7532">
        <w:rPr>
          <w:rFonts w:asciiTheme="majorBidi" w:hAnsiTheme="majorBidi" w:cstheme="majorBidi"/>
          <w:i/>
          <w:color w:val="000000" w:themeColor="text1"/>
          <w:sz w:val="20"/>
          <w:szCs w:val="20"/>
        </w:rPr>
        <w:t xml:space="preserve">Disability Benefits: A review of the issues and options for reform </w:t>
      </w:r>
      <w:r w:rsidRPr="000F7532">
        <w:rPr>
          <w:rFonts w:asciiTheme="majorBidi" w:hAnsiTheme="majorBidi" w:cstheme="majorBidi"/>
          <w:color w:val="000000" w:themeColor="text1"/>
          <w:sz w:val="20"/>
          <w:szCs w:val="20"/>
        </w:rPr>
        <w:t>(ESRC Research Centre on Micro-Social Change, University of Essex, 1998).</w:t>
      </w:r>
    </w:p>
  </w:footnote>
  <w:footnote w:id="86">
    <w:p w14:paraId="4F5EB676" w14:textId="77777777" w:rsidR="00C7554F" w:rsidRPr="000F7532" w:rsidRDefault="00000000" w:rsidP="000F7532">
      <w:pPr>
        <w:spacing w:after="0" w:line="276" w:lineRule="auto"/>
        <w:rPr>
          <w:rFonts w:asciiTheme="majorBidi"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hAnsiTheme="majorBidi" w:cstheme="majorBidi"/>
          <w:color w:val="000000" w:themeColor="text1"/>
          <w:sz w:val="20"/>
          <w:szCs w:val="20"/>
        </w:rPr>
        <w:t xml:space="preserve"> See: Richard Berthoud, </w:t>
      </w:r>
      <w:r w:rsidRPr="000F7532">
        <w:rPr>
          <w:rFonts w:asciiTheme="majorBidi" w:hAnsiTheme="majorBidi" w:cstheme="majorBidi"/>
          <w:i/>
          <w:color w:val="000000" w:themeColor="text1"/>
          <w:sz w:val="20"/>
          <w:szCs w:val="20"/>
        </w:rPr>
        <w:t xml:space="preserve">Disability Benefits: A review of the issues and options for reform </w:t>
      </w:r>
      <w:r w:rsidRPr="000F7532">
        <w:rPr>
          <w:rFonts w:asciiTheme="majorBidi" w:hAnsiTheme="majorBidi" w:cstheme="majorBidi"/>
          <w:color w:val="000000" w:themeColor="text1"/>
          <w:sz w:val="20"/>
          <w:szCs w:val="20"/>
        </w:rPr>
        <w:t>(ESRC Research Centre on Micro-Social Change, University of Essex, 1998)</w:t>
      </w:r>
      <w:r w:rsidR="000903D3" w:rsidRPr="000F7532">
        <w:rPr>
          <w:rFonts w:asciiTheme="majorBidi" w:hAnsiTheme="majorBidi" w:cstheme="majorBidi"/>
          <w:color w:val="000000" w:themeColor="text1"/>
          <w:sz w:val="20"/>
          <w:szCs w:val="20"/>
        </w:rPr>
        <w:t xml:space="preserve"> at</w:t>
      </w:r>
      <w:r w:rsidRPr="000F7532">
        <w:rPr>
          <w:rFonts w:asciiTheme="majorBidi" w:hAnsiTheme="majorBidi" w:cstheme="majorBidi"/>
          <w:color w:val="000000" w:themeColor="text1"/>
          <w:sz w:val="20"/>
          <w:szCs w:val="20"/>
        </w:rPr>
        <w:t xml:space="preserve"> 2.</w:t>
      </w:r>
    </w:p>
  </w:footnote>
  <w:footnote w:id="87">
    <w:p w14:paraId="7F8AA4D4" w14:textId="5BB43838"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A43BB5" w:rsidRPr="000F7532">
        <w:rPr>
          <w:rFonts w:asciiTheme="majorBidi" w:eastAsia="Times New Roman" w:hAnsiTheme="majorBidi" w:cstheme="majorBidi"/>
          <w:color w:val="000000" w:themeColor="text1"/>
          <w:sz w:val="20"/>
          <w:szCs w:val="20"/>
        </w:rPr>
        <w:t xml:space="preserve">See </w:t>
      </w:r>
      <w:r w:rsidR="00A43BB5" w:rsidRPr="000F7532">
        <w:rPr>
          <w:rFonts w:asciiTheme="majorBidi" w:hAnsiTheme="majorBidi" w:cstheme="majorBidi"/>
          <w:color w:val="000000" w:themeColor="text1"/>
          <w:sz w:val="20"/>
          <w:szCs w:val="20"/>
        </w:rPr>
        <w:t xml:space="preserve">Department for Work and Pensions (n </w:t>
      </w:r>
      <w:r w:rsidR="00A43BB5" w:rsidRPr="000F7532">
        <w:rPr>
          <w:rFonts w:asciiTheme="majorBidi" w:hAnsiTheme="majorBidi" w:cstheme="majorBidi"/>
          <w:color w:val="000000" w:themeColor="text1"/>
          <w:sz w:val="20"/>
          <w:szCs w:val="20"/>
        </w:rPr>
        <w:fldChar w:fldCharType="begin"/>
      </w:r>
      <w:r w:rsidR="00A43BB5" w:rsidRPr="000F7532">
        <w:rPr>
          <w:rFonts w:asciiTheme="majorBidi" w:hAnsiTheme="majorBidi" w:cstheme="majorBidi"/>
          <w:color w:val="000000" w:themeColor="text1"/>
          <w:sz w:val="20"/>
          <w:szCs w:val="20"/>
        </w:rPr>
        <w:instrText xml:space="preserve"> NOTEREF _Ref205383157 \h  \* MERGEFORMAT </w:instrText>
      </w:r>
      <w:r w:rsidR="00A43BB5" w:rsidRPr="000F7532">
        <w:rPr>
          <w:rFonts w:asciiTheme="majorBidi" w:hAnsiTheme="majorBidi" w:cstheme="majorBidi"/>
          <w:color w:val="000000" w:themeColor="text1"/>
          <w:sz w:val="20"/>
          <w:szCs w:val="20"/>
        </w:rPr>
      </w:r>
      <w:r w:rsidR="00A43BB5" w:rsidRPr="000F7532">
        <w:rPr>
          <w:rFonts w:asciiTheme="majorBidi" w:hAnsiTheme="majorBidi" w:cstheme="majorBidi"/>
          <w:color w:val="000000" w:themeColor="text1"/>
          <w:sz w:val="20"/>
          <w:szCs w:val="20"/>
        </w:rPr>
        <w:fldChar w:fldCharType="separate"/>
      </w:r>
      <w:r w:rsidR="003479F0" w:rsidRPr="000F7532">
        <w:rPr>
          <w:rFonts w:asciiTheme="majorBidi" w:hAnsiTheme="majorBidi" w:cstheme="majorBidi"/>
          <w:color w:val="000000" w:themeColor="text1"/>
          <w:sz w:val="20"/>
          <w:szCs w:val="20"/>
        </w:rPr>
        <w:t>3</w:t>
      </w:r>
      <w:r w:rsidR="00A43BB5" w:rsidRPr="000F7532">
        <w:rPr>
          <w:rFonts w:asciiTheme="majorBidi" w:hAnsiTheme="majorBidi" w:cstheme="majorBidi"/>
          <w:color w:val="000000" w:themeColor="text1"/>
          <w:sz w:val="20"/>
          <w:szCs w:val="20"/>
        </w:rPr>
        <w:fldChar w:fldCharType="end"/>
      </w:r>
      <w:r w:rsidR="00A43BB5" w:rsidRPr="000F7532">
        <w:rPr>
          <w:rFonts w:asciiTheme="majorBidi" w:hAnsiTheme="majorBidi" w:cstheme="majorBidi"/>
          <w:color w:val="000000" w:themeColor="text1"/>
          <w:sz w:val="20"/>
          <w:szCs w:val="20"/>
        </w:rPr>
        <w:t xml:space="preserve"> above).</w:t>
      </w:r>
    </w:p>
  </w:footnote>
  <w:footnote w:id="88">
    <w:p w14:paraId="04E262AA" w14:textId="77777777"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A43BB5" w:rsidRPr="000F7532">
        <w:rPr>
          <w:rFonts w:asciiTheme="majorBidi" w:eastAsia="Times New Roman" w:hAnsiTheme="majorBidi" w:cstheme="majorBidi"/>
          <w:color w:val="000000" w:themeColor="text1"/>
          <w:sz w:val="20"/>
          <w:szCs w:val="20"/>
        </w:rPr>
        <w:t>Ibid.</w:t>
      </w:r>
    </w:p>
  </w:footnote>
  <w:footnote w:id="89">
    <w:p w14:paraId="7BEFBACB" w14:textId="77777777"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0903D3" w:rsidRPr="000F7532">
        <w:rPr>
          <w:rFonts w:asciiTheme="majorBidi" w:hAnsiTheme="majorBidi" w:cstheme="majorBidi"/>
          <w:color w:val="000000" w:themeColor="text1"/>
          <w:sz w:val="20"/>
          <w:szCs w:val="20"/>
        </w:rPr>
        <w:t>Department for Work and Pensions, 'Guidance for Developing Local Get Britain Working Plans (England)' (3 April 2025) https://www.gov.uk/government/publications/guidance-for-developing-local-get-britain-working-plans-england/guidance-for-developing-local-get-britain-working-plans-england accessed 6 August 2025</w:t>
      </w:r>
    </w:p>
  </w:footnote>
  <w:footnote w:id="90">
    <w:p w14:paraId="36DDEFF0" w14:textId="77777777"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The deadline for these outline plans was 27</w:t>
      </w:r>
      <w:r w:rsidRPr="000F7532">
        <w:rPr>
          <w:rFonts w:asciiTheme="majorBidi" w:eastAsia="Times New Roman" w:hAnsiTheme="majorBidi" w:cstheme="majorBidi"/>
          <w:color w:val="000000" w:themeColor="text1"/>
          <w:sz w:val="20"/>
          <w:szCs w:val="20"/>
          <w:vertAlign w:val="superscript"/>
        </w:rPr>
        <w:t>th</w:t>
      </w:r>
      <w:r w:rsidRPr="000F7532">
        <w:rPr>
          <w:rFonts w:asciiTheme="majorBidi" w:eastAsia="Times New Roman" w:hAnsiTheme="majorBidi" w:cstheme="majorBidi"/>
          <w:color w:val="000000" w:themeColor="text1"/>
          <w:sz w:val="20"/>
          <w:szCs w:val="20"/>
        </w:rPr>
        <w:t xml:space="preserve"> June 2025.</w:t>
      </w:r>
    </w:p>
  </w:footnote>
  <w:footnote w:id="91">
    <w:p w14:paraId="7B4A9D21" w14:textId="783C2DEB"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For examples of work already published by some authorities, see: </w:t>
      </w:r>
      <w:r w:rsidR="00AA5B0D" w:rsidRPr="000F7532">
        <w:rPr>
          <w:rFonts w:asciiTheme="majorBidi" w:hAnsiTheme="majorBidi" w:cstheme="majorBidi"/>
          <w:color w:val="000000" w:themeColor="text1"/>
          <w:sz w:val="20"/>
          <w:szCs w:val="20"/>
        </w:rPr>
        <w:t xml:space="preserve">Worcestershire County Council, 'Get Worcestershire Working' (2025) </w:t>
      </w:r>
      <w:hyperlink r:id="rId8" w:history="1">
        <w:r w:rsidR="00AA5B0D" w:rsidRPr="000F7532">
          <w:rPr>
            <w:rStyle w:val="Hyperlink"/>
            <w:rFonts w:asciiTheme="majorBidi" w:hAnsiTheme="majorBidi" w:cstheme="majorBidi"/>
            <w:color w:val="000000" w:themeColor="text1"/>
            <w:sz w:val="20"/>
            <w:szCs w:val="20"/>
          </w:rPr>
          <w:t>https://www.worcestershire.gov.uk/council-services/learning-skills-and-employability/get-worcestershire-working</w:t>
        </w:r>
      </w:hyperlink>
      <w:r w:rsidR="00AA5B0D" w:rsidRPr="000F7532">
        <w:rPr>
          <w:rFonts w:asciiTheme="majorBidi" w:hAnsiTheme="majorBidi" w:cstheme="majorBidi"/>
          <w:color w:val="000000" w:themeColor="text1"/>
          <w:sz w:val="20"/>
          <w:szCs w:val="20"/>
        </w:rPr>
        <w:t xml:space="preserve"> accessed 6 August 2025</w:t>
      </w:r>
      <w:r w:rsidRPr="000F7532">
        <w:rPr>
          <w:rFonts w:asciiTheme="majorBidi" w:eastAsia="Times New Roman" w:hAnsiTheme="majorBidi" w:cstheme="majorBidi"/>
          <w:color w:val="000000" w:themeColor="text1"/>
          <w:sz w:val="20"/>
          <w:szCs w:val="20"/>
        </w:rPr>
        <w:t xml:space="preserve"> and </w:t>
      </w:r>
      <w:r w:rsidR="00AA5B0D" w:rsidRPr="000F7532">
        <w:rPr>
          <w:rFonts w:asciiTheme="majorBidi" w:eastAsia="Times New Roman" w:hAnsiTheme="majorBidi" w:cstheme="majorBidi"/>
          <w:color w:val="000000" w:themeColor="text1"/>
          <w:sz w:val="20"/>
          <w:szCs w:val="20"/>
        </w:rPr>
        <w:t xml:space="preserve">Bracknell Forest Council, ‘Briefing Paper on Health and Work’ (2025) </w:t>
      </w:r>
      <w:hyperlink r:id="rId9" w:history="1">
        <w:r w:rsidR="00AA5B0D" w:rsidRPr="000F7532">
          <w:rPr>
            <w:rStyle w:val="Hyperlink"/>
            <w:rFonts w:asciiTheme="majorBidi" w:eastAsia="Times New Roman" w:hAnsiTheme="majorBidi" w:cstheme="majorBidi"/>
            <w:color w:val="000000" w:themeColor="text1"/>
            <w:sz w:val="20"/>
            <w:szCs w:val="20"/>
          </w:rPr>
          <w:t>https://democratic.bracknell-forest.gov.uk/documents/s210196/Prosperity%20board%20-%20health%20and%20work%20-%20June%202025.pdf</w:t>
        </w:r>
      </w:hyperlink>
      <w:r w:rsidR="00AA5B0D" w:rsidRPr="000F7532">
        <w:rPr>
          <w:rFonts w:asciiTheme="majorBidi" w:eastAsia="Times New Roman" w:hAnsiTheme="majorBidi" w:cstheme="majorBidi"/>
          <w:color w:val="000000" w:themeColor="text1"/>
          <w:sz w:val="20"/>
          <w:szCs w:val="20"/>
        </w:rPr>
        <w:t xml:space="preserve"> </w:t>
      </w:r>
      <w:r w:rsidR="00AA5B0D" w:rsidRPr="000F7532">
        <w:rPr>
          <w:rFonts w:asciiTheme="majorBidi" w:hAnsiTheme="majorBidi" w:cstheme="majorBidi"/>
          <w:color w:val="000000" w:themeColor="text1"/>
          <w:sz w:val="20"/>
          <w:szCs w:val="20"/>
        </w:rPr>
        <w:t>accessed 6 August 2025</w:t>
      </w:r>
    </w:p>
  </w:footnote>
  <w:footnote w:id="92">
    <w:p w14:paraId="787AFE1C" w14:textId="3D2DD4F6"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Indeed, aligning all of these strands of activity is a key aim set out in local and regional level strategy documents on this front. See </w:t>
      </w:r>
      <w:r w:rsidR="00AA5B0D" w:rsidRPr="000F7532">
        <w:rPr>
          <w:rFonts w:asciiTheme="majorBidi" w:eastAsia="Times New Roman" w:hAnsiTheme="majorBidi" w:cstheme="majorBidi"/>
          <w:color w:val="000000" w:themeColor="text1"/>
          <w:sz w:val="20"/>
          <w:szCs w:val="20"/>
        </w:rPr>
        <w:t xml:space="preserve">Oxfordshire County Council, ‘Connect to Work ‘ (2025) </w:t>
      </w:r>
      <w:hyperlink r:id="rId10" w:history="1">
        <w:r w:rsidR="00AA5B0D" w:rsidRPr="000F7532">
          <w:rPr>
            <w:rStyle w:val="Hyperlink"/>
            <w:rFonts w:asciiTheme="majorBidi" w:eastAsia="Times New Roman" w:hAnsiTheme="majorBidi" w:cstheme="majorBidi"/>
            <w:color w:val="000000" w:themeColor="text1"/>
            <w:sz w:val="20"/>
            <w:szCs w:val="20"/>
          </w:rPr>
          <w:t>https://mycouncil.oxfordshire.gov.uk/documents/s77065/CAB150725R9%20Connect%20to%20Work.pdf</w:t>
        </w:r>
      </w:hyperlink>
      <w:r w:rsidR="00AA5B0D" w:rsidRPr="000F7532">
        <w:rPr>
          <w:rFonts w:asciiTheme="majorBidi" w:eastAsia="Times New Roman" w:hAnsiTheme="majorBidi" w:cstheme="majorBidi"/>
          <w:color w:val="000000" w:themeColor="text1"/>
          <w:sz w:val="20"/>
          <w:szCs w:val="20"/>
          <w:u w:val="single"/>
        </w:rPr>
        <w:t xml:space="preserve"> </w:t>
      </w:r>
      <w:r w:rsidR="00AA5B0D" w:rsidRPr="000F7532">
        <w:rPr>
          <w:rFonts w:asciiTheme="majorBidi" w:hAnsiTheme="majorBidi" w:cstheme="majorBidi"/>
          <w:color w:val="000000" w:themeColor="text1"/>
          <w:sz w:val="20"/>
          <w:szCs w:val="20"/>
        </w:rPr>
        <w:t>accessed 6 August 2025</w:t>
      </w:r>
      <w:r w:rsidRPr="000F7532">
        <w:rPr>
          <w:rFonts w:asciiTheme="majorBidi" w:eastAsia="Times New Roman" w:hAnsiTheme="majorBidi" w:cstheme="majorBidi"/>
          <w:color w:val="000000" w:themeColor="text1"/>
          <w:sz w:val="20"/>
          <w:szCs w:val="20"/>
        </w:rPr>
        <w:t xml:space="preserve"> and Gloucestershire </w:t>
      </w:r>
      <w:r w:rsidR="00AA5B0D" w:rsidRPr="000F7532">
        <w:rPr>
          <w:rFonts w:asciiTheme="majorBidi" w:eastAsia="Times New Roman" w:hAnsiTheme="majorBidi" w:cstheme="majorBidi"/>
          <w:color w:val="000000" w:themeColor="text1"/>
          <w:sz w:val="20"/>
          <w:szCs w:val="20"/>
        </w:rPr>
        <w:t xml:space="preserve">County Council, ‘Corporate Overview and Scrutiny Committee, Thursday 31 July 2025’ (2025) </w:t>
      </w:r>
      <w:hyperlink r:id="rId11">
        <w:r w:rsidR="00C7554F" w:rsidRPr="000F7532">
          <w:rPr>
            <w:rFonts w:asciiTheme="majorBidi" w:eastAsia="Times New Roman" w:hAnsiTheme="majorBidi" w:cstheme="majorBidi"/>
            <w:color w:val="000000" w:themeColor="text1"/>
            <w:sz w:val="20"/>
            <w:szCs w:val="20"/>
            <w:u w:val="single"/>
          </w:rPr>
          <w:t>https://glostext.gloucestershire.gov.uk/documents/g11826/Public%20reports%20pack%20Thursday%2031-Jul-2025%2010.00%20Corporate%20Overview%20and%20Scrutiny%20Committee.pdf?T=10</w:t>
        </w:r>
      </w:hyperlink>
      <w:r w:rsidR="00AA5B0D" w:rsidRPr="000F7532">
        <w:rPr>
          <w:rFonts w:asciiTheme="majorBidi" w:hAnsiTheme="majorBidi" w:cstheme="majorBidi"/>
          <w:color w:val="000000" w:themeColor="text1"/>
          <w:sz w:val="20"/>
          <w:szCs w:val="20"/>
        </w:rPr>
        <w:t xml:space="preserve"> </w:t>
      </w:r>
      <w:r w:rsidRPr="000F7532">
        <w:rPr>
          <w:rFonts w:asciiTheme="majorBidi" w:eastAsia="Times New Roman" w:hAnsiTheme="majorBidi" w:cstheme="majorBidi"/>
          <w:color w:val="000000" w:themeColor="text1"/>
          <w:sz w:val="20"/>
          <w:szCs w:val="20"/>
        </w:rPr>
        <w:t xml:space="preserve"> </w:t>
      </w:r>
      <w:r w:rsidR="00AA5B0D" w:rsidRPr="000F7532">
        <w:rPr>
          <w:rFonts w:asciiTheme="majorBidi" w:hAnsiTheme="majorBidi" w:cstheme="majorBidi"/>
          <w:color w:val="000000" w:themeColor="text1"/>
          <w:sz w:val="20"/>
          <w:szCs w:val="20"/>
        </w:rPr>
        <w:t>accessed 6 August 2025</w:t>
      </w:r>
    </w:p>
  </w:footnote>
  <w:footnote w:id="93">
    <w:p w14:paraId="21737395" w14:textId="6979FEA7"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AA5B0D" w:rsidRPr="000F7532">
        <w:rPr>
          <w:rFonts w:asciiTheme="majorBidi" w:eastAsia="Times New Roman" w:hAnsiTheme="majorBidi" w:cstheme="majorBidi"/>
          <w:color w:val="000000" w:themeColor="text1"/>
          <w:sz w:val="20"/>
          <w:szCs w:val="20"/>
        </w:rPr>
        <w:t xml:space="preserve">Richard Machin, Dan Norris and Martin Jones, ‘Welfare reform summit’ (2018) 131 </w:t>
      </w:r>
      <w:r w:rsidR="00AA5B0D" w:rsidRPr="000F7532">
        <w:rPr>
          <w:rFonts w:asciiTheme="majorBidi" w:eastAsia="Times New Roman" w:hAnsiTheme="majorBidi" w:cstheme="majorBidi"/>
          <w:i/>
          <w:iCs/>
          <w:color w:val="000000" w:themeColor="text1"/>
          <w:sz w:val="20"/>
          <w:szCs w:val="20"/>
        </w:rPr>
        <w:t>Poverty</w:t>
      </w:r>
      <w:r w:rsidR="00AA5B0D" w:rsidRPr="000F7532">
        <w:rPr>
          <w:rFonts w:asciiTheme="majorBidi" w:eastAsia="Times New Roman" w:hAnsiTheme="majorBidi" w:cstheme="majorBidi"/>
          <w:color w:val="000000" w:themeColor="text1"/>
          <w:sz w:val="20"/>
          <w:szCs w:val="20"/>
        </w:rPr>
        <w:t xml:space="preserve"> 10, Available at: </w:t>
      </w:r>
      <w:hyperlink r:id="rId12" w:history="1">
        <w:r w:rsidR="00AA5B0D" w:rsidRPr="000F7532">
          <w:rPr>
            <w:rStyle w:val="Hyperlink"/>
            <w:rFonts w:asciiTheme="majorBidi" w:eastAsia="Times New Roman" w:hAnsiTheme="majorBidi" w:cstheme="majorBidi"/>
            <w:color w:val="000000" w:themeColor="text1"/>
            <w:sz w:val="20"/>
            <w:szCs w:val="20"/>
          </w:rPr>
          <w:t>https://irep.ntu.ac.uk/id/eprint/37481/1/14549_Machin.pdf</w:t>
        </w:r>
      </w:hyperlink>
    </w:p>
  </w:footnote>
  <w:footnote w:id="94">
    <w:p w14:paraId="6525D4E6" w14:textId="0016F9DA"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AA5B0D" w:rsidRPr="000F7532">
        <w:rPr>
          <w:rFonts w:asciiTheme="majorBidi" w:eastAsia="Times New Roman" w:hAnsiTheme="majorBidi" w:cstheme="majorBidi"/>
          <w:color w:val="000000" w:themeColor="text1"/>
          <w:sz w:val="20"/>
          <w:szCs w:val="20"/>
        </w:rPr>
        <w:t xml:space="preserve">Department for Work and Pensions, ‘Connect to Work: Grant Guidance for England’ (2025) at </w:t>
      </w:r>
      <w:hyperlink r:id="rId13" w:history="1">
        <w:r w:rsidR="00AA5B0D" w:rsidRPr="000F7532">
          <w:rPr>
            <w:rStyle w:val="Hyperlink"/>
            <w:rFonts w:asciiTheme="majorBidi" w:eastAsia="Times New Roman" w:hAnsiTheme="majorBidi" w:cstheme="majorBidi"/>
            <w:color w:val="000000" w:themeColor="text1"/>
            <w:sz w:val="20"/>
            <w:szCs w:val="20"/>
          </w:rPr>
          <w:t>https://www.gov.uk/government/publications/connect-to-work/connect-to-work-grant-guidance-for-england</w:t>
        </w:r>
      </w:hyperlink>
      <w:r w:rsidR="00AA5B0D" w:rsidRPr="000F7532">
        <w:rPr>
          <w:rFonts w:asciiTheme="majorBidi" w:eastAsia="Times New Roman" w:hAnsiTheme="majorBidi" w:cstheme="majorBidi"/>
          <w:color w:val="000000" w:themeColor="text1"/>
          <w:sz w:val="20"/>
          <w:szCs w:val="20"/>
        </w:rPr>
        <w:t xml:space="preserve"> Accessed 5</w:t>
      </w:r>
      <w:r w:rsidR="00AA5B0D" w:rsidRPr="000F7532">
        <w:rPr>
          <w:rFonts w:asciiTheme="majorBidi" w:eastAsia="Times New Roman" w:hAnsiTheme="majorBidi" w:cstheme="majorBidi"/>
          <w:color w:val="000000" w:themeColor="text1"/>
          <w:sz w:val="20"/>
          <w:szCs w:val="20"/>
          <w:vertAlign w:val="superscript"/>
        </w:rPr>
        <w:t>th</w:t>
      </w:r>
      <w:r w:rsidR="00AA5B0D" w:rsidRPr="000F7532">
        <w:rPr>
          <w:rFonts w:asciiTheme="majorBidi" w:eastAsia="Times New Roman" w:hAnsiTheme="majorBidi" w:cstheme="majorBidi"/>
          <w:color w:val="000000" w:themeColor="text1"/>
          <w:sz w:val="20"/>
          <w:szCs w:val="20"/>
        </w:rPr>
        <w:t xml:space="preserve"> August 2025.</w:t>
      </w:r>
    </w:p>
  </w:footnote>
  <w:footnote w:id="95">
    <w:p w14:paraId="7765571D" w14:textId="77777777"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BD4041" w:rsidRPr="000F7532">
        <w:rPr>
          <w:rFonts w:asciiTheme="majorBidi" w:eastAsia="Times New Roman" w:hAnsiTheme="majorBidi" w:cstheme="majorBidi"/>
          <w:color w:val="000000" w:themeColor="text1"/>
          <w:sz w:val="20"/>
          <w:szCs w:val="20"/>
        </w:rPr>
        <w:t>Ibid.</w:t>
      </w:r>
    </w:p>
  </w:footnote>
  <w:footnote w:id="96">
    <w:p w14:paraId="05CBF265" w14:textId="71723CBD"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A43BB5" w:rsidRPr="000F7532">
        <w:rPr>
          <w:rFonts w:asciiTheme="majorBidi" w:eastAsia="Times New Roman" w:hAnsiTheme="majorBidi" w:cstheme="majorBidi"/>
          <w:color w:val="000000" w:themeColor="text1"/>
          <w:sz w:val="20"/>
          <w:szCs w:val="20"/>
        </w:rPr>
        <w:t xml:space="preserve">See </w:t>
      </w:r>
      <w:r w:rsidR="00A43BB5" w:rsidRPr="000F7532">
        <w:rPr>
          <w:rFonts w:asciiTheme="majorBidi" w:hAnsiTheme="majorBidi" w:cstheme="majorBidi"/>
          <w:color w:val="000000" w:themeColor="text1"/>
          <w:sz w:val="20"/>
          <w:szCs w:val="20"/>
        </w:rPr>
        <w:t xml:space="preserve">Department for Work and Pensions (n </w:t>
      </w:r>
      <w:r w:rsidR="00A43BB5" w:rsidRPr="000F7532">
        <w:rPr>
          <w:rFonts w:asciiTheme="majorBidi" w:hAnsiTheme="majorBidi" w:cstheme="majorBidi"/>
          <w:color w:val="000000" w:themeColor="text1"/>
          <w:sz w:val="20"/>
          <w:szCs w:val="20"/>
        </w:rPr>
        <w:fldChar w:fldCharType="begin"/>
      </w:r>
      <w:r w:rsidR="00A43BB5" w:rsidRPr="000F7532">
        <w:rPr>
          <w:rFonts w:asciiTheme="majorBidi" w:hAnsiTheme="majorBidi" w:cstheme="majorBidi"/>
          <w:color w:val="000000" w:themeColor="text1"/>
          <w:sz w:val="20"/>
          <w:szCs w:val="20"/>
        </w:rPr>
        <w:instrText xml:space="preserve"> NOTEREF _Ref205383157 \h  \* MERGEFORMAT </w:instrText>
      </w:r>
      <w:r w:rsidR="00A43BB5" w:rsidRPr="000F7532">
        <w:rPr>
          <w:rFonts w:asciiTheme="majorBidi" w:hAnsiTheme="majorBidi" w:cstheme="majorBidi"/>
          <w:color w:val="000000" w:themeColor="text1"/>
          <w:sz w:val="20"/>
          <w:szCs w:val="20"/>
        </w:rPr>
      </w:r>
      <w:r w:rsidR="00A43BB5" w:rsidRPr="000F7532">
        <w:rPr>
          <w:rFonts w:asciiTheme="majorBidi" w:hAnsiTheme="majorBidi" w:cstheme="majorBidi"/>
          <w:color w:val="000000" w:themeColor="text1"/>
          <w:sz w:val="20"/>
          <w:szCs w:val="20"/>
        </w:rPr>
        <w:fldChar w:fldCharType="separate"/>
      </w:r>
      <w:r w:rsidR="003479F0" w:rsidRPr="000F7532">
        <w:rPr>
          <w:rFonts w:asciiTheme="majorBidi" w:hAnsiTheme="majorBidi" w:cstheme="majorBidi"/>
          <w:color w:val="000000" w:themeColor="text1"/>
          <w:sz w:val="20"/>
          <w:szCs w:val="20"/>
        </w:rPr>
        <w:t>3</w:t>
      </w:r>
      <w:r w:rsidR="00A43BB5" w:rsidRPr="000F7532">
        <w:rPr>
          <w:rFonts w:asciiTheme="majorBidi" w:hAnsiTheme="majorBidi" w:cstheme="majorBidi"/>
          <w:color w:val="000000" w:themeColor="text1"/>
          <w:sz w:val="20"/>
          <w:szCs w:val="20"/>
        </w:rPr>
        <w:fldChar w:fldCharType="end"/>
      </w:r>
      <w:r w:rsidR="00A43BB5" w:rsidRPr="000F7532">
        <w:rPr>
          <w:rFonts w:asciiTheme="majorBidi" w:hAnsiTheme="majorBidi" w:cstheme="majorBidi"/>
          <w:color w:val="000000" w:themeColor="text1"/>
          <w:sz w:val="20"/>
          <w:szCs w:val="20"/>
        </w:rPr>
        <w:t xml:space="preserve"> above) para. 207.</w:t>
      </w:r>
    </w:p>
  </w:footnote>
  <w:footnote w:id="97">
    <w:p w14:paraId="7C1EADBB" w14:textId="5E3F793F"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BD4041" w:rsidRPr="000F7532">
        <w:rPr>
          <w:rFonts w:asciiTheme="majorBidi" w:eastAsia="Times New Roman" w:hAnsiTheme="majorBidi" w:cstheme="majorBidi"/>
          <w:color w:val="000000" w:themeColor="text1"/>
          <w:sz w:val="20"/>
          <w:szCs w:val="20"/>
        </w:rPr>
        <w:t xml:space="preserve">Youth Employment UK, ‘Where are the 8 Youth Guarantee Trailblazer Areas?’ (2025) </w:t>
      </w:r>
      <w:hyperlink r:id="rId14" w:history="1">
        <w:r w:rsidR="00BD4041" w:rsidRPr="000F7532">
          <w:rPr>
            <w:rStyle w:val="Hyperlink"/>
            <w:rFonts w:asciiTheme="majorBidi" w:eastAsia="Times New Roman" w:hAnsiTheme="majorBidi" w:cstheme="majorBidi"/>
            <w:color w:val="000000" w:themeColor="text1"/>
            <w:sz w:val="20"/>
            <w:szCs w:val="20"/>
          </w:rPr>
          <w:t>https://www.youthemployment.org.uk/where-are-the-8-youth-guarantee-trailblazer-areas/</w:t>
        </w:r>
      </w:hyperlink>
      <w:r w:rsidR="00BD4041" w:rsidRPr="000F7532">
        <w:rPr>
          <w:rFonts w:asciiTheme="majorBidi" w:eastAsia="Times New Roman" w:hAnsiTheme="majorBidi" w:cstheme="majorBidi"/>
          <w:color w:val="000000" w:themeColor="text1"/>
          <w:sz w:val="20"/>
          <w:szCs w:val="20"/>
        </w:rPr>
        <w:t xml:space="preserve"> accessed 5</w:t>
      </w:r>
      <w:r w:rsidR="00BD4041" w:rsidRPr="000F7532">
        <w:rPr>
          <w:rFonts w:asciiTheme="majorBidi" w:eastAsia="Times New Roman" w:hAnsiTheme="majorBidi" w:cstheme="majorBidi"/>
          <w:color w:val="000000" w:themeColor="text1"/>
          <w:sz w:val="20"/>
          <w:szCs w:val="20"/>
          <w:vertAlign w:val="superscript"/>
        </w:rPr>
        <w:t>th</w:t>
      </w:r>
      <w:r w:rsidR="00BD4041" w:rsidRPr="000F7532">
        <w:rPr>
          <w:rFonts w:asciiTheme="majorBidi" w:eastAsia="Times New Roman" w:hAnsiTheme="majorBidi" w:cstheme="majorBidi"/>
          <w:color w:val="000000" w:themeColor="text1"/>
          <w:sz w:val="20"/>
          <w:szCs w:val="20"/>
        </w:rPr>
        <w:t xml:space="preserve"> August 2025; and NHS Confederation, ‘</w:t>
      </w:r>
      <w:r w:rsidR="00BD4041" w:rsidRPr="000F7532">
        <w:rPr>
          <w:rFonts w:asciiTheme="majorBidi" w:hAnsiTheme="majorBidi" w:cstheme="majorBidi"/>
          <w:color w:val="000000" w:themeColor="text1"/>
          <w:sz w:val="20"/>
          <w:szCs w:val="20"/>
        </w:rPr>
        <w:t xml:space="preserve">Get Britain Working white paper’ (2025) </w:t>
      </w:r>
      <w:hyperlink r:id="rId15" w:history="1">
        <w:r w:rsidR="00BD4041" w:rsidRPr="000F7532">
          <w:rPr>
            <w:rStyle w:val="Hyperlink"/>
            <w:rFonts w:asciiTheme="majorBidi" w:eastAsia="Times New Roman" w:hAnsiTheme="majorBidi" w:cstheme="majorBidi"/>
            <w:color w:val="000000" w:themeColor="text1"/>
            <w:sz w:val="20"/>
            <w:szCs w:val="20"/>
          </w:rPr>
          <w:t>https://www.nhsconfed.org/publications/get-britain-working-white-paper</w:t>
        </w:r>
      </w:hyperlink>
      <w:r w:rsidR="00BD4041" w:rsidRPr="000F7532">
        <w:rPr>
          <w:rFonts w:asciiTheme="majorBidi" w:eastAsia="Times New Roman" w:hAnsiTheme="majorBidi" w:cstheme="majorBidi"/>
          <w:color w:val="000000" w:themeColor="text1"/>
          <w:sz w:val="20"/>
          <w:szCs w:val="20"/>
        </w:rPr>
        <w:t xml:space="preserve"> accessed 5</w:t>
      </w:r>
      <w:r w:rsidR="00BD4041" w:rsidRPr="000F7532">
        <w:rPr>
          <w:rFonts w:asciiTheme="majorBidi" w:eastAsia="Times New Roman" w:hAnsiTheme="majorBidi" w:cstheme="majorBidi"/>
          <w:color w:val="000000" w:themeColor="text1"/>
          <w:sz w:val="20"/>
          <w:szCs w:val="20"/>
          <w:vertAlign w:val="superscript"/>
        </w:rPr>
        <w:t>th</w:t>
      </w:r>
      <w:r w:rsidR="00BD4041" w:rsidRPr="000F7532">
        <w:rPr>
          <w:rFonts w:asciiTheme="majorBidi" w:eastAsia="Times New Roman" w:hAnsiTheme="majorBidi" w:cstheme="majorBidi"/>
          <w:color w:val="000000" w:themeColor="text1"/>
          <w:sz w:val="20"/>
          <w:szCs w:val="20"/>
        </w:rPr>
        <w:t xml:space="preserve"> August 2025</w:t>
      </w:r>
    </w:p>
  </w:footnote>
  <w:footnote w:id="98">
    <w:p w14:paraId="3FFBE31C" w14:textId="77777777"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BD4041" w:rsidRPr="000F7532">
        <w:rPr>
          <w:rFonts w:asciiTheme="majorBidi" w:hAnsiTheme="majorBidi" w:cstheme="majorBidi"/>
          <w:color w:val="000000" w:themeColor="text1"/>
          <w:sz w:val="20"/>
          <w:szCs w:val="20"/>
        </w:rPr>
        <w:t xml:space="preserve">Bernard Davies, ‘The Impact of Fourteen Years of UK Conservative Government Policy on Open Access Youth Work’ (2024) 4(2) </w:t>
      </w:r>
      <w:r w:rsidR="00BD4041" w:rsidRPr="000F7532">
        <w:rPr>
          <w:rFonts w:asciiTheme="majorBidi" w:hAnsiTheme="majorBidi" w:cstheme="majorBidi"/>
          <w:i/>
          <w:iCs/>
          <w:color w:val="000000" w:themeColor="text1"/>
          <w:sz w:val="20"/>
          <w:szCs w:val="20"/>
        </w:rPr>
        <w:t xml:space="preserve">Youth </w:t>
      </w:r>
      <w:r w:rsidR="00BD4041" w:rsidRPr="000F7532">
        <w:rPr>
          <w:rFonts w:asciiTheme="majorBidi" w:hAnsiTheme="majorBidi" w:cstheme="majorBidi"/>
          <w:color w:val="000000" w:themeColor="text1"/>
          <w:sz w:val="20"/>
          <w:szCs w:val="20"/>
        </w:rPr>
        <w:t>492.</w:t>
      </w:r>
    </w:p>
  </w:footnote>
  <w:footnote w:id="99">
    <w:p w14:paraId="3D446C88" w14:textId="48BB91A2"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hyperlink r:id="rId16">
        <w:r w:rsidR="00CC7BF9" w:rsidRPr="000F7532">
          <w:rPr>
            <w:rFonts w:asciiTheme="majorBidi" w:eastAsia="Times New Roman" w:hAnsiTheme="majorBidi" w:cstheme="majorBidi"/>
            <w:color w:val="000000" w:themeColor="text1"/>
            <w:sz w:val="20"/>
            <w:szCs w:val="20"/>
          </w:rPr>
          <w:t>NHS</w:t>
        </w:r>
      </w:hyperlink>
      <w:r w:rsidR="00CC7BF9" w:rsidRPr="000F7532">
        <w:rPr>
          <w:rFonts w:asciiTheme="majorBidi" w:hAnsiTheme="majorBidi" w:cstheme="majorBidi"/>
          <w:color w:val="000000" w:themeColor="text1"/>
          <w:sz w:val="20"/>
          <w:szCs w:val="20"/>
        </w:rPr>
        <w:t xml:space="preserve"> Confederation (n </w:t>
      </w:r>
      <w:r w:rsidR="00CC7BF9" w:rsidRPr="000F7532">
        <w:rPr>
          <w:rFonts w:asciiTheme="majorBidi" w:hAnsiTheme="majorBidi" w:cstheme="majorBidi"/>
          <w:color w:val="000000" w:themeColor="text1"/>
          <w:sz w:val="20"/>
          <w:szCs w:val="20"/>
        </w:rPr>
        <w:fldChar w:fldCharType="begin"/>
      </w:r>
      <w:r w:rsidR="00CC7BF9" w:rsidRPr="000F7532">
        <w:rPr>
          <w:rFonts w:asciiTheme="majorBidi" w:hAnsiTheme="majorBidi" w:cstheme="majorBidi"/>
          <w:color w:val="000000" w:themeColor="text1"/>
          <w:sz w:val="20"/>
          <w:szCs w:val="20"/>
        </w:rPr>
        <w:instrText xml:space="preserve"> NOTEREF _Ref205389796 \h </w:instrText>
      </w:r>
      <w:r w:rsidR="001B16B5" w:rsidRPr="000F7532">
        <w:rPr>
          <w:rFonts w:asciiTheme="majorBidi" w:hAnsiTheme="majorBidi" w:cstheme="majorBidi"/>
          <w:color w:val="000000" w:themeColor="text1"/>
          <w:sz w:val="20"/>
          <w:szCs w:val="20"/>
        </w:rPr>
        <w:instrText xml:space="preserve"> \* MERGEFORMAT </w:instrText>
      </w:r>
      <w:r w:rsidR="00CC7BF9" w:rsidRPr="000F7532">
        <w:rPr>
          <w:rFonts w:asciiTheme="majorBidi" w:hAnsiTheme="majorBidi" w:cstheme="majorBidi"/>
          <w:color w:val="000000" w:themeColor="text1"/>
          <w:sz w:val="20"/>
          <w:szCs w:val="20"/>
        </w:rPr>
      </w:r>
      <w:r w:rsidR="00CC7BF9" w:rsidRPr="000F7532">
        <w:rPr>
          <w:rFonts w:asciiTheme="majorBidi" w:hAnsiTheme="majorBidi" w:cstheme="majorBidi"/>
          <w:color w:val="000000" w:themeColor="text1"/>
          <w:sz w:val="20"/>
          <w:szCs w:val="20"/>
        </w:rPr>
        <w:fldChar w:fldCharType="separate"/>
      </w:r>
      <w:r w:rsidR="003479F0" w:rsidRPr="000F7532">
        <w:rPr>
          <w:rFonts w:asciiTheme="majorBidi" w:hAnsiTheme="majorBidi" w:cstheme="majorBidi"/>
          <w:color w:val="000000" w:themeColor="text1"/>
          <w:sz w:val="20"/>
          <w:szCs w:val="20"/>
        </w:rPr>
        <w:t>96</w:t>
      </w:r>
      <w:r w:rsidR="00CC7BF9" w:rsidRPr="000F7532">
        <w:rPr>
          <w:rFonts w:asciiTheme="majorBidi" w:hAnsiTheme="majorBidi" w:cstheme="majorBidi"/>
          <w:color w:val="000000" w:themeColor="text1"/>
          <w:sz w:val="20"/>
          <w:szCs w:val="20"/>
        </w:rPr>
        <w:fldChar w:fldCharType="end"/>
      </w:r>
      <w:r w:rsidR="00CC7BF9" w:rsidRPr="000F7532">
        <w:rPr>
          <w:rFonts w:asciiTheme="majorBidi" w:hAnsiTheme="majorBidi" w:cstheme="majorBidi"/>
          <w:color w:val="000000" w:themeColor="text1"/>
          <w:sz w:val="20"/>
          <w:szCs w:val="20"/>
        </w:rPr>
        <w:t xml:space="preserve"> above).</w:t>
      </w:r>
    </w:p>
  </w:footnote>
  <w:footnote w:id="100">
    <w:p w14:paraId="05048290" w14:textId="41AF8EB4" w:rsidR="00C7554F" w:rsidRPr="000F7532" w:rsidRDefault="00000000" w:rsidP="000F7532">
      <w:pPr>
        <w:pBdr>
          <w:top w:val="nil"/>
          <w:left w:val="nil"/>
          <w:bottom w:val="nil"/>
          <w:right w:val="nil"/>
          <w:between w:val="nil"/>
        </w:pBdr>
        <w:spacing w:after="0" w:line="276" w:lineRule="auto"/>
        <w:rPr>
          <w:rFonts w:asciiTheme="majorBidi" w:hAnsiTheme="majorBidi" w:cstheme="majorBidi"/>
          <w:b/>
          <w:bCs/>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2E1359" w:rsidRPr="000F7532">
        <w:rPr>
          <w:rFonts w:asciiTheme="majorBidi" w:eastAsia="Times New Roman" w:hAnsiTheme="majorBidi" w:cstheme="majorBidi"/>
          <w:color w:val="000000" w:themeColor="text1"/>
          <w:sz w:val="20"/>
          <w:szCs w:val="20"/>
        </w:rPr>
        <w:t xml:space="preserve">See </w:t>
      </w:r>
      <w:r w:rsidR="002E1359" w:rsidRPr="000F7532">
        <w:rPr>
          <w:rFonts w:asciiTheme="majorBidi" w:hAnsiTheme="majorBidi" w:cstheme="majorBidi"/>
          <w:color w:val="000000" w:themeColor="text1"/>
          <w:sz w:val="20"/>
          <w:szCs w:val="20"/>
        </w:rPr>
        <w:t xml:space="preserve">Department for Work and Pensions (n </w:t>
      </w:r>
      <w:r w:rsidR="002E1359" w:rsidRPr="000F7532">
        <w:rPr>
          <w:rFonts w:asciiTheme="majorBidi" w:hAnsiTheme="majorBidi" w:cstheme="majorBidi"/>
          <w:color w:val="000000" w:themeColor="text1"/>
          <w:sz w:val="20"/>
          <w:szCs w:val="20"/>
        </w:rPr>
        <w:fldChar w:fldCharType="begin"/>
      </w:r>
      <w:r w:rsidR="002E1359" w:rsidRPr="000F7532">
        <w:rPr>
          <w:rFonts w:asciiTheme="majorBidi" w:hAnsiTheme="majorBidi" w:cstheme="majorBidi"/>
          <w:color w:val="000000" w:themeColor="text1"/>
          <w:sz w:val="20"/>
          <w:szCs w:val="20"/>
        </w:rPr>
        <w:instrText xml:space="preserve"> NOTEREF _Ref205383157 \h  \* MERGEFORMAT </w:instrText>
      </w:r>
      <w:r w:rsidR="002E1359" w:rsidRPr="000F7532">
        <w:rPr>
          <w:rFonts w:asciiTheme="majorBidi" w:hAnsiTheme="majorBidi" w:cstheme="majorBidi"/>
          <w:color w:val="000000" w:themeColor="text1"/>
          <w:sz w:val="20"/>
          <w:szCs w:val="20"/>
        </w:rPr>
      </w:r>
      <w:r w:rsidR="002E1359" w:rsidRPr="000F7532">
        <w:rPr>
          <w:rFonts w:asciiTheme="majorBidi" w:hAnsiTheme="majorBidi" w:cstheme="majorBidi"/>
          <w:color w:val="000000" w:themeColor="text1"/>
          <w:sz w:val="20"/>
          <w:szCs w:val="20"/>
        </w:rPr>
        <w:fldChar w:fldCharType="separate"/>
      </w:r>
      <w:r w:rsidR="003479F0" w:rsidRPr="000F7532">
        <w:rPr>
          <w:rFonts w:asciiTheme="majorBidi" w:hAnsiTheme="majorBidi" w:cstheme="majorBidi"/>
          <w:color w:val="000000" w:themeColor="text1"/>
          <w:sz w:val="20"/>
          <w:szCs w:val="20"/>
        </w:rPr>
        <w:t>3</w:t>
      </w:r>
      <w:r w:rsidR="002E1359" w:rsidRPr="000F7532">
        <w:rPr>
          <w:rFonts w:asciiTheme="majorBidi" w:hAnsiTheme="majorBidi" w:cstheme="majorBidi"/>
          <w:color w:val="000000" w:themeColor="text1"/>
          <w:sz w:val="20"/>
          <w:szCs w:val="20"/>
        </w:rPr>
        <w:fldChar w:fldCharType="end"/>
      </w:r>
      <w:r w:rsidR="002E1359" w:rsidRPr="000F7532">
        <w:rPr>
          <w:rFonts w:asciiTheme="majorBidi" w:hAnsiTheme="majorBidi" w:cstheme="majorBidi"/>
          <w:color w:val="000000" w:themeColor="text1"/>
          <w:sz w:val="20"/>
          <w:szCs w:val="20"/>
        </w:rPr>
        <w:t xml:space="preserve"> above) para. 207;</w:t>
      </w:r>
      <w:r w:rsidRPr="000F7532">
        <w:rPr>
          <w:rFonts w:asciiTheme="majorBidi" w:eastAsia="Times New Roman" w:hAnsiTheme="majorBidi" w:cstheme="majorBidi"/>
          <w:color w:val="000000" w:themeColor="text1"/>
          <w:sz w:val="20"/>
          <w:szCs w:val="20"/>
        </w:rPr>
        <w:t xml:space="preserve"> and</w:t>
      </w:r>
      <w:r w:rsidR="007A6889" w:rsidRPr="000F7532">
        <w:rPr>
          <w:rFonts w:asciiTheme="majorBidi" w:eastAsia="Times New Roman" w:hAnsiTheme="majorBidi" w:cstheme="majorBidi"/>
          <w:color w:val="000000" w:themeColor="text1"/>
          <w:sz w:val="20"/>
          <w:szCs w:val="20"/>
        </w:rPr>
        <w:t xml:space="preserve"> Department for Work and Pensions and Department of Health and Social Care, ‘</w:t>
      </w:r>
      <w:r w:rsidR="007A6889" w:rsidRPr="000F7532">
        <w:rPr>
          <w:rFonts w:asciiTheme="majorBidi" w:hAnsiTheme="majorBidi" w:cstheme="majorBidi"/>
          <w:color w:val="000000" w:themeColor="text1"/>
          <w:sz w:val="20"/>
          <w:szCs w:val="20"/>
        </w:rPr>
        <w:t>WorkWell prospectus: guidance for Local System Partnerships’ (2024)</w:t>
      </w:r>
      <w:r w:rsidRPr="000F7532">
        <w:rPr>
          <w:rFonts w:asciiTheme="majorBidi" w:eastAsia="Times New Roman" w:hAnsiTheme="majorBidi" w:cstheme="majorBidi"/>
          <w:color w:val="000000" w:themeColor="text1"/>
          <w:sz w:val="20"/>
          <w:szCs w:val="20"/>
        </w:rPr>
        <w:t xml:space="preserve"> </w:t>
      </w:r>
      <w:hyperlink r:id="rId17" w:anchor="what-is-workwell">
        <w:r w:rsidR="00C7554F" w:rsidRPr="000F7532">
          <w:rPr>
            <w:rFonts w:asciiTheme="majorBidi" w:eastAsia="Times New Roman" w:hAnsiTheme="majorBidi" w:cstheme="majorBidi"/>
            <w:color w:val="000000" w:themeColor="text1"/>
            <w:sz w:val="20"/>
            <w:szCs w:val="20"/>
            <w:u w:val="single"/>
          </w:rPr>
          <w:t>https://www.gov.uk/government/publications/workwell/workwell-prospectus-guidance-for-local-system-partnerships#what-is-workwell</w:t>
        </w:r>
      </w:hyperlink>
      <w:r w:rsidR="007A6889" w:rsidRPr="000F7532">
        <w:rPr>
          <w:rFonts w:asciiTheme="majorBidi" w:hAnsiTheme="majorBidi" w:cstheme="majorBidi"/>
          <w:color w:val="000000" w:themeColor="text1"/>
          <w:sz w:val="20"/>
          <w:szCs w:val="20"/>
        </w:rPr>
        <w:t xml:space="preserve"> </w:t>
      </w:r>
      <w:r w:rsidR="007A6889" w:rsidRPr="000F7532">
        <w:rPr>
          <w:rFonts w:asciiTheme="majorBidi" w:eastAsia="Times New Roman" w:hAnsiTheme="majorBidi" w:cstheme="majorBidi"/>
          <w:color w:val="000000" w:themeColor="text1"/>
          <w:sz w:val="20"/>
          <w:szCs w:val="20"/>
        </w:rPr>
        <w:t>accessed 5</w:t>
      </w:r>
      <w:r w:rsidR="007A6889" w:rsidRPr="000F7532">
        <w:rPr>
          <w:rFonts w:asciiTheme="majorBidi" w:eastAsia="Times New Roman" w:hAnsiTheme="majorBidi" w:cstheme="majorBidi"/>
          <w:color w:val="000000" w:themeColor="text1"/>
          <w:sz w:val="20"/>
          <w:szCs w:val="20"/>
          <w:vertAlign w:val="superscript"/>
        </w:rPr>
        <w:t>th</w:t>
      </w:r>
      <w:r w:rsidR="007A6889" w:rsidRPr="000F7532">
        <w:rPr>
          <w:rFonts w:asciiTheme="majorBidi" w:eastAsia="Times New Roman" w:hAnsiTheme="majorBidi" w:cstheme="majorBidi"/>
          <w:color w:val="000000" w:themeColor="text1"/>
          <w:sz w:val="20"/>
          <w:szCs w:val="20"/>
        </w:rPr>
        <w:t xml:space="preserve"> August 2025</w:t>
      </w:r>
    </w:p>
  </w:footnote>
  <w:footnote w:id="101">
    <w:p w14:paraId="19118A08" w14:textId="722E3391"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hyperlink r:id="rId18">
        <w:r w:rsidR="007A6889" w:rsidRPr="000F7532">
          <w:rPr>
            <w:rFonts w:asciiTheme="majorBidi" w:eastAsia="Times New Roman" w:hAnsiTheme="majorBidi" w:cstheme="majorBidi"/>
            <w:color w:val="000000" w:themeColor="text1"/>
            <w:sz w:val="20"/>
            <w:szCs w:val="20"/>
          </w:rPr>
          <w:t>Ibid.</w:t>
        </w:r>
      </w:hyperlink>
      <w:r w:rsidRPr="000F7532">
        <w:rPr>
          <w:rFonts w:asciiTheme="majorBidi" w:eastAsia="Times New Roman" w:hAnsiTheme="majorBidi" w:cstheme="majorBidi"/>
          <w:color w:val="000000" w:themeColor="text1"/>
          <w:sz w:val="20"/>
          <w:szCs w:val="20"/>
        </w:rPr>
        <w:t xml:space="preserve"> </w:t>
      </w:r>
    </w:p>
  </w:footnote>
  <w:footnote w:id="102">
    <w:p w14:paraId="50E925D4" w14:textId="6D2448C2" w:rsidR="00C7554F" w:rsidRPr="000F7532" w:rsidRDefault="00000000" w:rsidP="000F7532">
      <w:pP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hAnsiTheme="majorBidi" w:cstheme="majorBidi"/>
          <w:color w:val="000000" w:themeColor="text1"/>
          <w:sz w:val="20"/>
          <w:szCs w:val="20"/>
        </w:rPr>
        <w:t xml:space="preserve"> </w:t>
      </w:r>
      <w:r w:rsidRPr="000F7532">
        <w:rPr>
          <w:rFonts w:asciiTheme="majorBidi" w:eastAsia="Times New Roman" w:hAnsiTheme="majorBidi" w:cstheme="majorBidi"/>
          <w:color w:val="000000" w:themeColor="text1"/>
          <w:sz w:val="20"/>
          <w:szCs w:val="20"/>
        </w:rPr>
        <w:t xml:space="preserve">North East Combined Authority, </w:t>
      </w:r>
      <w:r w:rsidR="00BD2BF3" w:rsidRPr="000F7532">
        <w:rPr>
          <w:rFonts w:asciiTheme="majorBidi" w:eastAsia="Times New Roman" w:hAnsiTheme="majorBidi" w:cstheme="majorBidi"/>
          <w:color w:val="000000" w:themeColor="text1"/>
          <w:sz w:val="20"/>
          <w:szCs w:val="20"/>
        </w:rPr>
        <w:t>‘</w:t>
      </w:r>
      <w:r w:rsidRPr="000F7532">
        <w:rPr>
          <w:rFonts w:asciiTheme="majorBidi" w:eastAsia="Times New Roman" w:hAnsiTheme="majorBidi" w:cstheme="majorBidi"/>
          <w:color w:val="000000" w:themeColor="text1"/>
          <w:sz w:val="20"/>
          <w:szCs w:val="20"/>
        </w:rPr>
        <w:t>The North East Economic Inactivity Trailblazer (2025/26)</w:t>
      </w:r>
      <w:r w:rsidR="00BD2BF3" w:rsidRPr="000F7532">
        <w:rPr>
          <w:rFonts w:asciiTheme="majorBidi" w:eastAsia="Times New Roman" w:hAnsiTheme="majorBidi" w:cstheme="majorBidi"/>
          <w:color w:val="000000" w:themeColor="text1"/>
          <w:sz w:val="20"/>
          <w:szCs w:val="20"/>
        </w:rPr>
        <w:t xml:space="preserve">’ (2025) </w:t>
      </w:r>
      <w:hyperlink r:id="rId19" w:history="1">
        <w:r w:rsidR="00BD2BF3" w:rsidRPr="000F7532">
          <w:rPr>
            <w:rStyle w:val="Hyperlink"/>
            <w:rFonts w:asciiTheme="majorBidi" w:eastAsia="Times New Roman" w:hAnsiTheme="majorBidi" w:cstheme="majorBidi"/>
            <w:color w:val="000000" w:themeColor="text1"/>
            <w:sz w:val="20"/>
            <w:szCs w:val="20"/>
          </w:rPr>
          <w:t>https://www.northeast-ca.gov.uk/downloads/3707/open-call-guidance-02-06-003-.pdf</w:t>
        </w:r>
      </w:hyperlink>
      <w:r w:rsidR="00BD2BF3" w:rsidRPr="000F7532">
        <w:rPr>
          <w:rFonts w:asciiTheme="majorBidi" w:eastAsia="Times New Roman" w:hAnsiTheme="majorBidi" w:cstheme="majorBidi"/>
          <w:color w:val="000000" w:themeColor="text1"/>
          <w:sz w:val="20"/>
          <w:szCs w:val="20"/>
        </w:rPr>
        <w:t xml:space="preserve"> accessed 5th August 2025.</w:t>
      </w:r>
      <w:r w:rsidRPr="000F7532">
        <w:rPr>
          <w:rFonts w:asciiTheme="majorBidi" w:eastAsia="Times New Roman" w:hAnsiTheme="majorBidi" w:cstheme="majorBidi"/>
          <w:color w:val="000000" w:themeColor="text1"/>
          <w:sz w:val="20"/>
          <w:szCs w:val="20"/>
        </w:rPr>
        <w:t xml:space="preserve"> </w:t>
      </w:r>
    </w:p>
  </w:footnote>
  <w:footnote w:id="103">
    <w:p w14:paraId="1B5D1673" w14:textId="6608AD46" w:rsidR="00C7554F" w:rsidRPr="000F7532" w:rsidRDefault="00000000" w:rsidP="000F7532">
      <w:pP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hAnsiTheme="majorBidi" w:cstheme="majorBidi"/>
          <w:color w:val="000000" w:themeColor="text1"/>
          <w:sz w:val="20"/>
          <w:szCs w:val="20"/>
        </w:rPr>
        <w:t xml:space="preserve"> </w:t>
      </w:r>
      <w:r w:rsidRPr="000F7532">
        <w:rPr>
          <w:rFonts w:asciiTheme="majorBidi" w:eastAsia="Times New Roman" w:hAnsiTheme="majorBidi" w:cstheme="majorBidi"/>
          <w:color w:val="000000" w:themeColor="text1"/>
          <w:sz w:val="20"/>
          <w:szCs w:val="20"/>
        </w:rPr>
        <w:t xml:space="preserve">Office </w:t>
      </w:r>
      <w:r w:rsidR="006B36B7" w:rsidRPr="000F7532">
        <w:rPr>
          <w:rFonts w:asciiTheme="majorBidi" w:eastAsia="Times New Roman" w:hAnsiTheme="majorBidi" w:cstheme="majorBidi"/>
          <w:color w:val="000000" w:themeColor="text1"/>
          <w:sz w:val="20"/>
          <w:szCs w:val="20"/>
        </w:rPr>
        <w:t>for</w:t>
      </w:r>
      <w:r w:rsidRPr="000F7532">
        <w:rPr>
          <w:rFonts w:asciiTheme="majorBidi" w:eastAsia="Times New Roman" w:hAnsiTheme="majorBidi" w:cstheme="majorBidi"/>
          <w:color w:val="000000" w:themeColor="text1"/>
          <w:sz w:val="20"/>
          <w:szCs w:val="20"/>
        </w:rPr>
        <w:t xml:space="preserve"> National Statistics, </w:t>
      </w:r>
      <w:r w:rsidR="006B36B7" w:rsidRPr="000F7532">
        <w:rPr>
          <w:rFonts w:asciiTheme="majorBidi" w:eastAsia="Times New Roman" w:hAnsiTheme="majorBidi" w:cstheme="majorBidi"/>
          <w:color w:val="000000" w:themeColor="text1"/>
          <w:sz w:val="20"/>
          <w:szCs w:val="20"/>
        </w:rPr>
        <w:t>‘</w:t>
      </w:r>
      <w:r w:rsidRPr="000F7532">
        <w:rPr>
          <w:rFonts w:asciiTheme="majorBidi" w:eastAsia="Times New Roman" w:hAnsiTheme="majorBidi" w:cstheme="majorBidi"/>
          <w:color w:val="000000" w:themeColor="text1"/>
          <w:sz w:val="20"/>
          <w:szCs w:val="20"/>
        </w:rPr>
        <w:t>Sickness absence in the UK labour market 2023 and 2024</w:t>
      </w:r>
      <w:r w:rsidR="006B36B7" w:rsidRPr="000F7532">
        <w:rPr>
          <w:rFonts w:asciiTheme="majorBidi" w:eastAsia="Times New Roman" w:hAnsiTheme="majorBidi" w:cstheme="majorBidi"/>
          <w:color w:val="000000" w:themeColor="text1"/>
          <w:sz w:val="20"/>
          <w:szCs w:val="20"/>
        </w:rPr>
        <w:t xml:space="preserve">’(2025) </w:t>
      </w:r>
      <w:hyperlink r:id="rId20" w:history="1">
        <w:r w:rsidR="006B36B7" w:rsidRPr="000F7532">
          <w:rPr>
            <w:rStyle w:val="Hyperlink"/>
            <w:rFonts w:asciiTheme="majorBidi" w:eastAsia="Times New Roman" w:hAnsiTheme="majorBidi" w:cstheme="majorBidi"/>
            <w:color w:val="000000" w:themeColor="text1"/>
            <w:sz w:val="20"/>
            <w:szCs w:val="20"/>
          </w:rPr>
          <w:t>https://www.ons.gov.uk/releases/sicknessabsenceintheuklabourmarket2023to2024</w:t>
        </w:r>
      </w:hyperlink>
      <w:r w:rsidR="006B36B7" w:rsidRPr="000F7532">
        <w:rPr>
          <w:rFonts w:asciiTheme="majorBidi" w:eastAsia="Times New Roman" w:hAnsiTheme="majorBidi" w:cstheme="majorBidi"/>
          <w:color w:val="000000" w:themeColor="text1"/>
          <w:sz w:val="20"/>
          <w:szCs w:val="20"/>
        </w:rPr>
        <w:t xml:space="preserve"> accessed 5th August 2025.</w:t>
      </w:r>
    </w:p>
  </w:footnote>
  <w:footnote w:id="104">
    <w:p w14:paraId="5D330AD9" w14:textId="7FCB8DC9"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0E0B24" w:rsidRPr="000F7532">
        <w:rPr>
          <w:rFonts w:asciiTheme="majorBidi" w:hAnsiTheme="majorBidi" w:cstheme="majorBidi"/>
          <w:color w:val="000000" w:themeColor="text1"/>
          <w:sz w:val="20"/>
          <w:szCs w:val="20"/>
        </w:rPr>
        <w:t xml:space="preserve">Department for Work and Pensions (n </w:t>
      </w:r>
      <w:r w:rsidR="000E0B24" w:rsidRPr="000F7532">
        <w:rPr>
          <w:rFonts w:asciiTheme="majorBidi" w:hAnsiTheme="majorBidi" w:cstheme="majorBidi"/>
          <w:color w:val="000000" w:themeColor="text1"/>
          <w:sz w:val="20"/>
          <w:szCs w:val="20"/>
        </w:rPr>
        <w:fldChar w:fldCharType="begin"/>
      </w:r>
      <w:r w:rsidR="000E0B24" w:rsidRPr="000F7532">
        <w:rPr>
          <w:rFonts w:asciiTheme="majorBidi" w:hAnsiTheme="majorBidi" w:cstheme="majorBidi"/>
          <w:color w:val="000000" w:themeColor="text1"/>
          <w:sz w:val="20"/>
          <w:szCs w:val="20"/>
        </w:rPr>
        <w:instrText xml:space="preserve"> NOTEREF _Ref205383157 \h  \* MERGEFORMAT </w:instrText>
      </w:r>
      <w:r w:rsidR="000E0B24" w:rsidRPr="000F7532">
        <w:rPr>
          <w:rFonts w:asciiTheme="majorBidi" w:hAnsiTheme="majorBidi" w:cstheme="majorBidi"/>
          <w:color w:val="000000" w:themeColor="text1"/>
          <w:sz w:val="20"/>
          <w:szCs w:val="20"/>
        </w:rPr>
      </w:r>
      <w:r w:rsidR="000E0B24" w:rsidRPr="000F7532">
        <w:rPr>
          <w:rFonts w:asciiTheme="majorBidi" w:hAnsiTheme="majorBidi" w:cstheme="majorBidi"/>
          <w:color w:val="000000" w:themeColor="text1"/>
          <w:sz w:val="20"/>
          <w:szCs w:val="20"/>
        </w:rPr>
        <w:fldChar w:fldCharType="separate"/>
      </w:r>
      <w:r w:rsidR="003479F0" w:rsidRPr="000F7532">
        <w:rPr>
          <w:rFonts w:asciiTheme="majorBidi" w:hAnsiTheme="majorBidi" w:cstheme="majorBidi"/>
          <w:color w:val="000000" w:themeColor="text1"/>
          <w:sz w:val="20"/>
          <w:szCs w:val="20"/>
        </w:rPr>
        <w:t>3</w:t>
      </w:r>
      <w:r w:rsidR="000E0B24" w:rsidRPr="000F7532">
        <w:rPr>
          <w:rFonts w:asciiTheme="majorBidi" w:hAnsiTheme="majorBidi" w:cstheme="majorBidi"/>
          <w:color w:val="000000" w:themeColor="text1"/>
          <w:sz w:val="20"/>
          <w:szCs w:val="20"/>
        </w:rPr>
        <w:fldChar w:fldCharType="end"/>
      </w:r>
      <w:r w:rsidR="000E0B24" w:rsidRPr="000F7532">
        <w:rPr>
          <w:rFonts w:asciiTheme="majorBidi" w:hAnsiTheme="majorBidi" w:cstheme="majorBidi"/>
          <w:color w:val="000000" w:themeColor="text1"/>
          <w:sz w:val="20"/>
          <w:szCs w:val="20"/>
        </w:rPr>
        <w:t xml:space="preserve"> above)  at </w:t>
      </w:r>
      <w:r w:rsidRPr="000F7532">
        <w:rPr>
          <w:rFonts w:asciiTheme="majorBidi" w:eastAsia="Times New Roman" w:hAnsiTheme="majorBidi" w:cstheme="majorBidi"/>
          <w:color w:val="000000" w:themeColor="text1"/>
          <w:sz w:val="20"/>
          <w:szCs w:val="20"/>
        </w:rPr>
        <w:t>3.</w:t>
      </w:r>
    </w:p>
  </w:footnote>
  <w:footnote w:id="105">
    <w:p w14:paraId="0A341534" w14:textId="77777777"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Ibid.</w:t>
      </w:r>
    </w:p>
  </w:footnote>
  <w:footnote w:id="106">
    <w:p w14:paraId="0B1E34B9" w14:textId="133402A1"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0E0B24" w:rsidRPr="000F7532">
        <w:rPr>
          <w:rFonts w:asciiTheme="majorBidi" w:eastAsia="Times New Roman" w:hAnsiTheme="majorBidi" w:cstheme="majorBidi"/>
          <w:color w:val="000000" w:themeColor="text1"/>
          <w:sz w:val="20"/>
          <w:szCs w:val="20"/>
        </w:rPr>
        <w:t xml:space="preserve">House of Commons </w:t>
      </w:r>
      <w:r w:rsidRPr="000F7532">
        <w:rPr>
          <w:rFonts w:asciiTheme="majorBidi" w:eastAsia="Times New Roman" w:hAnsiTheme="majorBidi" w:cstheme="majorBidi"/>
          <w:color w:val="000000" w:themeColor="text1"/>
          <w:sz w:val="20"/>
          <w:szCs w:val="20"/>
        </w:rPr>
        <w:t xml:space="preserve">Work and Pensions Committee, 'Safeguarding Vulnerable Claimants' (2025) at: </w:t>
      </w:r>
      <w:hyperlink r:id="rId21">
        <w:r w:rsidR="00C7554F" w:rsidRPr="000F7532">
          <w:rPr>
            <w:rFonts w:asciiTheme="majorBidi" w:eastAsia="Times New Roman" w:hAnsiTheme="majorBidi" w:cstheme="majorBidi"/>
            <w:color w:val="000000" w:themeColor="text1"/>
            <w:sz w:val="20"/>
            <w:szCs w:val="20"/>
            <w:u w:val="single"/>
          </w:rPr>
          <w:t>https://committees.parliament.uk/publications/47840/documents/250688/default/</w:t>
        </w:r>
      </w:hyperlink>
      <w:r w:rsidRPr="000F7532">
        <w:rPr>
          <w:rFonts w:asciiTheme="majorBidi" w:eastAsia="Times New Roman" w:hAnsiTheme="majorBidi" w:cstheme="majorBidi"/>
          <w:color w:val="000000" w:themeColor="text1"/>
          <w:sz w:val="20"/>
          <w:szCs w:val="20"/>
        </w:rPr>
        <w:t xml:space="preserve"> </w:t>
      </w:r>
      <w:r w:rsidR="000E0B24" w:rsidRPr="000F7532">
        <w:rPr>
          <w:rFonts w:asciiTheme="majorBidi" w:eastAsia="Times New Roman" w:hAnsiTheme="majorBidi" w:cstheme="majorBidi"/>
          <w:color w:val="000000" w:themeColor="text1"/>
          <w:sz w:val="20"/>
          <w:szCs w:val="20"/>
        </w:rPr>
        <w:t>accessed 5th August 2025.</w:t>
      </w:r>
    </w:p>
  </w:footnote>
  <w:footnote w:id="107">
    <w:p w14:paraId="20D965F7" w14:textId="77777777"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0E0B24" w:rsidRPr="000F7532">
        <w:rPr>
          <w:rFonts w:asciiTheme="majorBidi" w:eastAsia="Times New Roman" w:hAnsiTheme="majorBidi" w:cstheme="majorBidi"/>
          <w:color w:val="000000" w:themeColor="text1"/>
          <w:sz w:val="20"/>
          <w:szCs w:val="20"/>
        </w:rPr>
        <w:t>Ibid.</w:t>
      </w:r>
    </w:p>
  </w:footnote>
  <w:footnote w:id="108">
    <w:p w14:paraId="4F297684" w14:textId="77777777"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C1713A" w:rsidRPr="000F7532">
        <w:rPr>
          <w:rFonts w:asciiTheme="majorBidi" w:eastAsia="Times New Roman" w:hAnsiTheme="majorBidi" w:cstheme="majorBidi"/>
          <w:color w:val="000000" w:themeColor="text1"/>
          <w:sz w:val="20"/>
          <w:szCs w:val="20"/>
        </w:rPr>
        <w:t>Ibid.</w:t>
      </w:r>
    </w:p>
  </w:footnote>
  <w:footnote w:id="109">
    <w:p w14:paraId="04B4923A" w14:textId="77777777"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A3683B" w:rsidRPr="000F7532">
        <w:rPr>
          <w:rFonts w:asciiTheme="majorBidi" w:eastAsia="Times New Roman" w:hAnsiTheme="majorBidi" w:cstheme="majorBidi"/>
          <w:color w:val="000000" w:themeColor="text1"/>
          <w:sz w:val="20"/>
          <w:szCs w:val="20"/>
        </w:rPr>
        <w:t>Ibid.</w:t>
      </w:r>
    </w:p>
  </w:footnote>
  <w:footnote w:id="110">
    <w:p w14:paraId="1E5A809B" w14:textId="77777777"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CF6F17" w:rsidRPr="000F7532">
        <w:rPr>
          <w:rFonts w:asciiTheme="majorBidi" w:eastAsia="Times New Roman" w:hAnsiTheme="majorBidi" w:cstheme="majorBidi"/>
          <w:color w:val="000000" w:themeColor="text1"/>
          <w:sz w:val="20"/>
          <w:szCs w:val="20"/>
        </w:rPr>
        <w:t>Ibid.</w:t>
      </w:r>
    </w:p>
  </w:footnote>
  <w:footnote w:id="111">
    <w:p w14:paraId="1104835E" w14:textId="77777777" w:rsidR="00C7554F" w:rsidRPr="000F7532" w:rsidRDefault="00000000" w:rsidP="000F7532">
      <w:pP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Sch 9(4) Universal Credit Regulations 2013</w:t>
      </w:r>
      <w:r w:rsidR="00DF397D" w:rsidRPr="000F7532">
        <w:rPr>
          <w:rFonts w:asciiTheme="majorBidi" w:eastAsia="Times New Roman" w:hAnsiTheme="majorBidi" w:cstheme="majorBidi"/>
          <w:color w:val="000000" w:themeColor="text1"/>
          <w:sz w:val="20"/>
          <w:szCs w:val="20"/>
        </w:rPr>
        <w:t>.</w:t>
      </w:r>
    </w:p>
  </w:footnote>
  <w:footnote w:id="112">
    <w:p w14:paraId="75306471" w14:textId="77777777" w:rsidR="00C7554F" w:rsidRPr="000F7532" w:rsidRDefault="00000000" w:rsidP="000F7532">
      <w:pP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Pr="000F7532">
        <w:rPr>
          <w:rFonts w:asciiTheme="majorBidi" w:eastAsia="Times New Roman" w:hAnsiTheme="majorBidi" w:cstheme="majorBidi"/>
          <w:color w:val="000000" w:themeColor="text1"/>
          <w:sz w:val="20"/>
          <w:szCs w:val="20"/>
          <w:u w:val="single"/>
        </w:rPr>
        <w:t>IM v SSWP</w:t>
      </w:r>
      <w:r w:rsidRPr="000F7532">
        <w:rPr>
          <w:rFonts w:asciiTheme="majorBidi" w:eastAsia="Times New Roman" w:hAnsiTheme="majorBidi" w:cstheme="majorBidi"/>
          <w:color w:val="000000" w:themeColor="text1"/>
          <w:sz w:val="20"/>
          <w:szCs w:val="20"/>
        </w:rPr>
        <w:t xml:space="preserve"> [2014] UKUT 412 (AAC) (reported as [2015] AACR 10)</w:t>
      </w:r>
      <w:r w:rsidR="00DF397D" w:rsidRPr="000F7532">
        <w:rPr>
          <w:rFonts w:asciiTheme="majorBidi" w:eastAsia="Times New Roman" w:hAnsiTheme="majorBidi" w:cstheme="majorBidi"/>
          <w:color w:val="000000" w:themeColor="text1"/>
          <w:sz w:val="20"/>
          <w:szCs w:val="20"/>
        </w:rPr>
        <w:t>)</w:t>
      </w:r>
      <w:r w:rsidRPr="000F7532">
        <w:rPr>
          <w:rFonts w:asciiTheme="majorBidi" w:eastAsia="Times New Roman" w:hAnsiTheme="majorBidi" w:cstheme="majorBidi"/>
          <w:color w:val="000000" w:themeColor="text1"/>
          <w:sz w:val="20"/>
          <w:szCs w:val="20"/>
        </w:rPr>
        <w:t xml:space="preserve"> at [115]</w:t>
      </w:r>
      <w:r w:rsidR="00DF397D" w:rsidRPr="000F7532">
        <w:rPr>
          <w:rFonts w:asciiTheme="majorBidi" w:eastAsia="Times New Roman" w:hAnsiTheme="majorBidi" w:cstheme="majorBidi"/>
          <w:color w:val="000000" w:themeColor="text1"/>
          <w:sz w:val="20"/>
          <w:szCs w:val="20"/>
        </w:rPr>
        <w:t>.</w:t>
      </w:r>
    </w:p>
  </w:footnote>
  <w:footnote w:id="113">
    <w:p w14:paraId="5C8A4533" w14:textId="69D76480" w:rsidR="00C7554F" w:rsidRPr="000F7532" w:rsidRDefault="00000000" w:rsidP="000F7532">
      <w:pP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C</w:t>
      </w:r>
      <w:r w:rsidR="00DF397D" w:rsidRPr="000F7532">
        <w:rPr>
          <w:rFonts w:asciiTheme="majorBidi" w:eastAsia="Times New Roman" w:hAnsiTheme="majorBidi" w:cstheme="majorBidi"/>
          <w:color w:val="000000" w:themeColor="text1"/>
          <w:sz w:val="20"/>
          <w:szCs w:val="20"/>
        </w:rPr>
        <w:t>hild Poverty Action Group,</w:t>
      </w:r>
      <w:r w:rsidRPr="000F7532">
        <w:rPr>
          <w:rFonts w:asciiTheme="majorBidi" w:eastAsia="Times New Roman" w:hAnsiTheme="majorBidi" w:cstheme="majorBidi"/>
          <w:color w:val="000000" w:themeColor="text1"/>
          <w:sz w:val="20"/>
          <w:szCs w:val="20"/>
        </w:rPr>
        <w:t xml:space="preserve"> </w:t>
      </w:r>
      <w:r w:rsidR="00DF397D" w:rsidRPr="000F7532">
        <w:rPr>
          <w:rFonts w:asciiTheme="majorBidi" w:eastAsia="Times New Roman" w:hAnsiTheme="majorBidi" w:cstheme="majorBidi"/>
          <w:color w:val="000000" w:themeColor="text1"/>
          <w:sz w:val="20"/>
          <w:szCs w:val="20"/>
        </w:rPr>
        <w:t>‘</w:t>
      </w:r>
      <w:r w:rsidRPr="000F7532">
        <w:rPr>
          <w:rFonts w:asciiTheme="majorBidi" w:eastAsia="Times New Roman" w:hAnsiTheme="majorBidi" w:cstheme="majorBidi"/>
          <w:color w:val="000000" w:themeColor="text1"/>
          <w:sz w:val="20"/>
          <w:szCs w:val="20"/>
        </w:rPr>
        <w:t>You Reap what you code:</w:t>
      </w:r>
      <w:r w:rsidR="00DF397D" w:rsidRPr="000F7532">
        <w:rPr>
          <w:rFonts w:asciiTheme="majorBidi" w:eastAsia="Times New Roman" w:hAnsiTheme="majorBidi" w:cstheme="majorBidi"/>
          <w:color w:val="000000" w:themeColor="text1"/>
          <w:sz w:val="20"/>
          <w:szCs w:val="20"/>
        </w:rPr>
        <w:t xml:space="preserve"> </w:t>
      </w:r>
      <w:r w:rsidRPr="000F7532">
        <w:rPr>
          <w:rFonts w:asciiTheme="majorBidi" w:eastAsia="Times New Roman" w:hAnsiTheme="majorBidi" w:cstheme="majorBidi"/>
          <w:color w:val="000000" w:themeColor="text1"/>
          <w:sz w:val="20"/>
          <w:szCs w:val="20"/>
        </w:rPr>
        <w:t>Universal credit, digitalisation and the rule of law</w:t>
      </w:r>
      <w:r w:rsidR="00DF397D" w:rsidRPr="000F7532">
        <w:rPr>
          <w:rFonts w:asciiTheme="majorBidi" w:eastAsia="Times New Roman" w:hAnsiTheme="majorBidi" w:cstheme="majorBidi"/>
          <w:color w:val="000000" w:themeColor="text1"/>
          <w:sz w:val="20"/>
          <w:szCs w:val="20"/>
        </w:rPr>
        <w:t xml:space="preserve">’ (2023) </w:t>
      </w:r>
      <w:hyperlink r:id="rId22" w:history="1">
        <w:r w:rsidR="00DF397D" w:rsidRPr="000F7532">
          <w:rPr>
            <w:rStyle w:val="Hyperlink"/>
            <w:rFonts w:asciiTheme="majorBidi" w:eastAsia="Times New Roman" w:hAnsiTheme="majorBidi" w:cstheme="majorBidi"/>
            <w:color w:val="000000" w:themeColor="text1"/>
            <w:sz w:val="20"/>
            <w:szCs w:val="20"/>
          </w:rPr>
          <w:t>https://cpag.org.uk/news/you-reap-what-you-code</w:t>
        </w:r>
      </w:hyperlink>
      <w:r w:rsidR="00DF397D" w:rsidRPr="000F7532">
        <w:rPr>
          <w:rFonts w:asciiTheme="majorBidi" w:eastAsia="Times New Roman" w:hAnsiTheme="majorBidi" w:cstheme="majorBidi"/>
          <w:color w:val="000000" w:themeColor="text1"/>
          <w:sz w:val="20"/>
          <w:szCs w:val="20"/>
        </w:rPr>
        <w:t xml:space="preserve"> accessed 5th August 2025.</w:t>
      </w:r>
    </w:p>
  </w:footnote>
  <w:footnote w:id="114">
    <w:p w14:paraId="3F8DA2FF" w14:textId="77777777" w:rsidR="00C7554F" w:rsidRPr="000F7532" w:rsidRDefault="00000000" w:rsidP="000F7532">
      <w:pP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Freedom of information request FOI2025/66640</w:t>
      </w:r>
      <w:r w:rsidR="00DF397D" w:rsidRPr="000F7532">
        <w:rPr>
          <w:rFonts w:asciiTheme="majorBidi" w:eastAsia="Times New Roman" w:hAnsiTheme="majorBidi" w:cstheme="majorBidi"/>
          <w:color w:val="000000" w:themeColor="text1"/>
          <w:sz w:val="20"/>
          <w:szCs w:val="20"/>
        </w:rPr>
        <w:t>.</w:t>
      </w:r>
    </w:p>
  </w:footnote>
  <w:footnote w:id="115">
    <w:p w14:paraId="37B2F8F0" w14:textId="77777777" w:rsidR="00C7554F" w:rsidRPr="000F7532" w:rsidRDefault="00000000" w:rsidP="000F7532">
      <w:pPr>
        <w:spacing w:after="0" w:line="276" w:lineRule="auto"/>
        <w:rPr>
          <w:rFonts w:asciiTheme="majorBidi"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hAnsiTheme="majorBidi" w:cstheme="majorBidi"/>
          <w:color w:val="000000" w:themeColor="text1"/>
          <w:sz w:val="20"/>
          <w:szCs w:val="20"/>
        </w:rPr>
        <w:t xml:space="preserve"> </w:t>
      </w:r>
      <w:r w:rsidRPr="000F7532">
        <w:rPr>
          <w:rFonts w:asciiTheme="majorBidi" w:eastAsia="Calibri" w:hAnsiTheme="majorBidi" w:cstheme="majorBidi"/>
          <w:color w:val="000000" w:themeColor="text1"/>
          <w:sz w:val="20"/>
          <w:szCs w:val="20"/>
        </w:rPr>
        <w:t>Robert Thomas</w:t>
      </w:r>
      <w:r w:rsidR="00DF397D" w:rsidRPr="000F7532">
        <w:rPr>
          <w:rFonts w:asciiTheme="majorBidi" w:eastAsia="Calibri" w:hAnsiTheme="majorBidi" w:cstheme="majorBidi"/>
          <w:color w:val="000000" w:themeColor="text1"/>
          <w:sz w:val="20"/>
          <w:szCs w:val="20"/>
        </w:rPr>
        <w:t>, ‘</w:t>
      </w:r>
      <w:r w:rsidRPr="000F7532">
        <w:rPr>
          <w:rFonts w:asciiTheme="majorBidi" w:eastAsia="Calibri" w:hAnsiTheme="majorBidi" w:cstheme="majorBidi"/>
          <w:color w:val="000000" w:themeColor="text1"/>
          <w:sz w:val="20"/>
          <w:szCs w:val="20"/>
        </w:rPr>
        <w:t>Benefit complaints: a critical analysis</w:t>
      </w:r>
      <w:r w:rsidR="00DF397D" w:rsidRPr="000F7532">
        <w:rPr>
          <w:rFonts w:asciiTheme="majorBidi" w:eastAsia="Calibri" w:hAnsiTheme="majorBidi" w:cstheme="majorBidi"/>
          <w:color w:val="000000" w:themeColor="text1"/>
          <w:sz w:val="20"/>
          <w:szCs w:val="20"/>
        </w:rPr>
        <w:t>’ (2022) 44(2)</w:t>
      </w:r>
      <w:r w:rsidRPr="000F7532">
        <w:rPr>
          <w:rFonts w:asciiTheme="majorBidi" w:eastAsia="Calibri" w:hAnsiTheme="majorBidi" w:cstheme="majorBidi"/>
          <w:color w:val="000000" w:themeColor="text1"/>
          <w:sz w:val="20"/>
          <w:szCs w:val="20"/>
        </w:rPr>
        <w:t xml:space="preserve"> </w:t>
      </w:r>
      <w:r w:rsidRPr="000F7532">
        <w:rPr>
          <w:rFonts w:asciiTheme="majorBidi" w:eastAsia="Calibri" w:hAnsiTheme="majorBidi" w:cstheme="majorBidi"/>
          <w:i/>
          <w:iCs/>
          <w:color w:val="000000" w:themeColor="text1"/>
          <w:sz w:val="20"/>
          <w:szCs w:val="20"/>
        </w:rPr>
        <w:t>Journal of Social Welfare and Family Law</w:t>
      </w:r>
      <w:r w:rsidR="00DF397D" w:rsidRPr="000F7532">
        <w:rPr>
          <w:rFonts w:asciiTheme="majorBidi" w:eastAsia="Calibri" w:hAnsiTheme="majorBidi" w:cstheme="majorBidi"/>
          <w:color w:val="000000" w:themeColor="text1"/>
          <w:sz w:val="20"/>
          <w:szCs w:val="20"/>
        </w:rPr>
        <w:t xml:space="preserve"> </w:t>
      </w:r>
      <w:r w:rsidRPr="000F7532">
        <w:rPr>
          <w:rFonts w:asciiTheme="majorBidi" w:eastAsia="Calibri" w:hAnsiTheme="majorBidi" w:cstheme="majorBidi"/>
          <w:color w:val="000000" w:themeColor="text1"/>
          <w:sz w:val="20"/>
          <w:szCs w:val="20"/>
        </w:rPr>
        <w:t>258</w:t>
      </w:r>
      <w:r w:rsidR="00DF397D" w:rsidRPr="000F7532">
        <w:rPr>
          <w:rFonts w:asciiTheme="majorBidi" w:eastAsia="Calibri" w:hAnsiTheme="majorBidi" w:cstheme="majorBidi"/>
          <w:color w:val="000000" w:themeColor="text1"/>
          <w:sz w:val="20"/>
          <w:szCs w:val="20"/>
        </w:rPr>
        <w:t>.</w:t>
      </w:r>
    </w:p>
  </w:footnote>
  <w:footnote w:id="116">
    <w:p w14:paraId="6804E308" w14:textId="77777777" w:rsidR="00C7554F" w:rsidRPr="000F7532" w:rsidRDefault="00000000" w:rsidP="000F7532">
      <w:pPr>
        <w:spacing w:after="0" w:line="276" w:lineRule="auto"/>
        <w:rPr>
          <w:rFonts w:asciiTheme="majorBidi"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hAnsiTheme="majorBidi" w:cstheme="majorBidi"/>
          <w:color w:val="000000" w:themeColor="text1"/>
          <w:sz w:val="20"/>
          <w:szCs w:val="20"/>
        </w:rPr>
        <w:t xml:space="preserve"> For example, see Roulstone’s critique: </w:t>
      </w:r>
      <w:r w:rsidR="00EE4C0C" w:rsidRPr="000F7532">
        <w:rPr>
          <w:rFonts w:asciiTheme="majorBidi" w:hAnsiTheme="majorBidi" w:cstheme="majorBidi"/>
          <w:color w:val="000000" w:themeColor="text1"/>
          <w:sz w:val="20"/>
          <w:szCs w:val="20"/>
        </w:rPr>
        <w:t xml:space="preserve">Alan Roulstone, Personal Independence Payments, welfare reform and the shrinking disability category (2015) 30(5) </w:t>
      </w:r>
      <w:r w:rsidR="00EE4C0C" w:rsidRPr="000F7532">
        <w:rPr>
          <w:rFonts w:asciiTheme="majorBidi" w:hAnsiTheme="majorBidi" w:cstheme="majorBidi"/>
          <w:i/>
          <w:iCs/>
          <w:color w:val="000000" w:themeColor="text1"/>
          <w:sz w:val="20"/>
          <w:szCs w:val="20"/>
        </w:rPr>
        <w:t>Disability &amp; Society</w:t>
      </w:r>
      <w:r w:rsidR="00EE4C0C" w:rsidRPr="000F7532">
        <w:rPr>
          <w:rFonts w:asciiTheme="majorBidi" w:hAnsiTheme="majorBidi" w:cstheme="majorBidi"/>
          <w:color w:val="000000" w:themeColor="text1"/>
          <w:sz w:val="20"/>
          <w:szCs w:val="20"/>
        </w:rPr>
        <w:t xml:space="preserve"> 673.</w:t>
      </w:r>
    </w:p>
  </w:footnote>
  <w:footnote w:id="117">
    <w:p w14:paraId="1E868D90" w14:textId="77777777" w:rsidR="00C7554F" w:rsidRPr="000F7532" w:rsidRDefault="00000000" w:rsidP="000F7532">
      <w:pPr>
        <w:spacing w:after="0" w:line="276" w:lineRule="auto"/>
        <w:rPr>
          <w:rFonts w:asciiTheme="majorBidi"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hAnsiTheme="majorBidi" w:cstheme="majorBidi"/>
          <w:color w:val="000000" w:themeColor="text1"/>
          <w:sz w:val="20"/>
          <w:szCs w:val="20"/>
        </w:rPr>
        <w:t xml:space="preserve"> For early examples of these, such as the different approach in PIP to day and night-time needs, see: </w:t>
      </w:r>
      <w:r w:rsidR="009B5E15" w:rsidRPr="000F7532">
        <w:rPr>
          <w:rFonts w:asciiTheme="majorBidi" w:hAnsiTheme="majorBidi" w:cstheme="majorBidi"/>
          <w:color w:val="000000" w:themeColor="text1"/>
          <w:sz w:val="20"/>
          <w:szCs w:val="20"/>
        </w:rPr>
        <w:t xml:space="preserve">Julie Henry, ‘Early experiences of personal independence payment’ (2014) 22(2) </w:t>
      </w:r>
      <w:r w:rsidR="009B5E15" w:rsidRPr="000F7532">
        <w:rPr>
          <w:rFonts w:asciiTheme="majorBidi" w:hAnsiTheme="majorBidi" w:cstheme="majorBidi"/>
          <w:i/>
          <w:iCs/>
          <w:color w:val="000000" w:themeColor="text1"/>
          <w:sz w:val="20"/>
          <w:szCs w:val="20"/>
        </w:rPr>
        <w:t xml:space="preserve">Journal of Poverty and Social Justice </w:t>
      </w:r>
      <w:r w:rsidR="009B5E15" w:rsidRPr="000F7532">
        <w:rPr>
          <w:rFonts w:asciiTheme="majorBidi" w:hAnsiTheme="majorBidi" w:cstheme="majorBidi"/>
          <w:color w:val="000000" w:themeColor="text1"/>
          <w:sz w:val="20"/>
          <w:szCs w:val="20"/>
        </w:rPr>
        <w:t>277.</w:t>
      </w:r>
    </w:p>
  </w:footnote>
  <w:footnote w:id="118">
    <w:p w14:paraId="2AF1971E" w14:textId="77777777" w:rsidR="00C7554F" w:rsidRPr="000F7532" w:rsidRDefault="00000000" w:rsidP="000F7532">
      <w:pPr>
        <w:spacing w:after="0" w:line="276" w:lineRule="auto"/>
        <w:rPr>
          <w:rFonts w:asciiTheme="majorBidi"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hAnsiTheme="majorBidi" w:cstheme="majorBidi"/>
          <w:color w:val="000000" w:themeColor="text1"/>
          <w:sz w:val="20"/>
          <w:szCs w:val="20"/>
        </w:rPr>
        <w:t xml:space="preserve"> </w:t>
      </w:r>
      <w:r w:rsidR="00293340" w:rsidRPr="000F7532">
        <w:rPr>
          <w:rFonts w:asciiTheme="majorBidi" w:hAnsiTheme="majorBidi" w:cstheme="majorBidi"/>
          <w:color w:val="000000" w:themeColor="text1"/>
          <w:sz w:val="20"/>
          <w:szCs w:val="20"/>
        </w:rPr>
        <w:t xml:space="preserve">Richard Machin and Fiona McCormack, ‘The Impact of the Transition to Personal Independence Payment on Claimants with Mental Health Problems’ (2021) 38(6) </w:t>
      </w:r>
      <w:r w:rsidR="00293340" w:rsidRPr="000F7532">
        <w:rPr>
          <w:rFonts w:asciiTheme="majorBidi" w:hAnsiTheme="majorBidi" w:cstheme="majorBidi"/>
          <w:i/>
          <w:iCs/>
          <w:color w:val="000000" w:themeColor="text1"/>
          <w:sz w:val="20"/>
          <w:szCs w:val="20"/>
        </w:rPr>
        <w:t>Disability &amp; Society</w:t>
      </w:r>
      <w:r w:rsidR="00293340" w:rsidRPr="000F7532">
        <w:rPr>
          <w:rFonts w:asciiTheme="majorBidi" w:hAnsiTheme="majorBidi" w:cstheme="majorBidi"/>
          <w:color w:val="000000" w:themeColor="text1"/>
          <w:sz w:val="20"/>
          <w:szCs w:val="20"/>
        </w:rPr>
        <w:t xml:space="preserve"> 1029.</w:t>
      </w:r>
    </w:p>
  </w:footnote>
  <w:footnote w:id="119">
    <w:p w14:paraId="113F3085" w14:textId="77777777" w:rsidR="00C7554F" w:rsidRPr="000F7532" w:rsidRDefault="00000000" w:rsidP="000F7532">
      <w:pPr>
        <w:spacing w:after="0" w:line="276" w:lineRule="auto"/>
        <w:rPr>
          <w:rFonts w:asciiTheme="majorBidi"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hAnsiTheme="majorBidi" w:cstheme="majorBidi"/>
          <w:color w:val="000000" w:themeColor="text1"/>
          <w:sz w:val="20"/>
          <w:szCs w:val="20"/>
        </w:rPr>
        <w:t xml:space="preserve"> </w:t>
      </w:r>
      <w:r w:rsidR="00C4385A" w:rsidRPr="000F7532">
        <w:rPr>
          <w:rFonts w:asciiTheme="majorBidi" w:hAnsiTheme="majorBidi" w:cstheme="majorBidi"/>
          <w:color w:val="000000" w:themeColor="text1"/>
          <w:sz w:val="20"/>
          <w:szCs w:val="20"/>
        </w:rPr>
        <w:t xml:space="preserve">Peter Alldridge, ‘On Being Able to Walk Twenty Metres: The Introduction of Personal Independence Payments’ (2019) 46(3) </w:t>
      </w:r>
      <w:r w:rsidR="00C4385A" w:rsidRPr="000F7532">
        <w:rPr>
          <w:rFonts w:asciiTheme="majorBidi" w:hAnsiTheme="majorBidi" w:cstheme="majorBidi"/>
          <w:i/>
          <w:iCs/>
          <w:color w:val="000000" w:themeColor="text1"/>
          <w:sz w:val="20"/>
          <w:szCs w:val="20"/>
        </w:rPr>
        <w:t xml:space="preserve">Journal of Law and Society </w:t>
      </w:r>
      <w:r w:rsidR="00C4385A" w:rsidRPr="000F7532">
        <w:rPr>
          <w:rFonts w:asciiTheme="majorBidi" w:hAnsiTheme="majorBidi" w:cstheme="majorBidi"/>
          <w:color w:val="000000" w:themeColor="text1"/>
          <w:sz w:val="20"/>
          <w:szCs w:val="20"/>
        </w:rPr>
        <w:t>448.</w:t>
      </w:r>
    </w:p>
  </w:footnote>
  <w:footnote w:id="120">
    <w:p w14:paraId="403510E5" w14:textId="3307A013" w:rsidR="00C7554F" w:rsidRPr="000F7532" w:rsidRDefault="00000000" w:rsidP="000F7532">
      <w:pPr>
        <w:spacing w:after="0" w:line="276" w:lineRule="auto"/>
        <w:rPr>
          <w:rFonts w:asciiTheme="majorBidi"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hAnsiTheme="majorBidi" w:cstheme="majorBidi"/>
          <w:color w:val="000000" w:themeColor="text1"/>
          <w:sz w:val="20"/>
          <w:szCs w:val="20"/>
        </w:rPr>
        <w:t xml:space="preserve"> </w:t>
      </w:r>
      <w:r w:rsidR="00203112" w:rsidRPr="000F7532">
        <w:rPr>
          <w:rFonts w:asciiTheme="majorBidi" w:eastAsia="Times New Roman" w:hAnsiTheme="majorBidi" w:cstheme="majorBidi"/>
          <w:color w:val="000000" w:themeColor="text1"/>
          <w:sz w:val="20"/>
          <w:szCs w:val="20"/>
        </w:rPr>
        <w:t xml:space="preserve">House of Commons Work and Pensions Committee (n </w:t>
      </w:r>
      <w:r w:rsidR="00203112" w:rsidRPr="000F7532">
        <w:rPr>
          <w:rFonts w:asciiTheme="majorBidi" w:eastAsia="Times New Roman" w:hAnsiTheme="majorBidi" w:cstheme="majorBidi"/>
          <w:color w:val="000000" w:themeColor="text1"/>
          <w:sz w:val="20"/>
          <w:szCs w:val="20"/>
        </w:rPr>
        <w:fldChar w:fldCharType="begin"/>
      </w:r>
      <w:r w:rsidR="00203112" w:rsidRPr="000F7532">
        <w:rPr>
          <w:rFonts w:asciiTheme="majorBidi" w:eastAsia="Times New Roman" w:hAnsiTheme="majorBidi" w:cstheme="majorBidi"/>
          <w:color w:val="000000" w:themeColor="text1"/>
          <w:sz w:val="20"/>
          <w:szCs w:val="20"/>
        </w:rPr>
        <w:instrText xml:space="preserve"> NOTEREF _Ref205384425 \h </w:instrText>
      </w:r>
      <w:r w:rsidR="001B16B5" w:rsidRPr="000F7532">
        <w:rPr>
          <w:rFonts w:asciiTheme="majorBidi" w:eastAsia="Times New Roman" w:hAnsiTheme="majorBidi" w:cstheme="majorBidi"/>
          <w:color w:val="000000" w:themeColor="text1"/>
          <w:sz w:val="20"/>
          <w:szCs w:val="20"/>
        </w:rPr>
        <w:instrText xml:space="preserve"> \* MERGEFORMAT </w:instrText>
      </w:r>
      <w:r w:rsidR="00203112" w:rsidRPr="000F7532">
        <w:rPr>
          <w:rFonts w:asciiTheme="majorBidi" w:eastAsia="Times New Roman" w:hAnsiTheme="majorBidi" w:cstheme="majorBidi"/>
          <w:color w:val="000000" w:themeColor="text1"/>
          <w:sz w:val="20"/>
          <w:szCs w:val="20"/>
        </w:rPr>
      </w:r>
      <w:r w:rsidR="00203112" w:rsidRPr="000F7532">
        <w:rPr>
          <w:rFonts w:asciiTheme="majorBidi" w:eastAsia="Times New Roman" w:hAnsiTheme="majorBidi" w:cstheme="majorBidi"/>
          <w:color w:val="000000" w:themeColor="text1"/>
          <w:sz w:val="20"/>
          <w:szCs w:val="20"/>
        </w:rPr>
        <w:fldChar w:fldCharType="separate"/>
      </w:r>
      <w:r w:rsidR="003479F0" w:rsidRPr="000F7532">
        <w:rPr>
          <w:rFonts w:asciiTheme="majorBidi" w:eastAsia="Times New Roman" w:hAnsiTheme="majorBidi" w:cstheme="majorBidi"/>
          <w:color w:val="000000" w:themeColor="text1"/>
          <w:sz w:val="20"/>
          <w:szCs w:val="20"/>
        </w:rPr>
        <w:t>20</w:t>
      </w:r>
      <w:r w:rsidR="00203112" w:rsidRPr="000F7532">
        <w:rPr>
          <w:rFonts w:asciiTheme="majorBidi" w:eastAsia="Times New Roman" w:hAnsiTheme="majorBidi" w:cstheme="majorBidi"/>
          <w:color w:val="000000" w:themeColor="text1"/>
          <w:sz w:val="20"/>
          <w:szCs w:val="20"/>
        </w:rPr>
        <w:fldChar w:fldCharType="end"/>
      </w:r>
      <w:r w:rsidR="00203112" w:rsidRPr="000F7532">
        <w:rPr>
          <w:rFonts w:asciiTheme="majorBidi" w:eastAsia="Times New Roman" w:hAnsiTheme="majorBidi" w:cstheme="majorBidi"/>
          <w:color w:val="000000" w:themeColor="text1"/>
          <w:sz w:val="20"/>
          <w:szCs w:val="20"/>
        </w:rPr>
        <w:t xml:space="preserve"> above) pg. 17.</w:t>
      </w:r>
    </w:p>
  </w:footnote>
  <w:footnote w:id="121">
    <w:p w14:paraId="4ED5EBF8" w14:textId="20207470" w:rsidR="00C7554F" w:rsidRPr="000F7532" w:rsidRDefault="00000000" w:rsidP="000F7532">
      <w:pPr>
        <w:spacing w:after="0" w:line="276" w:lineRule="auto"/>
        <w:rPr>
          <w:rFonts w:asciiTheme="majorBidi"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007057E6" w:rsidRPr="000F7532">
        <w:rPr>
          <w:rFonts w:asciiTheme="majorBidi" w:hAnsiTheme="majorBidi" w:cstheme="majorBidi"/>
          <w:color w:val="000000" w:themeColor="text1"/>
          <w:sz w:val="20"/>
          <w:szCs w:val="20"/>
        </w:rPr>
        <w:t xml:space="preserve">Department for Work and Pensions, ‘Timms Review of the PIP Assessment Terms of Reference’ (2025) </w:t>
      </w:r>
      <w:hyperlink r:id="rId23" w:history="1">
        <w:r w:rsidR="007057E6" w:rsidRPr="000F7532">
          <w:rPr>
            <w:rStyle w:val="Hyperlink"/>
            <w:rFonts w:asciiTheme="majorBidi" w:eastAsia="Times New Roman" w:hAnsiTheme="majorBidi" w:cstheme="majorBidi"/>
            <w:color w:val="000000" w:themeColor="text1"/>
            <w:sz w:val="20"/>
            <w:szCs w:val="20"/>
          </w:rPr>
          <w:t>https://qna.files.parliament.uk/ws-attachments/1817526/original/Timms%20Review%20of%20the%20PIP%20Assessment.pdf</w:t>
        </w:r>
      </w:hyperlink>
      <w:r w:rsidR="007057E6" w:rsidRPr="000F7532">
        <w:rPr>
          <w:rFonts w:asciiTheme="majorBidi" w:eastAsia="Times New Roman" w:hAnsiTheme="majorBidi" w:cstheme="majorBidi"/>
          <w:color w:val="000000" w:themeColor="text1"/>
          <w:sz w:val="20"/>
          <w:szCs w:val="20"/>
          <w:u w:val="single"/>
        </w:rPr>
        <w:t xml:space="preserve"> </w:t>
      </w:r>
      <w:r w:rsidR="007057E6" w:rsidRPr="000F7532">
        <w:rPr>
          <w:rFonts w:asciiTheme="majorBidi" w:eastAsia="Times New Roman" w:hAnsiTheme="majorBidi" w:cstheme="majorBidi"/>
          <w:color w:val="000000" w:themeColor="text1"/>
          <w:sz w:val="20"/>
          <w:szCs w:val="20"/>
        </w:rPr>
        <w:t>accessed 5</w:t>
      </w:r>
      <w:r w:rsidR="007057E6" w:rsidRPr="000F7532">
        <w:rPr>
          <w:rFonts w:asciiTheme="majorBidi" w:eastAsia="Times New Roman" w:hAnsiTheme="majorBidi" w:cstheme="majorBidi"/>
          <w:color w:val="000000" w:themeColor="text1"/>
          <w:sz w:val="20"/>
          <w:szCs w:val="20"/>
          <w:vertAlign w:val="superscript"/>
        </w:rPr>
        <w:t>th</w:t>
      </w:r>
      <w:r w:rsidR="007057E6" w:rsidRPr="000F7532">
        <w:rPr>
          <w:rFonts w:asciiTheme="majorBidi" w:eastAsia="Times New Roman" w:hAnsiTheme="majorBidi" w:cstheme="majorBidi"/>
          <w:color w:val="000000" w:themeColor="text1"/>
          <w:sz w:val="20"/>
          <w:szCs w:val="20"/>
        </w:rPr>
        <w:t xml:space="preserve"> August 2025</w:t>
      </w:r>
    </w:p>
  </w:footnote>
  <w:footnote w:id="122">
    <w:p w14:paraId="7FCA6D92" w14:textId="77777777" w:rsidR="00C7554F" w:rsidRPr="000F7532" w:rsidRDefault="00000000" w:rsidP="000F7532">
      <w:pPr>
        <w:spacing w:after="0" w:line="276" w:lineRule="auto"/>
        <w:rPr>
          <w:rFonts w:asciiTheme="majorBidi"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hAnsiTheme="majorBidi" w:cstheme="majorBidi"/>
          <w:color w:val="000000" w:themeColor="text1"/>
          <w:sz w:val="20"/>
          <w:szCs w:val="20"/>
        </w:rPr>
        <w:t xml:space="preserve"> </w:t>
      </w:r>
      <w:r w:rsidR="007057E6" w:rsidRPr="000F7532">
        <w:rPr>
          <w:rFonts w:asciiTheme="majorBidi" w:eastAsia="Times New Roman" w:hAnsiTheme="majorBidi" w:cstheme="majorBidi"/>
          <w:color w:val="000000" w:themeColor="text1"/>
          <w:sz w:val="20"/>
          <w:szCs w:val="20"/>
        </w:rPr>
        <w:t>Ibid.</w:t>
      </w:r>
    </w:p>
  </w:footnote>
  <w:footnote w:id="123">
    <w:p w14:paraId="13DA6A23" w14:textId="77777777" w:rsidR="00C7554F" w:rsidRPr="000F7532" w:rsidRDefault="00000000" w:rsidP="000F7532">
      <w:pPr>
        <w:spacing w:after="0" w:line="276" w:lineRule="auto"/>
        <w:rPr>
          <w:rFonts w:asciiTheme="majorBidi"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hAnsiTheme="majorBidi" w:cstheme="majorBidi"/>
          <w:color w:val="000000" w:themeColor="text1"/>
          <w:sz w:val="20"/>
          <w:szCs w:val="20"/>
        </w:rPr>
        <w:t xml:space="preserve"> HC </w:t>
      </w:r>
      <w:r w:rsidR="003B3BD9" w:rsidRPr="000F7532">
        <w:rPr>
          <w:rFonts w:asciiTheme="majorBidi" w:hAnsiTheme="majorBidi" w:cstheme="majorBidi"/>
          <w:color w:val="000000" w:themeColor="text1"/>
          <w:sz w:val="20"/>
          <w:szCs w:val="20"/>
        </w:rPr>
        <w:t>Q</w:t>
      </w:r>
      <w:r w:rsidRPr="000F7532">
        <w:rPr>
          <w:rFonts w:asciiTheme="majorBidi" w:hAnsiTheme="majorBidi" w:cstheme="majorBidi"/>
          <w:color w:val="000000" w:themeColor="text1"/>
          <w:sz w:val="20"/>
          <w:szCs w:val="20"/>
        </w:rPr>
        <w:t xml:space="preserve">, 21 July 2025, </w:t>
      </w:r>
      <w:r w:rsidR="003B3BD9" w:rsidRPr="000F7532">
        <w:rPr>
          <w:rFonts w:asciiTheme="majorBidi" w:hAnsiTheme="majorBidi" w:cstheme="majorBidi"/>
          <w:color w:val="000000" w:themeColor="text1"/>
          <w:sz w:val="20"/>
          <w:szCs w:val="20"/>
        </w:rPr>
        <w:t>UIN 68521.</w:t>
      </w:r>
    </w:p>
  </w:footnote>
  <w:footnote w:id="124">
    <w:p w14:paraId="3D266A00" w14:textId="11643084" w:rsidR="00C7554F" w:rsidRPr="000F7532" w:rsidRDefault="00000000" w:rsidP="000F7532">
      <w:pPr>
        <w:spacing w:after="0" w:line="276" w:lineRule="auto"/>
        <w:rPr>
          <w:rFonts w:asciiTheme="majorBidi"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hAnsiTheme="majorBidi" w:cstheme="majorBidi"/>
          <w:color w:val="000000" w:themeColor="text1"/>
          <w:sz w:val="20"/>
          <w:szCs w:val="20"/>
        </w:rPr>
        <w:t xml:space="preserve"> </w:t>
      </w:r>
      <w:r w:rsidR="003B3BD9" w:rsidRPr="000F7532">
        <w:rPr>
          <w:rFonts w:asciiTheme="majorBidi" w:hAnsiTheme="majorBidi" w:cstheme="majorBidi"/>
          <w:color w:val="000000" w:themeColor="text1"/>
          <w:sz w:val="20"/>
          <w:szCs w:val="20"/>
        </w:rPr>
        <w:t>British Broadcasting Corporation, ‘</w:t>
      </w:r>
      <w:r w:rsidR="003B3BD9" w:rsidRPr="000F7532">
        <w:rPr>
          <w:rFonts w:asciiTheme="majorBidi" w:hAnsiTheme="majorBidi" w:cstheme="majorBidi"/>
          <w:b/>
          <w:bCs/>
          <w:color w:val="000000" w:themeColor="text1"/>
          <w:sz w:val="20"/>
          <w:szCs w:val="20"/>
        </w:rPr>
        <w:t xml:space="preserve">Interview with the disability minister: Transcript’ (2025) </w:t>
      </w:r>
      <w:hyperlink r:id="rId24" w:history="1">
        <w:r w:rsidR="003B3BD9" w:rsidRPr="000F7532">
          <w:rPr>
            <w:rStyle w:val="Hyperlink"/>
            <w:rFonts w:asciiTheme="majorBidi" w:hAnsiTheme="majorBidi" w:cstheme="majorBidi"/>
            <w:color w:val="000000" w:themeColor="text1"/>
            <w:sz w:val="20"/>
            <w:szCs w:val="20"/>
          </w:rPr>
          <w:t>https://www.bbc.co.uk/programmes/p0ltkvh7</w:t>
        </w:r>
      </w:hyperlink>
      <w:r w:rsidR="003B3BD9" w:rsidRPr="000F7532">
        <w:rPr>
          <w:rFonts w:asciiTheme="majorBidi" w:hAnsiTheme="majorBidi" w:cstheme="majorBidi"/>
          <w:color w:val="000000" w:themeColor="text1"/>
          <w:sz w:val="20"/>
          <w:szCs w:val="20"/>
          <w:u w:val="single"/>
        </w:rPr>
        <w:t xml:space="preserve"> </w:t>
      </w:r>
      <w:r w:rsidR="003B3BD9" w:rsidRPr="000F7532">
        <w:rPr>
          <w:rFonts w:asciiTheme="majorBidi" w:hAnsiTheme="majorBidi" w:cstheme="majorBidi"/>
          <w:color w:val="000000" w:themeColor="text1"/>
          <w:sz w:val="20"/>
          <w:szCs w:val="20"/>
        </w:rPr>
        <w:t>accessed 5th August 2025.</w:t>
      </w:r>
    </w:p>
  </w:footnote>
  <w:footnote w:id="125">
    <w:p w14:paraId="05BD5F11" w14:textId="3B283FE3" w:rsidR="00703B58" w:rsidRPr="000F7532" w:rsidRDefault="00000000" w:rsidP="000F7532">
      <w:pPr>
        <w:spacing w:after="0" w:line="276" w:lineRule="auto"/>
        <w:rPr>
          <w:rFonts w:asciiTheme="majorBidi"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hAnsiTheme="majorBidi" w:cstheme="majorBidi"/>
          <w:color w:val="000000" w:themeColor="text1"/>
          <w:sz w:val="20"/>
          <w:szCs w:val="20"/>
        </w:rPr>
        <w:t xml:space="preserve"> Mikey Erhardt, ‘Is the Timms Review of disability benefit PIP just a tick-box exercise?’ (2025) </w:t>
      </w:r>
      <w:hyperlink r:id="rId25" w:history="1">
        <w:r w:rsidR="00703B58" w:rsidRPr="000F7532">
          <w:rPr>
            <w:rStyle w:val="Hyperlink"/>
            <w:rFonts w:asciiTheme="majorBidi" w:hAnsiTheme="majorBidi" w:cstheme="majorBidi"/>
            <w:color w:val="000000" w:themeColor="text1"/>
            <w:sz w:val="20"/>
            <w:szCs w:val="20"/>
          </w:rPr>
          <w:t>https://www.bigissue.com/opinion/timms-review-pip-assessment-disability-rights-uk/</w:t>
        </w:r>
      </w:hyperlink>
      <w:r w:rsidRPr="000F7532">
        <w:rPr>
          <w:rFonts w:asciiTheme="majorBidi" w:hAnsiTheme="majorBidi" w:cstheme="majorBidi"/>
          <w:color w:val="000000" w:themeColor="text1"/>
          <w:sz w:val="20"/>
          <w:szCs w:val="20"/>
          <w:u w:val="single"/>
        </w:rPr>
        <w:t xml:space="preserve"> </w:t>
      </w:r>
      <w:r w:rsidRPr="000F7532">
        <w:rPr>
          <w:rFonts w:asciiTheme="majorBidi" w:hAnsiTheme="majorBidi" w:cstheme="majorBidi"/>
          <w:color w:val="000000" w:themeColor="text1"/>
          <w:sz w:val="20"/>
          <w:szCs w:val="20"/>
        </w:rPr>
        <w:t>accessed 5</w:t>
      </w:r>
      <w:r w:rsidRPr="000F7532">
        <w:rPr>
          <w:rFonts w:asciiTheme="majorBidi" w:hAnsiTheme="majorBidi" w:cstheme="majorBidi"/>
          <w:color w:val="000000" w:themeColor="text1"/>
          <w:sz w:val="20"/>
          <w:szCs w:val="20"/>
          <w:vertAlign w:val="superscript"/>
        </w:rPr>
        <w:t>th</w:t>
      </w:r>
      <w:r w:rsidRPr="000F7532">
        <w:rPr>
          <w:rFonts w:asciiTheme="majorBidi" w:hAnsiTheme="majorBidi" w:cstheme="majorBidi"/>
          <w:color w:val="000000" w:themeColor="text1"/>
          <w:sz w:val="20"/>
          <w:szCs w:val="20"/>
        </w:rPr>
        <w:t xml:space="preserve"> August 2025; See also analysis by Benefits and Work at: Benefits and Work, ‘No genuine co-production for Timms review’ (2025) </w:t>
      </w:r>
    </w:p>
    <w:p w14:paraId="4CF4B337" w14:textId="19272AE9" w:rsidR="00C7554F" w:rsidRPr="000F7532" w:rsidRDefault="00000000" w:rsidP="000F7532">
      <w:pPr>
        <w:spacing w:after="0" w:line="276" w:lineRule="auto"/>
        <w:rPr>
          <w:rFonts w:asciiTheme="majorBidi" w:hAnsiTheme="majorBidi" w:cstheme="majorBidi"/>
          <w:color w:val="000000" w:themeColor="text1"/>
          <w:sz w:val="20"/>
          <w:szCs w:val="20"/>
        </w:rPr>
      </w:pPr>
      <w:r w:rsidRPr="000F7532">
        <w:rPr>
          <w:rFonts w:asciiTheme="majorBidi" w:hAnsiTheme="majorBidi" w:cstheme="majorBidi"/>
          <w:color w:val="000000" w:themeColor="text1"/>
          <w:sz w:val="20"/>
          <w:szCs w:val="20"/>
        </w:rPr>
        <w:t xml:space="preserve"> </w:t>
      </w:r>
      <w:hyperlink r:id="rId26">
        <w:r w:rsidR="00C7554F" w:rsidRPr="000F7532">
          <w:rPr>
            <w:rFonts w:asciiTheme="majorBidi" w:hAnsiTheme="majorBidi" w:cstheme="majorBidi"/>
            <w:color w:val="000000" w:themeColor="text1"/>
            <w:sz w:val="20"/>
            <w:szCs w:val="20"/>
            <w:u w:val="single"/>
          </w:rPr>
          <w:t>https://www.benefitsandwork.co.uk/news/no-genuine-co-production-for-timms-review</w:t>
        </w:r>
      </w:hyperlink>
      <w:r w:rsidRPr="000F7532">
        <w:rPr>
          <w:rFonts w:asciiTheme="majorBidi" w:hAnsiTheme="majorBidi" w:cstheme="majorBidi"/>
          <w:color w:val="000000" w:themeColor="text1"/>
          <w:sz w:val="20"/>
          <w:szCs w:val="20"/>
        </w:rPr>
        <w:t xml:space="preserve"> </w:t>
      </w:r>
      <w:r w:rsidR="00703B58" w:rsidRPr="000F7532">
        <w:rPr>
          <w:rFonts w:asciiTheme="majorBidi" w:hAnsiTheme="majorBidi" w:cstheme="majorBidi"/>
          <w:color w:val="000000" w:themeColor="text1"/>
          <w:sz w:val="20"/>
          <w:szCs w:val="20"/>
        </w:rPr>
        <w:t>accessed 5th August 2025.</w:t>
      </w:r>
    </w:p>
  </w:footnote>
  <w:footnote w:id="126">
    <w:p w14:paraId="628C2CFB" w14:textId="0BD61F79" w:rsidR="00C7554F" w:rsidRPr="000F7532" w:rsidRDefault="00000000" w:rsidP="000F7532">
      <w:pPr>
        <w:spacing w:after="0" w:line="276" w:lineRule="auto"/>
        <w:rPr>
          <w:rFonts w:asciiTheme="majorBidi"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hAnsiTheme="majorBidi" w:cstheme="majorBidi"/>
          <w:color w:val="000000" w:themeColor="text1"/>
          <w:sz w:val="20"/>
          <w:szCs w:val="20"/>
        </w:rPr>
        <w:t xml:space="preserve"> </w:t>
      </w:r>
      <w:hyperlink r:id="rId27">
        <w:r w:rsidR="007B28A0" w:rsidRPr="000F7532">
          <w:rPr>
            <w:rFonts w:asciiTheme="majorBidi" w:hAnsiTheme="majorBidi" w:cstheme="majorBidi"/>
            <w:color w:val="000000" w:themeColor="text1"/>
            <w:sz w:val="20"/>
            <w:szCs w:val="20"/>
            <w:u w:val="single"/>
          </w:rPr>
          <w:t>HC</w:t>
        </w:r>
      </w:hyperlink>
      <w:r w:rsidR="007B28A0" w:rsidRPr="000F7532">
        <w:rPr>
          <w:rFonts w:asciiTheme="majorBidi" w:hAnsiTheme="majorBidi" w:cstheme="majorBidi"/>
          <w:color w:val="000000" w:themeColor="text1"/>
          <w:sz w:val="20"/>
          <w:szCs w:val="20"/>
        </w:rPr>
        <w:t xml:space="preserve"> Deb 9 July 2025, Vol </w:t>
      </w:r>
      <w:r w:rsidRPr="000F7532">
        <w:rPr>
          <w:rFonts w:asciiTheme="majorBidi" w:hAnsiTheme="majorBidi" w:cstheme="majorBidi"/>
          <w:color w:val="000000" w:themeColor="text1"/>
          <w:sz w:val="20"/>
          <w:szCs w:val="20"/>
        </w:rPr>
        <w:t xml:space="preserve"> </w:t>
      </w:r>
      <w:r w:rsidR="007B28A0" w:rsidRPr="000F7532">
        <w:rPr>
          <w:rFonts w:asciiTheme="majorBidi" w:hAnsiTheme="majorBidi" w:cstheme="majorBidi"/>
          <w:color w:val="000000" w:themeColor="text1"/>
          <w:sz w:val="20"/>
          <w:szCs w:val="20"/>
        </w:rPr>
        <w:t>770, Col 1045.</w:t>
      </w:r>
    </w:p>
  </w:footnote>
  <w:footnote w:id="127">
    <w:p w14:paraId="36A67785" w14:textId="0A6326D4"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Department for Work and Pensions, </w:t>
      </w:r>
      <w:r w:rsidR="00837FC9" w:rsidRPr="000F7532">
        <w:rPr>
          <w:rFonts w:asciiTheme="majorBidi" w:eastAsia="Times New Roman" w:hAnsiTheme="majorBidi" w:cstheme="majorBidi"/>
          <w:color w:val="000000" w:themeColor="text1"/>
          <w:sz w:val="20"/>
          <w:szCs w:val="20"/>
        </w:rPr>
        <w:t>‘</w:t>
      </w:r>
      <w:r w:rsidRPr="000F7532">
        <w:rPr>
          <w:rFonts w:asciiTheme="majorBidi" w:eastAsia="Times New Roman" w:hAnsiTheme="majorBidi" w:cstheme="majorBidi"/>
          <w:color w:val="000000" w:themeColor="text1"/>
          <w:sz w:val="20"/>
          <w:szCs w:val="20"/>
        </w:rPr>
        <w:t>The Universal Credit and Personal Independence Payment Bill: Universal Credit Rebalancing impact assessment</w:t>
      </w:r>
      <w:r w:rsidR="00837FC9" w:rsidRPr="000F7532">
        <w:rPr>
          <w:rFonts w:asciiTheme="majorBidi" w:eastAsia="Times New Roman" w:hAnsiTheme="majorBidi" w:cstheme="majorBidi"/>
          <w:color w:val="000000" w:themeColor="text1"/>
          <w:sz w:val="20"/>
          <w:szCs w:val="20"/>
        </w:rPr>
        <w:t xml:space="preserve">’ (2025) </w:t>
      </w:r>
      <w:hyperlink r:id="rId28" w:history="1">
        <w:r w:rsidR="00837FC9" w:rsidRPr="000F7532">
          <w:rPr>
            <w:rStyle w:val="Hyperlink"/>
            <w:rFonts w:asciiTheme="majorBidi" w:eastAsia="Times New Roman" w:hAnsiTheme="majorBidi" w:cstheme="majorBidi"/>
            <w:color w:val="000000" w:themeColor="text1"/>
            <w:sz w:val="20"/>
            <w:szCs w:val="20"/>
          </w:rPr>
          <w:t>https://publications.parliament.uk/pa/bills/cbill/59-01/0267/hcb267_ia_may2025.pdf</w:t>
        </w:r>
      </w:hyperlink>
      <w:r w:rsidR="00837FC9" w:rsidRPr="000F7532">
        <w:rPr>
          <w:rFonts w:asciiTheme="majorBidi" w:eastAsia="Times New Roman" w:hAnsiTheme="majorBidi" w:cstheme="majorBidi"/>
          <w:color w:val="000000" w:themeColor="text1"/>
          <w:sz w:val="20"/>
          <w:szCs w:val="20"/>
        </w:rPr>
        <w:t xml:space="preserve"> accessed 5th August 2025.</w:t>
      </w:r>
    </w:p>
  </w:footnote>
  <w:footnote w:id="128">
    <w:p w14:paraId="2B43F718" w14:textId="77777777" w:rsidR="00C7554F" w:rsidRPr="000F7532" w:rsidRDefault="00000000" w:rsidP="000F7532">
      <w:pPr>
        <w:pBdr>
          <w:top w:val="nil"/>
          <w:left w:val="nil"/>
          <w:bottom w:val="nil"/>
          <w:right w:val="nil"/>
          <w:between w:val="nil"/>
        </w:pBd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Ibid.</w:t>
      </w:r>
    </w:p>
  </w:footnote>
  <w:footnote w:id="129">
    <w:p w14:paraId="696B1C06" w14:textId="77777777" w:rsidR="00C7554F" w:rsidRPr="000F7532" w:rsidRDefault="00000000" w:rsidP="000F7532">
      <w:pP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Ibid.</w:t>
      </w:r>
    </w:p>
  </w:footnote>
  <w:footnote w:id="130">
    <w:p w14:paraId="4D1EF6E2" w14:textId="571AAC8C" w:rsidR="00C7554F" w:rsidRPr="000F7532" w:rsidRDefault="00000000" w:rsidP="000F7532">
      <w:pPr>
        <w:spacing w:after="0" w:line="276" w:lineRule="auto"/>
        <w:rPr>
          <w:rFonts w:asciiTheme="majorBidi"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hAnsiTheme="majorBidi" w:cstheme="majorBidi"/>
          <w:color w:val="000000" w:themeColor="text1"/>
          <w:sz w:val="20"/>
          <w:szCs w:val="20"/>
        </w:rPr>
        <w:t xml:space="preserve"> </w:t>
      </w:r>
      <w:r w:rsidR="005541F0" w:rsidRPr="000F7532">
        <w:rPr>
          <w:rFonts w:asciiTheme="majorBidi" w:eastAsia="Times New Roman" w:hAnsiTheme="majorBidi" w:cstheme="majorBidi"/>
          <w:color w:val="000000" w:themeColor="text1"/>
          <w:sz w:val="20"/>
          <w:szCs w:val="20"/>
        </w:rPr>
        <w:t xml:space="preserve">House of Commons Work and Pensions Committee (n </w:t>
      </w:r>
      <w:r w:rsidR="005541F0" w:rsidRPr="000F7532">
        <w:rPr>
          <w:rFonts w:asciiTheme="majorBidi" w:eastAsia="Times New Roman" w:hAnsiTheme="majorBidi" w:cstheme="majorBidi"/>
          <w:color w:val="000000" w:themeColor="text1"/>
          <w:sz w:val="20"/>
          <w:szCs w:val="20"/>
        </w:rPr>
        <w:fldChar w:fldCharType="begin"/>
      </w:r>
      <w:r w:rsidR="005541F0" w:rsidRPr="000F7532">
        <w:rPr>
          <w:rFonts w:asciiTheme="majorBidi" w:eastAsia="Times New Roman" w:hAnsiTheme="majorBidi" w:cstheme="majorBidi"/>
          <w:color w:val="000000" w:themeColor="text1"/>
          <w:sz w:val="20"/>
          <w:szCs w:val="20"/>
        </w:rPr>
        <w:instrText xml:space="preserve"> NOTEREF _Ref205384425 \h </w:instrText>
      </w:r>
      <w:r w:rsidR="001B16B5" w:rsidRPr="000F7532">
        <w:rPr>
          <w:rFonts w:asciiTheme="majorBidi" w:eastAsia="Times New Roman" w:hAnsiTheme="majorBidi" w:cstheme="majorBidi"/>
          <w:color w:val="000000" w:themeColor="text1"/>
          <w:sz w:val="20"/>
          <w:szCs w:val="20"/>
        </w:rPr>
        <w:instrText xml:space="preserve"> \* MERGEFORMAT </w:instrText>
      </w:r>
      <w:r w:rsidR="005541F0" w:rsidRPr="000F7532">
        <w:rPr>
          <w:rFonts w:asciiTheme="majorBidi" w:eastAsia="Times New Roman" w:hAnsiTheme="majorBidi" w:cstheme="majorBidi"/>
          <w:color w:val="000000" w:themeColor="text1"/>
          <w:sz w:val="20"/>
          <w:szCs w:val="20"/>
        </w:rPr>
      </w:r>
      <w:r w:rsidR="005541F0" w:rsidRPr="000F7532">
        <w:rPr>
          <w:rFonts w:asciiTheme="majorBidi" w:eastAsia="Times New Roman" w:hAnsiTheme="majorBidi" w:cstheme="majorBidi"/>
          <w:color w:val="000000" w:themeColor="text1"/>
          <w:sz w:val="20"/>
          <w:szCs w:val="20"/>
        </w:rPr>
        <w:fldChar w:fldCharType="separate"/>
      </w:r>
      <w:r w:rsidR="003479F0" w:rsidRPr="000F7532">
        <w:rPr>
          <w:rFonts w:asciiTheme="majorBidi" w:eastAsia="Times New Roman" w:hAnsiTheme="majorBidi" w:cstheme="majorBidi"/>
          <w:color w:val="000000" w:themeColor="text1"/>
          <w:sz w:val="20"/>
          <w:szCs w:val="20"/>
        </w:rPr>
        <w:t>20</w:t>
      </w:r>
      <w:r w:rsidR="005541F0" w:rsidRPr="000F7532">
        <w:rPr>
          <w:rFonts w:asciiTheme="majorBidi" w:eastAsia="Times New Roman" w:hAnsiTheme="majorBidi" w:cstheme="majorBidi"/>
          <w:color w:val="000000" w:themeColor="text1"/>
          <w:sz w:val="20"/>
          <w:szCs w:val="20"/>
        </w:rPr>
        <w:fldChar w:fldCharType="end"/>
      </w:r>
      <w:r w:rsidR="005541F0" w:rsidRPr="000F7532">
        <w:rPr>
          <w:rFonts w:asciiTheme="majorBidi" w:eastAsia="Times New Roman" w:hAnsiTheme="majorBidi" w:cstheme="majorBidi"/>
          <w:color w:val="000000" w:themeColor="text1"/>
          <w:sz w:val="20"/>
          <w:szCs w:val="20"/>
        </w:rPr>
        <w:t xml:space="preserve"> above).</w:t>
      </w:r>
    </w:p>
  </w:footnote>
  <w:footnote w:id="131">
    <w:p w14:paraId="37F21ABD" w14:textId="6A2A8C06" w:rsidR="00C7554F" w:rsidRPr="000F7532" w:rsidRDefault="00000000" w:rsidP="000F7532">
      <w:pPr>
        <w:spacing w:after="0" w:line="276" w:lineRule="auto"/>
        <w:rPr>
          <w:rFonts w:asciiTheme="majorBidi"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hAnsiTheme="majorBidi" w:cstheme="majorBidi"/>
          <w:color w:val="000000" w:themeColor="text1"/>
          <w:sz w:val="20"/>
          <w:szCs w:val="20"/>
        </w:rPr>
        <w:t xml:space="preserve"> </w:t>
      </w:r>
      <w:r w:rsidR="00E155C3" w:rsidRPr="000F7532">
        <w:rPr>
          <w:rFonts w:asciiTheme="majorBidi" w:hAnsiTheme="majorBidi" w:cstheme="majorBidi"/>
          <w:color w:val="000000" w:themeColor="text1"/>
          <w:sz w:val="20"/>
          <w:szCs w:val="20"/>
        </w:rPr>
        <w:t xml:space="preserve">Joseph Rowntree Foundation, ‘Health-related benefit cuts will deliver higher poverty, not employment’ (2025) </w:t>
      </w:r>
      <w:hyperlink r:id="rId29" w:history="1">
        <w:r w:rsidR="00E155C3" w:rsidRPr="000F7532">
          <w:rPr>
            <w:rStyle w:val="Hyperlink"/>
            <w:rFonts w:asciiTheme="majorBidi" w:hAnsiTheme="majorBidi" w:cstheme="majorBidi"/>
            <w:color w:val="000000" w:themeColor="text1"/>
            <w:sz w:val="20"/>
            <w:szCs w:val="20"/>
          </w:rPr>
          <w:t>https://www.jrf.org.uk/social-security/health-related-benefit-cuts-will-deliver-higher-poverty-not-employment</w:t>
        </w:r>
      </w:hyperlink>
      <w:r w:rsidR="00E155C3" w:rsidRPr="000F7532">
        <w:rPr>
          <w:rFonts w:asciiTheme="majorBidi" w:hAnsiTheme="majorBidi" w:cstheme="majorBidi"/>
          <w:color w:val="000000" w:themeColor="text1"/>
          <w:sz w:val="20"/>
          <w:szCs w:val="20"/>
          <w:u w:val="single"/>
        </w:rPr>
        <w:t xml:space="preserve"> </w:t>
      </w:r>
      <w:r w:rsidR="00E155C3" w:rsidRPr="000F7532">
        <w:rPr>
          <w:rFonts w:asciiTheme="majorBidi" w:hAnsiTheme="majorBidi" w:cstheme="majorBidi"/>
          <w:color w:val="000000" w:themeColor="text1"/>
          <w:sz w:val="20"/>
          <w:szCs w:val="20"/>
        </w:rPr>
        <w:t>accessed 5th August 2025.</w:t>
      </w:r>
    </w:p>
  </w:footnote>
  <w:footnote w:id="132">
    <w:p w14:paraId="5DF887F2" w14:textId="661B8615" w:rsidR="00C7554F" w:rsidRPr="000F7532" w:rsidRDefault="00000000" w:rsidP="000F7532">
      <w:pPr>
        <w:spacing w:after="0" w:line="276" w:lineRule="auto"/>
        <w:rPr>
          <w:rFonts w:asciiTheme="majorBidi"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hAnsiTheme="majorBidi" w:cstheme="majorBidi"/>
          <w:color w:val="000000" w:themeColor="text1"/>
          <w:sz w:val="20"/>
          <w:szCs w:val="20"/>
        </w:rPr>
        <w:t xml:space="preserve"> </w:t>
      </w:r>
      <w:r w:rsidR="005541F0" w:rsidRPr="000F7532">
        <w:rPr>
          <w:rFonts w:asciiTheme="majorBidi" w:eastAsia="Times New Roman" w:hAnsiTheme="majorBidi" w:cstheme="majorBidi"/>
          <w:color w:val="000000" w:themeColor="text1"/>
          <w:sz w:val="20"/>
          <w:szCs w:val="20"/>
        </w:rPr>
        <w:t xml:space="preserve">House of Commons Work and Pensions Committee (n </w:t>
      </w:r>
      <w:r w:rsidR="005541F0" w:rsidRPr="000F7532">
        <w:rPr>
          <w:rFonts w:asciiTheme="majorBidi" w:eastAsia="Times New Roman" w:hAnsiTheme="majorBidi" w:cstheme="majorBidi"/>
          <w:color w:val="000000" w:themeColor="text1"/>
          <w:sz w:val="20"/>
          <w:szCs w:val="20"/>
        </w:rPr>
        <w:fldChar w:fldCharType="begin"/>
      </w:r>
      <w:r w:rsidR="005541F0" w:rsidRPr="000F7532">
        <w:rPr>
          <w:rFonts w:asciiTheme="majorBidi" w:eastAsia="Times New Roman" w:hAnsiTheme="majorBidi" w:cstheme="majorBidi"/>
          <w:color w:val="000000" w:themeColor="text1"/>
          <w:sz w:val="20"/>
          <w:szCs w:val="20"/>
        </w:rPr>
        <w:instrText xml:space="preserve"> NOTEREF _Ref205384425 \h </w:instrText>
      </w:r>
      <w:r w:rsidR="001B16B5" w:rsidRPr="000F7532">
        <w:rPr>
          <w:rFonts w:asciiTheme="majorBidi" w:eastAsia="Times New Roman" w:hAnsiTheme="majorBidi" w:cstheme="majorBidi"/>
          <w:color w:val="000000" w:themeColor="text1"/>
          <w:sz w:val="20"/>
          <w:szCs w:val="20"/>
        </w:rPr>
        <w:instrText xml:space="preserve"> \* MERGEFORMAT </w:instrText>
      </w:r>
      <w:r w:rsidR="005541F0" w:rsidRPr="000F7532">
        <w:rPr>
          <w:rFonts w:asciiTheme="majorBidi" w:eastAsia="Times New Roman" w:hAnsiTheme="majorBidi" w:cstheme="majorBidi"/>
          <w:color w:val="000000" w:themeColor="text1"/>
          <w:sz w:val="20"/>
          <w:szCs w:val="20"/>
        </w:rPr>
      </w:r>
      <w:r w:rsidR="005541F0" w:rsidRPr="000F7532">
        <w:rPr>
          <w:rFonts w:asciiTheme="majorBidi" w:eastAsia="Times New Roman" w:hAnsiTheme="majorBidi" w:cstheme="majorBidi"/>
          <w:color w:val="000000" w:themeColor="text1"/>
          <w:sz w:val="20"/>
          <w:szCs w:val="20"/>
        </w:rPr>
        <w:fldChar w:fldCharType="separate"/>
      </w:r>
      <w:r w:rsidR="003479F0" w:rsidRPr="000F7532">
        <w:rPr>
          <w:rFonts w:asciiTheme="majorBidi" w:eastAsia="Times New Roman" w:hAnsiTheme="majorBidi" w:cstheme="majorBidi"/>
          <w:color w:val="000000" w:themeColor="text1"/>
          <w:sz w:val="20"/>
          <w:szCs w:val="20"/>
        </w:rPr>
        <w:t>20</w:t>
      </w:r>
      <w:r w:rsidR="005541F0" w:rsidRPr="000F7532">
        <w:rPr>
          <w:rFonts w:asciiTheme="majorBidi" w:eastAsia="Times New Roman" w:hAnsiTheme="majorBidi" w:cstheme="majorBidi"/>
          <w:color w:val="000000" w:themeColor="text1"/>
          <w:sz w:val="20"/>
          <w:szCs w:val="20"/>
        </w:rPr>
        <w:fldChar w:fldCharType="end"/>
      </w:r>
      <w:r w:rsidR="005541F0" w:rsidRPr="000F7532">
        <w:rPr>
          <w:rFonts w:asciiTheme="majorBidi" w:eastAsia="Times New Roman" w:hAnsiTheme="majorBidi" w:cstheme="majorBidi"/>
          <w:color w:val="000000" w:themeColor="text1"/>
          <w:sz w:val="20"/>
          <w:szCs w:val="20"/>
        </w:rPr>
        <w:t xml:space="preserve"> above).</w:t>
      </w:r>
    </w:p>
  </w:footnote>
  <w:footnote w:id="133">
    <w:p w14:paraId="22842D1A" w14:textId="77777777" w:rsidR="00C7554F" w:rsidRPr="000F7532" w:rsidRDefault="00000000" w:rsidP="000F7532">
      <w:pPr>
        <w:spacing w:after="0" w:line="276" w:lineRule="auto"/>
        <w:rPr>
          <w:rFonts w:asciiTheme="majorBidi"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hAnsiTheme="majorBidi" w:cstheme="majorBidi"/>
          <w:color w:val="000000" w:themeColor="text1"/>
          <w:sz w:val="20"/>
          <w:szCs w:val="20"/>
        </w:rPr>
        <w:t xml:space="preserve"> </w:t>
      </w:r>
      <w:r w:rsidR="00E155C3" w:rsidRPr="000F7532">
        <w:rPr>
          <w:rFonts w:asciiTheme="majorBidi" w:eastAsia="Times New Roman" w:hAnsiTheme="majorBidi" w:cstheme="majorBidi"/>
          <w:color w:val="000000" w:themeColor="text1"/>
          <w:sz w:val="20"/>
          <w:szCs w:val="20"/>
        </w:rPr>
        <w:t xml:space="preserve">See, for example, </w:t>
      </w:r>
      <w:r w:rsidRPr="000F7532">
        <w:rPr>
          <w:rFonts w:asciiTheme="majorBidi" w:eastAsia="Calibri" w:hAnsiTheme="majorBidi" w:cstheme="majorBidi"/>
          <w:color w:val="000000" w:themeColor="text1"/>
          <w:sz w:val="20"/>
          <w:szCs w:val="20"/>
        </w:rPr>
        <w:t>Anne Waldschmidt, ‘Disability-Culture-Society: Strengths and weaknesses of a cultural model of dis/ability’, (2018)</w:t>
      </w:r>
      <w:r w:rsidR="00E155C3" w:rsidRPr="000F7532">
        <w:rPr>
          <w:rFonts w:asciiTheme="majorBidi" w:eastAsia="Calibri" w:hAnsiTheme="majorBidi" w:cstheme="majorBidi"/>
          <w:color w:val="000000" w:themeColor="text1"/>
          <w:sz w:val="20"/>
          <w:szCs w:val="20"/>
        </w:rPr>
        <w:t xml:space="preserve"> 12(2)</w:t>
      </w:r>
      <w:r w:rsidRPr="000F7532">
        <w:rPr>
          <w:rFonts w:asciiTheme="majorBidi" w:eastAsia="Calibri" w:hAnsiTheme="majorBidi" w:cstheme="majorBidi"/>
          <w:color w:val="000000" w:themeColor="text1"/>
          <w:sz w:val="20"/>
          <w:szCs w:val="20"/>
        </w:rPr>
        <w:t xml:space="preserve"> ALTER: European Journal of Disability Research, 12</w:t>
      </w:r>
      <w:r w:rsidR="00E155C3" w:rsidRPr="000F7532">
        <w:rPr>
          <w:rFonts w:asciiTheme="majorBidi" w:eastAsia="Calibri" w:hAnsiTheme="majorBidi" w:cstheme="majorBidi"/>
          <w:color w:val="000000" w:themeColor="text1"/>
          <w:sz w:val="20"/>
          <w:szCs w:val="20"/>
        </w:rPr>
        <w:t>.</w:t>
      </w:r>
    </w:p>
  </w:footnote>
  <w:footnote w:id="134">
    <w:p w14:paraId="43C2FE49" w14:textId="4C350E02" w:rsidR="00C7554F" w:rsidRPr="000F7532" w:rsidRDefault="00000000" w:rsidP="000F7532">
      <w:pP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eastAsia="Times New Roman" w:hAnsiTheme="majorBidi" w:cstheme="majorBidi"/>
          <w:color w:val="000000" w:themeColor="text1"/>
          <w:sz w:val="20"/>
          <w:szCs w:val="20"/>
        </w:rPr>
        <w:t xml:space="preserve"> </w:t>
      </w:r>
      <w:r w:rsidR="00F80E88" w:rsidRPr="000F7532">
        <w:rPr>
          <w:rFonts w:asciiTheme="majorBidi" w:eastAsia="Times New Roman" w:hAnsiTheme="majorBidi" w:cstheme="majorBidi"/>
          <w:color w:val="000000" w:themeColor="text1"/>
          <w:sz w:val="20"/>
          <w:szCs w:val="20"/>
        </w:rPr>
        <w:t xml:space="preserve">See </w:t>
      </w:r>
      <w:r w:rsidR="00F80E88" w:rsidRPr="000F7532">
        <w:rPr>
          <w:rFonts w:asciiTheme="majorBidi" w:hAnsiTheme="majorBidi" w:cstheme="majorBidi"/>
          <w:color w:val="000000" w:themeColor="text1"/>
          <w:sz w:val="20"/>
          <w:szCs w:val="20"/>
        </w:rPr>
        <w:t xml:space="preserve">Department for Work and Pensions (n </w:t>
      </w:r>
      <w:r w:rsidR="00F80E88" w:rsidRPr="000F7532">
        <w:rPr>
          <w:rFonts w:asciiTheme="majorBidi" w:hAnsiTheme="majorBidi" w:cstheme="majorBidi"/>
          <w:color w:val="000000" w:themeColor="text1"/>
          <w:sz w:val="20"/>
          <w:szCs w:val="20"/>
        </w:rPr>
        <w:fldChar w:fldCharType="begin"/>
      </w:r>
      <w:r w:rsidR="00F80E88" w:rsidRPr="000F7532">
        <w:rPr>
          <w:rFonts w:asciiTheme="majorBidi" w:hAnsiTheme="majorBidi" w:cstheme="majorBidi"/>
          <w:color w:val="000000" w:themeColor="text1"/>
          <w:sz w:val="20"/>
          <w:szCs w:val="20"/>
        </w:rPr>
        <w:instrText xml:space="preserve"> NOTEREF _Ref205383157 \h  \* MERGEFORMAT </w:instrText>
      </w:r>
      <w:r w:rsidR="00F80E88" w:rsidRPr="000F7532">
        <w:rPr>
          <w:rFonts w:asciiTheme="majorBidi" w:hAnsiTheme="majorBidi" w:cstheme="majorBidi"/>
          <w:color w:val="000000" w:themeColor="text1"/>
          <w:sz w:val="20"/>
          <w:szCs w:val="20"/>
        </w:rPr>
      </w:r>
      <w:r w:rsidR="00F80E88" w:rsidRPr="000F7532">
        <w:rPr>
          <w:rFonts w:asciiTheme="majorBidi" w:hAnsiTheme="majorBidi" w:cstheme="majorBidi"/>
          <w:color w:val="000000" w:themeColor="text1"/>
          <w:sz w:val="20"/>
          <w:szCs w:val="20"/>
        </w:rPr>
        <w:fldChar w:fldCharType="separate"/>
      </w:r>
      <w:r w:rsidR="003479F0" w:rsidRPr="000F7532">
        <w:rPr>
          <w:rFonts w:asciiTheme="majorBidi" w:hAnsiTheme="majorBidi" w:cstheme="majorBidi"/>
          <w:color w:val="000000" w:themeColor="text1"/>
          <w:sz w:val="20"/>
          <w:szCs w:val="20"/>
        </w:rPr>
        <w:t>3</w:t>
      </w:r>
      <w:r w:rsidR="00F80E88" w:rsidRPr="000F7532">
        <w:rPr>
          <w:rFonts w:asciiTheme="majorBidi" w:hAnsiTheme="majorBidi" w:cstheme="majorBidi"/>
          <w:color w:val="000000" w:themeColor="text1"/>
          <w:sz w:val="20"/>
          <w:szCs w:val="20"/>
        </w:rPr>
        <w:fldChar w:fldCharType="end"/>
      </w:r>
      <w:r w:rsidR="00F80E88" w:rsidRPr="000F7532">
        <w:rPr>
          <w:rFonts w:asciiTheme="majorBidi" w:hAnsiTheme="majorBidi" w:cstheme="majorBidi"/>
          <w:color w:val="000000" w:themeColor="text1"/>
          <w:sz w:val="20"/>
          <w:szCs w:val="20"/>
        </w:rPr>
        <w:t xml:space="preserve"> above) para. 163.</w:t>
      </w:r>
    </w:p>
  </w:footnote>
  <w:footnote w:id="135">
    <w:p w14:paraId="2AA20712" w14:textId="77777777" w:rsidR="00C7554F" w:rsidRPr="000F7532" w:rsidRDefault="00000000" w:rsidP="000F7532">
      <w:pPr>
        <w:spacing w:after="0" w:line="276" w:lineRule="auto"/>
        <w:rPr>
          <w:rFonts w:asciiTheme="majorBidi" w:eastAsia="Times New Roman" w:hAnsiTheme="majorBidi" w:cstheme="majorBidi"/>
          <w:color w:val="000000" w:themeColor="text1"/>
          <w:sz w:val="20"/>
          <w:szCs w:val="20"/>
        </w:rPr>
      </w:pPr>
      <w:r w:rsidRPr="000F7532">
        <w:rPr>
          <w:rFonts w:asciiTheme="majorBidi" w:hAnsiTheme="majorBidi" w:cstheme="majorBidi"/>
          <w:color w:val="000000" w:themeColor="text1"/>
          <w:sz w:val="20"/>
          <w:szCs w:val="20"/>
          <w:vertAlign w:val="superscript"/>
        </w:rPr>
        <w:footnoteRef/>
      </w:r>
      <w:r w:rsidRPr="000F7532">
        <w:rPr>
          <w:rFonts w:asciiTheme="majorBidi" w:hAnsiTheme="majorBidi" w:cstheme="majorBidi"/>
          <w:color w:val="000000" w:themeColor="text1"/>
          <w:sz w:val="20"/>
          <w:szCs w:val="20"/>
        </w:rPr>
        <w:t xml:space="preserve"> </w:t>
      </w:r>
      <w:r w:rsidRPr="000F7532">
        <w:rPr>
          <w:rFonts w:asciiTheme="majorBidi" w:eastAsia="Times New Roman" w:hAnsiTheme="majorBidi" w:cstheme="majorBidi"/>
          <w:color w:val="000000" w:themeColor="text1"/>
          <w:sz w:val="20"/>
          <w:szCs w:val="20"/>
        </w:rPr>
        <w:t>Reg 26 Uc, Pip, etc. (Decisions and Appeals) Regulations 2013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954B0" w14:textId="77777777" w:rsidR="00C7554F" w:rsidRDefault="00C7554F">
    <w:pPr>
      <w:pBdr>
        <w:top w:val="nil"/>
        <w:left w:val="nil"/>
        <w:bottom w:val="nil"/>
        <w:right w:val="nil"/>
        <w:between w:val="nil"/>
      </w:pBdr>
      <w:tabs>
        <w:tab w:val="center" w:pos="4513"/>
        <w:tab w:val="right" w:pos="9026"/>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475DDC"/>
    <w:multiLevelType w:val="multilevel"/>
    <w:tmpl w:val="F03849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4B30659"/>
    <w:multiLevelType w:val="multilevel"/>
    <w:tmpl w:val="7494AC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30240199">
    <w:abstractNumId w:val="0"/>
  </w:num>
  <w:num w:numId="2" w16cid:durableId="16520544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554F"/>
    <w:rsid w:val="00025AE0"/>
    <w:rsid w:val="000707E8"/>
    <w:rsid w:val="000903D3"/>
    <w:rsid w:val="00095B8F"/>
    <w:rsid w:val="000A5C6A"/>
    <w:rsid w:val="000B313C"/>
    <w:rsid w:val="000D2E0B"/>
    <w:rsid w:val="000D3B89"/>
    <w:rsid w:val="000E0B24"/>
    <w:rsid w:val="000F7532"/>
    <w:rsid w:val="00101AA5"/>
    <w:rsid w:val="00127845"/>
    <w:rsid w:val="0013668D"/>
    <w:rsid w:val="00146CBD"/>
    <w:rsid w:val="00150397"/>
    <w:rsid w:val="001615BB"/>
    <w:rsid w:val="00167FB7"/>
    <w:rsid w:val="001825B4"/>
    <w:rsid w:val="001B16B5"/>
    <w:rsid w:val="001C0214"/>
    <w:rsid w:val="001C0866"/>
    <w:rsid w:val="001D2D4A"/>
    <w:rsid w:val="00203112"/>
    <w:rsid w:val="002041DD"/>
    <w:rsid w:val="00293340"/>
    <w:rsid w:val="002B5C3E"/>
    <w:rsid w:val="002C62E9"/>
    <w:rsid w:val="002E1359"/>
    <w:rsid w:val="00342BD5"/>
    <w:rsid w:val="003479F0"/>
    <w:rsid w:val="00370CEE"/>
    <w:rsid w:val="0039495C"/>
    <w:rsid w:val="003B2C92"/>
    <w:rsid w:val="003B3BD9"/>
    <w:rsid w:val="003C61FF"/>
    <w:rsid w:val="003E04AD"/>
    <w:rsid w:val="00425E44"/>
    <w:rsid w:val="00453078"/>
    <w:rsid w:val="00456B37"/>
    <w:rsid w:val="00506385"/>
    <w:rsid w:val="005110E2"/>
    <w:rsid w:val="00530D5C"/>
    <w:rsid w:val="00531255"/>
    <w:rsid w:val="005541F0"/>
    <w:rsid w:val="00564C90"/>
    <w:rsid w:val="00582441"/>
    <w:rsid w:val="00585613"/>
    <w:rsid w:val="005C6DA7"/>
    <w:rsid w:val="00606484"/>
    <w:rsid w:val="006256C1"/>
    <w:rsid w:val="006478CA"/>
    <w:rsid w:val="006B36B7"/>
    <w:rsid w:val="006F2400"/>
    <w:rsid w:val="00703B58"/>
    <w:rsid w:val="007057E6"/>
    <w:rsid w:val="007310A6"/>
    <w:rsid w:val="00747F81"/>
    <w:rsid w:val="00763236"/>
    <w:rsid w:val="007A6889"/>
    <w:rsid w:val="007B28A0"/>
    <w:rsid w:val="007F0420"/>
    <w:rsid w:val="00812887"/>
    <w:rsid w:val="00815E7B"/>
    <w:rsid w:val="00817B67"/>
    <w:rsid w:val="008244DB"/>
    <w:rsid w:val="00835F23"/>
    <w:rsid w:val="00837FC9"/>
    <w:rsid w:val="00871832"/>
    <w:rsid w:val="008B4119"/>
    <w:rsid w:val="008C0B7E"/>
    <w:rsid w:val="008C3613"/>
    <w:rsid w:val="008F6F9D"/>
    <w:rsid w:val="00951E7D"/>
    <w:rsid w:val="009609CB"/>
    <w:rsid w:val="009B5E15"/>
    <w:rsid w:val="009B6F9F"/>
    <w:rsid w:val="009C08E0"/>
    <w:rsid w:val="009C2161"/>
    <w:rsid w:val="009C2FD1"/>
    <w:rsid w:val="009C7FFC"/>
    <w:rsid w:val="009D7DC6"/>
    <w:rsid w:val="009F09CA"/>
    <w:rsid w:val="009F0D32"/>
    <w:rsid w:val="009F5F17"/>
    <w:rsid w:val="00A27565"/>
    <w:rsid w:val="00A3683B"/>
    <w:rsid w:val="00A43BB5"/>
    <w:rsid w:val="00A74B48"/>
    <w:rsid w:val="00A90127"/>
    <w:rsid w:val="00AA5B0D"/>
    <w:rsid w:val="00AB507D"/>
    <w:rsid w:val="00B061C5"/>
    <w:rsid w:val="00B21BAC"/>
    <w:rsid w:val="00B72734"/>
    <w:rsid w:val="00B74A65"/>
    <w:rsid w:val="00B87802"/>
    <w:rsid w:val="00BD2BF3"/>
    <w:rsid w:val="00BD4041"/>
    <w:rsid w:val="00BF095E"/>
    <w:rsid w:val="00C01720"/>
    <w:rsid w:val="00C10605"/>
    <w:rsid w:val="00C1713A"/>
    <w:rsid w:val="00C3684F"/>
    <w:rsid w:val="00C3697C"/>
    <w:rsid w:val="00C376F9"/>
    <w:rsid w:val="00C41D5B"/>
    <w:rsid w:val="00C4385A"/>
    <w:rsid w:val="00C64642"/>
    <w:rsid w:val="00C7554F"/>
    <w:rsid w:val="00C834D3"/>
    <w:rsid w:val="00CC7BF9"/>
    <w:rsid w:val="00CE3450"/>
    <w:rsid w:val="00CE6A7C"/>
    <w:rsid w:val="00CF6F17"/>
    <w:rsid w:val="00D32C9A"/>
    <w:rsid w:val="00D40043"/>
    <w:rsid w:val="00D51F58"/>
    <w:rsid w:val="00D85290"/>
    <w:rsid w:val="00D93876"/>
    <w:rsid w:val="00D9594E"/>
    <w:rsid w:val="00D9729B"/>
    <w:rsid w:val="00DA14BD"/>
    <w:rsid w:val="00DD5F00"/>
    <w:rsid w:val="00DF397D"/>
    <w:rsid w:val="00E155C3"/>
    <w:rsid w:val="00E31E14"/>
    <w:rsid w:val="00E37D35"/>
    <w:rsid w:val="00E4490B"/>
    <w:rsid w:val="00E9506E"/>
    <w:rsid w:val="00E95A86"/>
    <w:rsid w:val="00EC7AEC"/>
    <w:rsid w:val="00EE4C0C"/>
    <w:rsid w:val="00F03D15"/>
    <w:rsid w:val="00F22881"/>
    <w:rsid w:val="00F80E88"/>
    <w:rsid w:val="00FB4E0E"/>
    <w:rsid w:val="00FE6DA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84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line="278" w:lineRule="auto"/>
      <w:jc w:val="center"/>
      <w:outlineLvl w:val="0"/>
    </w:pPr>
    <w:rPr>
      <w:rFonts w:ascii="Times New Roman" w:eastAsia="Times New Roman" w:hAnsi="Times New Roman" w:cs="Times New Roman"/>
      <w:b/>
      <w:color w:val="000000"/>
      <w:sz w:val="28"/>
      <w:szCs w:val="28"/>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name w:val="a"/>
    <w:basedOn w:val="TableNormal0"/>
    <w:pPr>
      <w:spacing w:after="0" w:line="240" w:lineRule="auto"/>
    </w:p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0">
    <w:name w:val="a0"/>
    <w:basedOn w:val="TableNormal0"/>
    <w:pPr>
      <w:spacing w:after="0" w:line="240" w:lineRule="auto"/>
    </w:p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FootnoteText">
    <w:name w:val="footnote text"/>
    <w:basedOn w:val="Normal"/>
    <w:link w:val="FootnoteTextChar"/>
    <w:uiPriority w:val="99"/>
    <w:semiHidden/>
    <w:unhideWhenUsed/>
    <w:rsid w:val="002041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041DD"/>
    <w:rPr>
      <w:sz w:val="20"/>
      <w:szCs w:val="20"/>
    </w:rPr>
  </w:style>
  <w:style w:type="character" w:styleId="FootnoteReference">
    <w:name w:val="footnote reference"/>
    <w:basedOn w:val="DefaultParagraphFont"/>
    <w:uiPriority w:val="99"/>
    <w:semiHidden/>
    <w:unhideWhenUsed/>
    <w:rsid w:val="002041DD"/>
    <w:rPr>
      <w:vertAlign w:val="superscript"/>
    </w:rPr>
  </w:style>
  <w:style w:type="character" w:styleId="Hyperlink">
    <w:name w:val="Hyperlink"/>
    <w:basedOn w:val="DefaultParagraphFont"/>
    <w:uiPriority w:val="99"/>
    <w:unhideWhenUsed/>
    <w:rsid w:val="002041DD"/>
    <w:rPr>
      <w:color w:val="0000FF" w:themeColor="hyperlink"/>
      <w:u w:val="single"/>
    </w:rPr>
  </w:style>
  <w:style w:type="character" w:styleId="UnresolvedMention">
    <w:name w:val="Unresolved Mention"/>
    <w:basedOn w:val="DefaultParagraphFont"/>
    <w:uiPriority w:val="99"/>
    <w:semiHidden/>
    <w:unhideWhenUsed/>
    <w:rsid w:val="002041DD"/>
    <w:rPr>
      <w:color w:val="605E5C"/>
      <w:shd w:val="clear" w:color="auto" w:fill="E1DFDD"/>
    </w:rPr>
  </w:style>
  <w:style w:type="character" w:styleId="FollowedHyperlink">
    <w:name w:val="FollowedHyperlink"/>
    <w:basedOn w:val="DefaultParagraphFont"/>
    <w:uiPriority w:val="99"/>
    <w:semiHidden/>
    <w:unhideWhenUsed/>
    <w:rsid w:val="002041DD"/>
    <w:rPr>
      <w:color w:val="800080" w:themeColor="followedHyperlink"/>
      <w:u w:val="single"/>
    </w:rPr>
  </w:style>
  <w:style w:type="paragraph" w:styleId="Header">
    <w:name w:val="header"/>
    <w:basedOn w:val="Normal"/>
    <w:link w:val="HeaderChar"/>
    <w:uiPriority w:val="99"/>
    <w:unhideWhenUsed/>
    <w:rsid w:val="001D2D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2D4A"/>
  </w:style>
  <w:style w:type="paragraph" w:styleId="Footer">
    <w:name w:val="footer"/>
    <w:basedOn w:val="Normal"/>
    <w:link w:val="FooterChar"/>
    <w:uiPriority w:val="99"/>
    <w:unhideWhenUsed/>
    <w:rsid w:val="001D2D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2D4A"/>
  </w:style>
  <w:style w:type="paragraph" w:styleId="Revision">
    <w:name w:val="Revision"/>
    <w:hidden/>
    <w:uiPriority w:val="99"/>
    <w:semiHidden/>
    <w:rsid w:val="00E37D35"/>
    <w:pPr>
      <w:spacing w:after="0" w:line="240" w:lineRule="auto"/>
    </w:pPr>
  </w:style>
  <w:style w:type="character" w:styleId="CommentReference">
    <w:name w:val="annotation reference"/>
    <w:basedOn w:val="DefaultParagraphFont"/>
    <w:uiPriority w:val="99"/>
    <w:semiHidden/>
    <w:unhideWhenUsed/>
    <w:rsid w:val="00E37D35"/>
    <w:rPr>
      <w:sz w:val="16"/>
      <w:szCs w:val="16"/>
    </w:rPr>
  </w:style>
  <w:style w:type="paragraph" w:styleId="CommentText">
    <w:name w:val="annotation text"/>
    <w:basedOn w:val="Normal"/>
    <w:link w:val="CommentTextChar"/>
    <w:uiPriority w:val="99"/>
    <w:unhideWhenUsed/>
    <w:rsid w:val="00E37D35"/>
    <w:pPr>
      <w:spacing w:line="240" w:lineRule="auto"/>
    </w:pPr>
    <w:rPr>
      <w:sz w:val="20"/>
      <w:szCs w:val="20"/>
    </w:rPr>
  </w:style>
  <w:style w:type="character" w:customStyle="1" w:styleId="CommentTextChar">
    <w:name w:val="Comment Text Char"/>
    <w:basedOn w:val="DefaultParagraphFont"/>
    <w:link w:val="CommentText"/>
    <w:uiPriority w:val="99"/>
    <w:rsid w:val="00E37D35"/>
    <w:rPr>
      <w:sz w:val="20"/>
      <w:szCs w:val="20"/>
    </w:rPr>
  </w:style>
  <w:style w:type="paragraph" w:styleId="CommentSubject">
    <w:name w:val="annotation subject"/>
    <w:basedOn w:val="CommentText"/>
    <w:next w:val="CommentText"/>
    <w:link w:val="CommentSubjectChar"/>
    <w:uiPriority w:val="99"/>
    <w:semiHidden/>
    <w:unhideWhenUsed/>
    <w:rsid w:val="00E37D35"/>
    <w:rPr>
      <w:b/>
      <w:bCs/>
    </w:rPr>
  </w:style>
  <w:style w:type="character" w:customStyle="1" w:styleId="CommentSubjectChar">
    <w:name w:val="Comment Subject Char"/>
    <w:basedOn w:val="CommentTextChar"/>
    <w:link w:val="CommentSubject"/>
    <w:uiPriority w:val="99"/>
    <w:semiHidden/>
    <w:rsid w:val="00E37D3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rotect.checkpoint.com/v2/r02/___https://datawrapper.dwcdn.net/XLrt5/1/___.YzJlOnVsc3RlcnVuaXZlcnNpdHk6YzpvOmUwNDAyNTk3MDAxMzg0MjlhMTlmZjE0MGFlNDVjMTNmOjc6MGI5NzozNzdlZWRlYWMzNmQxMTg0MGI2NTI3MGQ3ZDRkZTM2YWFmY2Y0MTkzNzhhODliZGMyNjI0NmQwYTQzOWRhMzJiOnA6VDpO"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protect.checkpoint.com/v2/r02/___https://www.worcestershire.gov.uk/council-services/learning-skills-and-employability/get-worcestershire-working___.YzJlOnVsc3RlcnVuaXZlcnNpdHk6YzpvOmUwNDAyNTk3MDAxMzg0MjlhMTlmZjE0MGFlNDVjMTNmOjc6NDMxOToyZTM3YTE3ZWNmMjhiODM1MGMxMTNiZjlkY2YzYjAzNTM5ODE4ZWJmNGI2MTUxNWU2M2YzZmY1NThlOTM3MzhkOnA6VDpO" TargetMode="External"/><Relationship Id="rId13" Type="http://schemas.openxmlformats.org/officeDocument/2006/relationships/hyperlink" Target="https://protect.checkpoint.com/v2/r02/___https://www.gov.uk/government/publications/connect-to-work/connect-to-work-grant-guidance-for-england___.YzJlOnVsc3RlcnVuaXZlcnNpdHk6YzpvOmUwNDAyNTk3MDAxMzg0MjlhMTlmZjE0MGFlNDVjMTNmOjc6OWY2MTplMzE3OGEwMDdlNDIzZGUwMDU0OTgyMjc2Y2VkYTZlY2U3N2I2Mzg2ZDZjOGJmZTcyNjAyMzM5NjAyMTFiOGVlOnA6VDpO" TargetMode="External"/><Relationship Id="rId18" Type="http://schemas.openxmlformats.org/officeDocument/2006/relationships/hyperlink" Target="https://protect.checkpoint.com/v2/r02/___https://www.gov.uk/government/publications/workwell/workwell-prospectus-guidance-for-local-system-partnerships___.YzJlOnVsc3RlcnVuaXZlcnNpdHk6YzpvOmUwNDAyNTk3MDAxMzg0MjlhMTlmZjE0MGFlNDVjMTNmOjc6NmQ5ZDowMmFlOGZiMjUxYWQ0YWJkODJkNTU2ZGUxMjk2YWE2ZWQxOTQzMjBhMzA1MmYyN2U5ZDlmZTI5ZTY3YTU4M2Q4OnA6VDpO" TargetMode="External"/><Relationship Id="rId26" Type="http://schemas.openxmlformats.org/officeDocument/2006/relationships/hyperlink" Target="https://protect.checkpoint.com/v2/r02/___https://www.benefitsandwork.co.uk/news/no-genuine-co-production-for-timms-review___.YzJlOnVsc3RlcnVuaXZlcnNpdHk6YzpvOmUwNDAyNTk3MDAxMzg0MjlhMTlmZjE0MGFlNDVjMTNmOjc6MTEyNzo3NjczYWI1MDM5OGU3ZWQ3NzEwYTNlNTRkNWZhOGNjYzZjZTg0OWJjMDI4Yjk3OTM5MDdlODYzYzI1ZWI3MzA2OnA6VDpO" TargetMode="External"/><Relationship Id="rId3" Type="http://schemas.openxmlformats.org/officeDocument/2006/relationships/hyperlink" Target="https://protect.checkpoint.com/v2/r02/___https://questions-statements.parliament.uk/written-questions/detail/2025-04-23/47378___.YzJlOnVsc3RlcnVuaXZlcnNpdHk6YzpvOmUwNDAyNTk3MDAxMzg0MjlhMTlmZjE0MGFlNDVjMTNmOjc6YmQwNzo3N2JiMzlhYTU2MThiMGJjMzcwNjA2NTU3MTA0YzVmNjkzZjM4NzY4MjU0MTZkMmRiNjRlNDE2NTQwYzdjYTdiOnA6VDpO" TargetMode="External"/><Relationship Id="rId21" Type="http://schemas.openxmlformats.org/officeDocument/2006/relationships/hyperlink" Target="https://protect.checkpoint.com/v2/r02/___https://committees.parliament.uk/publications/47840/documents/250688/default/___.YzJlOnVsc3RlcnVuaXZlcnNpdHk6YzpvOmUwNDAyNTk3MDAxMzg0MjlhMTlmZjE0MGFlNDVjMTNmOjc6MjU0MTpmNzNiMGY2ZDY2YTYyNjJlMjcwZjA2M2M0ZGM5OTU1YTBjNTMzYzJjMzNiODJmMGM5YTI3MGI5MTE1MjcxZGE0OnA6VDpO" TargetMode="External"/><Relationship Id="rId7" Type="http://schemas.openxmlformats.org/officeDocument/2006/relationships/hyperlink" Target="https://protect.checkpoint.com/v2/r02/___https://www.gov.uk/government/consultations/work-health-and-disability-improving-lives/work-health-and-disability-green-paper-improving-lives___.YzJlOnVsc3RlcnVuaXZlcnNpdHk6YzpvOmUwNDAyNTk3MDAxMzg0MjlhMTlmZjE0MGFlNDVjMTNmOjc6ZDViNzo1NDE1NGYyMDI0NWFmZDQ5MTM1MGI2ODRhNDhmNmIwMmU2MTcwZjliNWQ5ZTlhNDZmNjBlMTQ3Yzk0YzAxZDA4OnA6VDpO" TargetMode="External"/><Relationship Id="rId12" Type="http://schemas.openxmlformats.org/officeDocument/2006/relationships/hyperlink" Target="https://protect.checkpoint.com/v2/r02/___https://irep.ntu.ac.uk/id/eprint/37481/1/14549_Machin.pdf___.YzJlOnVsc3RlcnVuaXZlcnNpdHk6YzpvOmUwNDAyNTk3MDAxMzg0MjlhMTlmZjE0MGFlNDVjMTNmOjc6ODBlOTo0YjAyOTk1ZWE5NzNkMjY4NGI2OWNlODhlMmE5ZWUyNTYwOTI4NWJkMjczMmUyYmMzMmQxZmY0NDRiYzgxN2M2OnA6VDpO" TargetMode="External"/><Relationship Id="rId17" Type="http://schemas.openxmlformats.org/officeDocument/2006/relationships/hyperlink" Target="https://protect.checkpoint.com/v2/r02/___https://www.gov.uk/government/publications/workwell/workwell-prospectus-guidance-for-local-system-partnerships___.YzJlOnVsc3RlcnVuaXZlcnNpdHk6YzpvOmUwNDAyNTk3MDAxMzg0MjlhMTlmZjE0MGFlNDVjMTNmOjc6NmQ5ZDowMmFlOGZiMjUxYWQ0YWJkODJkNTU2ZGUxMjk2YWE2ZWQxOTQzMjBhMzA1MmYyN2U5ZDlmZTI5ZTY3YTU4M2Q4OnA6VDpO" TargetMode="External"/><Relationship Id="rId25" Type="http://schemas.openxmlformats.org/officeDocument/2006/relationships/hyperlink" Target="https://protect.checkpoint.com/v2/r02/___https://www.bigissue.com/opinion/timms-review-pip-assessment-disability-rights-uk/___.YzJlOnVsc3RlcnVuaXZlcnNpdHk6YzpvOmUwNDAyNTk3MDAxMzg0MjlhMTlmZjE0MGFlNDVjMTNmOjc6NjkwYzowYmQzMzI4NWQzZGJjN2IyZTZiYjllZTM3NzE0NjRjMzdjZWRiMjhiY2E2NDBhMTc4NjRlMGI3ODVjZGQxMmQ1OnA6VDpO" TargetMode="External"/><Relationship Id="rId2" Type="http://schemas.openxmlformats.org/officeDocument/2006/relationships/hyperlink" Target="https://protect.checkpoint.com/v2/r02/___https://www.campaignfordisabilityjustice.org.uk/green_paper_2025_pathways_to_work_our_response___.YzJlOnVsc3RlcnVuaXZlcnNpdHk6YzpvOmUwNDAyNTk3MDAxMzg0MjlhMTlmZjE0MGFlNDVjMTNmOjc6Y2EzNjpmNzRkNDk1NmZjYWQ3MjFhMzM5NjEzZDQ4ODJjYzNlNzNmYzc0ZWEzMTZkZGYwMjM3NzUzOGRhMzc1YjIzZTYzOnA6VDpO" TargetMode="External"/><Relationship Id="rId16" Type="http://schemas.openxmlformats.org/officeDocument/2006/relationships/hyperlink" Target="https://protect.checkpoint.com/v2/r02/___https://www.nhsconfed.org/publications/get-britain-working-white-paper___.YzJlOnVsc3RlcnVuaXZlcnNpdHk6YzpvOmUwNDAyNTk3MDAxMzg0MjlhMTlmZjE0MGFlNDVjMTNmOjc6YzIzZjo0OGNiMGE5MzU2YjZlN2M4OTIzZDkwNWJjMTA2ODVlMzJjMTI2OTgwNmZkMmVlNjAwNjM2ODIwM2ZlOTM4ZjEzOnA6VDpO" TargetMode="External"/><Relationship Id="rId20" Type="http://schemas.openxmlformats.org/officeDocument/2006/relationships/hyperlink" Target="https://protect.checkpoint.com/v2/r02/___https://www.ons.gov.uk/releases/sicknessabsenceintheuklabourmarket2023to2024___.YzJlOnVsc3RlcnVuaXZlcnNpdHk6YzpvOmUwNDAyNTk3MDAxMzg0MjlhMTlmZjE0MGFlNDVjMTNmOjc6NzdkYTozNDliMjllMGZmY2QyYmEwZjRlNTEyMmRiZWNlNWM0MTczNDExMTdhZmNkN2YwM2Y0MTkxZTFmNzc2ZGI2MWNiOnA6VDpO" TargetMode="External"/><Relationship Id="rId29" Type="http://schemas.openxmlformats.org/officeDocument/2006/relationships/hyperlink" Target="https://protect.checkpoint.com/v2/r02/___https://www.jrf.org.uk/social-security/health-related-benefit-cuts-will-deliver-higher-poverty-not-employment___.YzJlOnVsc3RlcnVuaXZlcnNpdHk6YzpvOmUwNDAyNTk3MDAxMzg0MjlhMTlmZjE0MGFlNDVjMTNmOjc6YWUxMTo3Y2E5ODRlOWM3ZWU5ODljNWE4YmY1MTY2MDFhNDY2NjQ0YjYzMjM5YjdjNWNlZjI1YTRmZmNhMmM0M2I4YWE4OnA6VDpO" TargetMode="External"/><Relationship Id="rId1" Type="http://schemas.openxmlformats.org/officeDocument/2006/relationships/hyperlink" Target="https://www.centreonconstitutionalchange.ac.uk/news-and-opinion/building-shaky-foundations-multi-level-policy-realities-scottish-social-security" TargetMode="External"/><Relationship Id="rId6" Type="http://schemas.openxmlformats.org/officeDocument/2006/relationships/hyperlink" Target="https://protect.checkpoint.com/v2/r02/___https://digital.nhs.uk/data-and-information/publications/statistical/adult-psychiatric-morbidity-survey/survey-of-mental-health-and-wellbeing-england-2023-24___.YzJlOnVsc3RlcnVuaXZlcnNpdHk6YzpvOmUwNDAyNTk3MDAxMzg0MjlhMTlmZjE0MGFlNDVjMTNmOjc6N2NmZTowN2YwNTc2YmRiZWRhNWMzZjEyOGZlMjE2NTkwZWJiNjkxZDNkZjc4MmU1NTgxOGUxMGM1YmU4MjQ5Nzg4ODIyOnA6VDpO" TargetMode="External"/><Relationship Id="rId11" Type="http://schemas.openxmlformats.org/officeDocument/2006/relationships/hyperlink" Target="https://protect.checkpoint.com/v2/r02/___https://glostext.gloucestershire.gov.uk/documents/g11826/Public%20reports%20pack%20Thursday%2031-Jul-2025%2010.00%20Corporate%20Overview%20and%20Scrutiny%20Committee.pdf?T=10___.YzJlOnVsc3RlcnVuaXZlcnNpdHk6YzpvOmUwNDAyNTk3MDAxMzg0MjlhMTlmZjE0MGFlNDVjMTNmOjc6N2RlMzphZWQ4MzI4OTcxNGVmMzA4NmE3NWZkOGJiYmE1YzdmMWE0Mzc2ODllZjA3NmRjOTdkNDI4YzIyYzM3MDU0NGQ2OnA6VDpO" TargetMode="External"/><Relationship Id="rId24" Type="http://schemas.openxmlformats.org/officeDocument/2006/relationships/hyperlink" Target="https://protect.checkpoint.com/v2/r02/___https://www.bbc.co.uk/programmes/p0ltkvh7___.YzJlOnVsc3RlcnVuaXZlcnNpdHk6YzpvOmUwNDAyNTk3MDAxMzg0MjlhMTlmZjE0MGFlNDVjMTNmOjc6NWNmZjphYWUwMzQxMDIzYmM5ZTQ1ZWNlNDRhNWM4YTI0MWJiNzgyYmY2YTE5YTdhMTM4ZjgyODIxMGU0ZWJiMDMxNjJkOnA6VDpO" TargetMode="External"/><Relationship Id="rId5" Type="http://schemas.openxmlformats.org/officeDocument/2006/relationships/hyperlink" Target="https://protect.checkpoint.com/v2/r02/___https://cpag.org.uk/news/short-briefing-pathways-work-green-paper___.YzJlOnVsc3RlcnVuaXZlcnNpdHk6YzpvOmUwNDAyNTk3MDAxMzg0MjlhMTlmZjE0MGFlNDVjMTNmOjc6NmVhZjoyOWNhZTAzM2VhZGI4MmVkMDFhZWUxYzZmYjVlMTgzMzU3ZmJkNjYzNTM1ZGQ1MmJjMDVjYmViZDJkMDUyZTFkOnA6VDpO" TargetMode="External"/><Relationship Id="rId15" Type="http://schemas.openxmlformats.org/officeDocument/2006/relationships/hyperlink" Target="https://protect.checkpoint.com/v2/r02/___https://www.nhsconfed.org/publications/get-britain-working-white-paper___.YzJlOnVsc3RlcnVuaXZlcnNpdHk6YzpvOmUwNDAyNTk3MDAxMzg0MjlhMTlmZjE0MGFlNDVjMTNmOjc6YzIzZjo0OGNiMGE5MzU2YjZlN2M4OTIzZDkwNWJjMTA2ODVlMzJjMTI2OTgwNmZkMmVlNjAwNjM2ODIwM2ZlOTM4ZjEzOnA6VDpO" TargetMode="External"/><Relationship Id="rId23" Type="http://schemas.openxmlformats.org/officeDocument/2006/relationships/hyperlink" Target="https://protect.checkpoint.com/v2/r02/___https://qna.files.parliament.uk/ws-attachments/1817526/original/Timms%20Review%20of%20the%20PIP%20Assessment.pdf___.YzJlOnVsc3RlcnVuaXZlcnNpdHk6YzpvOmUwNDAyNTk3MDAxMzg0MjlhMTlmZjE0MGFlNDVjMTNmOjc6MDg2Yzo4Yjc2MjM1ZWNhMzc5MmQ2MGQ4Yjc3OTVmMjAxN2M2YWViMjYzMGNjMmZhNTBhMTI3MGM2NWM0OTQzMTM4ODc5OnA6VDpO" TargetMode="External"/><Relationship Id="rId28" Type="http://schemas.openxmlformats.org/officeDocument/2006/relationships/hyperlink" Target="https://protect.checkpoint.com/v2/r02/___https://publications.parliament.uk/pa/bills/cbill/59-01/0267/hcb267_ia_may2025.pdf___.YzJlOnVsc3RlcnVuaXZlcnNpdHk6YzpvOmUwNDAyNTk3MDAxMzg0MjlhMTlmZjE0MGFlNDVjMTNmOjc6Zjg4ZDozMmVkYjgzYmMwNTBjOGJjNDkzN2MzZDMzNWYxNjE2NDIzNTUzYmMxOWI0NDM1NDNmNTY2YTQ1NjA1NjE4OThjOnA6VDpO" TargetMode="External"/><Relationship Id="rId10" Type="http://schemas.openxmlformats.org/officeDocument/2006/relationships/hyperlink" Target="https://protect.checkpoint.com/v2/r02/___https://mycouncil.oxfordshire.gov.uk/documents/s77065/CAB150725R9%20Connect%20to%20Work.pdf___.YzJlOnVsc3RlcnVuaXZlcnNpdHk6YzpvOmUwNDAyNTk3MDAxMzg0MjlhMTlmZjE0MGFlNDVjMTNmOjc6Yjk3MTowNWY2ZDY2MjNmOTdkYTU4YmQwMTQ0NDgxMWQ0OTgyNDQ2YTcyYmEwY2Y0ZTk0ZTNlNzA0ODQ2NjQ2ZTZiNzhhOnA6VDpO" TargetMode="External"/><Relationship Id="rId19" Type="http://schemas.openxmlformats.org/officeDocument/2006/relationships/hyperlink" Target="https://protect.checkpoint.com/v2/r02/___https://www.northeast-ca.gov.uk/downloads/3707/open-call-guidance-02-06-003-.pdf___.YzJlOnVsc3RlcnVuaXZlcnNpdHk6YzpvOmUwNDAyNTk3MDAxMzg0MjlhMTlmZjE0MGFlNDVjMTNmOjc6MzNlMDo0ZTdkZjgxODFkNTg2NTZjMTYwMDFmMmU1ZWNiNmU4MWQ3MWZhNDc4YTBhMDc3YWMwNDBmYjlmOWYwNjdiOTg1OnA6VDpO" TargetMode="External"/><Relationship Id="rId4" Type="http://schemas.openxmlformats.org/officeDocument/2006/relationships/hyperlink" Target="https://protect.checkpoint.com/v2/r02/___https://www.gov.uk/government/consultations/pathways-to-work-reforming-benefits-and-support-to-get-britain-working-green-paper/spring-statement-2025-health-and-disability-benefit-reforms-impacts___.YzJlOnVsc3RlcnVuaXZlcnNpdHk6YzpvOmUwNDAyNTk3MDAxMzg0MjlhMTlmZjE0MGFlNDVjMTNmOjc6OWVlZDowNDMyZjNlZWFiMDJmYTU2MzVmZTQ4NzdjYzhhZDI1NDdlYjk5NzlhYTk5NTY4MjE0NjI2MjkxZTU1MTdkNjhjOnA6VDpO" TargetMode="External"/><Relationship Id="rId9" Type="http://schemas.openxmlformats.org/officeDocument/2006/relationships/hyperlink" Target="https://protect.checkpoint.com/v2/r02/___https://democratic.bracknell-forest.gov.uk/documents/s210196/Prosperity%20board%20-%20health%20and%20work%20-%20June%202025.pdf___.YzJlOnVsc3RlcnVuaXZlcnNpdHk6YzpvOmUwNDAyNTk3MDAxMzg0MjlhMTlmZjE0MGFlNDVjMTNmOjc6YWVhZjoxNGIxNjc5NmZhNTk5NmVlMWQ0MDViOTA3MTM3YjRiNjYwYmI3YzUxODA3YTlmNmQzYjQzM2M4MmE4NWM1NWM5OnA6VDpO" TargetMode="External"/><Relationship Id="rId14" Type="http://schemas.openxmlformats.org/officeDocument/2006/relationships/hyperlink" Target="https://protect.checkpoint.com/v2/r02/___https://www.youthemployment.org.uk/where-are-the-8-youth-guarantee-trailblazer-areas/___.YzJlOnVsc3RlcnVuaXZlcnNpdHk6YzpvOmUwNDAyNTk3MDAxMzg0MjlhMTlmZjE0MGFlNDVjMTNmOjc6NDY0ZDplMDdkYThiNmJlMDkyYzk2NjVkZjkxNDVmMjhhOTM0ODE0NjNiYTk0ZGU5ODViYTZiN2E0OGUzMTEyZDEwYWEyOnA6VDpO" TargetMode="External"/><Relationship Id="rId22" Type="http://schemas.openxmlformats.org/officeDocument/2006/relationships/hyperlink" Target="https://protect.checkpoint.com/v2/r02/___https://cpag.org.uk/news/you-reap-what-you-code___.YzJlOnVsc3RlcnVuaXZlcnNpdHk6YzpvOmUwNDAyNTk3MDAxMzg0MjlhMTlmZjE0MGFlNDVjMTNmOjc6ZDE0YTo4M2I4NDYzOTA4M2E1NWM2M2Q3ODAyZjk2MzZjMGU3NmUxZDdkZDdlOGU2ZjlmMTRiODg4YTA2MjM2NWMyY2Y0OnA6VDpO" TargetMode="External"/><Relationship Id="rId27" Type="http://schemas.openxmlformats.org/officeDocument/2006/relationships/hyperlink" Target="https://protect.checkpoint.com/v2/r02/___https://hansard.parliament.uk/Commons/2025-07-09/debates/8EA073A9-13D1-4DFD-8BD9-2497133538D0/details___.YzJlOnVsc3RlcnVuaXZlcnNpdHk6YzpvOmUwNDAyNTk3MDAxMzg0MjlhMTlmZjE0MGFlNDVjMTNmOjc6ZGVjMDo5YjcyZmE4ODdkNTcxZjA0YmRiYWM0YWFmMjZmZDZkZjVhMDk4YjAxOWJmYzNlYzExYTcyNmFhNGFkM2E5ZDZiOnA6VDp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0103FBAD5A7C947B631EE74B299B72A" ma:contentTypeVersion="17" ma:contentTypeDescription="Create a new document." ma:contentTypeScope="" ma:versionID="43023e148362e676cc852f55ccd18daa">
  <xsd:schema xmlns:xsd="http://www.w3.org/2001/XMLSchema" xmlns:xs="http://www.w3.org/2001/XMLSchema" xmlns:p="http://schemas.microsoft.com/office/2006/metadata/properties" xmlns:ns3="5f2727d6-9e97-47b2-9620-7bdcac47e16f" xmlns:ns4="b9a7bbea-fa01-4303-b3cf-eb7c6773bf61" targetNamespace="http://schemas.microsoft.com/office/2006/metadata/properties" ma:root="true" ma:fieldsID="d2b77e1d96555c716f16b53777a54489" ns3:_="" ns4:_="">
    <xsd:import namespace="5f2727d6-9e97-47b2-9620-7bdcac47e16f"/>
    <xsd:import namespace="b9a7bbea-fa01-4303-b3cf-eb7c6773bf6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2727d6-9e97-47b2-9620-7bdcac47e1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a7bbea-fa01-4303-b3cf-eb7c6773bf6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5f2727d6-9e97-47b2-9620-7bdcac47e16f" xsi:nil="true"/>
  </documentManagement>
</p:properties>
</file>

<file path=customXml/itemProps1.xml><?xml version="1.0" encoding="utf-8"?>
<ds:datastoreItem xmlns:ds="http://schemas.openxmlformats.org/officeDocument/2006/customXml" ds:itemID="{332799AF-6383-40BA-AE3E-26E923A6781B}">
  <ds:schemaRefs>
    <ds:schemaRef ds:uri="http://schemas.microsoft.com/sharepoint/v3/contenttype/forms"/>
  </ds:schemaRefs>
</ds:datastoreItem>
</file>

<file path=customXml/itemProps2.xml><?xml version="1.0" encoding="utf-8"?>
<ds:datastoreItem xmlns:ds="http://schemas.openxmlformats.org/officeDocument/2006/customXml" ds:itemID="{31A06431-94B1-4509-90A5-DE0F39D2E4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2727d6-9e97-47b2-9620-7bdcac47e16f"/>
    <ds:schemaRef ds:uri="b9a7bbea-fa01-4303-b3cf-eb7c6773bf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8B9C4E-F64E-43A6-91D0-0B64700A13A3}">
  <ds:schemaRefs>
    <ds:schemaRef ds:uri="http://schemas.openxmlformats.org/officeDocument/2006/bibliography"/>
  </ds:schemaRefs>
</ds:datastoreItem>
</file>

<file path=customXml/itemProps4.xml><?xml version="1.0" encoding="utf-8"?>
<ds:datastoreItem xmlns:ds="http://schemas.openxmlformats.org/officeDocument/2006/customXml" ds:itemID="{959CA475-8240-4515-B7C0-C3ED5D9F2353}">
  <ds:schemaRefs>
    <ds:schemaRef ds:uri="http://schemas.microsoft.com/office/2006/metadata/properties"/>
    <ds:schemaRef ds:uri="http://schemas.microsoft.com/office/infopath/2007/PartnerControls"/>
    <ds:schemaRef ds:uri="5f2727d6-9e97-47b2-9620-7bdcac47e16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9086</Words>
  <Characters>51795</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
  <cp:revision>1</cp:revision>
  <dcterms:created xsi:type="dcterms:W3CDTF">2025-09-12T12:00:00Z</dcterms:created>
  <dcterms:modified xsi:type="dcterms:W3CDTF">2025-09-12T12:06:00Z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0x01010040103FBAD5A7C947B631EE74B299B72A</vt:lpwstr>
  </property>
</Properties>
</file>