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97A1" w14:textId="76F6291D" w:rsidR="00D54DB4" w:rsidRPr="0062439C" w:rsidRDefault="00614D94" w:rsidP="00E721A9">
      <w:pPr>
        <w:pStyle w:val="DOP"/>
        <w:tabs>
          <w:tab w:val="left" w:pos="180"/>
        </w:tabs>
      </w:pPr>
      <w:r w:rsidRPr="00614D94">
        <w:t xml:space="preserve">Access-2025-17650 </w:t>
      </w:r>
      <w:r w:rsidR="00EA5D2D" w:rsidRPr="0062439C">
        <w:t xml:space="preserve">Date of publication </w:t>
      </w:r>
      <w:proofErr w:type="spellStart"/>
      <w:r w:rsidR="00EA5D2D" w:rsidRPr="0062439C">
        <w:t>xxxx</w:t>
      </w:r>
      <w:proofErr w:type="spellEnd"/>
      <w:r w:rsidR="00EA5D2D" w:rsidRPr="0062439C">
        <w:t xml:space="preserve"> 00, 0000, date of current version </w:t>
      </w:r>
      <w:proofErr w:type="spellStart"/>
      <w:r w:rsidR="00EA5D2D" w:rsidRPr="0062439C">
        <w:t>xxxx</w:t>
      </w:r>
      <w:proofErr w:type="spellEnd"/>
      <w:r w:rsidR="00EA5D2D" w:rsidRPr="0062439C">
        <w:t xml:space="preserve"> 00, 0000.</w:t>
      </w:r>
    </w:p>
    <w:p w14:paraId="7F95A7D6" w14:textId="7666495B" w:rsidR="00505C65" w:rsidRPr="0062439C" w:rsidRDefault="00505C65" w:rsidP="00505C65">
      <w:pPr>
        <w:pStyle w:val="DOI"/>
      </w:pPr>
      <w:r w:rsidRPr="0062439C">
        <w:t>Digital Object Identifier 10.1109/</w:t>
      </w:r>
      <w:proofErr w:type="gramStart"/>
      <w:r w:rsidRPr="0062439C">
        <w:t>ACCESS.20</w:t>
      </w:r>
      <w:r>
        <w:t>2</w:t>
      </w:r>
      <w:r w:rsidR="00E05FFD">
        <w:t>4</w:t>
      </w:r>
      <w:r w:rsidRPr="0062439C">
        <w:t>.Doi</w:t>
      </w:r>
      <w:proofErr w:type="gramEnd"/>
      <w:r w:rsidRPr="0062439C">
        <w:t xml:space="preserve"> Number</w:t>
      </w:r>
    </w:p>
    <w:p w14:paraId="774CFF19" w14:textId="76823C55" w:rsidR="00EA5D2D" w:rsidRPr="00084BD2" w:rsidRDefault="003E5B4C" w:rsidP="00105925">
      <w:pPr>
        <w:pStyle w:val="PaperTitle"/>
      </w:pPr>
      <w:r>
        <w:t>Cost-Efficiency and Cost-Effectiveness of XAI in Predictive Maintenance</w:t>
      </w:r>
    </w:p>
    <w:p w14:paraId="420C0C0B" w14:textId="77777777" w:rsidR="00561079" w:rsidRPr="003D7894" w:rsidRDefault="00561079" w:rsidP="00561079">
      <w:pPr>
        <w:pStyle w:val="AU"/>
        <w:spacing w:after="0"/>
      </w:pPr>
      <w:r w:rsidRPr="003D7894">
        <w:t>Peter Hughes</w:t>
      </w:r>
      <w:r w:rsidRPr="003D7894">
        <w:rPr>
          <w:vertAlign w:val="superscript"/>
        </w:rPr>
        <w:t>1</w:t>
      </w:r>
      <w:r>
        <w:t>, Suresh Perinpanayagam</w:t>
      </w:r>
      <w:r w:rsidRPr="003D7894">
        <w:rPr>
          <w:vertAlign w:val="superscript"/>
        </w:rPr>
        <w:t>1</w:t>
      </w:r>
      <w:r>
        <w:t>, Member IEEE, Peter Ball</w:t>
      </w:r>
      <w:r w:rsidRPr="00561079">
        <w:rPr>
          <w:vertAlign w:val="superscript"/>
        </w:rPr>
        <w:t>2</w:t>
      </w:r>
    </w:p>
    <w:p w14:paraId="6336D431" w14:textId="77777777" w:rsidR="00561079" w:rsidRDefault="00561079" w:rsidP="00561079">
      <w:pPr>
        <w:pStyle w:val="PINoSpace"/>
        <w:ind w:firstLine="0"/>
        <w:rPr>
          <w:sz w:val="14"/>
          <w:szCs w:val="14"/>
        </w:rPr>
      </w:pPr>
      <w:r w:rsidRPr="003D7894">
        <w:rPr>
          <w:sz w:val="14"/>
          <w:szCs w:val="14"/>
          <w:vertAlign w:val="superscript"/>
        </w:rPr>
        <w:t>1</w:t>
      </w:r>
      <w:r w:rsidRPr="003D7894">
        <w:rPr>
          <w:sz w:val="14"/>
          <w:szCs w:val="14"/>
        </w:rPr>
        <w:t>School of Physics, Engineering, and Technology, University of York, Heslington, York, YO10 6DD,</w:t>
      </w:r>
    </w:p>
    <w:p w14:paraId="49773F9B" w14:textId="77777777" w:rsidR="00561079" w:rsidRPr="003D7894" w:rsidRDefault="00561079" w:rsidP="00561079">
      <w:pPr>
        <w:pStyle w:val="PINoSpace"/>
        <w:ind w:firstLine="0"/>
        <w:rPr>
          <w:sz w:val="14"/>
          <w:szCs w:val="14"/>
        </w:rPr>
      </w:pPr>
      <w:r w:rsidRPr="003D7894">
        <w:rPr>
          <w:sz w:val="14"/>
          <w:szCs w:val="14"/>
          <w:vertAlign w:val="superscript"/>
        </w:rPr>
        <w:t>1</w:t>
      </w:r>
      <w:r w:rsidRPr="003D7894">
        <w:rPr>
          <w:sz w:val="14"/>
          <w:szCs w:val="14"/>
        </w:rPr>
        <w:t xml:space="preserve">School </w:t>
      </w:r>
      <w:r>
        <w:rPr>
          <w:sz w:val="14"/>
          <w:szCs w:val="14"/>
        </w:rPr>
        <w:t>for Business and Society</w:t>
      </w:r>
      <w:r w:rsidRPr="003D7894">
        <w:rPr>
          <w:sz w:val="14"/>
          <w:szCs w:val="14"/>
        </w:rPr>
        <w:t xml:space="preserve">, University of York, Heslington, York, YO10 </w:t>
      </w:r>
      <w:r>
        <w:rPr>
          <w:sz w:val="14"/>
          <w:szCs w:val="14"/>
        </w:rPr>
        <w:t>5ZF</w:t>
      </w:r>
    </w:p>
    <w:p w14:paraId="7ECFF50C" w14:textId="77777777" w:rsidR="00561079" w:rsidRDefault="00561079" w:rsidP="00561079">
      <w:pPr>
        <w:pStyle w:val="PI"/>
        <w:spacing w:before="100" w:after="100"/>
        <w:ind w:right="1598" w:firstLine="0"/>
      </w:pPr>
      <w:r w:rsidRPr="003D7894">
        <w:t xml:space="preserve">Corresponding author: Peter Hughes (e-mail: </w:t>
      </w:r>
      <w:hyperlink r:id="rId8" w:history="1">
        <w:r w:rsidRPr="00770B51">
          <w:rPr>
            <w:rStyle w:val="Hyperlink"/>
          </w:rPr>
          <w:t>pmh536@york.ac.uk</w:t>
        </w:r>
      </w:hyperlink>
      <w:r w:rsidRPr="003D7894">
        <w:t>).</w:t>
      </w:r>
    </w:p>
    <w:p w14:paraId="6A8F448E" w14:textId="77777777" w:rsidR="00561079" w:rsidRPr="003D7894" w:rsidRDefault="00561079" w:rsidP="00561079">
      <w:pPr>
        <w:pStyle w:val="PI"/>
        <w:spacing w:before="100" w:after="100"/>
        <w:ind w:right="1598" w:firstLine="0"/>
      </w:pPr>
    </w:p>
    <w:p w14:paraId="25001565" w14:textId="1032D6CF" w:rsidR="00EA5D2D" w:rsidRPr="00482B55" w:rsidRDefault="00EA5D2D" w:rsidP="005C3955">
      <w:pPr>
        <w:pStyle w:val="Abstract"/>
      </w:pPr>
      <w:r w:rsidRPr="00887BB0">
        <w:rPr>
          <w:rStyle w:val="H5CharChar"/>
        </w:rPr>
        <w:t>ABSTRACT</w:t>
      </w:r>
      <w:r w:rsidRPr="0062439C">
        <w:t xml:space="preserve"> </w:t>
      </w:r>
      <w:r w:rsidR="0047624B" w:rsidRPr="0047624B">
        <w:t>Predictive maintenance aims to reduce operational costs by anticipating and preventing system failures or inefficiencies. While high-performance AI models such as neural networks offer accurate predictions, their lack of transparency limits their usefulness for guiding interventions. Conversely, explainable AI (XAI) models provide insight but often at the expense of accuracy. This paper proposes a framework for cost-based evaluation of interpretable AI models in</w:t>
      </w:r>
      <w:r w:rsidR="0047624B">
        <w:t xml:space="preserve"> predictive maintenance</w:t>
      </w:r>
      <w:r w:rsidR="0047624B" w:rsidRPr="0047624B">
        <w:t xml:space="preserve">, using both classification and regression contexts. We establish criteria to determine when the benefit of interpretability outweighs </w:t>
      </w:r>
      <w:r w:rsidR="0047624B">
        <w:t>any reduction in</w:t>
      </w:r>
      <w:r w:rsidR="0047624B" w:rsidRPr="0047624B">
        <w:t xml:space="preserve"> accuracy and show that the utility of XAI is bounded by the relative cost of maintenance versus failure. These findings offer practical tools for assessing the business case for interpretable models in predictive maintenance and related domains. In research, the criteria enable cost-based evaluation and comparison of alternative machine learning methods for regression and classification.</w:t>
      </w:r>
    </w:p>
    <w:p w14:paraId="5D90FDC6" w14:textId="1060DBB7" w:rsidR="00D828C6" w:rsidRPr="00887BB0" w:rsidRDefault="00D828C6" w:rsidP="003B3FFE">
      <w:pPr>
        <w:pStyle w:val="IT"/>
        <w:sectPr w:rsidR="00D828C6" w:rsidRPr="00887BB0" w:rsidSect="00CB2DB1">
          <w:headerReference w:type="default" r:id="rId9"/>
          <w:footerReference w:type="default" r:id="rId10"/>
          <w:pgSz w:w="11520" w:h="15660" w:code="1"/>
          <w:pgMar w:top="1280" w:right="740" w:bottom="1040" w:left="740" w:header="360" w:footer="640" w:gutter="0"/>
          <w:cols w:space="720"/>
          <w:docGrid w:linePitch="360"/>
        </w:sectPr>
      </w:pPr>
      <w:r w:rsidRPr="007573E5">
        <w:rPr>
          <w:rStyle w:val="H5CharChar"/>
        </w:rPr>
        <w:t>INDEX TERMS</w:t>
      </w:r>
      <w:r w:rsidR="005C3955" w:rsidRPr="007573E5">
        <w:t xml:space="preserve"> </w:t>
      </w:r>
      <w:r w:rsidR="00CF67C1">
        <w:t xml:space="preserve">Cost-effectiveness, Cost-efficiency, </w:t>
      </w:r>
      <w:r w:rsidR="0081329F">
        <w:t xml:space="preserve">Explainable AI, Predictive Maintenance. </w:t>
      </w:r>
      <w:r w:rsidR="00505C65" w:rsidRPr="00676B5B">
        <w:rPr>
          <w:rStyle w:val="Emphasis"/>
          <w:bCs/>
          <w:color w:val="000000"/>
          <w:sz w:val="18"/>
          <w:szCs w:val="18"/>
          <w:shd w:val="clear" w:color="auto" w:fill="FFFFFF"/>
        </w:rPr>
        <w:t xml:space="preserve"> </w:t>
      </w:r>
    </w:p>
    <w:p w14:paraId="1E648433" w14:textId="77777777" w:rsidR="00D828C6" w:rsidRPr="00F448F1" w:rsidRDefault="00D828C6" w:rsidP="00B54914">
      <w:pPr>
        <w:pStyle w:val="H1ListNoSpace"/>
      </w:pPr>
      <w:r w:rsidRPr="00F448F1">
        <w:t>INTRODUCTION</w:t>
      </w:r>
    </w:p>
    <w:p w14:paraId="66AC7A58" w14:textId="3B7770CF" w:rsidR="001718E6" w:rsidRPr="00A56F58" w:rsidRDefault="0001139A" w:rsidP="0011128A">
      <w:pPr>
        <w:pStyle w:val="PARAIndent"/>
        <w:ind w:firstLine="0"/>
      </w:pPr>
      <w:bookmarkStart w:id="0" w:name="_Hlk201039825"/>
      <w:r w:rsidRPr="00A56F58">
        <w:t>The ‘</w:t>
      </w:r>
      <w:r w:rsidR="00FA1B88" w:rsidRPr="00A56F58">
        <w:t>F</w:t>
      </w:r>
      <w:r w:rsidRPr="00A56F58">
        <w:t xml:space="preserve">ourth </w:t>
      </w:r>
      <w:r w:rsidR="00FA1B88" w:rsidRPr="00A56F58">
        <w:t>I</w:t>
      </w:r>
      <w:r w:rsidRPr="00A56F58">
        <w:t xml:space="preserve">ndustrial </w:t>
      </w:r>
      <w:r w:rsidR="00FA1B88" w:rsidRPr="00A56F58">
        <w:t>R</w:t>
      </w:r>
      <w:r w:rsidRPr="00A56F58">
        <w:t xml:space="preserve">evolution’ is characterized by rapid technological advancements, paradigm-shifting changes, and transformative impacts across industries </w:t>
      </w:r>
      <w:r w:rsidRPr="00A56F58">
        <w:fldChar w:fldCharType="begin"/>
      </w:r>
      <w:r w:rsidRPr="00A56F58">
        <w:instrText xml:space="preserve"> ADDIN ZOTERO_ITEM CSL_CITATION {"citationID":"o4SgxfM9","properties":{"formattedCitation":"[1]","plainCitation":"[1]","noteIndex":0},"citationItems":[{"id":27,"uris":["http://zotero.org/users/16701048/items/VN8XT698"],"itemData":{"id":27,"type":"book","event-place":"Geneva, Switzerland","ISBN":"978-0-241-98053-8","language":"eng","note":"container-title: The fourth industrial revolution","publisher":"World Economic Forum","publisher-place":"Geneva, Switzerland","title":"The fourth industrial revolution","author":[{"family":"Schwab","given":"Klaus"},{"family":"Forum","given":"World Economic"}],"issued":{"date-parts":[["2016"]]}}}],"schema":"https://github.com/citation-style-language/schema/raw/master/csl-citation.json"} </w:instrText>
      </w:r>
      <w:r w:rsidRPr="00A56F58">
        <w:fldChar w:fldCharType="separate"/>
      </w:r>
      <w:r w:rsidRPr="00A56F58">
        <w:t>[1]</w:t>
      </w:r>
      <w:r w:rsidRPr="00A56F58">
        <w:fldChar w:fldCharType="end"/>
      </w:r>
      <w:r w:rsidRPr="00A56F58">
        <w:t xml:space="preserve">. Central to this transformation is the evolution of engineering maintenance strategies </w:t>
      </w:r>
      <w:r w:rsidR="00FA1B88" w:rsidRPr="00A56F58">
        <w:t xml:space="preserve">that </w:t>
      </w:r>
      <w:r w:rsidRPr="00A56F58">
        <w:t>leverag</w:t>
      </w:r>
      <w:r w:rsidR="00FA1B88" w:rsidRPr="00A56F58">
        <w:t>e</w:t>
      </w:r>
      <w:r w:rsidRPr="00A56F58">
        <w:t xml:space="preserve"> technologies such as artificial intelligence (AI) and machine learning (ML) to </w:t>
      </w:r>
      <w:proofErr w:type="spellStart"/>
      <w:r w:rsidRPr="00A56F58">
        <w:t>optimi</w:t>
      </w:r>
      <w:r w:rsidR="008D4CC7">
        <w:t>s</w:t>
      </w:r>
      <w:r w:rsidRPr="00A56F58">
        <w:t>e</w:t>
      </w:r>
      <w:proofErr w:type="spellEnd"/>
      <w:r w:rsidRPr="00A56F58">
        <w:t xml:space="preserve"> </w:t>
      </w:r>
      <w:r w:rsidR="00FA1B88" w:rsidRPr="00A56F58">
        <w:t xml:space="preserve">the performance of </w:t>
      </w:r>
      <w:r w:rsidRPr="00A56F58">
        <w:t>critical system</w:t>
      </w:r>
      <w:r w:rsidR="00FA1B88" w:rsidRPr="00A56F58">
        <w:t>s</w:t>
      </w:r>
      <w:r w:rsidR="00917CD8" w:rsidRPr="003D7894">
        <w:t xml:space="preserve"> </w:t>
      </w:r>
      <w:r w:rsidR="00917CD8" w:rsidRPr="003D7894">
        <w:fldChar w:fldCharType="begin"/>
      </w:r>
      <w:r w:rsidR="00116A7C">
        <w:instrText xml:space="preserve"> ADDIN ZOTERO_ITEM CSL_CITATION {"citationID":"myEeibfa","properties":{"formattedCitation":"[2], [3]","plainCitation":"[2], [3]","noteIndex":0},"citationItems":[{"id":231,"uris":["http://zotero.org/users/16701048/items/5TBD3DHV"],"itemData":{"id":231,"type":"article-journal","abstract":"Industry 4.0 is collaborating directly for the technological revolution. Both machines and managers are daily confronted with decision making involving a massive input of data and customization in the manufacturing process. The ability to predict the need for maintenance of assets at a specific future moment is one of the main challenges in this scope. The possibility of performing predictive maintenance contributes to enhancing machine downtime, costs, control, and quality of production. We observed that surveys and tutorials about Industry 4.0 focus mainly on addressing data analytics and machine learning methods to change production procedures, so not comprising predictive maintenance methods and their organization. In this context, this article presents a systematic literature review of initiatives of predictive maintenance in Industry 4.0, identifying and cataloging methods, standards, and applications. As the main contributions, this survey discusses the current challenges and limitations in predictive maintenance, in addition to proposing a novel taxonomy to classify this research area considering the needs of the Industry 4.0. We concluded that computer science, including artificial intelligence and distributed computing fields, is more and more present in an area where engineering was the dominant expertise, so detaching the importance of a multidisciplinary approach to address Industry 4.0 effectively.","container-title":"Computers &amp; Industrial Engineering","DOI":"10.1016/j.cie.2020.106889","ISSN":"03608352","journalAbbreviation":"Computers &amp; Industrial Engineering","language":"en","page":"106889","source":"DOI.org (Crossref)","title":"Predictive maintenance in the Industry 4.0: A systematic literature review","title-short":"Predictive maintenance in the Industry 4.0","volume":"150","author":[{"family":"Zonta","given":"Tiago"},{"family":"Da Costa","given":"Cristiano André"},{"family":"Da Rosa Righi","given":"Rodrigo"},{"family":"De Lima","given":"Miromar José"},{"family":"Da Trindade","given":"Eduardo Silveira"},{"family":"Li","given":"Guann Pyng"}],"issued":{"date-parts":[["2020",12]]}}},{"id":229,"uris":["http://zotero.org/users/16701048/items/VJVBB453"],"itemData":{"id":229,"type":"article-journal","abstract":"In the era of the fourth industrial revolution, several concepts have arisen in parallel with this new revolution, such as predictive maintenance, which today plays a key role in sustainable manufacturing and production systems by introducing a digital version of machine maintenance. The data extracted from production processes have increased exponentially due to the proliferation of sensing technologies. Even if Maintenance 4.0 faces organizational, ﬁnancial, or even data source and machine repair challenges, it remains a strong point for the companies that use it. Indeed, it allows for minimizing machine downtime and associated costs, maximizing the life cycle of the machine, and improving the quality and cadence of production. This approach is generally characterized by a very precise workﬂow, starting with project understanding and data collection and ending with the decision-making phase. This paper presents an exhaustive literature review of methods and applied tools for intelligent predictive maintenance models in Industry 4.0 by identifying and categorizing the life cycle of maintenance projects and the challenges encountered, and presents the models associated with this type of maintenance: condition-based maintenance (CBM), prognostics and health management (PHM), and remaining useful life (RUL). Finally, a novel applied industrial workﬂow of predictive maintenance is presented including the decision support phase wherein a recommendation for a predictive maintenance platform is presented. This platform ensures the management and ﬂuid data communication between equipment throughout their life cycle in the context of smart maintenance.","container-title":"Applied Sciences","DOI":"10.3390/app12168081","ISSN":"2076-3417","issue":"16","journalAbbreviation":"Applied Sciences","language":"en","license":"https://creativecommons.org/licenses/by/4.0/","page":"8081","source":"DOI.org (Crossref)","title":"On Predictive Maintenance in Industry 4.0: Overview, Models, and Challenges","title-short":"On Predictive Maintenance in Industry 4.0","volume":"12","author":[{"family":"Achouch","given":"Mounia"},{"family":"Dimitrova","given":"Mariya"},{"family":"Ziane","given":"Khaled"},{"family":"Sattarpanah Karganroudi","given":"Sasan"},{"family":"Dhouib","given":"Rizck"},{"family":"Ibrahim","given":"Hussein"},{"family":"Adda","given":"Mehdi"}],"issued":{"date-parts":[["2022",8,12]]}}}],"schema":"https://github.com/citation-style-language/schema/raw/master/csl-citation.json"} </w:instrText>
      </w:r>
      <w:r w:rsidR="00917CD8" w:rsidRPr="003D7894">
        <w:fldChar w:fldCharType="separate"/>
      </w:r>
      <w:r w:rsidR="00580E82" w:rsidRPr="00580E82">
        <w:rPr>
          <w:rFonts w:cs="Times New Roman"/>
        </w:rPr>
        <w:t>[2], [3]</w:t>
      </w:r>
      <w:r w:rsidR="00917CD8" w:rsidRPr="003D7894">
        <w:fldChar w:fldCharType="end"/>
      </w:r>
      <w:r w:rsidR="00917CD8" w:rsidRPr="003D7894">
        <w:t>.</w:t>
      </w:r>
    </w:p>
    <w:p w14:paraId="075A77C9" w14:textId="031189AC" w:rsidR="001718E6" w:rsidRDefault="001718E6" w:rsidP="001718E6">
      <w:pPr>
        <w:pStyle w:val="PARAIndent"/>
      </w:pPr>
      <w:r w:rsidRPr="003D7894">
        <w:t xml:space="preserve">AI enables </w:t>
      </w:r>
      <w:proofErr w:type="spellStart"/>
      <w:r w:rsidRPr="003D7894">
        <w:t>organi</w:t>
      </w:r>
      <w:r>
        <w:t>s</w:t>
      </w:r>
      <w:r w:rsidRPr="003D7894">
        <w:t>ations</w:t>
      </w:r>
      <w:proofErr w:type="spellEnd"/>
      <w:r w:rsidRPr="003D7894">
        <w:t xml:space="preserve"> to predict malfunctions and </w:t>
      </w:r>
      <w:proofErr w:type="spellStart"/>
      <w:r w:rsidRPr="003D7894">
        <w:t>optimi</w:t>
      </w:r>
      <w:r>
        <w:t>s</w:t>
      </w:r>
      <w:r w:rsidRPr="003D7894">
        <w:t>e</w:t>
      </w:r>
      <w:proofErr w:type="spellEnd"/>
      <w:r w:rsidRPr="003D7894">
        <w:t xml:space="preserve"> maintenance schedules</w:t>
      </w:r>
      <w:r>
        <w:t xml:space="preserve">, reducing </w:t>
      </w:r>
      <w:r w:rsidR="00FA1B88">
        <w:t xml:space="preserve">both </w:t>
      </w:r>
      <w:r>
        <w:t xml:space="preserve">downtime and associated costs. However, while advanced models such as neural networks </w:t>
      </w:r>
      <w:r w:rsidR="00FA1B88">
        <w:t>offer</w:t>
      </w:r>
      <w:r>
        <w:t xml:space="preserve"> high predictive accuracy, they often lack transparency, making it difficult for decision-makers to understand and trust their outputs </w:t>
      </w:r>
      <w:r>
        <w:fldChar w:fldCharType="begin"/>
      </w:r>
      <w:r w:rsidR="00116A7C">
        <w:instrText xml:space="preserve"> ADDIN ZOTERO_ITEM CSL_CITATION {"citationID":"wVaBxKSw","properties":{"formattedCitation":"[4]","plainCitation":"[4]","noteIndex":0},"citationItems":[{"id":21,"uris":["http://zotero.org/users/16701048/items/5GAVTZ4K"],"itemData":{"id":21,"type":"article-journal","abstract":"Dramatic success in machine learning has led to a new wave of AI applications (for example, transportation, security, medicine, finance, defense) that offer tremendous benefits but cannot explain their decisions and actions to human users. DARPA's explainable artificial intelligence (XAI) program endeavors to create AI systems whose learned models and decisions can be understood and appropriately trusted by end users. Realizing this goal requires methods for learning more explainable models, designing effective explanation interfaces, and understanding the psychologic requirements for effective explanations. The XAI developer teams are addressing the first two challenges by creating ML techniques and developing principles, strategies, and human‐computer interaction techniques for generating effective explanations. Another XAI team is addressing the third challenge by summarizing, extending, and applying psychologic theories of explanation to help the XAI evaluator define a suitable evaluation framework, which the developer teams will use to test their systems. The XAI teams completed the first of this 4‐year program in May 2018. In a series of ongoing evaluations, the developer teams are assessing how well their XAM systems' explanations improve user understanding, user trust, and user task performance.","container-title":"AI Magazine","DOI":"10.1609/aimag.v40i2.2850","ISSN":"0738-4602, 2371-9621","issue":"2","journalAbbreviation":"AI Magazine","language":"en","license":"http://onlinelibrary.wiley.com/termsAndConditions#vor","page":"44-58","source":"DOI.org (Crossref)","title":"DARPA's Explainable Artificial Intelligence Program","volume":"40","author":[{"family":"Gunning","given":"David"},{"family":"Aha","given":"David W."}],"issued":{"date-parts":[["2019",6]]}}}],"schema":"https://github.com/citation-style-language/schema/raw/master/csl-citation.json"} </w:instrText>
      </w:r>
      <w:r>
        <w:fldChar w:fldCharType="separate"/>
      </w:r>
      <w:r w:rsidR="00116A7C" w:rsidRPr="00116A7C">
        <w:rPr>
          <w:rFonts w:cs="Times New Roman"/>
        </w:rPr>
        <w:t>[4]</w:t>
      </w:r>
      <w:r>
        <w:fldChar w:fldCharType="end"/>
      </w:r>
      <w:r>
        <w:t xml:space="preserve"> </w:t>
      </w:r>
      <w:r>
        <w:fldChar w:fldCharType="begin"/>
      </w:r>
      <w:r w:rsidR="00116A7C">
        <w:instrText xml:space="preserve"> ADDIN ZOTERO_ITEM CSL_CITATION {"citationID":"3LOXzGvq","properties":{"formattedCitation":"[5]","plainCitation":"[5]","noteIndex":0},"citationItems":[{"id":23,"uris":["http://zotero.org/users/16701048/items/5ALPWYE4"],"itemData":{"id":23,"type":"article","abstract":"Despite widespread adoption, machine learning models remain mostly black boxes. Understanding the reasons behind predictions is, however, quite important in assessing trust, which is fundamental if one plans to take action based on a prediction, or when choosing whether to deploy a new model. Such understanding also provides insights into the model, which can be used to transform an untrustworthy model or prediction into a trustworthy one. In this work, we propose LIME, a novel explanation technique that explains the predictions of any classiﬁer in an interpretable and faithful manner, by learning an interpretable model locally around the prediction. We also propose a method to explain models by presenting representative individual predictions and their explanations in a non-redundant way, framing the task as a submodular optimization problem. We demonstrate the ﬂexibility of these methods by explaining diﬀerent models for text (e.g. random forests) and image classiﬁcation (e.g. neural networks). We show the utility of explanations via novel experiments, both simulated and with human subjects, on various scenarios that require trust: deciding if one should trust a prediction, choosing between models, improving an untrustworthy classiﬁer, and identifying why a classiﬁer should not be trusted.","DOI":"10.48550/arXiv.1602.04938","language":"en","note":"arXiv:1602.04938 [cs]","number":"arXiv:1602.04938","publisher":"arXiv","source":"arXiv.org","title":"\"Why Should I Trust You?\": Explaining the Predictions of Any Classifier","title-short":"\"Why Should I Trust You?","URL":"http://arxiv.org/abs/1602.04938","author":[{"family":"Ribeiro","given":"Marco Tulio"},{"family":"Singh","given":"Sameer"},{"family":"Guestrin","given":"Carlos"}],"accessed":{"date-parts":[["2025",1,24]]},"issued":{"date-parts":[["2016",8,9]]}}}],"schema":"https://github.com/citation-style-language/schema/raw/master/csl-citation.json"} </w:instrText>
      </w:r>
      <w:r>
        <w:fldChar w:fldCharType="separate"/>
      </w:r>
      <w:r w:rsidR="00116A7C" w:rsidRPr="00116A7C">
        <w:rPr>
          <w:rFonts w:cs="Times New Roman"/>
        </w:rPr>
        <w:t>[5]</w:t>
      </w:r>
      <w:r>
        <w:fldChar w:fldCharType="end"/>
      </w:r>
      <w:r>
        <w:t xml:space="preserve"> </w:t>
      </w:r>
      <w:r>
        <w:fldChar w:fldCharType="begin"/>
      </w:r>
      <w:r w:rsidR="00116A7C">
        <w:instrText xml:space="preserve"> ADDIN ZOTERO_ITEM CSL_CITATION {"citationID":"2KnIhcxM","properties":{"formattedCitation":"[6]","plainCitation":"[6]","noteIndex":0},"citationItems":[{"id":93,"uris":["http://zotero.org/users/16701048/items/BYPH4ICR"],"itemData":{"id":93,"type":"article-journal","abstract":"Explainable Artificial Intelligence (XAI) has experienced a significant growth over the last few years. This is due to the widespread application of machine learning, particularly deep learning, that has led to the development of highly accurate models that lack explainability and interpretability. A plethora of methods to tackle this problem have been proposed, developed and tested, coupled with several studies attempting to define the concept of explainability and its evaluation. This systematic review contributes to the body of knowledge by clustering all the scientific studies via a hierarchical system that classifies theories and notions related to the concept of explainability and the evaluation approaches for XAI methods. The structure of this hierarchy builds on top of an exhaustive analysis of existing taxonomies and peer-reviewed scientific material. Findings suggest that scholars have identified numerous notions and requirements that an explanation should meet in order to be easily understandable by end-users and to provide actionable information that can inform decision making. They have also suggested various approaches to assess to what degree machine-generated explanations meet these demands. Overall, these approaches can be clustered into human-centred evaluations and evaluations with more objective metrics. However, despite the vast body of knowledge developed around the concept of explainability, there is not a general consensus among scholars on how an explanation should be defined, and how its validity and reliability assessed. Eventually, this review concludes by critically discussing these gaps and limitations, and it defines future research directions with explainability as the starting component of any artificial intelligent system.","container-title":"Information Fusion","DOI":"10.1016/j.inffus.2021.05.009","ISSN":"15662535","journalAbbreviation":"Information Fusion","language":"en","page":"89-106","source":"DOI.org (Crossref)","title":"Notions of explainability and evaluation approaches for explainable artificial intelligence","volume":"76","author":[{"family":"Vilone","given":"Giulia"},{"family":"Longo","given":"Luca"}],"issued":{"date-parts":[["2021",12]]}}}],"schema":"https://github.com/citation-style-language/schema/raw/master/csl-citation.json"} </w:instrText>
      </w:r>
      <w:r>
        <w:fldChar w:fldCharType="separate"/>
      </w:r>
      <w:r w:rsidR="00116A7C" w:rsidRPr="00116A7C">
        <w:rPr>
          <w:rFonts w:cs="Times New Roman"/>
        </w:rPr>
        <w:t>[6]</w:t>
      </w:r>
      <w:r>
        <w:fldChar w:fldCharType="end"/>
      </w:r>
      <w:r>
        <w:t xml:space="preserve">. This lack of explainability can limit the adoption of AI in critical decision-making scenarios </w:t>
      </w:r>
      <w:r>
        <w:fldChar w:fldCharType="begin"/>
      </w:r>
      <w:r w:rsidR="00116A7C">
        <w:instrText xml:space="preserve"> ADDIN ZOTERO_ITEM CSL_CITATION {"citationID":"jcSGP7r4","properties":{"formattedCitation":"[7]","plainCitation":"[7]","noteIndex":0},"citationItems":[{"id":136,"uris":["http://zotero.org/users/16701048/items/YQ89ZFU7"],"itemData":{"id":136,"type":"article-journal","abstract":"The lack of transparency of powerful Machine Learning systems paired with their growth in popularity over the last decade led to the emergence of the eXplainable Artiﬁcial Intelligence (XAI) ﬁeld. Instead of focusing solely on obtaining highly performing models, researchers also develop explanation techniques that help better understand the system’s reasoning for a particular output. An explainable system can be designed, developed, and evaluated from different perspectives, which enables researchers from different disciplines to work together on this topic. However, the multidisciplinary nature of XAI systems creates new challenges for condensing and structuring adequate methodologies to design and evaluate such systems. This paper presents a survey of Humancentred and Computer-centred methods to evaluate XAI systems. We propose a new taxonomy to categorize XAI evaluation methods more clearly and intuitively. This categorization gathers knowledge from different disciplines and organizes the evaluation methods according to a set of categories that represent key properties of XAI systems. Possible ways to use the proposed taxonomy in the design and evaluation of XAI systems are also discussed, alongside with some concluding remarks and future directions of research.","container-title":"Applied Sciences","DOI":"10.3390/app12199423","ISSN":"2076-3417","issue":"19","journalAbbreviation":"Applied Sciences","language":"en","license":"https://creativecommons.org/licenses/by/4.0/","page":"9423","source":"DOI.org (Crossref)","title":"XAI Systems Evaluation: A Review of Human and Computer-Centred Methods","title-short":"XAI Systems Evaluation","volume":"12","author":[{"family":"Lopes","given":"Pedro"},{"family":"Silva","given":"Eduardo"},{"family":"Braga","given":"Cristiana"},{"family":"Oliveira","given":"Tiago"},{"family":"Rosado","given":"Luís"}],"issued":{"date-parts":[["2022",9,20]]}}}],"schema":"https://github.com/citation-style-language/schema/raw/master/csl-citation.json"} </w:instrText>
      </w:r>
      <w:r>
        <w:fldChar w:fldCharType="separate"/>
      </w:r>
      <w:r w:rsidR="00116A7C" w:rsidRPr="00116A7C">
        <w:rPr>
          <w:rFonts w:cs="Times New Roman"/>
        </w:rPr>
        <w:t>[7]</w:t>
      </w:r>
      <w:r>
        <w:fldChar w:fldCharType="end"/>
      </w:r>
      <w:r>
        <w:t xml:space="preserve">, where trust and insight are essential. </w:t>
      </w:r>
    </w:p>
    <w:p w14:paraId="1E3F0D87" w14:textId="79965847" w:rsidR="00FC4849" w:rsidRDefault="001840C9" w:rsidP="0001139A">
      <w:pPr>
        <w:pStyle w:val="PARAIndent"/>
      </w:pPr>
      <w:r>
        <w:t>In response</w:t>
      </w:r>
      <w:r w:rsidR="00116A7C" w:rsidRPr="00116A7C">
        <w:t xml:space="preserve">, interest </w:t>
      </w:r>
      <w:r>
        <w:t xml:space="preserve">has grown </w:t>
      </w:r>
      <w:r w:rsidR="00116A7C" w:rsidRPr="00116A7C">
        <w:t>in Explainable AI (XAI</w:t>
      </w:r>
      <w:r>
        <w:rPr>
          <w:rFonts w:cs="Times New Roman"/>
          <w:spacing w:val="0"/>
          <w:sz w:val="24"/>
          <w:szCs w:val="24"/>
        </w:rPr>
        <w:t>)</w:t>
      </w:r>
      <w:r w:rsidRPr="001840C9">
        <w:t xml:space="preserve">, which </w:t>
      </w:r>
      <w:proofErr w:type="spellStart"/>
      <w:r w:rsidRPr="001840C9">
        <w:t>prioritises</w:t>
      </w:r>
      <w:proofErr w:type="spellEnd"/>
      <w:r w:rsidRPr="001840C9">
        <w:t xml:space="preserve"> interpretability alongside performance</w:t>
      </w:r>
      <w:r w:rsidR="00116A7C" w:rsidRPr="00116A7C">
        <w:t xml:space="preserve">. Interpretable models, however, often underperform compared to black-box alternatives, leading to </w:t>
      </w:r>
      <w:r w:rsidR="00C87DC2">
        <w:t>the perception of a</w:t>
      </w:r>
      <w:r w:rsidR="00116A7C" w:rsidRPr="00116A7C">
        <w:t xml:space="preserve"> </w:t>
      </w:r>
      <w:r w:rsidR="0081329F">
        <w:t>‘</w:t>
      </w:r>
      <w:r w:rsidR="00116A7C" w:rsidRPr="00116A7C">
        <w:t>trade-off</w:t>
      </w:r>
      <w:r w:rsidR="0081329F">
        <w:t>’</w:t>
      </w:r>
      <w:r w:rsidR="00116A7C" w:rsidRPr="00116A7C">
        <w:t xml:space="preserve"> between predictive accuracy and explainability</w:t>
      </w:r>
      <w:r w:rsidR="000937E9">
        <w:t xml:space="preserve"> </w:t>
      </w:r>
      <w:r w:rsidR="001718E6">
        <w:fldChar w:fldCharType="begin"/>
      </w:r>
      <w:r w:rsidR="00116A7C">
        <w:instrText xml:space="preserve"> ADDIN ZOTERO_ITEM CSL_CITATION {"citationID":"0VHl3UJ2","properties":{"formattedCitation":"[8]","plainCitation":"[8]","noteIndex":0},"citationItems":[{"id":233,"uris":["http://zotero.org/users/16701048/items/VLSU3873"],"itemData":{"id":233,"type":"article-journal","abstract":"AI systems are being deployed to support human decision making in high-stakes domains such as healthcare and criminal justice. In many cases, the human and AI form a team, in which the human makes decisions after reviewing the AI’s inferences. A successful partnership requires that the human develops insights into the performance of the AI system, including its failures. We study the inﬂuence of updates to an AI system in this setting. While updates can increase the AI’s predictive performance, they may also lead to behavioral changes that are at odds with the user’s prior experiences and conﬁdence in the AI’s inferences. We show that updates that increase AI performance may actually hurt team performance. We introduce the notion of the compatibility of an AI update with prior user experience and present methods for studying the role of compatibility in human-AI teams. Empirical results on three high-stakes classiﬁcation tasks show that current machine learning algorithms do not produce compatible updates. We propose a re-training objective to improve the compatibility of an update by penalizing new errors. The objective offers full leverage of the performance/compatibility tradeoff across different datasets, enabling more compatible yet accurate updates.","container-title":"Proceedings of the AAAI Conference on Artificial Intelligence","DOI":"10.1609/aaai.v33i01.33012429","ISSN":"2374-3468, 2159-5399","issue":"01","journalAbbreviation":"AAAI","language":"en","license":"https://www.aaai.org","page":"2429-2437","source":"DOI.org (Crossref)","title":"Updates in Human-AI Teams: Understanding and Addressing the Performance/Compatibility Tradeoff","title-short":"Updates in Human-AI Teams","volume":"33","author":[{"family":"Bansal","given":"Gagan"},{"family":"Nushi","given":"Besmira"},{"family":"Kamar","given":"Ece"},{"family":"Weld","given":"Daniel S."},{"family":"Lasecki","given":"Walter S."},{"family":"Horvitz","given":"Eric"}],"issued":{"date-parts":[["2019",7,17]]}}}],"schema":"https://github.com/citation-style-language/schema/raw/master/csl-citation.json"} </w:instrText>
      </w:r>
      <w:r w:rsidR="001718E6">
        <w:fldChar w:fldCharType="separate"/>
      </w:r>
      <w:r w:rsidR="00116A7C" w:rsidRPr="00116A7C">
        <w:rPr>
          <w:rFonts w:cs="Times New Roman"/>
        </w:rPr>
        <w:t>[8]</w:t>
      </w:r>
      <w:r w:rsidR="001718E6">
        <w:fldChar w:fldCharType="end"/>
      </w:r>
      <w:r w:rsidR="001718E6">
        <w:t>.</w:t>
      </w:r>
      <w:r w:rsidR="00116A7C">
        <w:t xml:space="preserve"> </w:t>
      </w:r>
    </w:p>
    <w:p w14:paraId="01858437" w14:textId="0170AD18" w:rsidR="00006F48" w:rsidRDefault="00FC5729" w:rsidP="0001139A">
      <w:pPr>
        <w:pStyle w:val="PARAIndent"/>
      </w:pPr>
      <w:r>
        <w:t>We</w:t>
      </w:r>
      <w:r w:rsidR="00006F48" w:rsidRPr="00006F48">
        <w:t xml:space="preserve"> examine th</w:t>
      </w:r>
      <w:r w:rsidR="00C87DC2">
        <w:t xml:space="preserve">is </w:t>
      </w:r>
      <w:r w:rsidR="00006F48" w:rsidRPr="00006F48">
        <w:t>perceived trade-off between predictive performance and interpretability, proposing that these two qualities can be jointly evaluated in terms of their contribution to overall cost</w:t>
      </w:r>
      <w:r w:rsidR="00FC4849">
        <w:t xml:space="preserve"> performance</w:t>
      </w:r>
      <w:r w:rsidR="00006F48" w:rsidRPr="00006F48">
        <w:t xml:space="preserve">. In this view, explainability is not merely an aesthetic or regulatory concern, but a factor with </w:t>
      </w:r>
      <w:r w:rsidR="00006F48" w:rsidRPr="00006F48">
        <w:t xml:space="preserve">measurable economic impact. We reframe the trade-off as a cost-benefit problem: interpretability must justify its value by offsetting any performance loss through improved decision-making, </w:t>
      </w:r>
      <w:r w:rsidR="00FC4849">
        <w:t>reduced error costs</w:t>
      </w:r>
      <w:r w:rsidR="00006F48" w:rsidRPr="00006F48">
        <w:t>, or</w:t>
      </w:r>
      <w:r w:rsidR="00FC4849">
        <w:t xml:space="preserve"> gains in</w:t>
      </w:r>
      <w:r w:rsidR="00006F48" w:rsidRPr="00006F48">
        <w:t xml:space="preserve"> operational efficiency.</w:t>
      </w:r>
    </w:p>
    <w:p w14:paraId="2F66A22C" w14:textId="7923EAC3" w:rsidR="00FC5729" w:rsidRDefault="00FC4849" w:rsidP="00174C21">
      <w:pPr>
        <w:pStyle w:val="PARAIndent"/>
        <w:rPr>
          <w:spacing w:val="2"/>
        </w:rPr>
      </w:pPr>
      <w:r>
        <w:rPr>
          <w:spacing w:val="2"/>
        </w:rPr>
        <w:t xml:space="preserve">This </w:t>
      </w:r>
      <w:r w:rsidR="00FC5729">
        <w:rPr>
          <w:spacing w:val="2"/>
        </w:rPr>
        <w:t>perspective</w:t>
      </w:r>
      <w:r>
        <w:rPr>
          <w:spacing w:val="2"/>
        </w:rPr>
        <w:t xml:space="preserve"> </w:t>
      </w:r>
      <w:r w:rsidR="00FC5729">
        <w:rPr>
          <w:spacing w:val="2"/>
        </w:rPr>
        <w:t>aligns</w:t>
      </w:r>
      <w:r>
        <w:rPr>
          <w:spacing w:val="2"/>
        </w:rPr>
        <w:t xml:space="preserve"> with the view that</w:t>
      </w:r>
      <w:r w:rsidR="00235B17" w:rsidRPr="00366FB8">
        <w:t xml:space="preserve"> predictive maintenance</w:t>
      </w:r>
      <w:r w:rsidR="007C3C5C">
        <w:t xml:space="preserve"> (</w:t>
      </w:r>
      <w:proofErr w:type="spellStart"/>
      <w:r w:rsidR="007C3C5C">
        <w:t>PdM</w:t>
      </w:r>
      <w:proofErr w:type="spellEnd"/>
      <w:r w:rsidR="007C3C5C">
        <w:t>)</w:t>
      </w:r>
      <w:r w:rsidR="00235B17" w:rsidRPr="00366FB8">
        <w:t xml:space="preserve"> </w:t>
      </w:r>
      <w:r>
        <w:t>aims</w:t>
      </w:r>
      <w:r w:rsidR="00235B17">
        <w:t xml:space="preserve"> </w:t>
      </w:r>
      <w:r w:rsidR="00235B17" w:rsidRPr="00366FB8">
        <w:t xml:space="preserve">to </w:t>
      </w:r>
      <w:r w:rsidR="00235B17">
        <w:t>r</w:t>
      </w:r>
      <w:r w:rsidR="00235B17" w:rsidRPr="00366FB8">
        <w:t>educe</w:t>
      </w:r>
      <w:r w:rsidR="00235B17">
        <w:t xml:space="preserve"> the</w:t>
      </w:r>
      <w:r w:rsidR="00235B17" w:rsidRPr="00366FB8">
        <w:t xml:space="preserve"> </w:t>
      </w:r>
      <w:r w:rsidR="00235B17">
        <w:t>“</w:t>
      </w:r>
      <w:r w:rsidR="00235B17" w:rsidRPr="00366FB8">
        <w:t>financial and time costs of upkeep”</w:t>
      </w:r>
      <w:r w:rsidR="00235B17">
        <w:t xml:space="preserve"> </w:t>
      </w:r>
      <w:r w:rsidR="00235B17" w:rsidRPr="00E63DDF">
        <w:fldChar w:fldCharType="begin"/>
      </w:r>
      <w:r w:rsidR="00235B17">
        <w:instrText xml:space="preserve"> ADDIN ZOTERO_ITEM CSL_CITATION {"citationID":"joAnZlMP","properties":{"formattedCitation":"[9]","plainCitation":"[9]","noteIndex":0},"citationItems":[{"id":43,"uris":["http://zotero.org/users/local/KBy6GxX0/items/YRIFH3LA","http://zotero.org/users/16701048/items/YRIFH3LA"],"itemData":{"id":43,"type":"article-journal","abstract":"Predictive maintenance is a well studied collection of techniques that aims to prolong the life of a mechanical system by using artificial intelligence and machine learning to predict the optimal time to perform maintenance. The methods allow maintainers of systems and hardware to reduce financial and time costs of upkeep. As these methods are adopted for more serious and potentially life-threatening applications, the human operators need trust the predictive system. This attracts the field of Explainable AI (XAI) to introduce explainability and interpretability into the predictive system. XAI brings methods to the field of predictive maintenance that can amplify trust in the users while maintaining well-performing systems. This survey on explainable predictive maintenance (XPM) discusses and presents the current methods of XAI as applied to predictive maintenance while following the Preferred Reporting Items for Systematic Reviews and Meta-Analyses (PRISMA) 2020 guidelines. We categorize the different XPM methods into groups that follow the XAI literature. Additionally, we include current challenges and a discussion on future research directions in XPM.","container-title":"IEEE Access","DOI":"10.1109/ACCESS.2024.3391130","ISSN":"2169-3536","journalAbbreviation":"IEEE Access","language":"en","license":"https://creativecommons.org/licenses/by-nc-nd/4.0/","page":"57574-57602","source":"DOI.org (Crossref)","title":"Explainable Predictive Maintenance: A Survey of Current Methods, Challenges and Opportunities","title-short":"Explainable Predictive Maintenance","volume":"12","author":[{"family":"Cummins","given":"Logan"},{"family":"Sommers","given":"Alexander"},{"family":"Ramezani","given":"Somayeh Bakhtiari"},{"family":"Mittal","given":"Sudip"},{"family":"Jabour","given":"Joseph"},{"family":"Seale","given":"Maria"},{"family":"Rahimi","given":"Shahram"}],"issued":{"date-parts":[["2024"]]}}}],"schema":"https://github.com/citation-style-language/schema/raw/master/csl-citation.json"} </w:instrText>
      </w:r>
      <w:r w:rsidR="00235B17" w:rsidRPr="00E63DDF">
        <w:fldChar w:fldCharType="separate"/>
      </w:r>
      <w:r w:rsidR="00580E82" w:rsidRPr="00580E82">
        <w:rPr>
          <w:rFonts w:cs="Times New Roman"/>
        </w:rPr>
        <w:t>[9]</w:t>
      </w:r>
      <w:r w:rsidR="00235B17" w:rsidRPr="00E63DDF">
        <w:fldChar w:fldCharType="end"/>
      </w:r>
      <w:r w:rsidR="00235B17">
        <w:t xml:space="preserve"> </w:t>
      </w:r>
      <w:r w:rsidR="00235B17" w:rsidRPr="00116A7C">
        <w:rPr>
          <w:spacing w:val="2"/>
        </w:rPr>
        <w:t>through more effective and efficient maintenance.</w:t>
      </w:r>
      <w:r w:rsidR="00235B17">
        <w:rPr>
          <w:spacing w:val="2"/>
        </w:rPr>
        <w:t xml:space="preserve"> </w:t>
      </w:r>
      <w:r w:rsidRPr="00FC4849">
        <w:rPr>
          <w:spacing w:val="2"/>
        </w:rPr>
        <w:t xml:space="preserve">Accordingly, we evaluate AI-based </w:t>
      </w:r>
      <w:proofErr w:type="spellStart"/>
      <w:r w:rsidRPr="00FC4849">
        <w:rPr>
          <w:spacing w:val="2"/>
        </w:rPr>
        <w:t>PdM</w:t>
      </w:r>
      <w:proofErr w:type="spellEnd"/>
      <w:r w:rsidRPr="00FC4849">
        <w:rPr>
          <w:spacing w:val="2"/>
        </w:rPr>
        <w:t xml:space="preserve"> systems in terms of their expected financial return. In this context, we define cost-efficiency as the ability to deliver a net reduction in operating costs, and cost-effectiveness as a basis for selecting the most appropriate form of </w:t>
      </w:r>
      <w:proofErr w:type="spellStart"/>
      <w:r w:rsidRPr="00FC4849">
        <w:rPr>
          <w:spacing w:val="2"/>
        </w:rPr>
        <w:t>PdM</w:t>
      </w:r>
      <w:proofErr w:type="spellEnd"/>
      <w:r w:rsidRPr="00FC4849">
        <w:rPr>
          <w:spacing w:val="2"/>
        </w:rPr>
        <w:t xml:space="preserve"> among alternatives.</w:t>
      </w:r>
      <w:r w:rsidR="00FC5729">
        <w:rPr>
          <w:spacing w:val="2"/>
        </w:rPr>
        <w:t xml:space="preserve"> </w:t>
      </w:r>
    </w:p>
    <w:p w14:paraId="1A076682" w14:textId="160E769A" w:rsidR="00174C21" w:rsidRDefault="006F3E7C" w:rsidP="00174C21">
      <w:pPr>
        <w:pStyle w:val="PARAIndent"/>
      </w:pPr>
      <w:r>
        <w:t>Two research questions are addressed</w:t>
      </w:r>
      <w:r w:rsidR="00FC5729">
        <w:t xml:space="preserve"> to establish criteria</w:t>
      </w:r>
      <w:r w:rsidR="00FC5729" w:rsidRPr="00FC5729">
        <w:rPr>
          <w:rFonts w:cs="Times New Roman"/>
          <w:spacing w:val="0"/>
          <w:sz w:val="24"/>
          <w:szCs w:val="24"/>
        </w:rPr>
        <w:t xml:space="preserve"> </w:t>
      </w:r>
      <w:r w:rsidR="00FC5729">
        <w:t>that</w:t>
      </w:r>
      <w:r w:rsidR="00FC5729" w:rsidRPr="00FC5729">
        <w:t xml:space="preserve"> determine when the value of interpretability offsets a loss of predictive accuracy</w:t>
      </w:r>
      <w:r>
        <w:t>:</w:t>
      </w:r>
    </w:p>
    <w:p w14:paraId="49675B31" w14:textId="0A039719" w:rsidR="006F3E7C" w:rsidRDefault="006F3E7C">
      <w:pPr>
        <w:pStyle w:val="PARAIndent"/>
        <w:numPr>
          <w:ilvl w:val="1"/>
          <w:numId w:val="14"/>
        </w:numPr>
      </w:pPr>
      <w:r>
        <w:t xml:space="preserve">Using measures of predictive accuracy, what </w:t>
      </w:r>
      <w:r w:rsidR="00C60153">
        <w:t>level of explanatory benefit is required for</w:t>
      </w:r>
      <w:r>
        <w:t xml:space="preserve"> an XAI model to </w:t>
      </w:r>
      <w:r w:rsidR="00C60153">
        <w:t xml:space="preserve">be </w:t>
      </w:r>
      <w:r>
        <w:t>cost-</w:t>
      </w:r>
      <w:r w:rsidR="007C3C5C">
        <w:t>efficient</w:t>
      </w:r>
      <w:r>
        <w:t>?</w:t>
      </w:r>
      <w:r w:rsidR="00C142AB">
        <w:t xml:space="preserve"> (RQ1)</w:t>
      </w:r>
    </w:p>
    <w:p w14:paraId="52C27851" w14:textId="211388F3" w:rsidR="006F3E7C" w:rsidRDefault="00C60153">
      <w:pPr>
        <w:pStyle w:val="PARAIndent"/>
        <w:numPr>
          <w:ilvl w:val="1"/>
          <w:numId w:val="14"/>
        </w:numPr>
      </w:pPr>
      <w:r>
        <w:t>H</w:t>
      </w:r>
      <w:r w:rsidR="006F3E7C">
        <w:t xml:space="preserve">ow can </w:t>
      </w:r>
      <w:r>
        <w:t xml:space="preserve">measures of predictive accuracy be used to express </w:t>
      </w:r>
      <w:r w:rsidR="006F3E7C">
        <w:t>the relative cost-</w:t>
      </w:r>
      <w:r w:rsidR="007C3C5C">
        <w:t xml:space="preserve">effectiveness </w:t>
      </w:r>
      <w:r w:rsidR="006F3E7C">
        <w:t>of different models?</w:t>
      </w:r>
      <w:r w:rsidR="00C142AB">
        <w:t xml:space="preserve"> (RQ2)</w:t>
      </w:r>
    </w:p>
    <w:p w14:paraId="797C3FF4" w14:textId="01491729" w:rsidR="001870C4" w:rsidRDefault="000A203E" w:rsidP="00174C21">
      <w:pPr>
        <w:pStyle w:val="PARAIndent"/>
      </w:pPr>
      <w:r w:rsidRPr="000A203E">
        <w:t xml:space="preserve">Our motivation is to develop practical, cost-based </w:t>
      </w:r>
      <w:r w:rsidR="00FC5729">
        <w:t>evaluation criteria to</w:t>
      </w:r>
      <w:r w:rsidRPr="000A203E">
        <w:t xml:space="preserve"> strengthen the credibility of our future investigations and provide a basis for comparison with other work. </w:t>
      </w:r>
      <w:r w:rsidR="00580E82">
        <w:t>T</w:t>
      </w:r>
      <w:r w:rsidR="00580E82" w:rsidRPr="00580E82">
        <w:t xml:space="preserve">here is a growing body of work exploring the </w:t>
      </w:r>
      <w:r w:rsidR="00580E82" w:rsidRPr="00580E82">
        <w:lastRenderedPageBreak/>
        <w:t>application of explainable AI in predictive maintenance across industrial sectors. In the energy domain, for example, explainable models have been used to improve the transparency of fault detection in wind turbines</w:t>
      </w:r>
      <w:r w:rsidR="0056670F">
        <w:t xml:space="preserve"> </w:t>
      </w:r>
      <w:r w:rsidR="00580E82">
        <w:fldChar w:fldCharType="begin"/>
      </w:r>
      <w:r w:rsidR="00580E82">
        <w:instrText xml:space="preserve"> ADDIN ZOTERO_ITEM CSL_CITATION {"citationID":"OLTfFIIY","properties":{"formattedCitation":"[10]","plainCitation":"[10]","noteIndex":0},"citationItems":[{"id":36,"uris":["http://zotero.org/users/16701048/items/UMEGYVZJ"],"itemData":{"id":36,"type":"article","abstract":"Condition-based monitoring (CBM) has been widely utilised in the wind industry for monitoring operational inconsistencies and failures in turbines, with techniques ranging from signal processing and vibration analysis to artiﬁcial intelligence (AI) models using Supervisory Control &amp; Acquisition (SCADA) data. However, existing studies do not present a concrete basis to facilitate explainable decision support in operations and maintenance (O&amp;M), particularly for automated decision support through recommendation of appropriate maintenance action reports corresponding to failures predicted by CBM techniques. Knowledge graph databases (KGs) model a collection of domain-speciﬁc information and have played an intrinsic role for real-world decision support in domains such as healthcare and ﬁnance, but have seen very limited attention in the wind industry. We propose XAI4Wind, a multimodal knowledge graph for explainable decision support in real-world operational turbines and demonstrate through experiments several use-cases of the proposed KG towards O&amp;M planning through interactive query and reasoning and providing novel insights using graph data science algorithms. The proposed KG combines multimodal knowledge like SCADA parameters and alarms with natural language maintenance actions, images etc. By integrating our KG with an Explainable AI model for anomaly prediction, we show that it can provide eﬀective human-intelligible O&amp;M strategies for predicted operational inconsistencies in various turbine sub-components.","DOI":"10.48550/arXiv.2012.10489","language":"en","note":"arXiv:2012.10489 [cs]","number":"arXiv:2012.10489","publisher":"arXiv","source":"arXiv.org","title":"XAI4Wind: A Multimodal Knowledge Graph Database for Explainable Decision Support in Operations &amp; Maintenance of Wind Turbines","title-short":"XAI4Wind","URL":"http://arxiv.org/abs/2012.10489","author":[{"family":"Chatterjee","given":"Joyjit"},{"family":"Dethlefs","given":"Nina"}],"accessed":{"date-parts":[["2025",1,25]]},"issued":{"date-parts":[["2021",2,24]]}}}],"schema":"https://github.com/citation-style-language/schema/raw/master/csl-citation.json"} </w:instrText>
      </w:r>
      <w:r w:rsidR="00580E82">
        <w:fldChar w:fldCharType="separate"/>
      </w:r>
      <w:r w:rsidR="00580E82" w:rsidRPr="00580E82">
        <w:rPr>
          <w:rFonts w:cs="Times New Roman"/>
        </w:rPr>
        <w:t>[10]</w:t>
      </w:r>
      <w:r w:rsidR="00580E82">
        <w:fldChar w:fldCharType="end"/>
      </w:r>
      <w:r w:rsidR="00580E82" w:rsidRPr="00580E82">
        <w:t xml:space="preserve">. </w:t>
      </w:r>
      <w:r w:rsidR="0056670F">
        <w:t>In aerospace, post-hoc feature significance of d</w:t>
      </w:r>
      <w:r w:rsidR="0056670F" w:rsidRPr="0056670F">
        <w:t>eep learning RUL predictors for turbofan engines</w:t>
      </w:r>
      <w:r w:rsidR="0056670F">
        <w:t xml:space="preserve"> has been used to </w:t>
      </w:r>
      <w:r w:rsidR="0097166B">
        <w:t>relate</w:t>
      </w:r>
      <w:r w:rsidR="0056670F" w:rsidRPr="0056670F">
        <w:t xml:space="preserve"> individual sensor features </w:t>
      </w:r>
      <w:r w:rsidR="0097166B">
        <w:t xml:space="preserve">estimates of </w:t>
      </w:r>
      <w:r w:rsidR="0056670F" w:rsidRPr="0056670F">
        <w:t>degradation</w:t>
      </w:r>
      <w:r w:rsidR="0056670F">
        <w:t xml:space="preserve"> </w:t>
      </w:r>
      <w:r w:rsidR="0056670F">
        <w:fldChar w:fldCharType="begin"/>
      </w:r>
      <w:r w:rsidR="0056670F">
        <w:instrText xml:space="preserve"> ADDIN ZOTERO_ITEM CSL_CITATION {"citationID":"F1AY0dQx","properties":{"formattedCitation":"[11]","plainCitation":"[11]","noteIndex":0},"citationItems":[{"id":1245,"uris":["http://zotero.org/users/16701048/items/JLCPVE8B"],"itemData":{"id":1245,"type":"article-journal","abstract":"Prognosis and health management depend on sufﬁcient prior knowledge of the degradation process of critical components to predict the remaining useful life. This task is composed of two phases: learning and prediction. The ﬁrst phase uses the available information to learn the system’s behavior. The second phase predicts future behavior based on the available information of the system and estimates its remaining lifetime. Deep learning approaches achieve good prognostic performance but usually suffer from a high computational load and a lack of interpretability. Complex feature extraction models do not solve this problem, as they lose information in the learning phase and thus have a poor prognosis for the remaining lifetime. A new prepossessing approach is used with feature clustering to address this issue. It allows for restructuring the data into homogeneous groups strongly related to each other using a simple architecture of the LSTM model. It is advantageous in terms of learning time and the possibility of using limited computational capabilities. Then, we focus on the interpretability of deep learning prognosis using Explainable AI to achieve interpretable RUL prediction. The proposed approach offers model improvement and enhanced interpretability, enabling a better understanding of feature contributions. Experimental results on the available NASA C-MAPSS dataset show the performance of the proposed model compared to other common methods.","container-title":"Aerospace","DOI":"10.3390/aerospace10050474","ISSN":"2226-4310","issue":"5","journalAbbreviation":"Aerospace","language":"en","license":"https://creativecommons.org/licenses/by/4.0/","page":"474","source":"DOI.org (Crossref)","title":"An Explainable Artificial Intelligence Approach for Remaining Useful Life Prediction","volume":"10","author":[{"family":"Youness","given":"Genane"},{"family":"Aalah","given":"Adam"}],"issued":{"date-parts":[["2023",5,18]]}}}],"schema":"https://github.com/citation-style-language/schema/raw/master/csl-citation.json"} </w:instrText>
      </w:r>
      <w:r w:rsidR="0056670F">
        <w:fldChar w:fldCharType="separate"/>
      </w:r>
      <w:r w:rsidR="0056670F" w:rsidRPr="0056670F">
        <w:rPr>
          <w:rFonts w:cs="Times New Roman"/>
        </w:rPr>
        <w:t>[11]</w:t>
      </w:r>
      <w:r w:rsidR="0056670F">
        <w:fldChar w:fldCharType="end"/>
      </w:r>
      <w:r w:rsidR="0056670F" w:rsidRPr="0056670F">
        <w:t>.</w:t>
      </w:r>
      <w:r w:rsidR="00580E82" w:rsidRPr="00580E82">
        <w:t xml:space="preserve"> Similarly, in manufacturing,</w:t>
      </w:r>
      <w:r w:rsidR="00B26B74">
        <w:t xml:space="preserve"> feature significance</w:t>
      </w:r>
      <w:r w:rsidR="00580E82" w:rsidRPr="00580E82">
        <w:t xml:space="preserve"> </w:t>
      </w:r>
      <w:r w:rsidR="00B26B74">
        <w:t>has been proposed to provide</w:t>
      </w:r>
      <w:r w:rsidR="00580E82" w:rsidRPr="00580E82">
        <w:t xml:space="preserve"> interpretable insights</w:t>
      </w:r>
      <w:r w:rsidR="00B26B74">
        <w:t>,</w:t>
      </w:r>
      <w:r w:rsidR="00580E82" w:rsidRPr="00580E82">
        <w:t xml:space="preserve"> allowing managers to align predictive recommendations with operational priorities</w:t>
      </w:r>
      <w:r w:rsidR="0056670F">
        <w:t xml:space="preserve"> </w:t>
      </w:r>
      <w:r w:rsidR="00B26B74">
        <w:fldChar w:fldCharType="begin"/>
      </w:r>
      <w:r w:rsidR="00B26B74">
        <w:instrText xml:space="preserve"> ADDIN ZOTERO_ITEM CSL_CITATION {"citationID":"7XEeCCcF","properties":{"formattedCitation":"[12]","plainCitation":"[12]","noteIndex":0},"citationItems":[{"id":1247,"uris":["http://zotero.org/users/16701048/items/LDCSPNL5"],"itemData":{"id":1247,"type":"article-journal","abstract":"Maintenance strategies are vital for industrial and manufacturing systems. This study considers a proactive maintenance strategy and emphasizes using analytics and data science. We propose an Explainable Artificial Intelligence (XAI) methodology for predictive maintenance. The proposed method utilizes a machine learning project cycle and Python libraries to interpret the results using the Local Interpretable Model-agnostic Expla­ nations (LIME) method. We also introduce an early concept of spare parts management, presenting insights from predictive maintenance outcomes and providing explanations for decision-makers to enhance their under­ standing of the influential factors behind predictions. This study demonstrates that utilizing machine learning models in predictive maintenance is highly beneficial; however, the binary outcomes of these models can be misunderstood by decision-makers. Detailed explanations provided to decision-makers will directly impact maintenance decisions and improve spare part management.","container-title":"Supply Chain Analytics","DOI":"10.1016/j.sca.2024.100078","ISSN":"29498635","journalAbbreviation":"Supply Chain Analytics","language":"en","page":"100078","source":"DOI.org (Crossref)","title":"An explainable artificial intelligence model for predictive maintenance and spare parts optimization","volume":"8","author":[{"family":"Dereci","given":"Ufuk"},{"family":"Tuzkaya","given":"Gülfem"}],"issued":{"date-parts":[["2024",12]]}}}],"schema":"https://github.com/citation-style-language/schema/raw/master/csl-citation.json"} </w:instrText>
      </w:r>
      <w:r w:rsidR="00B26B74">
        <w:fldChar w:fldCharType="separate"/>
      </w:r>
      <w:r w:rsidR="00B26B74" w:rsidRPr="00B26B74">
        <w:rPr>
          <w:rFonts w:cs="Times New Roman"/>
        </w:rPr>
        <w:t>[12]</w:t>
      </w:r>
      <w:r w:rsidR="00B26B74">
        <w:fldChar w:fldCharType="end"/>
      </w:r>
      <w:r w:rsidR="00B26B74">
        <w:t xml:space="preserve">. </w:t>
      </w:r>
      <w:r w:rsidR="00580E82" w:rsidRPr="00580E82">
        <w:t>These examples illustrate that explainability is not only a theoretical concern but has practical implications.</w:t>
      </w:r>
      <w:r w:rsidR="00B26B74">
        <w:t xml:space="preserve"> </w:t>
      </w:r>
    </w:p>
    <w:p w14:paraId="041A9242" w14:textId="566B0237" w:rsidR="007D09F3" w:rsidRDefault="007D09F3" w:rsidP="00A52B6E">
      <w:pPr>
        <w:pStyle w:val="PARAIndent"/>
      </w:pPr>
      <w:r w:rsidRPr="007D09F3">
        <w:t xml:space="preserve">While we derive criteria for cost-effectiveness within the context of </w:t>
      </w:r>
      <w:proofErr w:type="spellStart"/>
      <w:r w:rsidR="0081376C">
        <w:t>PdM</w:t>
      </w:r>
      <w:proofErr w:type="spellEnd"/>
      <w:r w:rsidRPr="007D09F3">
        <w:t>, the underlying principles are expected to be applicable to other domains. In areas such as healthcare, finance, and risk management, the definition of cost differs, but information that supports better outcomes or reduces the consequences of errors can hold greater value than marginal gains in predictive accuracy.</w:t>
      </w:r>
    </w:p>
    <w:p w14:paraId="67D4D7F5" w14:textId="109D783E" w:rsidR="00A52B6E" w:rsidRPr="00AE6142" w:rsidRDefault="001840C9" w:rsidP="00A52B6E">
      <w:pPr>
        <w:pStyle w:val="PARAIndent"/>
        <w:rPr>
          <w:spacing w:val="2"/>
        </w:rPr>
      </w:pPr>
      <w:r>
        <w:rPr>
          <w:spacing w:val="2"/>
        </w:rPr>
        <w:t xml:space="preserve">Section II addresses the cost-efficiency of classification models (both binary and multi-class), and Section III considers cost-effectiveness for classifiers. Regression models play an important role in </w:t>
      </w:r>
      <w:proofErr w:type="spellStart"/>
      <w:r>
        <w:rPr>
          <w:spacing w:val="2"/>
        </w:rPr>
        <w:t>PdM</w:t>
      </w:r>
      <w:proofErr w:type="spellEnd"/>
      <w:r>
        <w:rPr>
          <w:spacing w:val="2"/>
        </w:rPr>
        <w:t>, particularly for estimations of Remaining Useful Life (RUL).  An approach for applying our criteria to regressors is presented in Section IV. A discussion and our conclusions follow in Sections V and VI, respectively.</w:t>
      </w:r>
      <w:r w:rsidR="00A52B6E">
        <w:rPr>
          <w:spacing w:val="2"/>
        </w:rPr>
        <w:t xml:space="preserve"> </w:t>
      </w:r>
    </w:p>
    <w:p w14:paraId="7F7B430D" w14:textId="77777777" w:rsidR="00CA0A25" w:rsidRDefault="00CA0A25" w:rsidP="00174C21">
      <w:pPr>
        <w:pStyle w:val="PARAIndent"/>
      </w:pPr>
    </w:p>
    <w:p w14:paraId="20EA2023" w14:textId="2882CFC0" w:rsidR="0025299A" w:rsidRDefault="0025299A" w:rsidP="0025299A">
      <w:pPr>
        <w:pStyle w:val="H1ListNoSpace"/>
      </w:pPr>
      <w:r>
        <w:t>CLASSIFICATION</w:t>
      </w:r>
      <w:r w:rsidR="00AE6142">
        <w:t xml:space="preserve"> COST-</w:t>
      </w:r>
      <w:r w:rsidR="007C3C5C">
        <w:t>EFFICIENCY</w:t>
      </w:r>
    </w:p>
    <w:p w14:paraId="14B030BD" w14:textId="77777777" w:rsidR="00A736B6" w:rsidRDefault="00B30359" w:rsidP="001C312D">
      <w:pPr>
        <w:pStyle w:val="PARAIndent"/>
        <w:ind w:firstLine="0"/>
        <w:rPr>
          <w:spacing w:val="2"/>
        </w:rPr>
      </w:pPr>
      <w:r>
        <w:t>I</w:t>
      </w:r>
      <w:r w:rsidRPr="00B30359">
        <w:t xml:space="preserve">t is widely asserted that understanding an AI system’s reasoning enhances its adoption and effective use. However, academic research rarely translates this premise into actionable criteria for </w:t>
      </w:r>
      <w:r w:rsidRPr="008F7D94">
        <w:t xml:space="preserve">real-world deployment. Implementing AI in practice involves significant investments of time, money, and resources. This section presents an interpretation of cost-efficiency for both binary and multi-class classifiers, with the goal of developing criteria to </w:t>
      </w:r>
      <w:r w:rsidR="00253A96">
        <w:t xml:space="preserve">evaluate the utility of </w:t>
      </w:r>
      <w:r w:rsidRPr="008F7D94">
        <w:t>explanatory models</w:t>
      </w:r>
      <w:r w:rsidRPr="00AE6142">
        <w:rPr>
          <w:spacing w:val="2"/>
        </w:rPr>
        <w:t>.</w:t>
      </w:r>
      <w:r w:rsidR="00AE6142" w:rsidRPr="00AE6142">
        <w:rPr>
          <w:spacing w:val="2"/>
        </w:rPr>
        <w:t xml:space="preserve"> </w:t>
      </w:r>
    </w:p>
    <w:p w14:paraId="1BF0D172" w14:textId="77777777" w:rsidR="0081376C" w:rsidRPr="00AE6142" w:rsidRDefault="0081376C" w:rsidP="0081376C">
      <w:pPr>
        <w:pStyle w:val="PARAIndent"/>
        <w:rPr>
          <w:spacing w:val="2"/>
        </w:rPr>
      </w:pPr>
      <w:r>
        <w:rPr>
          <w:spacing w:val="2"/>
        </w:rPr>
        <w:t>T</w:t>
      </w:r>
      <w:r w:rsidRPr="00AE6142">
        <w:rPr>
          <w:spacing w:val="2"/>
        </w:rPr>
        <w:t xml:space="preserve">he following </w:t>
      </w:r>
      <w:r>
        <w:rPr>
          <w:spacing w:val="2"/>
        </w:rPr>
        <w:t>symbols are used throughout our analysis</w:t>
      </w:r>
      <w:r w:rsidRPr="00AE6142">
        <w:rPr>
          <w:spacing w:val="2"/>
        </w:rPr>
        <w:t>:</w:t>
      </w:r>
    </w:p>
    <w:p w14:paraId="009FC9AD" w14:textId="77777777" w:rsidR="0081376C" w:rsidRPr="00036DD6" w:rsidRDefault="0081376C" w:rsidP="0081376C">
      <w:pPr>
        <w:pStyle w:val="ListParagraph"/>
        <w:numPr>
          <w:ilvl w:val="0"/>
          <w:numId w:val="13"/>
        </w:numPr>
        <w:spacing w:after="160" w:line="259" w:lineRule="auto"/>
        <w:jc w:val="both"/>
        <w:rPr>
          <w:sz w:val="20"/>
          <w:szCs w:val="20"/>
        </w:rPr>
      </w:pPr>
      <w:r w:rsidRPr="00036DD6">
        <w:rPr>
          <w:sz w:val="20"/>
          <w:szCs w:val="20"/>
        </w:rPr>
        <w:t>TP: The number of failures correctly identified.</w:t>
      </w:r>
    </w:p>
    <w:p w14:paraId="0D089B5D" w14:textId="77777777" w:rsidR="0081376C" w:rsidRPr="00036DD6" w:rsidRDefault="0081376C" w:rsidP="0081376C">
      <w:pPr>
        <w:pStyle w:val="ListParagraph"/>
        <w:numPr>
          <w:ilvl w:val="0"/>
          <w:numId w:val="13"/>
        </w:numPr>
        <w:spacing w:after="160" w:line="259" w:lineRule="auto"/>
        <w:jc w:val="both"/>
        <w:rPr>
          <w:sz w:val="20"/>
          <w:szCs w:val="20"/>
        </w:rPr>
      </w:pPr>
      <w:r w:rsidRPr="00036DD6">
        <w:rPr>
          <w:sz w:val="20"/>
          <w:szCs w:val="20"/>
        </w:rPr>
        <w:t>FN: Failures incorrectly predicted as non-failures.</w:t>
      </w:r>
    </w:p>
    <w:p w14:paraId="1E3CE407" w14:textId="77777777" w:rsidR="0081376C" w:rsidRPr="00036DD6" w:rsidRDefault="0081376C" w:rsidP="0081376C">
      <w:pPr>
        <w:pStyle w:val="ListParagraph"/>
        <w:numPr>
          <w:ilvl w:val="0"/>
          <w:numId w:val="13"/>
        </w:numPr>
        <w:spacing w:after="160" w:line="259" w:lineRule="auto"/>
        <w:jc w:val="both"/>
        <w:rPr>
          <w:sz w:val="20"/>
          <w:szCs w:val="20"/>
        </w:rPr>
      </w:pPr>
      <w:r w:rsidRPr="00036DD6">
        <w:rPr>
          <w:sz w:val="20"/>
          <w:szCs w:val="20"/>
        </w:rPr>
        <w:t>TN: Correctly identified non-failures.</w:t>
      </w:r>
    </w:p>
    <w:p w14:paraId="2104AA16" w14:textId="77777777" w:rsidR="0081376C" w:rsidRDefault="0081376C" w:rsidP="0081376C">
      <w:pPr>
        <w:pStyle w:val="ListParagraph"/>
        <w:numPr>
          <w:ilvl w:val="0"/>
          <w:numId w:val="13"/>
        </w:numPr>
        <w:spacing w:after="160" w:line="259" w:lineRule="auto"/>
        <w:jc w:val="both"/>
        <w:rPr>
          <w:sz w:val="20"/>
          <w:szCs w:val="20"/>
        </w:rPr>
      </w:pPr>
      <w:r w:rsidRPr="00A52B6E">
        <w:rPr>
          <w:sz w:val="20"/>
          <w:szCs w:val="20"/>
        </w:rPr>
        <w:t>FP: Non-failures incorrectly identified as failures.</w:t>
      </w:r>
    </w:p>
    <w:p w14:paraId="4AFDDF67" w14:textId="77777777" w:rsidR="0081376C" w:rsidRDefault="0081376C" w:rsidP="0081376C">
      <w:pPr>
        <w:pStyle w:val="ListParagraph"/>
        <w:numPr>
          <w:ilvl w:val="0"/>
          <w:numId w:val="13"/>
        </w:numPr>
        <w:spacing w:after="160" w:line="259" w:lineRule="auto"/>
        <w:jc w:val="both"/>
        <w:rPr>
          <w:sz w:val="20"/>
          <w:szCs w:val="20"/>
        </w:rPr>
      </w:pPr>
      <w:r w:rsidRPr="00A52B6E">
        <w:rPr>
          <w:sz w:val="20"/>
          <w:szCs w:val="20"/>
        </w:rPr>
        <w:t>f: the estimated cost of an unexpected failure.</w:t>
      </w:r>
    </w:p>
    <w:p w14:paraId="0870469B" w14:textId="77777777" w:rsidR="0081376C" w:rsidRPr="00A52B6E" w:rsidRDefault="0081376C" w:rsidP="0081376C">
      <w:pPr>
        <w:pStyle w:val="ListParagraph"/>
        <w:numPr>
          <w:ilvl w:val="0"/>
          <w:numId w:val="13"/>
        </w:numPr>
        <w:spacing w:after="160" w:line="259" w:lineRule="auto"/>
        <w:jc w:val="both"/>
        <w:rPr>
          <w:sz w:val="20"/>
          <w:szCs w:val="20"/>
        </w:rPr>
      </w:pPr>
      <w:r>
        <w:rPr>
          <w:sz w:val="20"/>
          <w:szCs w:val="20"/>
        </w:rPr>
        <w:t xml:space="preserve">m: </w:t>
      </w:r>
      <w:r w:rsidRPr="00036DD6">
        <w:rPr>
          <w:sz w:val="20"/>
          <w:szCs w:val="20"/>
        </w:rPr>
        <w:t>the estimated cost of maintenance to prevent a predicted failure.</w:t>
      </w:r>
    </w:p>
    <w:p w14:paraId="56514B60" w14:textId="77777777" w:rsidR="0081376C" w:rsidRDefault="0081376C" w:rsidP="0081376C">
      <w:pPr>
        <w:pStyle w:val="PARAIndent"/>
      </w:pPr>
      <w:r>
        <w:t>To present the equations in a clear and concise manner, we define several derived quantities:</w:t>
      </w:r>
    </w:p>
    <w:p w14:paraId="07C57C04" w14:textId="77777777" w:rsidR="0081376C" w:rsidRDefault="0081376C" w:rsidP="0081376C">
      <w:pPr>
        <w:pStyle w:val="PARAIndent"/>
        <w:numPr>
          <w:ilvl w:val="0"/>
          <w:numId w:val="16"/>
        </w:numPr>
      </w:pPr>
      <w:r w:rsidRPr="00E34FBD">
        <w:rPr>
          <w:b/>
          <w:bCs/>
        </w:rPr>
        <w:t>Precision</w:t>
      </w:r>
      <w:r>
        <w:t xml:space="preserve"> - the proportion of positive predictions that are accurate: </w:t>
      </w:r>
      <m:oMath>
        <m:r>
          <m:rPr>
            <m:sty m:val="p"/>
          </m:rPr>
          <w:rPr>
            <w:rFonts w:ascii="Cambria Math" w:hAnsi="Cambria Math"/>
          </w:rPr>
          <m:t>TP/(FP+TP)</m:t>
        </m:r>
      </m:oMath>
    </w:p>
    <w:p w14:paraId="3E336CA3" w14:textId="77777777" w:rsidR="0081376C" w:rsidRDefault="0081376C" w:rsidP="0081376C">
      <w:pPr>
        <w:pStyle w:val="PARAIndent"/>
        <w:numPr>
          <w:ilvl w:val="0"/>
          <w:numId w:val="16"/>
        </w:numPr>
      </w:pPr>
      <w:r w:rsidRPr="00E34FBD">
        <w:rPr>
          <w:b/>
          <w:bCs/>
        </w:rPr>
        <w:t>Recall</w:t>
      </w:r>
      <w:r>
        <w:t xml:space="preserve"> - the proportion of true failures that are correctly predicted: </w:t>
      </w:r>
      <m:oMath>
        <m:r>
          <m:rPr>
            <m:sty m:val="p"/>
          </m:rPr>
          <w:rPr>
            <w:rFonts w:ascii="Cambria Math" w:hAnsi="Cambria Math"/>
          </w:rPr>
          <m:t>TP/(FN+TP)</m:t>
        </m:r>
      </m:oMath>
    </w:p>
    <w:p w14:paraId="55DB721E" w14:textId="77777777" w:rsidR="0081376C" w:rsidRDefault="0081376C" w:rsidP="0081376C">
      <w:pPr>
        <w:pStyle w:val="PARAIndent"/>
        <w:numPr>
          <w:ilvl w:val="0"/>
          <w:numId w:val="16"/>
        </w:numPr>
      </w:pPr>
      <w:r w:rsidRPr="00B25403">
        <w:t>Falsehood ratio</w:t>
      </w:r>
      <w:r>
        <w:rPr>
          <w:b/>
          <w:bCs/>
        </w:rPr>
        <w:t xml:space="preserve"> (FR)</w:t>
      </w:r>
      <w:r>
        <w:t xml:space="preserve"> – the number of false positives as a proportion of actual failures:  </w:t>
      </w:r>
      <m:oMath>
        <m:r>
          <m:rPr>
            <m:sty m:val="p"/>
          </m:rPr>
          <w:rPr>
            <w:rFonts w:ascii="Cambria Math" w:hAnsi="Cambria Math"/>
          </w:rPr>
          <m:t>FP/(FN+TP)</m:t>
        </m:r>
      </m:oMath>
    </w:p>
    <w:p w14:paraId="5EB5DEFC" w14:textId="77777777" w:rsidR="0081376C" w:rsidRDefault="0081376C" w:rsidP="0081376C">
      <w:pPr>
        <w:pStyle w:val="PARAIndent"/>
        <w:numPr>
          <w:ilvl w:val="0"/>
          <w:numId w:val="16"/>
        </w:numPr>
      </w:pPr>
      <w:r>
        <w:t>Failure Mitigation Cost Ratio (</w:t>
      </w:r>
      <w:r w:rsidRPr="00E34FBD">
        <w:rPr>
          <w:b/>
          <w:bCs/>
        </w:rPr>
        <w:t>FMCR</w:t>
      </w:r>
      <w:r>
        <w:t xml:space="preserve">): the cost of maintenance to address a predicted failure prior to an explanation as a proportion of the expected cost of a failure: </w:t>
      </w:r>
      <m:oMath>
        <m:r>
          <w:rPr>
            <w:rFonts w:ascii="Cambria Math" w:hAnsi="Cambria Math"/>
          </w:rPr>
          <m:t>m/f</m:t>
        </m:r>
      </m:oMath>
      <w:r>
        <w:t>.</w:t>
      </w:r>
    </w:p>
    <w:p w14:paraId="6F61F494" w14:textId="3B2F2AF0" w:rsidR="0081376C" w:rsidRPr="0081376C" w:rsidRDefault="0081376C" w:rsidP="0081376C">
      <w:pPr>
        <w:pStyle w:val="PARAIndent"/>
        <w:numPr>
          <w:ilvl w:val="0"/>
          <w:numId w:val="16"/>
        </w:numPr>
      </w:pPr>
      <w:r>
        <w:t xml:space="preserve">Explanatory </w:t>
      </w:r>
      <w:proofErr w:type="gramStart"/>
      <w:r>
        <w:t xml:space="preserve">factor, </w:t>
      </w:r>
      <w:r w:rsidRPr="00DC6CFB">
        <w:rPr>
          <w:rFonts w:cs="Times New Roman"/>
          <w:b/>
          <w:bCs/>
          <w:i/>
          <w:iCs/>
        </w:rPr>
        <w:t>α</w:t>
      </w:r>
      <w:proofErr w:type="gramEnd"/>
      <w:r>
        <w:t>: the ratio of expected cost of maintenance guided by an explanation to the cost of maintenance with no explanation.</w:t>
      </w:r>
    </w:p>
    <w:p w14:paraId="77DCB4C3" w14:textId="11D432DE" w:rsidR="008F7D94" w:rsidRPr="008F7D94" w:rsidRDefault="008F7D94" w:rsidP="00A736B6">
      <w:pPr>
        <w:pStyle w:val="H2First"/>
      </w:pPr>
      <w:r>
        <w:t>Binary Classification</w:t>
      </w:r>
    </w:p>
    <w:p w14:paraId="7D8B0E88" w14:textId="4E06EBA7" w:rsidR="0025299A" w:rsidRPr="00C65BBB" w:rsidRDefault="006F3E7C" w:rsidP="00C65BBB">
      <w:pPr>
        <w:pStyle w:val="PARAIndent"/>
        <w:ind w:firstLine="0"/>
        <w:rPr>
          <w:spacing w:val="2"/>
        </w:rPr>
      </w:pPr>
      <w:bookmarkStart w:id="1" w:name="_Hlk201224336"/>
      <w:r w:rsidRPr="00AE6142">
        <w:rPr>
          <w:spacing w:val="2"/>
        </w:rPr>
        <w:t>For a predictive maintenance model to be cost-</w:t>
      </w:r>
      <w:r w:rsidR="003E1895">
        <w:rPr>
          <w:spacing w:val="2"/>
        </w:rPr>
        <w:t>efficient</w:t>
      </w:r>
      <w:r w:rsidRPr="00AE6142">
        <w:rPr>
          <w:spacing w:val="2"/>
        </w:rPr>
        <w:t xml:space="preserve"> the costs of prevent</w:t>
      </w:r>
      <w:r w:rsidR="00AE6142">
        <w:rPr>
          <w:spacing w:val="2"/>
        </w:rPr>
        <w:t>ative maintenance to</w:t>
      </w:r>
      <w:r w:rsidR="003E1895">
        <w:rPr>
          <w:spacing w:val="2"/>
        </w:rPr>
        <w:t xml:space="preserve"> address</w:t>
      </w:r>
      <w:r w:rsidR="00AE6142">
        <w:rPr>
          <w:spacing w:val="2"/>
        </w:rPr>
        <w:t xml:space="preserve"> </w:t>
      </w:r>
      <w:r w:rsidR="003E1895">
        <w:rPr>
          <w:spacing w:val="2"/>
        </w:rPr>
        <w:t>‘</w:t>
      </w:r>
      <w:r w:rsidR="00AE6142" w:rsidRPr="00AE6142">
        <w:rPr>
          <w:spacing w:val="2"/>
        </w:rPr>
        <w:t>predicted</w:t>
      </w:r>
      <w:r w:rsidR="003E1895">
        <w:rPr>
          <w:spacing w:val="2"/>
        </w:rPr>
        <w:t>’</w:t>
      </w:r>
      <w:r w:rsidRPr="00AE6142">
        <w:rPr>
          <w:spacing w:val="2"/>
        </w:rPr>
        <w:t xml:space="preserve"> failures must be less than the costs that would have been incurred if the</w:t>
      </w:r>
      <w:r w:rsidR="00AE6142">
        <w:rPr>
          <w:spacing w:val="2"/>
        </w:rPr>
        <w:t xml:space="preserve"> </w:t>
      </w:r>
      <w:r w:rsidR="003E1895">
        <w:rPr>
          <w:spacing w:val="2"/>
        </w:rPr>
        <w:t>‘</w:t>
      </w:r>
      <w:r w:rsidR="00AE6142">
        <w:rPr>
          <w:spacing w:val="2"/>
        </w:rPr>
        <w:t>actual</w:t>
      </w:r>
      <w:r w:rsidR="003E1895">
        <w:rPr>
          <w:spacing w:val="2"/>
        </w:rPr>
        <w:t>’</w:t>
      </w:r>
      <w:r w:rsidRPr="00AE6142">
        <w:rPr>
          <w:spacing w:val="2"/>
        </w:rPr>
        <w:t xml:space="preserve"> failures had occurred. </w:t>
      </w:r>
      <w:r w:rsidR="00AE6142" w:rsidRPr="00AE6142">
        <w:rPr>
          <w:spacing w:val="2"/>
        </w:rPr>
        <w:t>That is, the savings from addressing predicted failures (true positives) must outweigh the cost of unnecessary maintenance (false positives). This condition can be expressed as</w:t>
      </w:r>
      <w:r w:rsidRPr="00CA0A25">
        <w:rPr>
          <w:spacing w:val="2"/>
        </w:rPr>
        <w:t>:</w:t>
      </w:r>
      <w:bookmarkEnd w:id="1"/>
    </w:p>
    <w:p w14:paraId="3D7B8BFB" w14:textId="5B01F9BC" w:rsidR="006F3E7C" w:rsidRDefault="006F3E7C" w:rsidP="00174C21">
      <w:pPr>
        <w:pStyle w:val="PARAIndent"/>
      </w:pPr>
      <m:oMathPara>
        <m:oMath>
          <m:r>
            <w:rPr>
              <w:rFonts w:ascii="Cambria Math" w:hAnsi="Cambria Math"/>
            </w:rPr>
            <m:t>TP*(f-m)&gt; FP*m</m:t>
          </m:r>
        </m:oMath>
      </m:oMathPara>
    </w:p>
    <w:p w14:paraId="7EA0FF69" w14:textId="6B52514E" w:rsidR="00CB4D80" w:rsidRPr="00C65BBB" w:rsidRDefault="00AE6142" w:rsidP="006F3E7C">
      <w:pPr>
        <w:rPr>
          <w:rFonts w:ascii="Cambria Math" w:hAnsi="Cambria Math"/>
          <w:i/>
          <w:sz w:val="20"/>
          <w:szCs w:val="20"/>
        </w:rPr>
      </w:pPr>
      <w:r>
        <w:rPr>
          <w:sz w:val="20"/>
          <w:szCs w:val="20"/>
        </w:rPr>
        <w:t>Rewritten as</w:t>
      </w:r>
      <w:r w:rsidR="006F3E7C">
        <w:rPr>
          <w:sz w:val="20"/>
          <w:szCs w:val="20"/>
        </w:rPr>
        <w:t xml:space="preserve">: </w:t>
      </w:r>
      <w:r w:rsidR="006F3E7C" w:rsidRPr="00B25AAF">
        <w:rPr>
          <w:rFonts w:ascii="Cambria Math" w:hAnsi="Cambria Math"/>
          <w:i/>
        </w:rPr>
        <w:br/>
      </w:r>
      <m:oMathPara>
        <m:oMath>
          <m:r>
            <m:rPr>
              <m:sty m:val="p"/>
            </m:rPr>
            <w:rPr>
              <w:rFonts w:ascii="Cambria Math" w:hAnsi="Cambria Math"/>
              <w:sz w:val="20"/>
              <w:szCs w:val="20"/>
            </w:rPr>
            <m:t>TP</m:t>
          </m:r>
          <m:r>
            <w:rPr>
              <w:rFonts w:ascii="Cambria Math" w:hAnsi="Cambria Math"/>
              <w:sz w:val="20"/>
              <w:szCs w:val="20"/>
            </w:rPr>
            <m:t xml:space="preserve">*(1-m/f)&gt; </m:t>
          </m:r>
          <m:r>
            <m:rPr>
              <m:sty m:val="p"/>
            </m:rPr>
            <w:rPr>
              <w:rFonts w:ascii="Cambria Math" w:hAnsi="Cambria Math"/>
              <w:sz w:val="20"/>
              <w:szCs w:val="20"/>
            </w:rPr>
            <m:t>FP</m:t>
          </m:r>
          <m:r>
            <w:rPr>
              <w:rFonts w:ascii="Cambria Math" w:hAnsi="Cambria Math"/>
              <w:sz w:val="20"/>
              <w:szCs w:val="20"/>
            </w:rPr>
            <m:t>*m/f</m:t>
          </m:r>
        </m:oMath>
      </m:oMathPara>
    </w:p>
    <w:p w14:paraId="65E20274" w14:textId="63DDA39D" w:rsidR="006F3E7C" w:rsidRPr="00265FA7" w:rsidRDefault="00AE6142" w:rsidP="006F3E7C">
      <w:pPr>
        <w:rPr>
          <w:rFonts w:ascii="Cambria Math" w:hAnsi="Cambria Math"/>
          <w:i/>
          <w:sz w:val="20"/>
          <w:szCs w:val="20"/>
        </w:rPr>
      </w:pPr>
      <w:r>
        <w:rPr>
          <w:sz w:val="20"/>
          <w:szCs w:val="20"/>
        </w:rPr>
        <w:t>A</w:t>
      </w:r>
      <w:r w:rsidR="006F3E7C">
        <w:rPr>
          <w:sz w:val="20"/>
          <w:szCs w:val="20"/>
        </w:rPr>
        <w:t>nd</w:t>
      </w:r>
      <w:r>
        <w:rPr>
          <w:sz w:val="20"/>
          <w:szCs w:val="20"/>
        </w:rPr>
        <w:t xml:space="preserve"> simplified to</w:t>
      </w:r>
      <w:r w:rsidR="006F3E7C">
        <w:rPr>
          <w:sz w:val="20"/>
          <w:szCs w:val="20"/>
        </w:rPr>
        <w:t xml:space="preserve">: </w:t>
      </w:r>
      <w:r w:rsidR="006F3E7C" w:rsidRPr="00B25AAF">
        <w:rPr>
          <w:rFonts w:ascii="Cambria Math" w:hAnsi="Cambria Math"/>
          <w:i/>
        </w:rPr>
        <w:br/>
      </w:r>
      <m:oMathPara>
        <m:oMathParaPr>
          <m:jc m:val="right"/>
        </m:oMathParaPr>
        <m:oMath>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f</m:t>
              </m:r>
            </m:den>
          </m:f>
          <m:r>
            <w:rPr>
              <w:rFonts w:ascii="Cambria Math" w:hAnsi="Cambria Math"/>
              <w:sz w:val="20"/>
              <w:szCs w:val="20"/>
            </w:rPr>
            <m:t>&lt;</m:t>
          </m:r>
          <m:f>
            <m:fPr>
              <m:ctrlPr>
                <w:rPr>
                  <w:rFonts w:ascii="Cambria Math" w:hAnsi="Cambria Math"/>
                  <w:i/>
                  <w:sz w:val="20"/>
                  <w:szCs w:val="20"/>
                </w:rPr>
              </m:ctrlPr>
            </m:fPr>
            <m:num>
              <m:r>
                <m:rPr>
                  <m:sty m:val="p"/>
                </m:rPr>
                <w:rPr>
                  <w:rFonts w:ascii="Cambria Math" w:hAnsi="Cambria Math"/>
                  <w:sz w:val="20"/>
                  <w:szCs w:val="20"/>
                </w:rPr>
                <m:t>TP</m:t>
              </m:r>
            </m:num>
            <m:den>
              <m:r>
                <m:rPr>
                  <m:sty m:val="p"/>
                </m:rPr>
                <w:rPr>
                  <w:rFonts w:ascii="Cambria Math" w:hAnsi="Cambria Math"/>
                  <w:sz w:val="20"/>
                  <w:szCs w:val="20"/>
                </w:rPr>
                <m:t>TP</m:t>
              </m:r>
              <m:r>
                <w:rPr>
                  <w:rFonts w:ascii="Cambria Math" w:hAnsi="Cambria Math"/>
                  <w:sz w:val="20"/>
                  <w:szCs w:val="20"/>
                </w:rPr>
                <m:t>+</m:t>
              </m:r>
              <m:r>
                <m:rPr>
                  <m:sty m:val="p"/>
                </m:rPr>
                <w:rPr>
                  <w:rFonts w:ascii="Cambria Math" w:hAnsi="Cambria Math"/>
                  <w:sz w:val="20"/>
                  <w:szCs w:val="20"/>
                </w:rPr>
                <m:t>FP</m:t>
              </m:r>
            </m:den>
          </m:f>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m:t>
              </m:r>
            </m:e>
          </m:d>
        </m:oMath>
      </m:oMathPara>
    </w:p>
    <w:p w14:paraId="7DA05262" w14:textId="2F37B606" w:rsidR="00296CFF" w:rsidRPr="00296CFF" w:rsidRDefault="00296CFF" w:rsidP="008F7D94">
      <w:pPr>
        <w:rPr>
          <w:iCs/>
          <w:sz w:val="20"/>
          <w:szCs w:val="20"/>
        </w:rPr>
      </w:pPr>
    </w:p>
    <w:p w14:paraId="5539B70D" w14:textId="3839E347" w:rsidR="00296CFF" w:rsidRDefault="00AE6142" w:rsidP="00BA1C7A">
      <w:pPr>
        <w:pStyle w:val="PARAIndent"/>
      </w:pPr>
      <w:r w:rsidRPr="00AE6142">
        <w:t>In statistical terms, Equation (1) shows that a model is cost-</w:t>
      </w:r>
      <w:r w:rsidR="00F37A1F">
        <w:t>efficient</w:t>
      </w:r>
      <w:r w:rsidRPr="00AE6142">
        <w:t xml:space="preserve"> if its </w:t>
      </w:r>
      <w:r w:rsidRPr="000A203E">
        <w:t>precision</w:t>
      </w:r>
      <w:r w:rsidRPr="00AE6142">
        <w:t xml:space="preserve"> exceeds the ratio of the </w:t>
      </w:r>
      <w:r>
        <w:t xml:space="preserve">preventative </w:t>
      </w:r>
      <w:r w:rsidRPr="00AE6142">
        <w:t xml:space="preserve">maintenance cost to the cost of failure. This represents a conservative or </w:t>
      </w:r>
      <w:r w:rsidRPr="00AC4505">
        <w:t>worst-case</w:t>
      </w:r>
      <w:r w:rsidRPr="00AE6142">
        <w:t xml:space="preserve"> scenario</w:t>
      </w:r>
      <w:r>
        <w:t xml:space="preserve"> - </w:t>
      </w:r>
      <w:r w:rsidRPr="00AE6142">
        <w:t>one that assumes every predicted failure leads directly to maintenance action. In practice, a predicted failure is often followed by inspection before an intervention</w:t>
      </w:r>
      <w:r w:rsidR="00CA0A25" w:rsidRPr="00CA0A25">
        <w:t xml:space="preserve">. If, λ represents the fraction of the maintenance cost required for an inspection the </w:t>
      </w:r>
      <w:r w:rsidR="008F7D94">
        <w:t xml:space="preserve">adjusted condition for </w:t>
      </w:r>
      <w:r w:rsidR="00CA0A25" w:rsidRPr="00CA0A25">
        <w:t>cost-</w:t>
      </w:r>
      <w:r w:rsidR="0045239B">
        <w:t>eff</w:t>
      </w:r>
      <w:r w:rsidR="00F37A1F">
        <w:t>iciency</w:t>
      </w:r>
      <w:r w:rsidR="00CA0A25" w:rsidRPr="00CA0A25">
        <w:t xml:space="preserve"> becomes:</w:t>
      </w:r>
    </w:p>
    <w:p w14:paraId="4445F0C9" w14:textId="7EE841BF" w:rsidR="00296CFF" w:rsidRPr="00265FA7" w:rsidRDefault="00000000" w:rsidP="00174C21">
      <w:pPr>
        <w:jc w:val="both"/>
        <w:rPr>
          <w:sz w:val="20"/>
          <w:szCs w:val="20"/>
        </w:rPr>
      </w:pPr>
      <m:oMathPara>
        <m:oMathParaPr>
          <m:jc m:val="right"/>
        </m:oMathParaPr>
        <m:oMath>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f</m:t>
              </m:r>
            </m:den>
          </m:f>
          <m:r>
            <w:rPr>
              <w:rFonts w:ascii="Cambria Math" w:hAnsi="Cambria Math"/>
              <w:sz w:val="20"/>
              <w:szCs w:val="20"/>
            </w:rPr>
            <m:t>&lt;</m:t>
          </m:r>
          <m:f>
            <m:fPr>
              <m:ctrlPr>
                <w:rPr>
                  <w:rFonts w:ascii="Cambria Math" w:hAnsi="Cambria Math"/>
                  <w:i/>
                  <w:sz w:val="20"/>
                  <w:szCs w:val="20"/>
                </w:rPr>
              </m:ctrlPr>
            </m:fPr>
            <m:num>
              <m:r>
                <m:rPr>
                  <m:sty m:val="p"/>
                </m:rPr>
                <w:rPr>
                  <w:rFonts w:ascii="Cambria Math" w:hAnsi="Cambria Math"/>
                  <w:sz w:val="20"/>
                  <w:szCs w:val="20"/>
                </w:rPr>
                <m:t>TP</m:t>
              </m:r>
            </m:num>
            <m:den>
              <m:r>
                <m:rPr>
                  <m:sty m:val="p"/>
                </m:rPr>
                <w:rPr>
                  <w:rFonts w:ascii="Cambria Math" w:hAnsi="Cambria Math"/>
                  <w:sz w:val="20"/>
                  <w:szCs w:val="20"/>
                </w:rPr>
                <m:t>TP</m:t>
              </m:r>
              <m:r>
                <w:rPr>
                  <w:rFonts w:ascii="Cambria Math" w:hAnsi="Cambria Math"/>
                  <w:sz w:val="20"/>
                  <w:szCs w:val="20"/>
                </w:rPr>
                <m:t>+</m:t>
              </m:r>
              <m:r>
                <m:rPr>
                  <m:sty m:val="p"/>
                </m:rPr>
                <w:rPr>
                  <w:rFonts w:ascii="Cambria Math" w:hAnsi="Cambria Math"/>
                  <w:sz w:val="20"/>
                  <w:szCs w:val="20"/>
                </w:rPr>
                <m:t>λ</m:t>
              </m:r>
              <m:r>
                <w:rPr>
                  <w:rFonts w:ascii="Cambria Math" w:hAnsi="Cambria Math"/>
                  <w:sz w:val="20"/>
                  <w:szCs w:val="20"/>
                </w:rPr>
                <m:t>FP</m:t>
              </m:r>
            </m:den>
          </m:f>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1.1</m:t>
              </m:r>
            </m:e>
          </m:d>
        </m:oMath>
      </m:oMathPara>
    </w:p>
    <w:p w14:paraId="2817ED12" w14:textId="77777777" w:rsidR="00296CFF" w:rsidRDefault="00296CFF" w:rsidP="00174C21">
      <w:pPr>
        <w:jc w:val="both"/>
        <w:rPr>
          <w:sz w:val="20"/>
          <w:szCs w:val="20"/>
        </w:rPr>
      </w:pPr>
    </w:p>
    <w:p w14:paraId="14061AC4" w14:textId="37B73740" w:rsidR="0011128A" w:rsidRDefault="008F7D94" w:rsidP="00253A96">
      <w:pPr>
        <w:pStyle w:val="PARAIndent"/>
      </w:pPr>
      <w:r w:rsidRPr="008F7D94">
        <w:t>This adjusted threshold reflects that false positives may trigger lower-cost inspections rather than full maintenance procedures.</w:t>
      </w:r>
      <w:r>
        <w:t xml:space="preserve"> </w:t>
      </w:r>
      <w:r w:rsidRPr="008F7D94">
        <w:t xml:space="preserve">For the purposes of further analysis in this paper, we adopt Equation (1) as a baseline indicator of cost-efficiency. This avoids </w:t>
      </w:r>
      <w:r w:rsidR="0011128A">
        <w:t xml:space="preserve">a </w:t>
      </w:r>
      <w:r w:rsidRPr="008F7D94">
        <w:t xml:space="preserve">speculative assumption about organizational practices or inspection protocols and </w:t>
      </w:r>
      <w:r w:rsidR="009A6153">
        <w:t>offers</w:t>
      </w:r>
      <w:r w:rsidR="00A736B6" w:rsidRPr="008F7D94">
        <w:t xml:space="preserve"> conservative</w:t>
      </w:r>
      <w:r w:rsidRPr="008F7D94">
        <w:t xml:space="preserve"> assessment</w:t>
      </w:r>
      <w:r w:rsidR="00A736B6">
        <w:t xml:space="preserve">s of </w:t>
      </w:r>
      <w:r w:rsidR="00A736B6" w:rsidRPr="008F7D94">
        <w:t>feasibility</w:t>
      </w:r>
      <w:r w:rsidRPr="008F7D94">
        <w:t>.</w:t>
      </w:r>
      <w:r w:rsidR="00B30359">
        <w:t xml:space="preserve"> </w:t>
      </w:r>
    </w:p>
    <w:p w14:paraId="0D0AF5F9" w14:textId="243D5628" w:rsidR="00453EB7" w:rsidRPr="00453EB7" w:rsidRDefault="00453EB7" w:rsidP="00253A96">
      <w:pPr>
        <w:pStyle w:val="PARAIndent"/>
      </w:pPr>
      <w:r>
        <w:t xml:space="preserve">The ratio </w:t>
      </w:r>
      <w:r w:rsidRPr="00453EB7">
        <w:rPr>
          <w:i/>
          <w:iCs/>
        </w:rPr>
        <w:t>m/f</w:t>
      </w:r>
      <w:r>
        <w:rPr>
          <w:i/>
          <w:iCs/>
        </w:rPr>
        <w:t xml:space="preserve"> </w:t>
      </w:r>
      <w:r>
        <w:t xml:space="preserve">recurs in equations throughout this paper. </w:t>
      </w:r>
      <w:r w:rsidR="00A736B6">
        <w:t>The baseline ratio, prior to any explanatory insight, is</w:t>
      </w:r>
      <w:r>
        <w:t xml:space="preserve"> referred to as the ‘Failure Mitigation Cost Ratio’ (</w:t>
      </w:r>
      <w:r w:rsidRPr="00A736B6">
        <w:rPr>
          <w:b/>
          <w:bCs/>
        </w:rPr>
        <w:t>FMCR</w:t>
      </w:r>
      <w:r>
        <w:t>)</w:t>
      </w:r>
      <w:r w:rsidR="00A736B6">
        <w:t>.</w:t>
      </w:r>
    </w:p>
    <w:p w14:paraId="6CE15FAA" w14:textId="4619F596" w:rsidR="00B30359" w:rsidRPr="00B30359" w:rsidRDefault="008F7D94" w:rsidP="00B30359">
      <w:pPr>
        <w:pStyle w:val="PARAIndent"/>
        <w:rPr>
          <w:spacing w:val="2"/>
        </w:rPr>
      </w:pPr>
      <w:r w:rsidRPr="008F7D94">
        <w:t xml:space="preserve">In evaluating XAI models, </w:t>
      </w:r>
      <w:r w:rsidR="008A019E">
        <w:t xml:space="preserve">we </w:t>
      </w:r>
      <w:r w:rsidR="003E1895">
        <w:t>propose</w:t>
      </w:r>
      <w:r w:rsidRPr="008F7D94">
        <w:t xml:space="preserve"> that explanations may reduce the estimated maintenance</w:t>
      </w:r>
      <w:r w:rsidR="008A019E">
        <w:t xml:space="preserve"> cost</w:t>
      </w:r>
      <w:r>
        <w:t xml:space="preserve">, </w:t>
      </w:r>
      <w:r w:rsidRPr="008F7D94">
        <w:rPr>
          <w:i/>
          <w:iCs/>
        </w:rPr>
        <w:t>m</w:t>
      </w:r>
      <w:r w:rsidR="00A736B6">
        <w:rPr>
          <w:i/>
          <w:iCs/>
        </w:rPr>
        <w:t xml:space="preserve">, </w:t>
      </w:r>
      <w:r w:rsidRPr="008F7D94">
        <w:t xml:space="preserve">by </w:t>
      </w:r>
      <w:r w:rsidR="008A019E">
        <w:t>enabling</w:t>
      </w:r>
      <w:r w:rsidRPr="008F7D94">
        <w:t xml:space="preserve"> more precise or selective</w:t>
      </w:r>
      <w:r w:rsidR="008A019E">
        <w:t xml:space="preserve"> maintenance</w:t>
      </w:r>
      <w:r w:rsidRPr="008F7D94">
        <w:t xml:space="preserve">. A reduction in </w:t>
      </w:r>
      <w:r w:rsidRPr="008F7D94">
        <w:rPr>
          <w:i/>
          <w:iCs/>
        </w:rPr>
        <w:t>m</w:t>
      </w:r>
      <w:r w:rsidRPr="008F7D94">
        <w:t xml:space="preserve"> lowers the precision threshold </w:t>
      </w:r>
      <w:r w:rsidR="008A019E">
        <w:t xml:space="preserve">required </w:t>
      </w:r>
      <w:r w:rsidRPr="008F7D94">
        <w:t>for cost-</w:t>
      </w:r>
      <w:r w:rsidR="003E1895">
        <w:rPr>
          <w:spacing w:val="2"/>
        </w:rPr>
        <w:t>efficiency</w:t>
      </w:r>
      <w:r w:rsidRPr="008F7D94">
        <w:t xml:space="preserve"> (Equation 1), </w:t>
      </w:r>
      <w:r w:rsidR="00A736B6">
        <w:t xml:space="preserve">improving the economic viability of </w:t>
      </w:r>
      <w:r w:rsidRPr="008F7D94">
        <w:t>explanatory models</w:t>
      </w:r>
      <w:r w:rsidR="00A736B6">
        <w:t>.</w:t>
      </w:r>
    </w:p>
    <w:p w14:paraId="74103B30" w14:textId="58D08E40" w:rsidR="00296CFF" w:rsidRDefault="0081376C" w:rsidP="00174C21">
      <w:pPr>
        <w:jc w:val="both"/>
        <w:rPr>
          <w:sz w:val="20"/>
          <w:szCs w:val="20"/>
        </w:rPr>
      </w:pPr>
      <w:r w:rsidRPr="0081376C">
        <w:rPr>
          <w:rFonts w:cs="TimesLTStd-Roman"/>
          <w:spacing w:val="2"/>
          <w:sz w:val="20"/>
          <w:szCs w:val="20"/>
        </w:rPr>
        <w:t xml:space="preserve">This simple precision-based cost-efficiency condition supports two practical assessments. First, for a model with known precision, it allows us to determine the reduction in maintenance cost that explanations must enable to achieve </w:t>
      </w:r>
      <w:r w:rsidRPr="0081376C">
        <w:rPr>
          <w:rFonts w:cs="TimesLTStd-Roman"/>
          <w:spacing w:val="2"/>
          <w:sz w:val="20"/>
          <w:szCs w:val="20"/>
        </w:rPr>
        <w:lastRenderedPageBreak/>
        <w:t xml:space="preserve">cost-efficiency. Second, given an estimated reduction in maintenance </w:t>
      </w:r>
      <w:proofErr w:type="gramStart"/>
      <w:r w:rsidRPr="0081376C">
        <w:rPr>
          <w:rFonts w:cs="TimesLTStd-Roman"/>
          <w:spacing w:val="2"/>
          <w:sz w:val="20"/>
          <w:szCs w:val="20"/>
        </w:rPr>
        <w:t>cost</w:t>
      </w:r>
      <w:proofErr w:type="gramEnd"/>
      <w:r w:rsidRPr="0081376C">
        <w:rPr>
          <w:rFonts w:cs="TimesLTStd-Roman"/>
          <w:spacing w:val="2"/>
          <w:sz w:val="20"/>
          <w:szCs w:val="20"/>
        </w:rPr>
        <w:t xml:space="preserve">, it indicates the target precision that should guide model </w:t>
      </w:r>
      <w:proofErr w:type="spellStart"/>
      <w:r w:rsidRPr="0081376C">
        <w:rPr>
          <w:rFonts w:cs="TimesLTStd-Roman"/>
          <w:spacing w:val="2"/>
          <w:sz w:val="20"/>
          <w:szCs w:val="20"/>
        </w:rPr>
        <w:t>development</w:t>
      </w:r>
      <w:r w:rsidR="008F7D94" w:rsidRPr="008F7D94">
        <w:rPr>
          <w:sz w:val="20"/>
          <w:szCs w:val="20"/>
        </w:rPr>
        <w:t>Both</w:t>
      </w:r>
      <w:proofErr w:type="spellEnd"/>
      <w:r w:rsidR="008F7D94" w:rsidRPr="008F7D94">
        <w:rPr>
          <w:sz w:val="20"/>
          <w:szCs w:val="20"/>
        </w:rPr>
        <w:t xml:space="preserve"> assessments provide early indicators of the viability of predictive maintenance solution</w:t>
      </w:r>
      <w:r w:rsidR="008A019E">
        <w:rPr>
          <w:sz w:val="20"/>
          <w:szCs w:val="20"/>
        </w:rPr>
        <w:t>s. They can assist</w:t>
      </w:r>
      <w:r w:rsidR="008F7D94" w:rsidRPr="008F7D94">
        <w:rPr>
          <w:sz w:val="20"/>
          <w:szCs w:val="20"/>
        </w:rPr>
        <w:t xml:space="preserve"> stakeholders </w:t>
      </w:r>
      <w:r w:rsidR="008A019E">
        <w:rPr>
          <w:sz w:val="20"/>
          <w:szCs w:val="20"/>
        </w:rPr>
        <w:t xml:space="preserve">to </w:t>
      </w:r>
      <w:r w:rsidR="008A019E" w:rsidRPr="008A019E">
        <w:rPr>
          <w:sz w:val="20"/>
          <w:szCs w:val="20"/>
        </w:rPr>
        <w:t>determine whether investment in XAI development is likely to yield practical value</w:t>
      </w:r>
      <w:r w:rsidR="008F7D94" w:rsidRPr="008F7D94">
        <w:rPr>
          <w:sz w:val="20"/>
          <w:szCs w:val="20"/>
        </w:rPr>
        <w:t>.</w:t>
      </w:r>
    </w:p>
    <w:p w14:paraId="524BE76E" w14:textId="108E6F6B" w:rsidR="00296CFF" w:rsidRPr="008F04BD" w:rsidRDefault="008F04BD" w:rsidP="008F04BD">
      <w:pPr>
        <w:pStyle w:val="H2First"/>
      </w:pPr>
      <w:r>
        <w:t>Multi-Class Classification</w:t>
      </w:r>
    </w:p>
    <w:p w14:paraId="32B34FB9" w14:textId="26C5DCF1" w:rsidR="00361216" w:rsidRDefault="008F04BD" w:rsidP="0045239B">
      <w:pPr>
        <w:pStyle w:val="PARAIndent"/>
      </w:pPr>
      <w:r>
        <w:t xml:space="preserve">Equation (1) can be applied to </w:t>
      </w:r>
      <w:r w:rsidR="00A44B1E">
        <w:t>each</w:t>
      </w:r>
      <w:r>
        <w:t xml:space="preserve"> class within a multi-class model.</w:t>
      </w:r>
      <w:r w:rsidR="00453EB7">
        <w:t xml:space="preserve"> </w:t>
      </w:r>
      <w:r w:rsidR="00361216">
        <w:t xml:space="preserve">In this section we use the findings from the work of Vergara et al </w:t>
      </w:r>
      <w:r w:rsidR="00361216">
        <w:fldChar w:fldCharType="begin"/>
      </w:r>
      <w:r w:rsidR="00B26B74">
        <w:instrText xml:space="preserve"> ADDIN ZOTERO_ITEM CSL_CITATION {"citationID":"FZXYLD8S","properties":{"formattedCitation":"[13]","plainCitation":"[13]","noteIndex":0},"citationItems":[{"id":397,"uris":["http://zotero.org/users/16701048/items/TX9ELZMT"],"itemData":{"id":397,"type":"article-journal","abstract":"This paper introduces EngineFaultDB, a novel dataset capturing the intricacies of automotive engine diagnostics. Centered around the widely represented C14NE spark ignition engine, data was collected under controlled laboratory conditions, simulating various operational states, including normal and specific fault scenarios. Utilizing tools such as an NGA 6000 gas analyzer and a USB 6008 data acquisition card from National Instruments, we were able to monitor and capture a comprehensive range of engine parameters, from throttle position and fuel consumption to exhaust gas emissions. Our dataset, comprising 55,999 meticulously curated entries across 14 distinct variables, provides a holistic picture of engine behavior, making it an invaluable resource for automotive researchers and practitioners. For evaluation, several classifiers, including logistic regression, decision trees, random forests, support vector machines, k-nearest neighbors, and a feed-forward neural network, were trained on this dataset. Their performance, under standard configurations and a simple neural network architecture, offers foundational benchmarks for future explorations. Results underscore the dataset’s potential in fostering advanced diagnostic algorithms. As a testament to our commitment to open research, EngineFaultDB is freely available for academic use. Future work involves expanding the dataset’s diversity, exploring deeper neural architectures, and integrating real-world automotive conditions.","container-title":"IEEE Access","DOI":"10.1109/ACCESS.2023.3331316","ISSN":"2169-3536","journalAbbreviation":"IEEE Access","language":"en","license":"https://creativecommons.org/licenses/by-nc-nd/4.0/","page":"126155-126171","source":"DOI.org (Crossref)","title":"EngineFaultDB: A Novel Dataset for Automotive Engine Fault Classification and Baseline Results","title-short":"EngineFaultDB","volume":"11","author":[{"family":"Vergara","given":"Mary"},{"family":"Ramos","given":"Leo"},{"family":"Rivera-Campoverde","given":"Néstor Diego"},{"family":"Rivas-Echeverría","given":"Francklin"}],"issued":{"date-parts":[["2023"]]}}}],"schema":"https://github.com/citation-style-language/schema/raw/master/csl-citation.json"} </w:instrText>
      </w:r>
      <w:r w:rsidR="00361216">
        <w:fldChar w:fldCharType="separate"/>
      </w:r>
      <w:r w:rsidR="00B26B74" w:rsidRPr="00B26B74">
        <w:rPr>
          <w:rFonts w:cs="Times New Roman"/>
        </w:rPr>
        <w:t>[13]</w:t>
      </w:r>
      <w:r w:rsidR="00361216">
        <w:fldChar w:fldCharType="end"/>
      </w:r>
      <w:r w:rsidR="00361216">
        <w:t xml:space="preserve"> that compared the predictive </w:t>
      </w:r>
      <w:r w:rsidR="00A44B1E">
        <w:t>performance</w:t>
      </w:r>
      <w:r w:rsidR="00361216">
        <w:t xml:space="preserve"> of </w:t>
      </w:r>
      <w:r w:rsidR="00A44B1E">
        <w:t>various</w:t>
      </w:r>
      <w:r w:rsidR="00361216">
        <w:t xml:space="preserve"> machine learning techniques to identify faults in an internal combustion engine. </w:t>
      </w:r>
      <w:r w:rsidR="00A44B1E">
        <w:t xml:space="preserve">We focus on the </w:t>
      </w:r>
      <w:r w:rsidR="00361216">
        <w:t>cost-</w:t>
      </w:r>
      <w:r w:rsidR="003E1895">
        <w:rPr>
          <w:spacing w:val="2"/>
        </w:rPr>
        <w:t>efficiency</w:t>
      </w:r>
      <w:r w:rsidR="00361216">
        <w:t xml:space="preserve"> of the neural network (NN) and linear regression (LR) models</w:t>
      </w:r>
      <w:r w:rsidR="00A44B1E">
        <w:t>, using</w:t>
      </w:r>
      <w:r w:rsidR="00361216">
        <w:t xml:space="preserve"> </w:t>
      </w:r>
      <w:r w:rsidR="00A44B1E">
        <w:t>c</w:t>
      </w:r>
      <w:r w:rsidR="00361216">
        <w:t>onfusion matrice</w:t>
      </w:r>
      <w:r w:rsidR="00A44B1E">
        <w:t>s reported</w:t>
      </w:r>
      <w:r w:rsidR="00361216">
        <w:t xml:space="preserve"> by </w:t>
      </w:r>
      <w:r w:rsidR="00A44B1E">
        <w:fldChar w:fldCharType="begin"/>
      </w:r>
      <w:r w:rsidR="00B26B74">
        <w:instrText xml:space="preserve"> ADDIN ZOTERO_ITEM CSL_CITATION {"citationID":"9eBPeiJ2","properties":{"formattedCitation":"[13]","plainCitation":"[13]","noteIndex":0},"citationItems":[{"id":397,"uris":["http://zotero.org/users/16701048/items/TX9ELZMT"],"itemData":{"id":397,"type":"article-journal","abstract":"This paper introduces EngineFaultDB, a novel dataset capturing the intricacies of automotive engine diagnostics. Centered around the widely represented C14NE spark ignition engine, data was collected under controlled laboratory conditions, simulating various operational states, including normal and specific fault scenarios. Utilizing tools such as an NGA 6000 gas analyzer and a USB 6008 data acquisition card from National Instruments, we were able to monitor and capture a comprehensive range of engine parameters, from throttle position and fuel consumption to exhaust gas emissions. Our dataset, comprising 55,999 meticulously curated entries across 14 distinct variables, provides a holistic picture of engine behavior, making it an invaluable resource for automotive researchers and practitioners. For evaluation, several classifiers, including logistic regression, decision trees, random forests, support vector machines, k-nearest neighbors, and a feed-forward neural network, were trained on this dataset. Their performance, under standard configurations and a simple neural network architecture, offers foundational benchmarks for future explorations. Results underscore the dataset’s potential in fostering advanced diagnostic algorithms. As a testament to our commitment to open research, EngineFaultDB is freely available for academic use. Future work involves expanding the dataset’s diversity, exploring deeper neural architectures, and integrating real-world automotive conditions.","container-title":"IEEE Access","DOI":"10.1109/ACCESS.2023.3331316","ISSN":"2169-3536","journalAbbreviation":"IEEE Access","language":"en","license":"https://creativecommons.org/licenses/by-nc-nd/4.0/","page":"126155-126171","source":"DOI.org (Crossref)","title":"EngineFaultDB: A Novel Dataset for Automotive Engine Fault Classification and Baseline Results","title-short":"EngineFaultDB","volume":"11","author":[{"family":"Vergara","given":"Mary"},{"family":"Ramos","given":"Leo"},{"family":"Rivera-Campoverde","given":"Néstor Diego"},{"family":"Rivas-Echeverría","given":"Francklin"}],"issued":{"date-parts":[["2023"]]}}}],"schema":"https://github.com/citation-style-language/schema/raw/master/csl-citation.json"} </w:instrText>
      </w:r>
      <w:r w:rsidR="00A44B1E">
        <w:fldChar w:fldCharType="separate"/>
      </w:r>
      <w:r w:rsidR="00B26B74" w:rsidRPr="00B26B74">
        <w:rPr>
          <w:rFonts w:cs="Times New Roman"/>
        </w:rPr>
        <w:t>[13]</w:t>
      </w:r>
      <w:r w:rsidR="00A44B1E">
        <w:fldChar w:fldCharType="end"/>
      </w:r>
      <w:r w:rsidR="00B7709C">
        <w:t xml:space="preserve"> </w:t>
      </w:r>
      <w:r w:rsidR="00A44B1E">
        <w:t>(Figs</w:t>
      </w:r>
      <w:r w:rsidR="00361216">
        <w:t xml:space="preserve">. </w:t>
      </w:r>
      <w:r w:rsidR="00B50BAE">
        <w:t>1</w:t>
      </w:r>
      <w:r w:rsidR="00361216">
        <w:t xml:space="preserve"> and </w:t>
      </w:r>
      <w:r w:rsidR="00B50BAE">
        <w:t>2</w:t>
      </w:r>
      <w:r w:rsidR="00361216">
        <w:t>.</w:t>
      </w:r>
      <w:r w:rsidR="00A44B1E">
        <w:t>)</w:t>
      </w:r>
    </w:p>
    <w:p w14:paraId="1308B47D" w14:textId="4A851804" w:rsidR="00361216" w:rsidRDefault="003E1895" w:rsidP="00EF1494">
      <w:pPr>
        <w:pStyle w:val="PARAIndent"/>
        <w:ind w:firstLine="0"/>
      </w:pPr>
      <w:r>
        <w:rPr>
          <w:noProof/>
        </w:rPr>
        <w:drawing>
          <wp:anchor distT="0" distB="0" distL="114300" distR="114300" simplePos="0" relativeHeight="251658240" behindDoc="0" locked="0" layoutInCell="1" allowOverlap="1" wp14:anchorId="6AC20DF0" wp14:editId="1BE136A5">
            <wp:simplePos x="0" y="0"/>
            <wp:positionH relativeFrom="column">
              <wp:posOffset>565150</wp:posOffset>
            </wp:positionH>
            <wp:positionV relativeFrom="paragraph">
              <wp:posOffset>6350</wp:posOffset>
            </wp:positionV>
            <wp:extent cx="1752600" cy="1940560"/>
            <wp:effectExtent l="0" t="0" r="0" b="2540"/>
            <wp:wrapSquare wrapText="bothSides"/>
            <wp:docPr id="1944751815" name="Picture 1" descr="A graph of a fau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51815" name="Picture 1" descr="A graph of a faul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1940560"/>
                    </a:xfrm>
                    <a:prstGeom prst="rect">
                      <a:avLst/>
                    </a:prstGeom>
                  </pic:spPr>
                </pic:pic>
              </a:graphicData>
            </a:graphic>
            <wp14:sizeRelH relativeFrom="margin">
              <wp14:pctWidth>0</wp14:pctWidth>
            </wp14:sizeRelH>
            <wp14:sizeRelV relativeFrom="margin">
              <wp14:pctHeight>0</wp14:pctHeight>
            </wp14:sizeRelV>
          </wp:anchor>
        </w:drawing>
      </w:r>
    </w:p>
    <w:p w14:paraId="507E439D" w14:textId="0CEB0F35" w:rsidR="00B50BAE" w:rsidRPr="00486E60" w:rsidRDefault="00B50BAE" w:rsidP="00B50BAE">
      <w:pPr>
        <w:pStyle w:val="FigCaption"/>
      </w:pPr>
      <w:r>
        <w:t xml:space="preserve">Linear Regression Confusion Matrix from </w:t>
      </w:r>
      <w:r>
        <w:fldChar w:fldCharType="begin"/>
      </w:r>
      <w:r w:rsidR="00B26B74">
        <w:instrText xml:space="preserve"> ADDIN ZOTERO_ITEM CSL_CITATION {"citationID":"CSe3qJXW","properties":{"formattedCitation":"[13]","plainCitation":"[13]","noteIndex":0},"citationItems":[{"id":397,"uris":["http://zotero.org/users/16701048/items/TX9ELZMT"],"itemData":{"id":397,"type":"article-journal","abstract":"This paper introduces EngineFaultDB, a novel dataset capturing the intricacies of automotive engine diagnostics. Centered around the widely represented C14NE spark ignition engine, data was collected under controlled laboratory conditions, simulating various operational states, including normal and specific fault scenarios. Utilizing tools such as an NGA 6000 gas analyzer and a USB 6008 data acquisition card from National Instruments, we were able to monitor and capture a comprehensive range of engine parameters, from throttle position and fuel consumption to exhaust gas emissions. Our dataset, comprising 55,999 meticulously curated entries across 14 distinct variables, provides a holistic picture of engine behavior, making it an invaluable resource for automotive researchers and practitioners. For evaluation, several classifiers, including logistic regression, decision trees, random forests, support vector machines, k-nearest neighbors, and a feed-forward neural network, were trained on this dataset. Their performance, under standard configurations and a simple neural network architecture, offers foundational benchmarks for future explorations. Results underscore the dataset’s potential in fostering advanced diagnostic algorithms. As a testament to our commitment to open research, EngineFaultDB is freely available for academic use. Future work involves expanding the dataset’s diversity, exploring deeper neural architectures, and integrating real-world automotive conditions.","container-title":"IEEE Access","DOI":"10.1109/ACCESS.2023.3331316","ISSN":"2169-3536","journalAbbreviation":"IEEE Access","language":"en","license":"https://creativecommons.org/licenses/by-nc-nd/4.0/","page":"126155-126171","source":"DOI.org (Crossref)","title":"EngineFaultDB: A Novel Dataset for Automotive Engine Fault Classification and Baseline Results","title-short":"EngineFaultDB","volume":"11","author":[{"family":"Vergara","given":"Mary"},{"family":"Ramos","given":"Leo"},{"family":"Rivera-Campoverde","given":"Néstor Diego"},{"family":"Rivas-Echeverría","given":"Francklin"}],"issued":{"date-parts":[["2023"]]}}}],"schema":"https://github.com/citation-style-language/schema/raw/master/csl-citation.json"} </w:instrText>
      </w:r>
      <w:r>
        <w:fldChar w:fldCharType="separate"/>
      </w:r>
      <w:r w:rsidR="00B26B74" w:rsidRPr="00B26B74">
        <w:rPr>
          <w:rFonts w:cs="Helvetica"/>
        </w:rPr>
        <w:t>[13]</w:t>
      </w:r>
      <w:r>
        <w:fldChar w:fldCharType="end"/>
      </w:r>
      <w:r>
        <w:t xml:space="preserve"> for engine fault diagnosis</w:t>
      </w:r>
      <w:r w:rsidRPr="00486E60">
        <w:t>.</w:t>
      </w:r>
    </w:p>
    <w:p w14:paraId="7947D8F6" w14:textId="270E0401" w:rsidR="00361216" w:rsidRDefault="00361216" w:rsidP="008F04BD">
      <w:pPr>
        <w:pStyle w:val="PARAIndent"/>
      </w:pPr>
    </w:p>
    <w:p w14:paraId="050056BE" w14:textId="4A9B8FBE" w:rsidR="00361216" w:rsidRDefault="003E1895" w:rsidP="008F04BD">
      <w:pPr>
        <w:pStyle w:val="PARAIndent"/>
      </w:pPr>
      <w:r>
        <w:rPr>
          <w:noProof/>
        </w:rPr>
        <w:drawing>
          <wp:anchor distT="0" distB="0" distL="114300" distR="114300" simplePos="0" relativeHeight="251659264" behindDoc="0" locked="0" layoutInCell="1" allowOverlap="1" wp14:anchorId="53068AD9" wp14:editId="1FA020E6">
            <wp:simplePos x="0" y="0"/>
            <wp:positionH relativeFrom="margin">
              <wp:posOffset>558800</wp:posOffset>
            </wp:positionH>
            <wp:positionV relativeFrom="paragraph">
              <wp:posOffset>5080</wp:posOffset>
            </wp:positionV>
            <wp:extent cx="1746250" cy="1678305"/>
            <wp:effectExtent l="0" t="0" r="6350" b="0"/>
            <wp:wrapSquare wrapText="bothSides"/>
            <wp:docPr id="134301089" name="Picture 2" descr="A graph of a fau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1089" name="Picture 2" descr="A graph of a faul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250" cy="1678305"/>
                    </a:xfrm>
                    <a:prstGeom prst="rect">
                      <a:avLst/>
                    </a:prstGeom>
                  </pic:spPr>
                </pic:pic>
              </a:graphicData>
            </a:graphic>
            <wp14:sizeRelH relativeFrom="margin">
              <wp14:pctWidth>0</wp14:pctWidth>
            </wp14:sizeRelH>
            <wp14:sizeRelV relativeFrom="margin">
              <wp14:pctHeight>0</wp14:pctHeight>
            </wp14:sizeRelV>
          </wp:anchor>
        </w:drawing>
      </w:r>
    </w:p>
    <w:p w14:paraId="0A192C4C" w14:textId="2068A69F" w:rsidR="00B50BAE" w:rsidRPr="00486E60" w:rsidRDefault="00B50BAE" w:rsidP="00B50BAE">
      <w:pPr>
        <w:pStyle w:val="FigCaption"/>
      </w:pPr>
      <w:r>
        <w:t xml:space="preserve">Neural Network Confusion Matrix from </w:t>
      </w:r>
      <w:r>
        <w:fldChar w:fldCharType="begin"/>
      </w:r>
      <w:r w:rsidR="00B26B74">
        <w:instrText xml:space="preserve"> ADDIN ZOTERO_ITEM CSL_CITATION {"citationID":"iaHFu5hx","properties":{"formattedCitation":"[13]","plainCitation":"[13]","noteIndex":0},"citationItems":[{"id":397,"uris":["http://zotero.org/users/16701048/items/TX9ELZMT"],"itemData":{"id":397,"type":"article-journal","abstract":"This paper introduces EngineFaultDB, a novel dataset capturing the intricacies of automotive engine diagnostics. Centered around the widely represented C14NE spark ignition engine, data was collected under controlled laboratory conditions, simulating various operational states, including normal and specific fault scenarios. Utilizing tools such as an NGA 6000 gas analyzer and a USB 6008 data acquisition card from National Instruments, we were able to monitor and capture a comprehensive range of engine parameters, from throttle position and fuel consumption to exhaust gas emissions. Our dataset, comprising 55,999 meticulously curated entries across 14 distinct variables, provides a holistic picture of engine behavior, making it an invaluable resource for automotive researchers and practitioners. For evaluation, several classifiers, including logistic regression, decision trees, random forests, support vector machines, k-nearest neighbors, and a feed-forward neural network, were trained on this dataset. Their performance, under standard configurations and a simple neural network architecture, offers foundational benchmarks for future explorations. Results underscore the dataset’s potential in fostering advanced diagnostic algorithms. As a testament to our commitment to open research, EngineFaultDB is freely available for academic use. Future work involves expanding the dataset’s diversity, exploring deeper neural architectures, and integrating real-world automotive conditions.","container-title":"IEEE Access","DOI":"10.1109/ACCESS.2023.3331316","ISSN":"2169-3536","journalAbbreviation":"IEEE Access","language":"en","license":"https://creativecommons.org/licenses/by-nc-nd/4.0/","page":"126155-126171","source":"DOI.org (Crossref)","title":"EngineFaultDB: A Novel Dataset for Automotive Engine Fault Classification and Baseline Results","title-short":"EngineFaultDB","volume":"11","author":[{"family":"Vergara","given":"Mary"},{"family":"Ramos","given":"Leo"},{"family":"Rivera-Campoverde","given":"Néstor Diego"},{"family":"Rivas-Echeverría","given":"Francklin"}],"issued":{"date-parts":[["2023"]]}}}],"schema":"https://github.com/citation-style-language/schema/raw/master/csl-citation.json"} </w:instrText>
      </w:r>
      <w:r>
        <w:fldChar w:fldCharType="separate"/>
      </w:r>
      <w:r w:rsidR="00B26B74" w:rsidRPr="00B26B74">
        <w:rPr>
          <w:rFonts w:cs="Helvetica"/>
        </w:rPr>
        <w:t>[13]</w:t>
      </w:r>
      <w:r>
        <w:fldChar w:fldCharType="end"/>
      </w:r>
      <w:r>
        <w:t xml:space="preserve"> for engine fault diagnosis</w:t>
      </w:r>
      <w:r w:rsidRPr="00486E60">
        <w:t>.</w:t>
      </w:r>
    </w:p>
    <w:p w14:paraId="7B9EDE99" w14:textId="64A14C9B" w:rsidR="00361216" w:rsidRDefault="00361216" w:rsidP="008F04BD">
      <w:pPr>
        <w:pStyle w:val="PARAIndent"/>
      </w:pPr>
    </w:p>
    <w:p w14:paraId="4B45BFF5" w14:textId="3550DD7F" w:rsidR="00B50BAE" w:rsidRDefault="00B50BAE" w:rsidP="008F04BD">
      <w:pPr>
        <w:pStyle w:val="PARAIndent"/>
      </w:pPr>
      <w:r>
        <w:t xml:space="preserve">Examining predictions for fault 1, we see that NN clearly outperforms LR – all instances were identified and only three false predictions were made. </w:t>
      </w:r>
      <w:r w:rsidR="006F4214">
        <w:t>NN’s precision of 0.9986 suggests that predictive maintenance would only</w:t>
      </w:r>
      <w:r w:rsidR="003E1895">
        <w:t xml:space="preserve"> be</w:t>
      </w:r>
      <w:r w:rsidR="006F4214">
        <w:t xml:space="preserve"> cost </w:t>
      </w:r>
      <w:r w:rsidR="0045239B">
        <w:t>in</w:t>
      </w:r>
      <w:r w:rsidR="003E1895">
        <w:rPr>
          <w:spacing w:val="2"/>
        </w:rPr>
        <w:t>efficient</w:t>
      </w:r>
      <w:r w:rsidR="006F4214">
        <w:t xml:space="preserve"> if the cost of maintenance exceeded the cost of failure. </w:t>
      </w:r>
    </w:p>
    <w:p w14:paraId="5DC9E646" w14:textId="6BDC9144" w:rsidR="009E1D5E" w:rsidRDefault="006F4214" w:rsidP="00496B71">
      <w:pPr>
        <w:pStyle w:val="PARAIndent"/>
      </w:pPr>
      <w:r>
        <w:t>LR’s precision of 0.6470 is significantly inferior</w:t>
      </w:r>
      <w:r w:rsidR="00FF7DD3">
        <w:t>. However, LR is a transparent algorithm and may provide actionable insights into the cause of the fault, reducing the time and resources required for repairs.</w:t>
      </w:r>
      <w:r w:rsidRPr="00F543FD">
        <w:t xml:space="preserve"> </w:t>
      </w:r>
      <w:r w:rsidR="00F543FD" w:rsidRPr="00F543FD">
        <w:t xml:space="preserve">If it leads to a 35.3% reduction </w:t>
      </w:r>
      <w:r w:rsidR="00F543FD" w:rsidRPr="00F543FD">
        <w:t>in maintenance costs, LR would become as cost-efficient as the Neural Network despite its weaker predictive performance.</w:t>
      </w:r>
    </w:p>
    <w:p w14:paraId="4FE03DA4" w14:textId="5066EBE0" w:rsidR="009A6153" w:rsidRPr="00B7709C" w:rsidRDefault="00B7709C" w:rsidP="00B7709C">
      <w:pPr>
        <w:pStyle w:val="PARAIndent"/>
        <w:rPr>
          <w:lang w:val="en-GB"/>
        </w:rPr>
      </w:pPr>
      <w:r w:rsidRPr="00B7709C">
        <w:t xml:space="preserve">Evaluating model utility at class level provides nuanced insight into each model’s strengths. </w:t>
      </w:r>
      <w:r w:rsidRPr="00B7709C">
        <w:rPr>
          <w:lang w:val="en-GB"/>
        </w:rPr>
        <w:t xml:space="preserve">A broader assessment of overall utility can be obtained by aggregating class-specific </w:t>
      </w:r>
      <w:r w:rsidR="0056411F">
        <w:rPr>
          <w:lang w:val="en-GB"/>
        </w:rPr>
        <w:t>results</w:t>
      </w:r>
      <w:r w:rsidRPr="00B7709C">
        <w:rPr>
          <w:lang w:val="en-GB"/>
        </w:rPr>
        <w:t>, weighted by the prevalence of each class.</w:t>
      </w:r>
    </w:p>
    <w:p w14:paraId="4BFA177C" w14:textId="77777777" w:rsidR="00496B71" w:rsidRDefault="00496B71" w:rsidP="00496B71">
      <w:pPr>
        <w:pStyle w:val="PARAIndent"/>
      </w:pPr>
    </w:p>
    <w:p w14:paraId="635C8ABB" w14:textId="611FF5CC" w:rsidR="00453EB7" w:rsidRDefault="0003793F" w:rsidP="0003793F">
      <w:pPr>
        <w:pStyle w:val="H1ListNoSpace"/>
      </w:pPr>
      <w:r>
        <w:t>CLASSIFICATION COST</w:t>
      </w:r>
      <w:r w:rsidR="0045239B">
        <w:t>-</w:t>
      </w:r>
      <w:r w:rsidR="003E1895">
        <w:t>EFFECTIVENESS</w:t>
      </w:r>
    </w:p>
    <w:p w14:paraId="4EA58608" w14:textId="69E5D7C1" w:rsidR="006066E8" w:rsidRDefault="0003793F" w:rsidP="0011128A">
      <w:pPr>
        <w:pStyle w:val="PARAIndent"/>
        <w:ind w:firstLine="0"/>
      </w:pPr>
      <w:r>
        <w:t xml:space="preserve">The </w:t>
      </w:r>
      <w:r w:rsidR="00FF7DD3">
        <w:t xml:space="preserve">proposed </w:t>
      </w:r>
      <w:r>
        <w:t>cost-effectiveness ratio</w:t>
      </w:r>
      <w:r w:rsidR="00C93634">
        <w:t xml:space="preserve"> (CER)</w:t>
      </w:r>
      <w:r w:rsidR="0011128A">
        <w:t xml:space="preserve"> enables comparison of multiple models relative to a common benchmark. We calculate the ratio of a model’s expected </w:t>
      </w:r>
      <w:r>
        <w:t xml:space="preserve">cost reduction to the cost reduction for a perfect </w:t>
      </w:r>
      <w:r w:rsidR="00AE7B85">
        <w:t xml:space="preserve">black-box </w:t>
      </w:r>
      <w:r>
        <w:t>predicto</w:t>
      </w:r>
      <w:r w:rsidR="00AE7B85">
        <w:t xml:space="preserve">r. </w:t>
      </w:r>
    </w:p>
    <w:p w14:paraId="2599EB5F" w14:textId="103B512B" w:rsidR="00CB4D80" w:rsidRDefault="0003793F" w:rsidP="00FE448D">
      <w:pPr>
        <w:pStyle w:val="PARAIndent"/>
      </w:pPr>
      <w:r>
        <w:t xml:space="preserve">For </w:t>
      </w:r>
      <w:r w:rsidR="0045239B">
        <w:t>perfect</w:t>
      </w:r>
      <w:r>
        <w:t xml:space="preserve"> prediction of a binary classification of a maintenance need, the cost reduction is the cost of failure less the cost of required maintenance for each actual failure:</w:t>
      </w:r>
    </w:p>
    <w:p w14:paraId="2B6E92EF" w14:textId="55A8749D" w:rsidR="0003793F" w:rsidRPr="0011128A" w:rsidRDefault="00FF7DD3" w:rsidP="0011128A">
      <w:pPr>
        <w:pStyle w:val="PARAIndent"/>
      </w:pPr>
      <m:oMathPara>
        <m:oMath>
          <m:r>
            <w:rPr>
              <w:rFonts w:ascii="Cambria Math" w:hAnsi="Cambria Math"/>
            </w:rPr>
            <m:t>Perfect predictor cost saving=(</m:t>
          </m:r>
          <m:r>
            <m:rPr>
              <m:sty m:val="p"/>
            </m:rPr>
            <w:rPr>
              <w:rFonts w:ascii="Cambria Math" w:hAnsi="Cambria Math"/>
            </w:rPr>
            <m:t>FN</m:t>
          </m:r>
          <m:r>
            <w:rPr>
              <w:rFonts w:ascii="Cambria Math" w:hAnsi="Cambria Math"/>
            </w:rPr>
            <m:t xml:space="preserve">+ </m:t>
          </m:r>
          <m:r>
            <m:rPr>
              <m:sty m:val="p"/>
            </m:rPr>
            <w:rPr>
              <w:rFonts w:ascii="Cambria Math" w:hAnsi="Cambria Math"/>
            </w:rPr>
            <m:t>TP</m:t>
          </m:r>
          <m:r>
            <w:rPr>
              <w:rFonts w:ascii="Cambria Math" w:hAnsi="Cambria Math"/>
            </w:rPr>
            <m:t>)*(f-m)</m:t>
          </m:r>
        </m:oMath>
      </m:oMathPara>
    </w:p>
    <w:p w14:paraId="477A18C3" w14:textId="77777777" w:rsidR="0011128A" w:rsidRDefault="0011128A" w:rsidP="0011128A">
      <w:pPr>
        <w:pStyle w:val="PARAIndent"/>
      </w:pPr>
    </w:p>
    <w:p w14:paraId="39BF7E89" w14:textId="449BDD5C" w:rsidR="00CB4D80" w:rsidRDefault="00CB4D80" w:rsidP="006F5CC8">
      <w:pPr>
        <w:pStyle w:val="PARA"/>
      </w:pPr>
      <w:r>
        <w:t xml:space="preserve">For an imperfect predictor the </w:t>
      </w:r>
      <w:r w:rsidR="0011128A">
        <w:t xml:space="preserve">expected </w:t>
      </w:r>
      <w:r>
        <w:t>saving is:</w:t>
      </w:r>
    </w:p>
    <w:p w14:paraId="154B3042" w14:textId="1B108718" w:rsidR="00CB4D80" w:rsidRDefault="000C4F1A" w:rsidP="006F5CC8">
      <w:pPr>
        <w:pStyle w:val="PARA"/>
      </w:pPr>
      <m:oMathPara>
        <m:oMath>
          <m:r>
            <w:rPr>
              <w:rFonts w:ascii="Cambria Math" w:hAnsi="Cambria Math"/>
            </w:rPr>
            <m:t>Model</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cost</m:t>
          </m:r>
          <m:r>
            <m:rPr>
              <m:sty m:val="p"/>
            </m:rPr>
            <w:rPr>
              <w:rFonts w:ascii="Cambria Math" w:hAnsi="Cambria Math"/>
            </w:rPr>
            <m:t xml:space="preserve"> </m:t>
          </m:r>
          <m:r>
            <w:rPr>
              <w:rFonts w:ascii="Cambria Math" w:hAnsi="Cambria Math"/>
            </w:rPr>
            <m:t>saving</m:t>
          </m:r>
          <m:r>
            <m:rPr>
              <m:sty m:val="p"/>
            </m:rPr>
            <w:rPr>
              <w:rFonts w:ascii="Cambria Math" w:hAnsi="Cambria Math"/>
            </w:rPr>
            <m:t>= TP*(</m:t>
          </m:r>
          <m:r>
            <w:rPr>
              <w:rFonts w:ascii="Cambria Math" w:hAnsi="Cambria Math"/>
            </w:rPr>
            <m:t>f</m:t>
          </m:r>
          <m:r>
            <m:rPr>
              <m:sty m:val="p"/>
            </m:rPr>
            <w:rPr>
              <w:rFonts w:ascii="Cambria Math" w:hAnsi="Cambria Math"/>
            </w:rPr>
            <m:t>-</m:t>
          </m:r>
          <m:r>
            <w:rPr>
              <w:rFonts w:ascii="Cambria Math" w:hAnsi="Cambria Math"/>
            </w:rPr>
            <m:t>m</m:t>
          </m:r>
          <m:r>
            <m:rPr>
              <m:sty m:val="p"/>
            </m:rPr>
            <w:rPr>
              <w:rFonts w:ascii="Cambria Math" w:hAnsi="Cambria Math"/>
            </w:rPr>
            <m:t>)-(FP*</m:t>
          </m:r>
          <m:r>
            <w:rPr>
              <w:rFonts w:ascii="Cambria Math" w:hAnsi="Cambria Math"/>
            </w:rPr>
            <m:t>m)</m:t>
          </m:r>
        </m:oMath>
      </m:oMathPara>
    </w:p>
    <w:p w14:paraId="3D4534D6" w14:textId="77777777" w:rsidR="0003793F" w:rsidRPr="00FE448D" w:rsidRDefault="0003793F" w:rsidP="00FE448D">
      <w:pPr>
        <w:rPr>
          <w:sz w:val="20"/>
          <w:szCs w:val="20"/>
        </w:rPr>
      </w:pPr>
    </w:p>
    <w:p w14:paraId="1288B7AC" w14:textId="25F281E9" w:rsidR="006F5CC8" w:rsidRPr="00FE448D" w:rsidRDefault="00E67101" w:rsidP="00FE448D">
      <w:pPr>
        <w:rPr>
          <w:sz w:val="20"/>
          <w:szCs w:val="20"/>
        </w:rPr>
      </w:pPr>
      <w:r>
        <w:rPr>
          <w:sz w:val="20"/>
          <w:szCs w:val="20"/>
        </w:rPr>
        <w:t>Defining</w:t>
      </w:r>
      <w:r w:rsidR="00CB4D80" w:rsidRPr="00FE448D">
        <w:rPr>
          <w:sz w:val="20"/>
          <w:szCs w:val="20"/>
        </w:rPr>
        <w:t xml:space="preserve"> ou</w:t>
      </w:r>
      <w:r w:rsidR="00FE448D" w:rsidRPr="00FE448D">
        <w:rPr>
          <w:sz w:val="20"/>
          <w:szCs w:val="20"/>
        </w:rPr>
        <w:t>r</w:t>
      </w:r>
      <w:r w:rsidR="00CB4D80" w:rsidRPr="00FE448D">
        <w:rPr>
          <w:sz w:val="20"/>
          <w:szCs w:val="20"/>
        </w:rPr>
        <w:t xml:space="preserve"> cost-</w:t>
      </w:r>
      <w:r w:rsidR="0045239B">
        <w:rPr>
          <w:sz w:val="20"/>
          <w:szCs w:val="20"/>
        </w:rPr>
        <w:t>efficiency</w:t>
      </w:r>
      <w:r w:rsidR="00CB4D80" w:rsidRPr="00FE448D">
        <w:rPr>
          <w:sz w:val="20"/>
          <w:szCs w:val="20"/>
        </w:rPr>
        <w:t xml:space="preserve"> </w:t>
      </w:r>
      <w:r w:rsidR="00FE448D">
        <w:rPr>
          <w:sz w:val="20"/>
          <w:szCs w:val="20"/>
        </w:rPr>
        <w:t xml:space="preserve">ratio (CER) </w:t>
      </w:r>
      <w:r w:rsidR="00CB4D80" w:rsidRPr="00FE448D">
        <w:rPr>
          <w:sz w:val="20"/>
          <w:szCs w:val="20"/>
        </w:rPr>
        <w:t>to be:</w:t>
      </w:r>
      <w:r w:rsidR="00FE448D" w:rsidRPr="00FE448D">
        <w:rPr>
          <w:sz w:val="20"/>
          <w:szCs w:val="20"/>
        </w:rPr>
        <w:t xml:space="preserve"> </w:t>
      </w:r>
    </w:p>
    <w:p w14:paraId="67F84F33" w14:textId="59521DB6" w:rsidR="00CB4D80" w:rsidRPr="00241C15" w:rsidRDefault="00FE448D" w:rsidP="00FE448D">
      <w:pPr>
        <w:rPr>
          <w:sz w:val="20"/>
          <w:szCs w:val="20"/>
        </w:rPr>
      </w:pPr>
      <m:oMathPara>
        <m:oMathParaPr>
          <m:jc m:val="right"/>
        </m:oMathParaPr>
        <m:oMath>
          <m:r>
            <w:rPr>
              <w:rFonts w:ascii="Cambria Math" w:hAnsi="Cambria Math"/>
              <w:sz w:val="20"/>
              <w:szCs w:val="20"/>
            </w:rPr>
            <m:t xml:space="preserve">CER= </m:t>
          </m:r>
          <m:f>
            <m:fPr>
              <m:ctrlPr>
                <w:rPr>
                  <w:rFonts w:ascii="Cambria Math" w:hAnsi="Cambria Math"/>
                  <w:sz w:val="20"/>
                  <w:szCs w:val="20"/>
                </w:rPr>
              </m:ctrlPr>
            </m:fPr>
            <m:num>
              <m:r>
                <w:rPr>
                  <w:rFonts w:ascii="Cambria Math" w:hAnsi="Cambria Math"/>
                  <w:sz w:val="20"/>
                  <w:szCs w:val="20"/>
                </w:rPr>
                <m:t>Mode</m:t>
              </m:r>
              <m:sSup>
                <m:sSupPr>
                  <m:ctrlPr>
                    <w:rPr>
                      <w:rFonts w:ascii="Cambria Math" w:hAnsi="Cambria Math"/>
                      <w:i/>
                      <w:sz w:val="20"/>
                      <w:szCs w:val="20"/>
                    </w:rPr>
                  </m:ctrlPr>
                </m:sSupPr>
                <m:e>
                  <m:r>
                    <w:rPr>
                      <w:rFonts w:ascii="Cambria Math" w:hAnsi="Cambria Math"/>
                      <w:sz w:val="20"/>
                      <w:szCs w:val="20"/>
                    </w:rPr>
                    <m:t>l</m:t>
                  </m:r>
                </m:e>
                <m:sup>
                  <m:r>
                    <w:rPr>
                      <w:rFonts w:ascii="Cambria Math" w:hAnsi="Cambria Math"/>
                      <w:sz w:val="20"/>
                      <w:szCs w:val="20"/>
                    </w:rPr>
                    <m:t>'</m:t>
                  </m:r>
                </m:sup>
              </m:sSup>
              <m:r>
                <w:rPr>
                  <w:rFonts w:ascii="Cambria Math" w:hAnsi="Cambria Math"/>
                  <w:sz w:val="20"/>
                  <w:szCs w:val="20"/>
                </w:rPr>
                <m:t>s expected cost saving</m:t>
              </m:r>
            </m:num>
            <m:den>
              <m:r>
                <w:rPr>
                  <w:rFonts w:ascii="Cambria Math" w:hAnsi="Cambria Math"/>
                  <w:sz w:val="20"/>
                  <w:szCs w:val="20"/>
                </w:rPr>
                <m:t>Perfect predictor cost saving</m:t>
              </m:r>
            </m:den>
          </m:f>
          <m:r>
            <m:rPr>
              <m:sty m:val="p"/>
            </m:rP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2</m:t>
              </m:r>
            </m:e>
          </m:d>
        </m:oMath>
      </m:oMathPara>
    </w:p>
    <w:p w14:paraId="027855A0" w14:textId="77777777" w:rsidR="00FE448D" w:rsidRDefault="00FE448D" w:rsidP="0004090A">
      <w:pPr>
        <w:pStyle w:val="PARAIndent"/>
        <w:ind w:firstLine="0"/>
      </w:pPr>
    </w:p>
    <w:p w14:paraId="36A40B07" w14:textId="067A7A13" w:rsidR="00FE448D" w:rsidRPr="00FE448D" w:rsidRDefault="00E67101" w:rsidP="00FE448D">
      <w:pPr>
        <w:rPr>
          <w:sz w:val="20"/>
          <w:szCs w:val="20"/>
        </w:rPr>
      </w:pPr>
      <w:r>
        <w:rPr>
          <w:sz w:val="20"/>
          <w:szCs w:val="20"/>
        </w:rPr>
        <w:t>We can state that:</w:t>
      </w:r>
      <w:r w:rsidR="00FE448D" w:rsidRPr="00FE448D">
        <w:rPr>
          <w:sz w:val="20"/>
          <w:szCs w:val="20"/>
        </w:rPr>
        <w:t xml:space="preserve"> </w:t>
      </w:r>
    </w:p>
    <w:p w14:paraId="4E47DA71" w14:textId="346A5FAC" w:rsidR="00FE448D" w:rsidRPr="00241C15" w:rsidRDefault="00FE448D" w:rsidP="00FE448D">
      <w:pPr>
        <w:rPr>
          <w:sz w:val="20"/>
          <w:szCs w:val="20"/>
        </w:rPr>
      </w:pPr>
      <m:oMathPara>
        <m:oMathParaPr>
          <m:jc m:val="right"/>
        </m:oMathParaPr>
        <m:oMath>
          <m:r>
            <w:rPr>
              <w:rFonts w:ascii="Cambria Math" w:hAnsi="Cambria Math"/>
              <w:sz w:val="20"/>
              <w:szCs w:val="20"/>
            </w:rPr>
            <m:t xml:space="preserve">CER= </m:t>
          </m:r>
          <m:f>
            <m:fPr>
              <m:ctrlPr>
                <w:rPr>
                  <w:rFonts w:ascii="Cambria Math" w:hAnsi="Cambria Math"/>
                  <w:sz w:val="20"/>
                  <w:szCs w:val="20"/>
                </w:rPr>
              </m:ctrlPr>
            </m:fPr>
            <m:num>
              <m:r>
                <w:rPr>
                  <w:rFonts w:ascii="Cambria Math" w:hAnsi="Cambria Math"/>
                  <w:sz w:val="20"/>
                  <w:szCs w:val="20"/>
                </w:rPr>
                <m:t xml:space="preserve"> </m:t>
              </m:r>
              <m:r>
                <m:rPr>
                  <m:sty m:val="p"/>
                </m:rPr>
                <w:rPr>
                  <w:rFonts w:ascii="Cambria Math" w:hAnsi="Cambria Math"/>
                  <w:sz w:val="20"/>
                  <w:szCs w:val="20"/>
                </w:rPr>
                <m:t>TP</m:t>
              </m:r>
              <m:r>
                <w:rPr>
                  <w:rFonts w:ascii="Cambria Math" w:hAnsi="Cambria Math"/>
                  <w:sz w:val="20"/>
                  <w:szCs w:val="20"/>
                </w:rPr>
                <m:t>*(f-m)-(</m:t>
              </m:r>
              <m:r>
                <m:rPr>
                  <m:sty m:val="p"/>
                </m:rPr>
                <w:rPr>
                  <w:rFonts w:ascii="Cambria Math" w:hAnsi="Cambria Math"/>
                  <w:sz w:val="20"/>
                  <w:szCs w:val="20"/>
                </w:rPr>
                <m:t>FP</m:t>
              </m:r>
              <m:r>
                <w:rPr>
                  <w:rFonts w:ascii="Cambria Math" w:hAnsi="Cambria Math"/>
                  <w:sz w:val="20"/>
                  <w:szCs w:val="20"/>
                </w:rPr>
                <m:t>*m)</m:t>
              </m:r>
            </m:num>
            <m:den>
              <m:r>
                <w:rPr>
                  <w:rFonts w:ascii="Cambria Math" w:hAnsi="Cambria Math"/>
                  <w:sz w:val="20"/>
                  <w:szCs w:val="20"/>
                </w:rPr>
                <m:t>(</m:t>
              </m:r>
              <m:r>
                <m:rPr>
                  <m:sty m:val="p"/>
                </m:rPr>
                <w:rPr>
                  <w:rFonts w:ascii="Cambria Math" w:hAnsi="Cambria Math"/>
                  <w:sz w:val="20"/>
                  <w:szCs w:val="20"/>
                </w:rPr>
                <m:t>FN</m:t>
              </m:r>
              <m:r>
                <w:rPr>
                  <w:rFonts w:ascii="Cambria Math" w:hAnsi="Cambria Math"/>
                  <w:sz w:val="20"/>
                  <w:szCs w:val="20"/>
                </w:rPr>
                <m:t xml:space="preserve">+ </m:t>
              </m:r>
              <m:r>
                <m:rPr>
                  <m:sty m:val="p"/>
                </m:rPr>
                <w:rPr>
                  <w:rFonts w:ascii="Cambria Math" w:hAnsi="Cambria Math"/>
                  <w:sz w:val="20"/>
                  <w:szCs w:val="20"/>
                </w:rPr>
                <m:t>TP</m:t>
              </m:r>
              <m:r>
                <w:rPr>
                  <w:rFonts w:ascii="Cambria Math" w:hAnsi="Cambria Math"/>
                  <w:sz w:val="20"/>
                  <w:szCs w:val="20"/>
                </w:rPr>
                <m:t>)*(f-m)</m:t>
              </m:r>
            </m:den>
          </m:f>
          <m:r>
            <m:rPr>
              <m:sty m:val="p"/>
            </m:rPr>
            <w:rPr>
              <w:rFonts w:ascii="Cambria Math" w:hAnsi="Cambria Math"/>
              <w:sz w:val="20"/>
              <w:szCs w:val="20"/>
            </w:rPr>
            <m:t xml:space="preserve">                        (3) </m:t>
          </m:r>
        </m:oMath>
      </m:oMathPara>
    </w:p>
    <w:p w14:paraId="1BD37673" w14:textId="77777777" w:rsidR="00FE448D" w:rsidRDefault="00FE448D" w:rsidP="008F04BD">
      <w:pPr>
        <w:pStyle w:val="PARAIndent"/>
      </w:pPr>
    </w:p>
    <w:p w14:paraId="25D27791" w14:textId="2F27C4F9" w:rsidR="00FE448D" w:rsidRDefault="007B753F" w:rsidP="00FE448D">
      <w:pPr>
        <w:pStyle w:val="PARAIndent"/>
        <w:ind w:firstLine="0"/>
      </w:pPr>
      <w:r>
        <w:t xml:space="preserve">It is expected that the failure cost, </w:t>
      </w:r>
      <w:r w:rsidRPr="007B753F">
        <w:rPr>
          <w:i/>
          <w:iCs/>
        </w:rPr>
        <w:t>f</w:t>
      </w:r>
      <w:r>
        <w:rPr>
          <w:i/>
          <w:iCs/>
        </w:rPr>
        <w:t>,</w:t>
      </w:r>
      <w:r>
        <w:t xml:space="preserve"> will be consistent for </w:t>
      </w:r>
      <w:r w:rsidR="006F4C4C">
        <w:t>both models</w:t>
      </w:r>
      <w:r>
        <w:t>. If we assume that maintenance costs are also consistent, d</w:t>
      </w:r>
      <w:r w:rsidR="00FE448D" w:rsidRPr="007B753F">
        <w:t>ivision</w:t>
      </w:r>
      <w:r w:rsidR="00FE448D">
        <w:t xml:space="preserve"> </w:t>
      </w:r>
      <w:r w:rsidR="00F40428">
        <w:t xml:space="preserve">of numerator and denominator </w:t>
      </w:r>
      <w:r w:rsidR="00FE448D">
        <w:t xml:space="preserve">by </w:t>
      </w:r>
      <w:r w:rsidR="00FE448D" w:rsidRPr="00FE448D">
        <w:rPr>
          <w:i/>
          <w:iCs/>
        </w:rPr>
        <w:t>(f – m)</w:t>
      </w:r>
      <w:r w:rsidR="00FE448D">
        <w:rPr>
          <w:i/>
          <w:iCs/>
        </w:rPr>
        <w:t xml:space="preserve"> </w:t>
      </w:r>
      <w:r w:rsidR="00FE448D">
        <w:t>gives:</w:t>
      </w:r>
    </w:p>
    <w:p w14:paraId="3B48AC74" w14:textId="6C4530EC" w:rsidR="00A26023" w:rsidRPr="00A26023" w:rsidRDefault="00A26023" w:rsidP="00A26023">
      <w:pPr>
        <w:rPr>
          <w:sz w:val="20"/>
          <w:szCs w:val="20"/>
        </w:rPr>
      </w:pPr>
      <m:oMathPara>
        <m:oMath>
          <m:r>
            <w:rPr>
              <w:rFonts w:ascii="Cambria Math" w:hAnsi="Cambria Math"/>
              <w:sz w:val="20"/>
              <w:szCs w:val="20"/>
            </w:rPr>
            <m:t>CER</m:t>
          </m:r>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 xml:space="preserve"> TP</m:t>
              </m:r>
            </m:num>
            <m:den>
              <m:r>
                <m:rPr>
                  <m:sty m:val="p"/>
                </m:rPr>
                <w:rPr>
                  <w:rFonts w:ascii="Cambria Math" w:hAnsi="Cambria Math"/>
                  <w:sz w:val="20"/>
                  <w:szCs w:val="20"/>
                </w:rPr>
                <m:t>(FN+ TP)</m:t>
              </m:r>
            </m:den>
          </m:f>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FP</m:t>
              </m:r>
            </m:num>
            <m:den>
              <m:d>
                <m:dPr>
                  <m:ctrlPr>
                    <w:rPr>
                      <w:rFonts w:ascii="Cambria Math" w:hAnsi="Cambria Math"/>
                      <w:i/>
                      <w:sz w:val="20"/>
                      <w:szCs w:val="20"/>
                    </w:rPr>
                  </m:ctrlPr>
                </m:dPr>
                <m:e>
                  <m:r>
                    <m:rPr>
                      <m:sty m:val="p"/>
                    </m:rPr>
                    <w:rPr>
                      <w:rFonts w:ascii="Cambria Math" w:hAnsi="Cambria Math"/>
                      <w:sz w:val="20"/>
                      <w:szCs w:val="20"/>
                    </w:rPr>
                    <m:t>FN</m:t>
                  </m:r>
                  <m:r>
                    <w:rPr>
                      <w:rFonts w:ascii="Cambria Math" w:hAnsi="Cambria Math"/>
                      <w:sz w:val="20"/>
                      <w:szCs w:val="20"/>
                    </w:rPr>
                    <m:t>+</m:t>
                  </m:r>
                  <m:r>
                    <m:rPr>
                      <m:sty m:val="p"/>
                    </m:rPr>
                    <w:rPr>
                      <w:rFonts w:ascii="Cambria Math" w:hAnsi="Cambria Math"/>
                      <w:sz w:val="20"/>
                      <w:szCs w:val="20"/>
                    </w:rPr>
                    <m:t>TP</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m</m:t>
              </m:r>
            </m:num>
            <m:den>
              <m:d>
                <m:dPr>
                  <m:ctrlPr>
                    <w:rPr>
                      <w:rFonts w:ascii="Cambria Math" w:hAnsi="Cambria Math"/>
                      <w:i/>
                      <w:sz w:val="20"/>
                      <w:szCs w:val="20"/>
                    </w:rPr>
                  </m:ctrlPr>
                </m:dPr>
                <m:e>
                  <m:r>
                    <w:rPr>
                      <w:rFonts w:ascii="Cambria Math" w:hAnsi="Cambria Math"/>
                      <w:sz w:val="20"/>
                      <w:szCs w:val="20"/>
                    </w:rPr>
                    <m:t>f-m</m:t>
                  </m:r>
                </m:e>
              </m:d>
            </m:den>
          </m:f>
        </m:oMath>
      </m:oMathPara>
    </w:p>
    <w:p w14:paraId="76C8B414" w14:textId="77777777" w:rsidR="00FE448D" w:rsidRPr="00A26023" w:rsidRDefault="00FE448D" w:rsidP="00A26023">
      <w:pPr>
        <w:rPr>
          <w:sz w:val="20"/>
          <w:szCs w:val="20"/>
        </w:rPr>
      </w:pPr>
    </w:p>
    <w:p w14:paraId="107959AF" w14:textId="23BC4246" w:rsidR="0004090A" w:rsidRDefault="00A26023" w:rsidP="001D587C">
      <w:pPr>
        <w:jc w:val="both"/>
        <w:rPr>
          <w:sz w:val="20"/>
          <w:szCs w:val="20"/>
        </w:rPr>
      </w:pPr>
      <w:r>
        <w:rPr>
          <w:sz w:val="20"/>
          <w:szCs w:val="20"/>
        </w:rPr>
        <w:t xml:space="preserve">The first element </w:t>
      </w:r>
      <m:oMath>
        <m:r>
          <w:rPr>
            <w:rFonts w:ascii="Cambria Math" w:hAnsi="Cambria Math"/>
            <w:sz w:val="20"/>
            <w:szCs w:val="20"/>
          </w:rPr>
          <m:t>TP/(FN+TP)</m:t>
        </m:r>
      </m:oMath>
      <w:r>
        <w:rPr>
          <w:sz w:val="20"/>
          <w:szCs w:val="20"/>
        </w:rPr>
        <w:t xml:space="preserve"> is recognised as the </w:t>
      </w:r>
      <w:r w:rsidRPr="00A26023">
        <w:rPr>
          <w:b/>
          <w:bCs/>
          <w:sz w:val="20"/>
          <w:szCs w:val="20"/>
        </w:rPr>
        <w:t>recall</w:t>
      </w:r>
      <w:r>
        <w:rPr>
          <w:sz w:val="20"/>
          <w:szCs w:val="20"/>
        </w:rPr>
        <w:t xml:space="preserve"> statistic. The quantity </w:t>
      </w:r>
      <m:oMath>
        <m:r>
          <w:rPr>
            <w:rFonts w:ascii="Cambria Math" w:hAnsi="Cambria Math"/>
            <w:sz w:val="20"/>
            <w:szCs w:val="20"/>
          </w:rPr>
          <m:t>FP/(FN+TP)</m:t>
        </m:r>
      </m:oMath>
      <w:r>
        <w:rPr>
          <w:sz w:val="20"/>
          <w:szCs w:val="20"/>
        </w:rPr>
        <w:t xml:space="preserve"> represents false predictions as a proportion of the true number of classes, we have named this ratio the </w:t>
      </w:r>
      <w:r w:rsidRPr="0004090A">
        <w:rPr>
          <w:b/>
          <w:bCs/>
          <w:sz w:val="20"/>
          <w:szCs w:val="20"/>
        </w:rPr>
        <w:t>falsehood ratio</w:t>
      </w:r>
      <w:r w:rsidR="00B25403">
        <w:rPr>
          <w:b/>
          <w:bCs/>
          <w:sz w:val="20"/>
          <w:szCs w:val="20"/>
        </w:rPr>
        <w:t>, FR</w:t>
      </w:r>
      <w:r>
        <w:rPr>
          <w:sz w:val="20"/>
          <w:szCs w:val="20"/>
        </w:rPr>
        <w:t xml:space="preserve">. Finally, </w:t>
      </w:r>
      <w:r w:rsidR="0004090A">
        <w:rPr>
          <w:sz w:val="20"/>
          <w:szCs w:val="20"/>
        </w:rPr>
        <w:t xml:space="preserve">the </w:t>
      </w:r>
      <m:oMath>
        <m:r>
          <w:rPr>
            <w:rFonts w:ascii="Cambria Math" w:hAnsi="Cambria Math"/>
            <w:sz w:val="20"/>
            <w:szCs w:val="20"/>
          </w:rPr>
          <m:t>m/(f-m)</m:t>
        </m:r>
      </m:oMath>
      <w:r w:rsidR="0004090A">
        <w:rPr>
          <w:sz w:val="20"/>
          <w:szCs w:val="20"/>
        </w:rPr>
        <w:t xml:space="preserve"> quantity has been rewritten in terms of the </w:t>
      </w:r>
      <w:r w:rsidR="0004090A" w:rsidRPr="000C4F1A">
        <w:rPr>
          <w:b/>
          <w:bCs/>
          <w:sz w:val="20"/>
          <w:szCs w:val="20"/>
        </w:rPr>
        <w:t>FMCR</w:t>
      </w:r>
      <w:r w:rsidR="0004090A">
        <w:rPr>
          <w:sz w:val="20"/>
          <w:szCs w:val="20"/>
        </w:rPr>
        <w:t xml:space="preserve"> (</w:t>
      </w:r>
      <w:r w:rsidR="0004090A" w:rsidRPr="0004090A">
        <w:rPr>
          <w:i/>
          <w:iCs/>
          <w:sz w:val="20"/>
          <w:szCs w:val="20"/>
        </w:rPr>
        <w:t>m/f</w:t>
      </w:r>
      <w:r w:rsidR="0004090A">
        <w:rPr>
          <w:sz w:val="20"/>
          <w:szCs w:val="20"/>
        </w:rPr>
        <w:t>)</w:t>
      </w:r>
      <w:r w:rsidR="00E67101">
        <w:rPr>
          <w:sz w:val="20"/>
          <w:szCs w:val="20"/>
        </w:rPr>
        <w:t>:</w:t>
      </w:r>
    </w:p>
    <w:p w14:paraId="2EEF00C8" w14:textId="3D74D179" w:rsidR="0004090A" w:rsidRPr="00241C15" w:rsidRDefault="00DC6CFB" w:rsidP="00A26023">
      <w:pPr>
        <w:rPr>
          <w:sz w:val="20"/>
          <w:szCs w:val="20"/>
        </w:rPr>
      </w:pPr>
      <m:oMathPara>
        <m:oMathParaPr>
          <m:jc m:val="right"/>
        </m:oMathParaPr>
        <m:oMath>
          <m:r>
            <m:rPr>
              <m:sty m:val="p"/>
            </m:rPr>
            <w:rPr>
              <w:rFonts w:ascii="Cambria Math" w:hAnsi="Cambria Math"/>
              <w:sz w:val="20"/>
              <w:szCs w:val="20"/>
            </w:rPr>
            <m:t xml:space="preserve">CER= </m:t>
          </m:r>
          <m:r>
            <w:rPr>
              <w:rFonts w:ascii="Cambria Math" w:hAnsi="Cambria Math"/>
              <w:sz w:val="20"/>
              <w:szCs w:val="20"/>
            </w:rPr>
            <m:t>recall-</m:t>
          </m:r>
          <m:r>
            <m:rPr>
              <m:sty m:val="p"/>
            </m:rPr>
            <w:rPr>
              <w:rFonts w:ascii="Cambria Math" w:hAnsi="Cambria Math"/>
              <w:sz w:val="20"/>
              <w:szCs w:val="20"/>
            </w:rPr>
            <m:t>FR</m:t>
          </m:r>
          <m:r>
            <w:rPr>
              <w:rFonts w:ascii="Cambria Math" w:hAnsi="Cambria Math"/>
              <w:sz w:val="20"/>
              <w:szCs w:val="20"/>
            </w:rPr>
            <m:t xml:space="preserve">* </m:t>
          </m:r>
          <m:f>
            <m:fPr>
              <m:ctrlPr>
                <w:rPr>
                  <w:rFonts w:ascii="Cambria Math" w:hAnsi="Cambria Math"/>
                  <w:i/>
                  <w:sz w:val="20"/>
                  <w:szCs w:val="20"/>
                </w:rPr>
              </m:ctrlPr>
            </m:fPr>
            <m:num>
              <m:r>
                <m:rPr>
                  <m:sty m:val="p"/>
                </m:rPr>
                <w:rPr>
                  <w:rFonts w:ascii="Cambria Math" w:hAnsi="Cambria Math"/>
                  <w:sz w:val="20"/>
                  <w:szCs w:val="20"/>
                </w:rPr>
                <m:t>FMCR</m:t>
              </m:r>
            </m:num>
            <m:den>
              <m:d>
                <m:dPr>
                  <m:ctrlPr>
                    <w:rPr>
                      <w:rFonts w:ascii="Cambria Math" w:hAnsi="Cambria Math"/>
                      <w:i/>
                      <w:sz w:val="20"/>
                      <w:szCs w:val="20"/>
                    </w:rPr>
                  </m:ctrlPr>
                </m:dPr>
                <m:e>
                  <m:r>
                    <w:rPr>
                      <w:rFonts w:ascii="Cambria Math" w:hAnsi="Cambria Math"/>
                      <w:sz w:val="20"/>
                      <w:szCs w:val="20"/>
                    </w:rPr>
                    <m:t>1-</m:t>
                  </m:r>
                  <m:r>
                    <m:rPr>
                      <m:sty m:val="p"/>
                    </m:rPr>
                    <w:rPr>
                      <w:rFonts w:ascii="Cambria Math" w:hAnsi="Cambria Math"/>
                      <w:sz w:val="20"/>
                      <w:szCs w:val="20"/>
                    </w:rPr>
                    <m:t>FMCR</m:t>
                  </m:r>
                </m:e>
              </m:d>
            </m:den>
          </m:f>
          <m:r>
            <w:rPr>
              <w:rFonts w:ascii="Cambria Math" w:hAnsi="Cambria Math"/>
              <w:sz w:val="20"/>
              <w:szCs w:val="20"/>
            </w:rPr>
            <m:t xml:space="preserve">                   (4)</m:t>
          </m:r>
        </m:oMath>
      </m:oMathPara>
    </w:p>
    <w:p w14:paraId="57C6D52B" w14:textId="77777777" w:rsidR="00FE448D" w:rsidRDefault="00FE448D" w:rsidP="008178EE">
      <w:pPr>
        <w:pStyle w:val="PARAIndent"/>
      </w:pPr>
    </w:p>
    <w:p w14:paraId="0568403D" w14:textId="515DED63" w:rsidR="00844ECD" w:rsidRDefault="00C70E54" w:rsidP="008178EE">
      <w:pPr>
        <w:pStyle w:val="PARAIndent"/>
      </w:pPr>
      <w:r>
        <w:t xml:space="preserve">Equation 4 describes CER </w:t>
      </w:r>
      <w:proofErr w:type="gramStart"/>
      <w:r>
        <w:t>for</w:t>
      </w:r>
      <w:proofErr w:type="gramEnd"/>
      <w:r>
        <w:t xml:space="preserve"> a black-box model. </w:t>
      </w:r>
      <w:r w:rsidR="007B753F">
        <w:t>However, i</w:t>
      </w:r>
      <w:r w:rsidR="00FA1ED5">
        <w:t xml:space="preserve">f </w:t>
      </w:r>
      <w:r w:rsidR="007B753F">
        <w:t>the</w:t>
      </w:r>
      <w:r w:rsidR="00FA1ED5">
        <w:t xml:space="preserve"> model </w:t>
      </w:r>
      <w:r w:rsidR="007B753F">
        <w:t xml:space="preserve">under test </w:t>
      </w:r>
      <w:r w:rsidR="00FA1ED5">
        <w:t xml:space="preserve">provides an explanation to reduce maintenance costs, </w:t>
      </w:r>
      <w:r w:rsidR="00844ECD">
        <w:t xml:space="preserve">in equation 4, the numerator’s value of </w:t>
      </w:r>
      <w:r w:rsidR="00FA1ED5" w:rsidRPr="008178EE">
        <w:t>m</w:t>
      </w:r>
      <w:r w:rsidR="00844ECD" w:rsidRPr="008178EE">
        <w:t xml:space="preserve"> </w:t>
      </w:r>
      <w:r w:rsidR="00844ECD">
        <w:t>will be reduced. We have added</w:t>
      </w:r>
      <w:r w:rsidR="007B753F">
        <w:t xml:space="preserve"> </w:t>
      </w:r>
      <w:r w:rsidR="00251F55">
        <w:t>an explanatory factor (</w:t>
      </w:r>
      <w:r w:rsidR="00844ECD" w:rsidRPr="000C4F1A">
        <w:rPr>
          <w:b/>
          <w:bCs/>
        </w:rPr>
        <w:t>α</w:t>
      </w:r>
      <w:r w:rsidR="00251F55">
        <w:t>)</w:t>
      </w:r>
      <w:r w:rsidR="00844ECD">
        <w:t xml:space="preserve"> to represent the ratio between the reduced cost and the original cost</w:t>
      </w:r>
      <w:r>
        <w:t xml:space="preserve"> to equation 3:</w:t>
      </w:r>
    </w:p>
    <w:p w14:paraId="0B751611" w14:textId="3F15432D" w:rsidR="00844ECD" w:rsidRPr="00241C15" w:rsidRDefault="00DC6CFB" w:rsidP="00844ECD">
      <w:pPr>
        <w:rPr>
          <w:sz w:val="20"/>
          <w:szCs w:val="20"/>
        </w:rPr>
      </w:pPr>
      <m:oMathPara>
        <m:oMathParaPr>
          <m:jc m:val="right"/>
        </m:oMathParaPr>
        <m:oMath>
          <m:r>
            <m:rPr>
              <m:sty m:val="p"/>
            </m:rPr>
            <w:rPr>
              <w:rFonts w:ascii="Cambria Math" w:hAnsi="Cambria Math"/>
              <w:sz w:val="20"/>
              <w:szCs w:val="20"/>
            </w:rPr>
            <m:t>CER</m:t>
          </m:r>
          <m:r>
            <w:rPr>
              <w:rFonts w:ascii="Cambria Math" w:hAnsi="Cambria Math"/>
              <w:sz w:val="20"/>
              <w:szCs w:val="20"/>
            </w:rPr>
            <m:t xml:space="preserve">= </m:t>
          </m:r>
          <m:f>
            <m:fPr>
              <m:ctrlPr>
                <w:rPr>
                  <w:rFonts w:ascii="Cambria Math" w:hAnsi="Cambria Math"/>
                  <w:sz w:val="20"/>
                  <w:szCs w:val="20"/>
                </w:rPr>
              </m:ctrlPr>
            </m:fPr>
            <m:num>
              <m:r>
                <w:rPr>
                  <w:rFonts w:ascii="Cambria Math" w:hAnsi="Cambria Math"/>
                  <w:sz w:val="20"/>
                  <w:szCs w:val="20"/>
                </w:rPr>
                <m:t xml:space="preserve"> </m:t>
              </m:r>
              <m:r>
                <m:rPr>
                  <m:sty m:val="p"/>
                </m:rPr>
                <w:rPr>
                  <w:rFonts w:ascii="Cambria Math" w:hAnsi="Cambria Math"/>
                  <w:sz w:val="20"/>
                  <w:szCs w:val="20"/>
                </w:rPr>
                <m:t>TP</m:t>
              </m:r>
              <m:r>
                <w:rPr>
                  <w:rFonts w:ascii="Cambria Math" w:hAnsi="Cambria Math"/>
                  <w:sz w:val="20"/>
                  <w:szCs w:val="20"/>
                </w:rPr>
                <m:t>*(f-αm)-(</m:t>
              </m:r>
              <m:r>
                <m:rPr>
                  <m:sty m:val="p"/>
                </m:rPr>
                <w:rPr>
                  <w:rFonts w:ascii="Cambria Math" w:hAnsi="Cambria Math"/>
                  <w:sz w:val="20"/>
                  <w:szCs w:val="20"/>
                </w:rPr>
                <m:t>FP</m:t>
              </m:r>
              <m:r>
                <w:rPr>
                  <w:rFonts w:ascii="Cambria Math" w:hAnsi="Cambria Math"/>
                  <w:sz w:val="20"/>
                  <w:szCs w:val="20"/>
                </w:rPr>
                <m:t>*αm)</m:t>
              </m:r>
            </m:num>
            <m:den>
              <m:r>
                <w:rPr>
                  <w:rFonts w:ascii="Cambria Math" w:hAnsi="Cambria Math"/>
                  <w:sz w:val="20"/>
                  <w:szCs w:val="20"/>
                </w:rPr>
                <m:t>(</m:t>
              </m:r>
              <m:r>
                <m:rPr>
                  <m:sty m:val="p"/>
                </m:rPr>
                <w:rPr>
                  <w:rFonts w:ascii="Cambria Math" w:hAnsi="Cambria Math"/>
                  <w:sz w:val="20"/>
                  <w:szCs w:val="20"/>
                </w:rPr>
                <m:t>FN</m:t>
              </m:r>
              <m:r>
                <w:rPr>
                  <w:rFonts w:ascii="Cambria Math" w:hAnsi="Cambria Math"/>
                  <w:sz w:val="20"/>
                  <w:szCs w:val="20"/>
                </w:rPr>
                <m:t xml:space="preserve">+ </m:t>
              </m:r>
              <m:r>
                <m:rPr>
                  <m:sty m:val="p"/>
                </m:rPr>
                <w:rPr>
                  <w:rFonts w:ascii="Cambria Math" w:hAnsi="Cambria Math"/>
                  <w:sz w:val="20"/>
                  <w:szCs w:val="20"/>
                </w:rPr>
                <m:t>TP</m:t>
              </m:r>
              <m:r>
                <w:rPr>
                  <w:rFonts w:ascii="Cambria Math" w:hAnsi="Cambria Math"/>
                  <w:sz w:val="20"/>
                  <w:szCs w:val="20"/>
                </w:rPr>
                <m:t>)*(f-m)</m:t>
              </m:r>
            </m:den>
          </m:f>
          <m:r>
            <m:rPr>
              <m:sty m:val="p"/>
            </m:rPr>
            <w:rPr>
              <w:rFonts w:ascii="Cambria Math" w:hAnsi="Cambria Math"/>
              <w:sz w:val="20"/>
              <w:szCs w:val="20"/>
            </w:rPr>
            <m:t xml:space="preserve">             (3.1)</m:t>
          </m:r>
        </m:oMath>
      </m:oMathPara>
    </w:p>
    <w:p w14:paraId="25DC3C9B" w14:textId="1FEE9FE6" w:rsidR="00844ECD" w:rsidRDefault="00844ECD" w:rsidP="00844ECD">
      <w:pPr>
        <w:pStyle w:val="PARAIndent"/>
        <w:ind w:firstLine="0"/>
      </w:pPr>
    </w:p>
    <w:p w14:paraId="7ADC0D85" w14:textId="6C35ADB7" w:rsidR="007B753F" w:rsidRDefault="007B753F" w:rsidP="006C04BE">
      <w:pPr>
        <w:pStyle w:val="PARAIndent"/>
        <w:ind w:firstLine="0"/>
      </w:pPr>
      <w:r>
        <w:lastRenderedPageBreak/>
        <w:t>Now, dividing numerator and denominator by (</w:t>
      </w:r>
      <w:r w:rsidRPr="008178EE">
        <w:rPr>
          <w:i/>
          <w:iCs/>
        </w:rPr>
        <w:t>f – m</w:t>
      </w:r>
      <w:r>
        <w:t>) gives:</w:t>
      </w:r>
    </w:p>
    <w:p w14:paraId="65272C98" w14:textId="7D3AF515" w:rsidR="007B753F" w:rsidRDefault="00DC6CFB" w:rsidP="007B753F">
      <w:pPr>
        <w:rPr>
          <w:sz w:val="20"/>
          <w:szCs w:val="20"/>
        </w:rPr>
      </w:pPr>
      <m:oMathPara>
        <m:oMath>
          <m:r>
            <m:rPr>
              <m:sty m:val="p"/>
            </m:rPr>
            <w:rPr>
              <w:rFonts w:ascii="Cambria Math" w:hAnsi="Cambria Math"/>
              <w:sz w:val="20"/>
              <w:szCs w:val="20"/>
            </w:rPr>
            <m:t xml:space="preserve">CER= </m:t>
          </m:r>
          <m:f>
            <m:fPr>
              <m:ctrlPr>
                <w:rPr>
                  <w:rFonts w:ascii="Cambria Math" w:hAnsi="Cambria Math"/>
                  <w:sz w:val="20"/>
                  <w:szCs w:val="20"/>
                </w:rPr>
              </m:ctrlPr>
            </m:fPr>
            <m:num>
              <m:r>
                <m:rPr>
                  <m:sty m:val="p"/>
                </m:rPr>
                <w:rPr>
                  <w:rFonts w:ascii="Cambria Math" w:hAnsi="Cambria Math"/>
                  <w:sz w:val="20"/>
                  <w:szCs w:val="20"/>
                </w:rPr>
                <m:t xml:space="preserve"> TP</m:t>
              </m:r>
              <m:r>
                <w:rPr>
                  <w:rFonts w:ascii="Cambria Math" w:hAnsi="Cambria Math"/>
                  <w:sz w:val="20"/>
                  <w:szCs w:val="20"/>
                </w:rPr>
                <m:t>* (f-αm)</m:t>
              </m:r>
            </m:num>
            <m:den>
              <m:r>
                <m:rPr>
                  <m:sty m:val="p"/>
                </m:rPr>
                <w:rPr>
                  <w:rFonts w:ascii="Cambria Math" w:hAnsi="Cambria Math"/>
                  <w:sz w:val="20"/>
                  <w:szCs w:val="20"/>
                </w:rPr>
                <m:t>(FN+ TP)</m:t>
              </m:r>
              <m:r>
                <w:rPr>
                  <w:rFonts w:ascii="Cambria Math" w:hAnsi="Cambria Math"/>
                  <w:sz w:val="20"/>
                  <w:szCs w:val="20"/>
                </w:rPr>
                <m:t>*(f-m)</m:t>
              </m:r>
            </m:den>
          </m:f>
          <m:r>
            <w:rPr>
              <w:rFonts w:ascii="Cambria Math" w:hAnsi="Cambria Math"/>
              <w:sz w:val="20"/>
              <w:szCs w:val="20"/>
            </w:rPr>
            <m:t xml:space="preserve"> -</m:t>
          </m:r>
          <m:f>
            <m:fPr>
              <m:ctrlPr>
                <w:rPr>
                  <w:rFonts w:ascii="Cambria Math" w:hAnsi="Cambria Math"/>
                  <w:i/>
                  <w:sz w:val="20"/>
                  <w:szCs w:val="20"/>
                </w:rPr>
              </m:ctrlPr>
            </m:fPr>
            <m:num>
              <m:r>
                <m:rPr>
                  <m:sty m:val="p"/>
                </m:rPr>
                <w:rPr>
                  <w:rFonts w:ascii="Cambria Math" w:hAnsi="Cambria Math"/>
                  <w:sz w:val="20"/>
                  <w:szCs w:val="20"/>
                </w:rPr>
                <m:t>FP</m:t>
              </m:r>
            </m:num>
            <m:den>
              <m:d>
                <m:dPr>
                  <m:ctrlPr>
                    <w:rPr>
                      <w:rFonts w:ascii="Cambria Math" w:hAnsi="Cambria Math"/>
                      <w:i/>
                      <w:sz w:val="20"/>
                      <w:szCs w:val="20"/>
                    </w:rPr>
                  </m:ctrlPr>
                </m:dPr>
                <m:e>
                  <m:r>
                    <m:rPr>
                      <m:sty m:val="p"/>
                    </m:rPr>
                    <w:rPr>
                      <w:rFonts w:ascii="Cambria Math" w:hAnsi="Cambria Math"/>
                      <w:sz w:val="20"/>
                      <w:szCs w:val="20"/>
                    </w:rPr>
                    <m:t>FN</m:t>
                  </m:r>
                  <m:r>
                    <w:rPr>
                      <w:rFonts w:ascii="Cambria Math" w:hAnsi="Cambria Math"/>
                      <w:sz w:val="20"/>
                      <w:szCs w:val="20"/>
                    </w:rPr>
                    <m:t>+</m:t>
                  </m:r>
                  <m:r>
                    <m:rPr>
                      <m:sty m:val="p"/>
                    </m:rPr>
                    <w:rPr>
                      <w:rFonts w:ascii="Cambria Math" w:hAnsi="Cambria Math"/>
                      <w:sz w:val="20"/>
                      <w:szCs w:val="20"/>
                    </w:rPr>
                    <m:t>TP</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αm</m:t>
              </m:r>
            </m:num>
            <m:den>
              <m:d>
                <m:dPr>
                  <m:ctrlPr>
                    <w:rPr>
                      <w:rFonts w:ascii="Cambria Math" w:hAnsi="Cambria Math"/>
                      <w:i/>
                      <w:sz w:val="20"/>
                      <w:szCs w:val="20"/>
                    </w:rPr>
                  </m:ctrlPr>
                </m:dPr>
                <m:e>
                  <m:r>
                    <w:rPr>
                      <w:rFonts w:ascii="Cambria Math" w:hAnsi="Cambria Math"/>
                      <w:sz w:val="20"/>
                      <w:szCs w:val="20"/>
                    </w:rPr>
                    <m:t>f-m</m:t>
                  </m:r>
                </m:e>
              </m:d>
            </m:den>
          </m:f>
        </m:oMath>
      </m:oMathPara>
    </w:p>
    <w:p w14:paraId="26F46027" w14:textId="77777777" w:rsidR="007B753F" w:rsidRDefault="007B753F" w:rsidP="007B753F">
      <w:pPr>
        <w:rPr>
          <w:sz w:val="20"/>
          <w:szCs w:val="20"/>
        </w:rPr>
      </w:pPr>
    </w:p>
    <w:p w14:paraId="3FCD2005" w14:textId="1574CF42" w:rsidR="00B25403" w:rsidRDefault="007B753F" w:rsidP="007B753F">
      <w:pPr>
        <w:rPr>
          <w:sz w:val="20"/>
          <w:szCs w:val="20"/>
        </w:rPr>
      </w:pPr>
      <w:r>
        <w:rPr>
          <w:sz w:val="20"/>
          <w:szCs w:val="20"/>
        </w:rPr>
        <w:t>Which</w:t>
      </w:r>
      <w:r w:rsidR="00241C15">
        <w:rPr>
          <w:sz w:val="20"/>
          <w:szCs w:val="20"/>
        </w:rPr>
        <w:t>,</w:t>
      </w:r>
      <w:r>
        <w:rPr>
          <w:sz w:val="20"/>
          <w:szCs w:val="20"/>
        </w:rPr>
        <w:t xml:space="preserve"> </w:t>
      </w:r>
      <w:r w:rsidR="00B25403">
        <w:rPr>
          <w:sz w:val="20"/>
          <w:szCs w:val="20"/>
        </w:rPr>
        <w:t>when expressing in terms of FMCR, recall and falsehood ratio</w:t>
      </w:r>
      <w:r w:rsidR="00241C15">
        <w:rPr>
          <w:sz w:val="20"/>
          <w:szCs w:val="20"/>
        </w:rPr>
        <w:t>,</w:t>
      </w:r>
      <w:r w:rsidR="00B25403">
        <w:rPr>
          <w:sz w:val="20"/>
          <w:szCs w:val="20"/>
        </w:rPr>
        <w:t xml:space="preserve"> gives:</w:t>
      </w:r>
    </w:p>
    <w:p w14:paraId="5A138F61" w14:textId="70B62B2D" w:rsidR="00B25403" w:rsidRPr="00241C15" w:rsidRDefault="00DC6CFB" w:rsidP="007B753F">
      <w:pPr>
        <w:rPr>
          <w:sz w:val="20"/>
          <w:szCs w:val="20"/>
        </w:rPr>
      </w:pPr>
      <m:oMathPara>
        <m:oMath>
          <m:r>
            <m:rPr>
              <m:sty m:val="p"/>
            </m:rPr>
            <w:rPr>
              <w:rFonts w:ascii="Cambria Math" w:hAnsi="Cambria Math"/>
              <w:sz w:val="20"/>
              <w:szCs w:val="20"/>
            </w:rPr>
            <m:t>CER=</m:t>
          </m:r>
          <m:r>
            <w:rPr>
              <w:rFonts w:ascii="Cambria Math" w:hAnsi="Cambria Math"/>
              <w:sz w:val="20"/>
              <w:szCs w:val="20"/>
            </w:rPr>
            <m:t>recall*</m:t>
          </m:r>
          <m:f>
            <m:fPr>
              <m:ctrlPr>
                <w:rPr>
                  <w:rFonts w:ascii="Cambria Math" w:hAnsi="Cambria Math"/>
                  <w:i/>
                  <w:sz w:val="20"/>
                  <w:szCs w:val="20"/>
                </w:rPr>
              </m:ctrlPr>
            </m:fPr>
            <m:num>
              <m:r>
                <w:rPr>
                  <w:rFonts w:ascii="Cambria Math" w:hAnsi="Cambria Math"/>
                  <w:sz w:val="20"/>
                  <w:szCs w:val="20"/>
                </w:rPr>
                <m:t>(1-αFMCR)</m:t>
              </m:r>
            </m:num>
            <m:den>
              <m:r>
                <w:rPr>
                  <w:rFonts w:ascii="Cambria Math" w:hAnsi="Cambria Math"/>
                  <w:sz w:val="20"/>
                  <w:szCs w:val="20"/>
                </w:rPr>
                <m:t>(1-</m:t>
              </m:r>
              <m:r>
                <m:rPr>
                  <m:sty m:val="p"/>
                </m:rPr>
                <w:rPr>
                  <w:rFonts w:ascii="Cambria Math" w:hAnsi="Cambria Math"/>
                  <w:sz w:val="20"/>
                  <w:szCs w:val="20"/>
                </w:rPr>
                <m:t>FMCR</m:t>
              </m:r>
              <m:r>
                <w:rPr>
                  <w:rFonts w:ascii="Cambria Math" w:hAnsi="Cambria Math"/>
                  <w:sz w:val="20"/>
                  <w:szCs w:val="20"/>
                </w:rPr>
                <m:t>)</m:t>
              </m:r>
            </m:den>
          </m:f>
          <m:r>
            <w:rPr>
              <w:rFonts w:ascii="Cambria Math" w:hAnsi="Cambria Math"/>
              <w:sz w:val="20"/>
              <w:szCs w:val="20"/>
            </w:rPr>
            <m:t xml:space="preserve"> - FR* </m:t>
          </m:r>
          <m:f>
            <m:fPr>
              <m:ctrlPr>
                <w:rPr>
                  <w:rFonts w:ascii="Cambria Math" w:hAnsi="Cambria Math"/>
                  <w:i/>
                  <w:sz w:val="20"/>
                  <w:szCs w:val="20"/>
                </w:rPr>
              </m:ctrlPr>
            </m:fPr>
            <m:num>
              <m:r>
                <w:rPr>
                  <w:rFonts w:ascii="Cambria Math" w:hAnsi="Cambria Math"/>
                  <w:sz w:val="20"/>
                  <w:szCs w:val="20"/>
                </w:rPr>
                <m:t>αFMCR</m:t>
              </m:r>
            </m:num>
            <m:den>
              <m:d>
                <m:dPr>
                  <m:ctrlPr>
                    <w:rPr>
                      <w:rFonts w:ascii="Cambria Math" w:hAnsi="Cambria Math"/>
                      <w:i/>
                      <w:sz w:val="20"/>
                      <w:szCs w:val="20"/>
                    </w:rPr>
                  </m:ctrlPr>
                </m:dPr>
                <m:e>
                  <m:r>
                    <w:rPr>
                      <w:rFonts w:ascii="Cambria Math" w:hAnsi="Cambria Math"/>
                      <w:sz w:val="20"/>
                      <w:szCs w:val="20"/>
                    </w:rPr>
                    <m:t>1-</m:t>
                  </m:r>
                  <m:r>
                    <m:rPr>
                      <m:sty m:val="p"/>
                    </m:rPr>
                    <w:rPr>
                      <w:rFonts w:ascii="Cambria Math" w:hAnsi="Cambria Math"/>
                      <w:sz w:val="20"/>
                      <w:szCs w:val="20"/>
                    </w:rPr>
                    <m:t>FMCR</m:t>
                  </m:r>
                </m:e>
              </m:d>
            </m:den>
          </m:f>
          <m:r>
            <w:rPr>
              <w:rFonts w:ascii="Cambria Math" w:hAnsi="Cambria Math"/>
              <w:sz w:val="20"/>
              <w:szCs w:val="20"/>
            </w:rPr>
            <m:t xml:space="preserve">  </m:t>
          </m:r>
        </m:oMath>
      </m:oMathPara>
    </w:p>
    <w:p w14:paraId="73ACA5FA" w14:textId="77777777" w:rsidR="00241C15" w:rsidRDefault="00241C15" w:rsidP="007B753F">
      <w:pPr>
        <w:rPr>
          <w:sz w:val="20"/>
          <w:szCs w:val="20"/>
        </w:rPr>
      </w:pPr>
    </w:p>
    <w:p w14:paraId="476D5059" w14:textId="3D3FC236" w:rsidR="00B25403" w:rsidRDefault="00B25403" w:rsidP="00241C15">
      <w:pPr>
        <w:pStyle w:val="PARAIndent"/>
        <w:ind w:firstLine="0"/>
      </w:pPr>
      <w:r>
        <w:t xml:space="preserve">This can be simplified a little </w:t>
      </w:r>
      <w:r w:rsidR="00FA2F02">
        <w:t>for</w:t>
      </w:r>
      <w:r>
        <w:t>:</w:t>
      </w:r>
    </w:p>
    <w:p w14:paraId="49EAFD09" w14:textId="5EB7A764" w:rsidR="007B753F" w:rsidRPr="00241C15" w:rsidRDefault="00DC6CFB" w:rsidP="00B25403">
      <m:oMathPara>
        <m:oMathParaPr>
          <m:jc m:val="right"/>
        </m:oMathParaPr>
        <m:oMath>
          <m:r>
            <m:rPr>
              <m:sty m:val="p"/>
            </m:rPr>
            <w:rPr>
              <w:rFonts w:ascii="Cambria Math" w:hAnsi="Cambria Math"/>
              <w:sz w:val="20"/>
              <w:szCs w:val="20"/>
            </w:rPr>
            <m:t>CER=</m:t>
          </m:r>
          <m:f>
            <m:fPr>
              <m:ctrlPr>
                <w:rPr>
                  <w:rFonts w:ascii="Cambria Math" w:hAnsi="Cambria Math"/>
                  <w:i/>
                  <w:sz w:val="20"/>
                  <w:szCs w:val="20"/>
                </w:rPr>
              </m:ctrlPr>
            </m:fPr>
            <m:num>
              <m:r>
                <w:rPr>
                  <w:rFonts w:ascii="Cambria Math" w:hAnsi="Cambria Math"/>
                  <w:sz w:val="20"/>
                  <w:szCs w:val="20"/>
                </w:rPr>
                <m:t>recall- α*</m:t>
              </m:r>
              <m:r>
                <m:rPr>
                  <m:sty m:val="p"/>
                </m:rPr>
                <w:rPr>
                  <w:rFonts w:ascii="Cambria Math" w:hAnsi="Cambria Math"/>
                  <w:sz w:val="20"/>
                  <w:szCs w:val="20"/>
                </w:rPr>
                <m:t>FMCR</m:t>
              </m:r>
              <m:r>
                <w:rPr>
                  <w:rFonts w:ascii="Cambria Math" w:hAnsi="Cambria Math"/>
                  <w:sz w:val="20"/>
                  <w:szCs w:val="20"/>
                </w:rPr>
                <m:t>*(recall+</m:t>
              </m:r>
              <m:r>
                <m:rPr>
                  <m:sty m:val="p"/>
                </m:rPr>
                <w:rPr>
                  <w:rFonts w:ascii="Cambria Math" w:hAnsi="Cambria Math"/>
                  <w:sz w:val="20"/>
                  <w:szCs w:val="20"/>
                </w:rPr>
                <m:t>FR</m:t>
              </m:r>
              <m:r>
                <w:rPr>
                  <w:rFonts w:ascii="Cambria Math" w:hAnsi="Cambria Math"/>
                  <w:sz w:val="20"/>
                  <w:szCs w:val="20"/>
                </w:rPr>
                <m:t>)</m:t>
              </m:r>
            </m:num>
            <m:den>
              <m:r>
                <w:rPr>
                  <w:rFonts w:ascii="Cambria Math" w:hAnsi="Cambria Math"/>
                  <w:sz w:val="20"/>
                  <w:szCs w:val="20"/>
                </w:rPr>
                <m:t>1-</m:t>
              </m:r>
              <m:r>
                <m:rPr>
                  <m:sty m:val="p"/>
                </m:rPr>
                <w:rPr>
                  <w:rFonts w:ascii="Cambria Math" w:hAnsi="Cambria Math"/>
                  <w:sz w:val="20"/>
                  <w:szCs w:val="20"/>
                </w:rPr>
                <m:t>FMCR</m:t>
              </m:r>
            </m:den>
          </m:f>
          <m:r>
            <w:rPr>
              <w:rFonts w:ascii="Cambria Math" w:hAnsi="Cambria Math"/>
              <w:sz w:val="20"/>
              <w:szCs w:val="20"/>
            </w:rPr>
            <m:t xml:space="preserve">           (4.1)</m:t>
          </m:r>
        </m:oMath>
      </m:oMathPara>
    </w:p>
    <w:p w14:paraId="54D8A70C" w14:textId="1C7A1E9F" w:rsidR="007B753F" w:rsidRDefault="007B753F" w:rsidP="006C04BE">
      <w:pPr>
        <w:pStyle w:val="PARAIndent"/>
        <w:ind w:firstLine="0"/>
      </w:pPr>
    </w:p>
    <w:p w14:paraId="259CA260" w14:textId="18537A74" w:rsidR="00844ECD" w:rsidRDefault="00251F55" w:rsidP="006C04BE">
      <w:pPr>
        <w:pStyle w:val="PARAIndent"/>
        <w:ind w:firstLine="0"/>
      </w:pPr>
      <w:r>
        <w:t xml:space="preserve">While more complex, this expression captures the trade-off </w:t>
      </w:r>
      <w:r w:rsidRPr="00251F55">
        <w:t xml:space="preserve">between predictive performance and </w:t>
      </w:r>
      <w:r>
        <w:t xml:space="preserve">interpretability. The numerator is a balance of performance metrics and the explanatory factor </w:t>
      </w:r>
      <m:oMath>
        <m:r>
          <w:rPr>
            <w:rFonts w:ascii="Cambria Math" w:hAnsi="Cambria Math"/>
          </w:rPr>
          <m:t>α</m:t>
        </m:r>
      </m:oMath>
      <w:r>
        <w:t xml:space="preserve">. </w:t>
      </w:r>
      <w:r w:rsidR="00F459EC">
        <w:t xml:space="preserve"> </w:t>
      </w:r>
      <w:r w:rsidRPr="00251F55">
        <w:t xml:space="preserve">However, the introduction of α as a second context-specific variable limits </w:t>
      </w:r>
      <w:proofErr w:type="spellStart"/>
      <w:r w:rsidRPr="00251F55">
        <w:t>generalisa</w:t>
      </w:r>
      <w:r w:rsidR="001D587C">
        <w:t>tion</w:t>
      </w:r>
      <w:proofErr w:type="spellEnd"/>
      <w:r w:rsidRPr="00251F55">
        <w:t xml:space="preserve"> of individual CER values across different applications.</w:t>
      </w:r>
    </w:p>
    <w:p w14:paraId="41937C9D" w14:textId="4193918D" w:rsidR="00CA6B90" w:rsidRDefault="00BA1EAC" w:rsidP="008F04BD">
      <w:pPr>
        <w:pStyle w:val="PARAIndent"/>
      </w:pPr>
      <w:r>
        <w:rPr>
          <w:noProof/>
        </w:rPr>
        <w:drawing>
          <wp:anchor distT="0" distB="0" distL="114300" distR="114300" simplePos="0" relativeHeight="251685888" behindDoc="0" locked="0" layoutInCell="1" allowOverlap="1" wp14:anchorId="0AAE2020" wp14:editId="5543ABA8">
            <wp:simplePos x="0" y="0"/>
            <wp:positionH relativeFrom="margin">
              <wp:align>right</wp:align>
            </wp:positionH>
            <wp:positionV relativeFrom="paragraph">
              <wp:posOffset>184150</wp:posOffset>
            </wp:positionV>
            <wp:extent cx="3060700" cy="2390775"/>
            <wp:effectExtent l="0" t="0" r="6350" b="9525"/>
            <wp:wrapSquare wrapText="bothSides"/>
            <wp:docPr id="905193258"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93258" name="Graphic 905193258"/>
                    <pic:cNvPicPr/>
                  </pic:nvPicPr>
                  <pic:blipFill>
                    <a:blip r:embed="rId13">
                      <a:extLst>
                        <a:ext uri="{96DAC541-7B7A-43D3-8B79-37D633B846F1}">
                          <asvg:svgBlip xmlns:asvg="http://schemas.microsoft.com/office/drawing/2016/SVG/main" r:embed="rId14"/>
                        </a:ext>
                      </a:extLst>
                    </a:blip>
                    <a:stretch>
                      <a:fillRect/>
                    </a:stretch>
                  </pic:blipFill>
                  <pic:spPr>
                    <a:xfrm>
                      <a:off x="0" y="0"/>
                      <a:ext cx="3060700" cy="2390775"/>
                    </a:xfrm>
                    <a:prstGeom prst="rect">
                      <a:avLst/>
                    </a:prstGeom>
                  </pic:spPr>
                </pic:pic>
              </a:graphicData>
            </a:graphic>
          </wp:anchor>
        </w:drawing>
      </w:r>
      <w:r w:rsidR="00C70E54">
        <w:t>Equations 4 and 4.1</w:t>
      </w:r>
      <w:r w:rsidR="001B720D">
        <w:t xml:space="preserve"> only appl</w:t>
      </w:r>
      <w:r w:rsidR="00C70E54">
        <w:t>y</w:t>
      </w:r>
      <w:r w:rsidR="001B720D">
        <w:t xml:space="preserve"> when maintenance </w:t>
      </w:r>
      <w:r w:rsidR="0056411F">
        <w:t>and failure</w:t>
      </w:r>
      <w:r w:rsidR="001B720D">
        <w:t xml:space="preserve"> costs</w:t>
      </w:r>
      <w:r w:rsidR="0056411F">
        <w:t xml:space="preserve"> differ</w:t>
      </w:r>
      <w:r w:rsidR="001B720D">
        <w:t xml:space="preserve">. This is not considered a weakness as there is no business case for predictive maintenance in that scenario. </w:t>
      </w:r>
      <w:r w:rsidR="0004090A">
        <w:t xml:space="preserve">A CER of </w:t>
      </w:r>
      <w:r w:rsidR="00C70E54">
        <w:t>greater than one is possible when</w:t>
      </w:r>
      <w:r w:rsidR="006F5CC8">
        <w:t xml:space="preserve"> explanations reduce maintenance costs sufficiently for the model to outperform perfect </w:t>
      </w:r>
      <w:r w:rsidR="00CA6B90">
        <w:t xml:space="preserve">but </w:t>
      </w:r>
      <w:r w:rsidR="00241C15">
        <w:t xml:space="preserve">unexplained </w:t>
      </w:r>
      <w:r w:rsidR="006F5CC8">
        <w:t>prediction</w:t>
      </w:r>
      <w:r w:rsidR="00A53E3C">
        <w:t>s</w:t>
      </w:r>
      <w:r w:rsidR="006F5CC8">
        <w:t>.</w:t>
      </w:r>
      <w:r w:rsidR="009C6A89">
        <w:t xml:space="preserve"> </w:t>
      </w:r>
    </w:p>
    <w:p w14:paraId="74D5893A" w14:textId="3534B1BE" w:rsidR="008178EE" w:rsidRPr="008178EE" w:rsidRDefault="00A53E3C" w:rsidP="008F04BD">
      <w:pPr>
        <w:pStyle w:val="PARAIndent"/>
      </w:pPr>
      <w:r>
        <w:t>N</w:t>
      </w:r>
      <w:r w:rsidR="00CA6B90">
        <w:t xml:space="preserve">egative CER values </w:t>
      </w:r>
      <w:r w:rsidR="0056411F">
        <w:t>indicate that</w:t>
      </w:r>
      <w:r w:rsidR="00CA6B90">
        <w:t xml:space="preserve"> a model introduces more cost than benefit</w:t>
      </w:r>
      <w:r w:rsidR="0056411F">
        <w:t xml:space="preserve">. The gradient of </w:t>
      </w:r>
      <w:r w:rsidR="0056411F" w:rsidRPr="00DC6CFB">
        <w:t>FMCR / (1 – FMCR) is</w:t>
      </w:r>
      <w:r w:rsidR="0056411F">
        <w:t xml:space="preserve"> positive, as </w:t>
      </w:r>
      <w:r>
        <w:t xml:space="preserve">FMCR </w:t>
      </w:r>
      <w:r w:rsidR="0056411F">
        <w:t>increases the negative component</w:t>
      </w:r>
      <w:r>
        <w:t xml:space="preserve"> of the denominator</w:t>
      </w:r>
      <w:r w:rsidR="0056411F">
        <w:t xml:space="preserve"> may dominate</w:t>
      </w:r>
      <w:r>
        <w:t>.</w:t>
      </w:r>
    </w:p>
    <w:p w14:paraId="34A3114B" w14:textId="1E16068F" w:rsidR="00F459EC" w:rsidRDefault="00496B71" w:rsidP="00A56F58">
      <w:pPr>
        <w:pStyle w:val="H2First"/>
      </w:pPr>
      <w:r>
        <w:t>Cost-</w:t>
      </w:r>
      <w:r w:rsidR="0045239B">
        <w:t>Eff</w:t>
      </w:r>
      <w:r w:rsidR="008178EE">
        <w:t>ectiveness</w:t>
      </w:r>
      <w:r>
        <w:t xml:space="preserve"> Illustration</w:t>
      </w:r>
    </w:p>
    <w:p w14:paraId="0534B9C7" w14:textId="53A63426" w:rsidR="007200B4" w:rsidRDefault="00496B71" w:rsidP="00A56F58">
      <w:pPr>
        <w:pStyle w:val="PARAIndent"/>
        <w:ind w:firstLine="0"/>
      </w:pPr>
      <w:r>
        <w:t>Continuing the use of the LR and NN results from Section II.B, we evaluate the cost-</w:t>
      </w:r>
      <w:r w:rsidR="0082676B">
        <w:t>effectiveness</w:t>
      </w:r>
      <w:r w:rsidR="007200B4">
        <w:t xml:space="preserve"> ratio for each model at a range of FMCR values, Fig 3</w:t>
      </w:r>
      <w:r>
        <w:t>.</w:t>
      </w:r>
      <w:r w:rsidR="001B720D">
        <w:t xml:space="preserve"> </w:t>
      </w:r>
    </w:p>
    <w:p w14:paraId="741C0467" w14:textId="47220BB9" w:rsidR="00A56F58" w:rsidRDefault="00BA1EAC" w:rsidP="00496B71">
      <w:pPr>
        <w:pStyle w:val="PARAIndent"/>
      </w:pPr>
      <w:r>
        <w:rPr>
          <w:noProof/>
        </w:rPr>
        <w:drawing>
          <wp:anchor distT="0" distB="0" distL="114300" distR="114300" simplePos="0" relativeHeight="251686912" behindDoc="0" locked="0" layoutInCell="1" allowOverlap="1" wp14:anchorId="4191164D" wp14:editId="1E5AEEC2">
            <wp:simplePos x="0" y="0"/>
            <wp:positionH relativeFrom="column">
              <wp:posOffset>-69850</wp:posOffset>
            </wp:positionH>
            <wp:positionV relativeFrom="paragraph">
              <wp:posOffset>497205</wp:posOffset>
            </wp:positionV>
            <wp:extent cx="3195955" cy="1866900"/>
            <wp:effectExtent l="0" t="0" r="4445" b="0"/>
            <wp:wrapSquare wrapText="bothSides"/>
            <wp:docPr id="701456585"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56585" name="Graphic 701456585"/>
                    <pic:cNvPicPr/>
                  </pic:nvPicPr>
                  <pic:blipFill>
                    <a:blip r:embed="rId15">
                      <a:extLst>
                        <a:ext uri="{96DAC541-7B7A-43D3-8B79-37D633B846F1}">
                          <asvg:svgBlip xmlns:asvg="http://schemas.microsoft.com/office/drawing/2016/SVG/main" r:embed="rId16"/>
                        </a:ext>
                      </a:extLst>
                    </a:blip>
                    <a:stretch>
                      <a:fillRect/>
                    </a:stretch>
                  </pic:blipFill>
                  <pic:spPr>
                    <a:xfrm>
                      <a:off x="0" y="0"/>
                      <a:ext cx="3195955" cy="1866900"/>
                    </a:xfrm>
                    <a:prstGeom prst="rect">
                      <a:avLst/>
                    </a:prstGeom>
                  </pic:spPr>
                </pic:pic>
              </a:graphicData>
            </a:graphic>
            <wp14:sizeRelH relativeFrom="margin">
              <wp14:pctWidth>0</wp14:pctWidth>
            </wp14:sizeRelH>
            <wp14:sizeRelV relativeFrom="margin">
              <wp14:pctHeight>0</wp14:pctHeight>
            </wp14:sizeRelV>
          </wp:anchor>
        </w:drawing>
      </w:r>
      <w:r w:rsidR="00A56F58">
        <w:t>The NN model is close to a</w:t>
      </w:r>
      <w:r w:rsidR="00454F1F">
        <w:t>n</w:t>
      </w:r>
      <w:r w:rsidR="00A56F58">
        <w:t xml:space="preserve"> </w:t>
      </w:r>
      <w:r w:rsidR="00454F1F">
        <w:t>optimal</w:t>
      </w:r>
      <w:r w:rsidR="00A56F58">
        <w:t xml:space="preserve"> predictor (recall at 1.0 and only 3 false positives) </w:t>
      </w:r>
      <w:r w:rsidR="00454F1F">
        <w:t xml:space="preserve">and scores consistently well across the range of FMCR values. </w:t>
      </w:r>
    </w:p>
    <w:p w14:paraId="4C26EA86" w14:textId="7E242931" w:rsidR="00A57B01" w:rsidRPr="00486E60" w:rsidRDefault="00A57B01" w:rsidP="005052D3">
      <w:pPr>
        <w:pStyle w:val="FigCaption"/>
        <w:jc w:val="both"/>
      </w:pPr>
      <w:r>
        <w:t>Variation of Cost-Effectiveness Ratio with Constant Explanation Factor (</w:t>
      </w:r>
      <m:oMath>
        <m:r>
          <m:rPr>
            <m:sty m:val="bi"/>
          </m:rPr>
          <w:rPr>
            <w:rFonts w:ascii="Cambria Math" w:hAnsi="Cambria Math"/>
            <w:sz w:val="16"/>
            <w:szCs w:val="16"/>
          </w:rPr>
          <m:t>α=1)</m:t>
        </m:r>
      </m:oMath>
      <w:r>
        <w:t xml:space="preserve"> for Different Failure Mitigation Cost Ratios.</w:t>
      </w:r>
    </w:p>
    <w:p w14:paraId="04C22444" w14:textId="2CF11149" w:rsidR="005052D3" w:rsidRDefault="005052D3" w:rsidP="00B841B0">
      <w:pPr>
        <w:pStyle w:val="PARAIndent"/>
      </w:pPr>
    </w:p>
    <w:p w14:paraId="70EFF69B" w14:textId="3A2F8ADA" w:rsidR="005305DC" w:rsidRDefault="008A0235" w:rsidP="00BA1EAC">
      <w:pPr>
        <w:pStyle w:val="PARAIndent"/>
      </w:pPr>
      <w:r>
        <w:t>In comparison</w:t>
      </w:r>
      <w:r w:rsidR="00241C15">
        <w:t>,</w:t>
      </w:r>
      <w:r>
        <w:t xml:space="preserve"> the </w:t>
      </w:r>
      <w:r w:rsidR="00454F1F">
        <w:t>effectiveness</w:t>
      </w:r>
      <w:r>
        <w:t xml:space="preserve"> of the LR model </w:t>
      </w:r>
      <w:r w:rsidR="00B841B0">
        <w:t xml:space="preserve">decreases </w:t>
      </w:r>
      <w:r w:rsidR="00241C15">
        <w:t xml:space="preserve">significantly </w:t>
      </w:r>
      <w:r w:rsidR="00B841B0">
        <w:t xml:space="preserve">as FMCR increases due to the increasing cost of maintenance </w:t>
      </w:r>
      <w:r w:rsidR="00454152">
        <w:t>for</w:t>
      </w:r>
      <w:r w:rsidR="00B841B0">
        <w:t xml:space="preserve"> false positives. At the cost-efficiency </w:t>
      </w:r>
      <w:r w:rsidR="00B841B0">
        <w:t xml:space="preserve">threshold of FMCR (0.647) LR’s cost-effectiveness becomes </w:t>
      </w:r>
      <w:r w:rsidR="006A04F2" w:rsidRPr="006A04F2">
        <w:t>negative</w:t>
      </w:r>
      <w:r w:rsidR="006A04F2">
        <w:t xml:space="preserve"> as </w:t>
      </w:r>
      <w:r w:rsidR="006A04F2" w:rsidRPr="006A04F2">
        <w:t>the cost of servicing all predicted failures now exceeds the value of preventing actual failures.</w:t>
      </w:r>
      <w:r w:rsidR="005305DC">
        <w:t xml:space="preserve"> </w:t>
      </w:r>
      <w:r w:rsidR="005305DC" w:rsidRPr="000B67F8">
        <w:t>We propose that</w:t>
      </w:r>
      <w:r w:rsidR="005305DC" w:rsidRPr="005305DC">
        <w:rPr>
          <w:b/>
          <w:bCs/>
        </w:rPr>
        <w:t xml:space="preserve"> an upper </w:t>
      </w:r>
      <w:r w:rsidR="00CB2C72">
        <w:rPr>
          <w:b/>
          <w:bCs/>
        </w:rPr>
        <w:t>limit</w:t>
      </w:r>
      <w:r w:rsidR="005305DC" w:rsidRPr="005305DC">
        <w:rPr>
          <w:b/>
          <w:bCs/>
        </w:rPr>
        <w:t xml:space="preserve"> exists for FMCR, beyond which an XAI model cannot achieve the cost-effectiveness of a more accurate predictor, </w:t>
      </w:r>
      <w:r w:rsidR="005305DC" w:rsidRPr="00CB2C72">
        <w:t>since the cost of unnecessary maintenance exceeds the benefit of correctly predicted failure prevention.</w:t>
      </w:r>
    </w:p>
    <w:p w14:paraId="02EF2795" w14:textId="54BF94D9" w:rsidR="007200B4" w:rsidRDefault="00020B93" w:rsidP="00496B71">
      <w:pPr>
        <w:pStyle w:val="PARAIndent"/>
      </w:pPr>
      <w:r>
        <w:t>When considering how cost-effectiveness varies with explanation cost factor (</w:t>
      </w:r>
      <w:r>
        <w:rPr>
          <w:rFonts w:cs="Times New Roman"/>
        </w:rPr>
        <w:t>α</w:t>
      </w:r>
      <w:r>
        <w:t xml:space="preserve">), we see a linear relationship. This is illustrated in Fig. </w:t>
      </w:r>
      <w:r w:rsidR="00FD1C08">
        <w:t>4</w:t>
      </w:r>
      <w:r>
        <w:t xml:space="preserve"> for FMCR </w:t>
      </w:r>
      <w:r w:rsidR="00454152">
        <w:t xml:space="preserve">values </w:t>
      </w:r>
      <w:r>
        <w:t>of</w:t>
      </w:r>
      <w:r w:rsidR="00F543FD">
        <w:t xml:space="preserve"> 0.6,</w:t>
      </w:r>
      <w:r>
        <w:t xml:space="preserve"> 0.5</w:t>
      </w:r>
      <w:r w:rsidR="00454152">
        <w:t>,</w:t>
      </w:r>
      <w:r w:rsidR="00F543FD">
        <w:t xml:space="preserve"> and</w:t>
      </w:r>
      <w:r w:rsidR="00454152">
        <w:t xml:space="preserve"> 0.4</w:t>
      </w:r>
      <w:r>
        <w:t xml:space="preserve">. </w:t>
      </w:r>
      <w:r w:rsidR="00454152">
        <w:t>I</w:t>
      </w:r>
      <w:r>
        <w:t xml:space="preserve">ntersection of </w:t>
      </w:r>
      <w:r w:rsidR="00454152">
        <w:t>NN and LR l</w:t>
      </w:r>
      <w:r>
        <w:t xml:space="preserve">ines </w:t>
      </w:r>
      <w:r w:rsidR="00454152">
        <w:t>indicate when</w:t>
      </w:r>
      <w:r>
        <w:t xml:space="preserve"> LR matches NN’s cost-effectiveness</w:t>
      </w:r>
      <w:r w:rsidR="00454152">
        <w:t xml:space="preserve"> for values of </w:t>
      </w:r>
      <w:r w:rsidR="00454152">
        <w:rPr>
          <w:rFonts w:cs="Times New Roman"/>
        </w:rPr>
        <w:t>α</w:t>
      </w:r>
      <w:r w:rsidR="00454152">
        <w:t>.</w:t>
      </w:r>
      <w:r>
        <w:t xml:space="preserve"> </w:t>
      </w:r>
    </w:p>
    <w:p w14:paraId="6B456D7B" w14:textId="13C35207" w:rsidR="00C56421" w:rsidRDefault="00454152" w:rsidP="00C56421">
      <w:pPr>
        <w:pStyle w:val="PARAIndent"/>
      </w:pPr>
      <w:r>
        <w:t xml:space="preserve">Notably, when </w:t>
      </w:r>
      <w:r>
        <w:rPr>
          <w:rFonts w:cs="Times New Roman"/>
        </w:rPr>
        <w:t>α</w:t>
      </w:r>
      <w:r>
        <w:t xml:space="preserve"> equals the precision of the model, the CER calculation simplifies to the recall, explaining the intersection at </w:t>
      </w:r>
      <w:r>
        <w:rPr>
          <w:rFonts w:cs="Times New Roman"/>
        </w:rPr>
        <w:t>α</w:t>
      </w:r>
      <w:r>
        <w:t xml:space="preserve"> = 0.647. Additionally, as FMCR increases the influence of </w:t>
      </w:r>
      <w:r>
        <w:rPr>
          <w:rFonts w:cs="Times New Roman"/>
        </w:rPr>
        <w:t>α</w:t>
      </w:r>
      <w:r>
        <w:t xml:space="preserve"> becomes more pronounced, with a steeper CER-to-</w:t>
      </w:r>
      <w:r>
        <w:rPr>
          <w:rFonts w:cs="Times New Roman"/>
        </w:rPr>
        <w:t>α gradient.</w:t>
      </w:r>
      <w:r>
        <w:t xml:space="preserve"> The FMCR to </w:t>
      </w:r>
      <w:r>
        <w:rPr>
          <w:rFonts w:cs="Times New Roman"/>
        </w:rPr>
        <w:t xml:space="preserve">α relationship </w:t>
      </w:r>
      <w:r>
        <w:t xml:space="preserve">is </w:t>
      </w:r>
      <w:proofErr w:type="spellStart"/>
      <w:r>
        <w:t>analysed</w:t>
      </w:r>
      <w:proofErr w:type="spellEnd"/>
      <w:r>
        <w:t xml:space="preserve"> further in Section IV.A where cost-effectiveness is illustrated for regression models.</w:t>
      </w:r>
    </w:p>
    <w:p w14:paraId="7205A072" w14:textId="05807495" w:rsidR="00020B93" w:rsidRPr="00486E60" w:rsidRDefault="00020B93" w:rsidP="005052D3">
      <w:pPr>
        <w:pStyle w:val="FigCaption"/>
        <w:jc w:val="both"/>
      </w:pPr>
      <w:r>
        <w:t xml:space="preserve"> </w:t>
      </w:r>
      <w:r w:rsidR="00CA6B90">
        <w:t xml:space="preserve">Variation of Cost-Effectiveness Ratio with Explanation </w:t>
      </w:r>
      <w:r>
        <w:t>Factor (</w:t>
      </w:r>
      <m:oMath>
        <m:r>
          <m:rPr>
            <m:sty m:val="bi"/>
          </m:rPr>
          <w:rPr>
            <w:rFonts w:ascii="Cambria Math" w:hAnsi="Cambria Math"/>
            <w:sz w:val="16"/>
            <w:szCs w:val="16"/>
          </w:rPr>
          <m:t>α)</m:t>
        </m:r>
      </m:oMath>
      <w:r>
        <w:t xml:space="preserve"> for Different Failure Mitigation Cost Ratios.</w:t>
      </w:r>
    </w:p>
    <w:p w14:paraId="79D82955" w14:textId="296AE992" w:rsidR="00762746" w:rsidRDefault="00762746" w:rsidP="00762746">
      <w:pPr>
        <w:pStyle w:val="PARAIndent"/>
      </w:pPr>
    </w:p>
    <w:p w14:paraId="74B69AE3" w14:textId="1B525047" w:rsidR="00762746" w:rsidRDefault="00762746" w:rsidP="00762746">
      <w:pPr>
        <w:pStyle w:val="H1ListNoSpace"/>
      </w:pPr>
      <w:r>
        <w:t>REGRESSION COST</w:t>
      </w:r>
      <w:r w:rsidR="00A54D2C">
        <w:t xml:space="preserve"> MEASURES</w:t>
      </w:r>
    </w:p>
    <w:p w14:paraId="22495C26" w14:textId="5F5A6F40" w:rsidR="0068233A" w:rsidRDefault="001904CD" w:rsidP="00C93634">
      <w:pPr>
        <w:pStyle w:val="PARAIndent"/>
        <w:ind w:firstLine="0"/>
      </w:pPr>
      <w:r w:rsidRPr="001904CD">
        <w:t xml:space="preserve">Unlike classifiers, which produce categorical outputs that can be directly mapped to misclassification costs (e.g., false positives </w:t>
      </w:r>
      <w:r w:rsidR="006C5493">
        <w:t>and</w:t>
      </w:r>
      <w:r w:rsidRPr="001904CD">
        <w:t xml:space="preserve"> false negatives), regression models yield continuous predictions. </w:t>
      </w:r>
      <w:r>
        <w:t xml:space="preserve">In </w:t>
      </w:r>
      <w:r w:rsidR="0068233A">
        <w:t>predictive maintenance</w:t>
      </w:r>
      <w:r>
        <w:t>, the relationship between prediction error and cost is often asymmetric and non-linear.</w:t>
      </w:r>
    </w:p>
    <w:p w14:paraId="4E242279" w14:textId="7C6B6443" w:rsidR="0068233A" w:rsidRDefault="0068233A" w:rsidP="0068233A">
      <w:pPr>
        <w:pStyle w:val="PARAIndent"/>
      </w:pPr>
      <w:r>
        <w:t>As a result,</w:t>
      </w:r>
      <w:r w:rsidR="001904CD">
        <w:t xml:space="preserve"> summary statistics </w:t>
      </w:r>
      <w:r w:rsidR="00CE05E3">
        <w:t xml:space="preserve">used </w:t>
      </w:r>
      <w:r w:rsidR="001904CD">
        <w:t xml:space="preserve">to evaluate predictive accuracy can be misleading when the aim is </w:t>
      </w:r>
      <w:r w:rsidR="006C5493">
        <w:t xml:space="preserve">cost-reduction rather than predictive accuracy. </w:t>
      </w:r>
      <w:r w:rsidRPr="001904CD">
        <w:t>For example, in predictive maintenance applications,</w:t>
      </w:r>
      <w:r w:rsidR="00BC0473">
        <w:t xml:space="preserve"> </w:t>
      </w:r>
      <w:r w:rsidRPr="001904CD">
        <w:t xml:space="preserve">a regression model might estimate Remaining Useful Life (RUL) </w:t>
      </w:r>
      <w:r w:rsidR="00BC0473">
        <w:t>for</w:t>
      </w:r>
      <w:r w:rsidRPr="001904CD">
        <w:t xml:space="preserve"> a component. </w:t>
      </w:r>
      <w:r w:rsidR="00BC0473">
        <w:t>Over-estimating</w:t>
      </w:r>
      <w:r w:rsidRPr="001904CD">
        <w:t xml:space="preserve"> RUL </w:t>
      </w:r>
      <w:r w:rsidR="00BC0473">
        <w:t>risks</w:t>
      </w:r>
      <w:r w:rsidRPr="001904CD">
        <w:t xml:space="preserve"> </w:t>
      </w:r>
      <w:r w:rsidR="006C5493" w:rsidRPr="001904CD">
        <w:t>failure</w:t>
      </w:r>
      <w:r w:rsidRPr="001904CD">
        <w:t xml:space="preserve"> before the component is serviced, leading to unplanned downtime, safety risks, and corrective maintenance costs. Conversely, </w:t>
      </w:r>
      <w:proofErr w:type="gramStart"/>
      <w:r w:rsidR="00BC0473">
        <w:t>under-estimating</w:t>
      </w:r>
      <w:proofErr w:type="gramEnd"/>
      <w:r w:rsidRPr="001904CD">
        <w:t xml:space="preserve"> RUL </w:t>
      </w:r>
      <w:r w:rsidR="00BC0473">
        <w:t>may lead to</w:t>
      </w:r>
      <w:r w:rsidRPr="001904CD">
        <w:t xml:space="preserve"> premature</w:t>
      </w:r>
      <w:r w:rsidR="00BC0473">
        <w:t xml:space="preserve"> replacement</w:t>
      </w:r>
      <w:r w:rsidRPr="001904CD">
        <w:t xml:space="preserve">, resulting in unnecessary </w:t>
      </w:r>
      <w:r w:rsidRPr="001904CD">
        <w:lastRenderedPageBreak/>
        <w:t>maintenance costs and wasted resources.</w:t>
      </w:r>
      <w:r>
        <w:t xml:space="preserve"> </w:t>
      </w:r>
      <w:r w:rsidR="00DF42A2">
        <w:t xml:space="preserve">In some cases, </w:t>
      </w:r>
      <w:r w:rsidR="001904CD">
        <w:t xml:space="preserve">a small over-estimate may </w:t>
      </w:r>
      <w:r w:rsidR="00BC0473">
        <w:t xml:space="preserve">incur </w:t>
      </w:r>
      <w:r w:rsidR="001904CD">
        <w:t>greater cost</w:t>
      </w:r>
      <w:r w:rsidR="00BC0473">
        <w:t xml:space="preserve">s </w:t>
      </w:r>
      <w:r w:rsidR="001904CD">
        <w:t>than a much larger under-estimate.</w:t>
      </w:r>
    </w:p>
    <w:p w14:paraId="5D7CFD84" w14:textId="5E242695" w:rsidR="001904CD" w:rsidRDefault="006C5493" w:rsidP="00762746">
      <w:pPr>
        <w:pStyle w:val="PARAIndent"/>
      </w:pPr>
      <w:r>
        <w:t>While expected</w:t>
      </w:r>
      <w:r w:rsidR="00850293">
        <w:t xml:space="preserve"> cost</w:t>
      </w:r>
      <w:r w:rsidR="00BC0473">
        <w:t>s</w:t>
      </w:r>
      <w:r w:rsidR="00850293">
        <w:t xml:space="preserve"> can be calculated by applying an asymmetric </w:t>
      </w:r>
      <w:r w:rsidR="00BC0473">
        <w:t xml:space="preserve">cost </w:t>
      </w:r>
      <w:r w:rsidR="00850293">
        <w:t xml:space="preserve">function to each </w:t>
      </w:r>
      <w:r>
        <w:t xml:space="preserve">test </w:t>
      </w:r>
      <w:r w:rsidR="00850293">
        <w:t>prediction and summing the results</w:t>
      </w:r>
      <w:r>
        <w:t>, this approach</w:t>
      </w:r>
      <w:r w:rsidR="00CE05E3">
        <w:t xml:space="preserve"> depends on</w:t>
      </w:r>
      <w:r w:rsidR="00DF42A2">
        <w:t xml:space="preserve"> </w:t>
      </w:r>
      <w:r w:rsidR="00CE05E3">
        <w:t xml:space="preserve">a bespoke model </w:t>
      </w:r>
      <w:r w:rsidR="0006708E">
        <w:t xml:space="preserve">for </w:t>
      </w:r>
      <w:r w:rsidR="00DF42A2">
        <w:t>case-by-case estimation of explanatory benefit. Additionally, it does not address RQ2, which seeks to express relative cost-effectiveness in terms of predictive</w:t>
      </w:r>
      <w:r w:rsidR="00CE05E3">
        <w:t xml:space="preserve"> performance</w:t>
      </w:r>
      <w:r w:rsidR="00DF42A2">
        <w:t xml:space="preserve"> metrics, enabling </w:t>
      </w:r>
      <w:r w:rsidR="00CE05E3">
        <w:t xml:space="preserve">systematic </w:t>
      </w:r>
      <w:r w:rsidR="00DF42A2">
        <w:t xml:space="preserve">comparison </w:t>
      </w:r>
      <w:r w:rsidR="00CE05E3">
        <w:t>of</w:t>
      </w:r>
      <w:r w:rsidR="00DF42A2">
        <w:t xml:space="preserve"> models.</w:t>
      </w:r>
    </w:p>
    <w:p w14:paraId="467698E7" w14:textId="5B579E39" w:rsidR="0012667E" w:rsidRDefault="002F2B55" w:rsidP="0012667E">
      <w:pPr>
        <w:pStyle w:val="PARAIndent"/>
      </w:pPr>
      <w:r w:rsidRPr="002F2B55">
        <w:t>To enabl</w:t>
      </w:r>
      <w:r w:rsidR="00CE05E3">
        <w:t>e</w:t>
      </w:r>
      <w:r w:rsidRPr="002F2B55">
        <w:t xml:space="preserve"> assessment</w:t>
      </w:r>
      <w:r w:rsidR="00CE05E3">
        <w:t xml:space="preserve"> without bespoke modelling</w:t>
      </w:r>
      <w:r w:rsidRPr="002F2B55">
        <w:t xml:space="preserve"> and</w:t>
      </w:r>
      <w:r w:rsidR="0006708E">
        <w:t xml:space="preserve"> to</w:t>
      </w:r>
      <w:r w:rsidRPr="002F2B55">
        <w:t xml:space="preserve"> address RQ2, we propose a time-window framework to reinterpret regression outcomes within a classification-like structure.</w:t>
      </w:r>
      <w:r w:rsidR="00CE05E3">
        <w:t xml:space="preserve"> </w:t>
      </w:r>
      <w:r w:rsidR="0012667E" w:rsidRPr="0012667E">
        <w:rPr>
          <w:lang w:val="en-GB"/>
        </w:rPr>
        <w:t xml:space="preserve">In practice, maintenance operations involve lead times: planning, scheduling, and logistics often require that actions be initiated days in advance. </w:t>
      </w:r>
      <w:r w:rsidR="008C7C9B" w:rsidRPr="008C7C9B">
        <w:t>For instance, if a predictive system is reviewed weekly to schedule servicing and order parts for the following week, then a two-week time window</w:t>
      </w:r>
      <w:r w:rsidR="008C7C9B">
        <w:t xml:space="preserve"> (</w:t>
      </w:r>
      <w:r w:rsidR="008C7C9B" w:rsidRPr="008C7C9B">
        <w:t>covering both the current review period and the subsequent execution window</w:t>
      </w:r>
      <w:r w:rsidR="008C7C9B">
        <w:t xml:space="preserve">) </w:t>
      </w:r>
      <w:r w:rsidR="008C7C9B" w:rsidRPr="008C7C9B">
        <w:t xml:space="preserve">represents a meaningful operational </w:t>
      </w:r>
      <w:r w:rsidR="00E0043F">
        <w:t>timescale</w:t>
      </w:r>
      <w:r w:rsidR="008C7C9B" w:rsidRPr="008C7C9B">
        <w:t>.</w:t>
      </w:r>
    </w:p>
    <w:p w14:paraId="57D45056" w14:textId="778D1A8D" w:rsidR="009337AB" w:rsidRPr="0012667E" w:rsidRDefault="009337AB" w:rsidP="0012667E">
      <w:pPr>
        <w:pStyle w:val="PARAIndent"/>
        <w:rPr>
          <w:lang w:val="en-GB"/>
        </w:rPr>
      </w:pPr>
      <w:r w:rsidRPr="009337AB">
        <w:t xml:space="preserve">While </w:t>
      </w:r>
      <w:r>
        <w:t>existing research</w:t>
      </w:r>
      <w:r w:rsidRPr="009337AB">
        <w:t xml:space="preserve"> has emphasized prognostic accuracy metrics such as prognostic horizon and α–λ accuracy </w:t>
      </w:r>
      <w:r>
        <w:fldChar w:fldCharType="begin"/>
      </w:r>
      <w:r w:rsidR="00B26B74">
        <w:instrText xml:space="preserve"> ADDIN ZOTERO_ITEM CSL_CITATION {"citationID":"TtXJQKMk","properties":{"formattedCitation":"[14]","plainCitation":"[14]","noteIndex":0},"citationItems":[{"id":489,"uris":["http://zotero.org/users/16701048/items/5DC73NAN"],"itemData":{"id":489,"type":"paper-conference","abstract":"Prognostics is an emerging concept in condition based maintenance (CBM) of critical systems. Along with developing the fundamentals of being able to confidently predict Remaining Useful Life (RUL), the technology calls for fielded applications as it inches towards maturation. This requires a stringent performance evaluation so that the significance of the concept can be fully exploited. Currently, V.","container-title":"2008 International Conference on Prognostics and Health Management","DOI":"10.1109/PHM.2008.4711436","event-place":"Denver, CO, USA","event-title":"2008 International Conference on Prognostics and Health Management (PHM)","ISBN":"978-1-4244-1935-7","language":"en","page":"1-17","publisher":"IEEE","publisher-place":"Denver, CO, USA","source":"DOI.org (Crossref)","title":"Metrics for evaluating performance of prognostic techniques","URL":"http://ieeexplore.ieee.org/document/4711436/","author":[{"family":"Saxena","given":"Abhinav"},{"family":"Celaya","given":"Jose"},{"family":"Balaban","given":"Edward"},{"family":"Goebel","given":"Kai"},{"family":"Saha","given":"Bhaskar"},{"family":"Saha","given":"Sankalita"},{"family":"Schwabacher","given":"Mark"}],"accessed":{"date-parts":[["2025",6,21]]},"issued":{"date-parts":[["2008",10]]}}}],"schema":"https://github.com/citation-style-language/schema/raw/master/csl-citation.json"} </w:instrText>
      </w:r>
      <w:r>
        <w:fldChar w:fldCharType="separate"/>
      </w:r>
      <w:r w:rsidR="00B26B74" w:rsidRPr="00B26B74">
        <w:rPr>
          <w:rFonts w:cs="Times New Roman"/>
        </w:rPr>
        <w:t>[14]</w:t>
      </w:r>
      <w:r>
        <w:fldChar w:fldCharType="end"/>
      </w:r>
      <w:r w:rsidRPr="009337AB">
        <w:t>, these focus primarily on</w:t>
      </w:r>
      <w:r>
        <w:t xml:space="preserve"> prediction accuracy</w:t>
      </w:r>
      <w:r w:rsidRPr="009337AB">
        <w:t xml:space="preserve">, rather than operational utility. In contrast, </w:t>
      </w:r>
      <w:r>
        <w:t xml:space="preserve">our </w:t>
      </w:r>
      <w:r w:rsidRPr="009337AB">
        <w:t>propose</w:t>
      </w:r>
      <w:r>
        <w:t>d</w:t>
      </w:r>
      <w:r w:rsidRPr="009337AB">
        <w:t xml:space="preserve"> time-window-based evaluation align</w:t>
      </w:r>
      <w:r w:rsidR="00CE05E3">
        <w:t>s</w:t>
      </w:r>
      <w:r w:rsidRPr="009337AB">
        <w:t xml:space="preserve"> with business </w:t>
      </w:r>
      <w:r>
        <w:t>requirements</w:t>
      </w:r>
      <w:r w:rsidR="003F40DE">
        <w:t>, safety regulations, and budgeting timeframes, among others.</w:t>
      </w:r>
      <w:r>
        <w:t xml:space="preserve"> </w:t>
      </w:r>
    </w:p>
    <w:p w14:paraId="4DBB55ED" w14:textId="2D1439DE" w:rsidR="0012667E" w:rsidRDefault="0012667E" w:rsidP="0012667E">
      <w:pPr>
        <w:pStyle w:val="PARAIndent"/>
        <w:rPr>
          <w:lang w:val="en-GB"/>
        </w:rPr>
      </w:pPr>
      <w:r w:rsidRPr="0012667E">
        <w:rPr>
          <w:lang w:val="en-GB"/>
        </w:rPr>
        <w:t>By defining a time</w:t>
      </w:r>
      <w:r w:rsidR="002C6D53">
        <w:rPr>
          <w:lang w:val="en-GB"/>
        </w:rPr>
        <w:t>-</w:t>
      </w:r>
      <w:r w:rsidRPr="0012667E">
        <w:rPr>
          <w:lang w:val="en-GB"/>
        </w:rPr>
        <w:t xml:space="preserve">window, continuous RUL predictions can be </w:t>
      </w:r>
      <w:r w:rsidR="008C7C9B">
        <w:rPr>
          <w:lang w:val="en-GB"/>
        </w:rPr>
        <w:t>categorised</w:t>
      </w:r>
      <w:r w:rsidRPr="0012667E">
        <w:rPr>
          <w:lang w:val="en-GB"/>
        </w:rPr>
        <w:t>: components that fail within the window are labelled as "</w:t>
      </w:r>
      <w:r w:rsidR="006B2309">
        <w:rPr>
          <w:lang w:val="en-GB"/>
        </w:rPr>
        <w:t>F</w:t>
      </w:r>
      <w:r w:rsidRPr="0012667E">
        <w:rPr>
          <w:lang w:val="en-GB"/>
        </w:rPr>
        <w:t>ail", while those surviving beyond it are labelled "</w:t>
      </w:r>
      <w:r w:rsidR="006B2309">
        <w:rPr>
          <w:lang w:val="en-GB"/>
        </w:rPr>
        <w:t>OK</w:t>
      </w:r>
      <w:r w:rsidRPr="0012667E">
        <w:rPr>
          <w:lang w:val="en-GB"/>
        </w:rPr>
        <w:t xml:space="preserve">". </w:t>
      </w:r>
      <w:r w:rsidR="00110791">
        <w:rPr>
          <w:lang w:val="en-GB"/>
        </w:rPr>
        <w:t>From this w</w:t>
      </w:r>
      <w:r w:rsidRPr="0012667E">
        <w:rPr>
          <w:lang w:val="en-GB"/>
        </w:rPr>
        <w:t>e</w:t>
      </w:r>
      <w:r w:rsidR="00110791">
        <w:rPr>
          <w:lang w:val="en-GB"/>
        </w:rPr>
        <w:t xml:space="preserve"> </w:t>
      </w:r>
      <w:r w:rsidR="00592666">
        <w:rPr>
          <w:lang w:val="en-GB"/>
        </w:rPr>
        <w:t>can</w:t>
      </w:r>
      <w:r w:rsidRPr="0012667E">
        <w:rPr>
          <w:lang w:val="en-GB"/>
        </w:rPr>
        <w:t xml:space="preserve"> construct a confusion matrix</w:t>
      </w:r>
      <w:r w:rsidR="008C7C9B">
        <w:rPr>
          <w:lang w:val="en-GB"/>
        </w:rPr>
        <w:t xml:space="preserve"> </w:t>
      </w:r>
      <w:r w:rsidRPr="0012667E">
        <w:rPr>
          <w:lang w:val="en-GB"/>
        </w:rPr>
        <w:t>compar</w:t>
      </w:r>
      <w:r w:rsidR="00592666">
        <w:rPr>
          <w:lang w:val="en-GB"/>
        </w:rPr>
        <w:t>ing</w:t>
      </w:r>
      <w:r w:rsidRPr="0012667E">
        <w:rPr>
          <w:lang w:val="en-GB"/>
        </w:rPr>
        <w:t xml:space="preserve"> </w:t>
      </w:r>
      <w:r w:rsidR="00592666">
        <w:rPr>
          <w:lang w:val="en-GB"/>
        </w:rPr>
        <w:t>p</w:t>
      </w:r>
      <w:r w:rsidRPr="0012667E">
        <w:rPr>
          <w:lang w:val="en-GB"/>
        </w:rPr>
        <w:t>redict</w:t>
      </w:r>
      <w:r w:rsidR="00592666">
        <w:rPr>
          <w:lang w:val="en-GB"/>
        </w:rPr>
        <w:t xml:space="preserve">ions </w:t>
      </w:r>
      <w:r w:rsidRPr="0012667E">
        <w:rPr>
          <w:lang w:val="en-GB"/>
        </w:rPr>
        <w:t xml:space="preserve">against actual </w:t>
      </w:r>
      <w:r w:rsidR="00592666">
        <w:rPr>
          <w:lang w:val="en-GB"/>
        </w:rPr>
        <w:t xml:space="preserve">results and apply </w:t>
      </w:r>
      <w:r w:rsidR="008C7C9B">
        <w:rPr>
          <w:lang w:val="en-GB"/>
        </w:rPr>
        <w:t xml:space="preserve">the </w:t>
      </w:r>
      <w:r w:rsidR="00592666">
        <w:rPr>
          <w:lang w:val="en-GB"/>
        </w:rPr>
        <w:t>criteria</w:t>
      </w:r>
      <w:r w:rsidR="008C7C9B">
        <w:rPr>
          <w:lang w:val="en-GB"/>
        </w:rPr>
        <w:t xml:space="preserve"> </w:t>
      </w:r>
      <w:r w:rsidR="002C6D53">
        <w:rPr>
          <w:lang w:val="en-GB"/>
        </w:rPr>
        <w:t xml:space="preserve">previously </w:t>
      </w:r>
      <w:r w:rsidR="008C7C9B">
        <w:rPr>
          <w:lang w:val="en-GB"/>
        </w:rPr>
        <w:t>derived for classifiers</w:t>
      </w:r>
      <w:r w:rsidR="002C6D53">
        <w:rPr>
          <w:lang w:val="en-GB"/>
        </w:rPr>
        <w:t>.</w:t>
      </w:r>
    </w:p>
    <w:p w14:paraId="14E6D27B" w14:textId="490B7C50" w:rsidR="00AC4505" w:rsidRDefault="004E48B0" w:rsidP="0012667E">
      <w:pPr>
        <w:pStyle w:val="PARAIndent"/>
        <w:rPr>
          <w:lang w:val="en-GB"/>
        </w:rPr>
      </w:pPr>
      <w:r>
        <w:rPr>
          <w:noProof/>
          <w:lang w:val="en-GB"/>
        </w:rPr>
        <w:drawing>
          <wp:anchor distT="0" distB="0" distL="114300" distR="114300" simplePos="0" relativeHeight="251684864" behindDoc="0" locked="0" layoutInCell="1" allowOverlap="1" wp14:anchorId="18223DDF" wp14:editId="4264A7F3">
            <wp:simplePos x="0" y="0"/>
            <wp:positionH relativeFrom="margin">
              <wp:posOffset>3378200</wp:posOffset>
            </wp:positionH>
            <wp:positionV relativeFrom="paragraph">
              <wp:posOffset>730250</wp:posOffset>
            </wp:positionV>
            <wp:extent cx="2908300" cy="2181860"/>
            <wp:effectExtent l="0" t="0" r="6350" b="8890"/>
            <wp:wrapSquare wrapText="bothSides"/>
            <wp:docPr id="1566015305"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15305" name="Graphic 1566015305"/>
                    <pic:cNvPicPr/>
                  </pic:nvPicPr>
                  <pic:blipFill>
                    <a:blip r:embed="rId17">
                      <a:extLst>
                        <a:ext uri="{96DAC541-7B7A-43D3-8B79-37D633B846F1}">
                          <asvg:svgBlip xmlns:asvg="http://schemas.microsoft.com/office/drawing/2016/SVG/main" r:embed="rId18"/>
                        </a:ext>
                      </a:extLst>
                    </a:blip>
                    <a:stretch>
                      <a:fillRect/>
                    </a:stretch>
                  </pic:blipFill>
                  <pic:spPr>
                    <a:xfrm>
                      <a:off x="0" y="0"/>
                      <a:ext cx="2908300" cy="2181860"/>
                    </a:xfrm>
                    <a:prstGeom prst="rect">
                      <a:avLst/>
                    </a:prstGeom>
                  </pic:spPr>
                </pic:pic>
              </a:graphicData>
            </a:graphic>
            <wp14:sizeRelH relativeFrom="margin">
              <wp14:pctWidth>0</wp14:pctWidth>
            </wp14:sizeRelH>
            <wp14:sizeRelV relativeFrom="margin">
              <wp14:pctHeight>0</wp14:pctHeight>
            </wp14:sizeRelV>
          </wp:anchor>
        </w:drawing>
      </w:r>
      <w:r w:rsidR="001504BE" w:rsidRPr="001504BE">
        <w:t>In the context of predictive maintenance, a time</w:t>
      </w:r>
      <w:r w:rsidR="002C6D53">
        <w:t>-</w:t>
      </w:r>
      <w:r w:rsidR="001504BE" w:rsidRPr="001504BE">
        <w:t xml:space="preserve">window representing a period </w:t>
      </w:r>
      <w:r w:rsidR="00592666">
        <w:t>of interest is</w:t>
      </w:r>
      <w:r w:rsidR="001504BE" w:rsidRPr="001504BE">
        <w:t xml:space="preserve"> considered appropriate </w:t>
      </w:r>
      <w:r w:rsidR="00592666">
        <w:t>to</w:t>
      </w:r>
      <w:r w:rsidR="001504BE" w:rsidRPr="001504BE">
        <w:t xml:space="preserve"> </w:t>
      </w:r>
      <w:proofErr w:type="spellStart"/>
      <w:r w:rsidR="001504BE" w:rsidRPr="001504BE">
        <w:t>categori</w:t>
      </w:r>
      <w:r w:rsidR="00592666">
        <w:t>se</w:t>
      </w:r>
      <w:proofErr w:type="spellEnd"/>
      <w:r w:rsidR="001504BE" w:rsidRPr="001504BE">
        <w:t xml:space="preserve"> continuous value predictions. In </w:t>
      </w:r>
      <w:r w:rsidR="00592666">
        <w:t>other</w:t>
      </w:r>
      <w:r w:rsidR="001504BE" w:rsidRPr="001504BE">
        <w:t xml:space="preserve"> domains, different criteria may be more appropriate, potentially generating multiple class categories (rather than a binary split)</w:t>
      </w:r>
      <w:r w:rsidR="00592666">
        <w:t>.</w:t>
      </w:r>
    </w:p>
    <w:p w14:paraId="3263977A" w14:textId="4077A541" w:rsidR="00762746" w:rsidRDefault="00AB6454" w:rsidP="00492AEB">
      <w:pPr>
        <w:pStyle w:val="PARAIndent"/>
      </w:pPr>
      <w:r w:rsidRPr="00AB6454">
        <w:t xml:space="preserve">A detailed, context-specific cost model may still be required to justify significant investments. However, the proposed time-window evaluation offers a practical </w:t>
      </w:r>
      <w:r w:rsidR="006B2309">
        <w:t>mechanism to i</w:t>
      </w:r>
      <w:r w:rsidR="006B2309" w:rsidRPr="00AB6454">
        <w:t>dentify</w:t>
      </w:r>
      <w:r w:rsidRPr="00AB6454">
        <w:t xml:space="preserve"> </w:t>
      </w:r>
      <w:r w:rsidR="006B2309">
        <w:t>candidate</w:t>
      </w:r>
      <w:r w:rsidRPr="00AB6454">
        <w:t xml:space="preserve"> models, guid</w:t>
      </w:r>
      <w:r>
        <w:t>e</w:t>
      </w:r>
      <w:r w:rsidRPr="00AB6454">
        <w:t xml:space="preserve"> further development, and reduc</w:t>
      </w:r>
      <w:r>
        <w:t>e</w:t>
      </w:r>
      <w:r w:rsidRPr="00AB6454">
        <w:t xml:space="preserve"> the burden of early-stage evaluation.</w:t>
      </w:r>
    </w:p>
    <w:p w14:paraId="4A8E6E6C" w14:textId="7169ECD0" w:rsidR="009E1D5E" w:rsidRDefault="00E5541C">
      <w:pPr>
        <w:pStyle w:val="H2First"/>
        <w:numPr>
          <w:ilvl w:val="0"/>
          <w:numId w:val="17"/>
        </w:numPr>
      </w:pPr>
      <w:r>
        <w:t>Illustration of Cost Analysis for Regression</w:t>
      </w:r>
    </w:p>
    <w:p w14:paraId="5FF6942E" w14:textId="73505771" w:rsidR="0097166B" w:rsidRDefault="00A56F58" w:rsidP="0081376C">
      <w:pPr>
        <w:pStyle w:val="PARAIndent"/>
        <w:ind w:firstLine="0"/>
      </w:pPr>
      <w:r w:rsidRPr="00A56F58">
        <w:t xml:space="preserve">It is rare for the source </w:t>
      </w:r>
      <w:r w:rsidR="00484AAF" w:rsidRPr="00A56F58">
        <w:t>data</w:t>
      </w:r>
      <w:r w:rsidRPr="00A56F58">
        <w:t xml:space="preserve"> to create a confusion matrix </w:t>
      </w:r>
      <w:r w:rsidR="00484AAF">
        <w:t>based on</w:t>
      </w:r>
      <w:r w:rsidRPr="00A56F58">
        <w:t xml:space="preserve"> a specific time window to be published alongside a paper. To illustrate the concept described </w:t>
      </w:r>
      <w:r w:rsidR="00484AAF">
        <w:t>above</w:t>
      </w:r>
      <w:r w:rsidRPr="00A56F58">
        <w:t>, we generated two sets of predictions: one for a more accurate model to represent a black-box predictor, and one for a less accurate model to represent an explainable AI (XAI) model. A right-skewed distribution of 'actual' Remaining Useful Life (RUL) values for 300 samples was simulated in Python, with normally distributed random errors</w:t>
      </w:r>
      <w:r w:rsidR="00592666">
        <w:t xml:space="preserve"> of different magnitude</w:t>
      </w:r>
      <w:r w:rsidRPr="00A56F58">
        <w:t xml:space="preserve"> applied. </w:t>
      </w:r>
    </w:p>
    <w:p w14:paraId="74627985" w14:textId="76759CA3" w:rsidR="000B67F8" w:rsidRDefault="003C7EBF" w:rsidP="0081376C">
      <w:pPr>
        <w:pStyle w:val="PARAIndent"/>
      </w:pPr>
      <w:r w:rsidRPr="00A56F58">
        <w:t>Standard regression metrics for the two prediction sets (Table I) show that the black-box model outperforms the XAI model</w:t>
      </w:r>
      <w:r w:rsidR="00484AAF">
        <w:t xml:space="preserve"> across all regression metrics</w:t>
      </w:r>
      <w:r w:rsidR="000B67F8">
        <w:t>.</w:t>
      </w:r>
    </w:p>
    <w:p w14:paraId="40896E11" w14:textId="77777777" w:rsidR="0081376C" w:rsidRDefault="0081376C" w:rsidP="0081376C">
      <w:pPr>
        <w:pStyle w:val="PARAIndent"/>
      </w:pPr>
    </w:p>
    <w:p w14:paraId="6481CA5A" w14:textId="7E64F5DB" w:rsidR="00EF58A2" w:rsidRDefault="00EF58A2" w:rsidP="00EF58A2">
      <w:pPr>
        <w:pStyle w:val="TableTitle"/>
      </w:pPr>
      <w:r>
        <w:t>TABLE I</w:t>
      </w:r>
    </w:p>
    <w:p w14:paraId="623CD9CD" w14:textId="7CEAA8F1" w:rsidR="00EF58A2" w:rsidRDefault="00EF58A2" w:rsidP="00EF58A2">
      <w:pPr>
        <w:pStyle w:val="TableTitle"/>
      </w:pPr>
      <w:r>
        <w:t>Comparison of Performance metrics</w:t>
      </w:r>
    </w:p>
    <w:tbl>
      <w:tblPr>
        <w:tblW w:w="4824"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4"/>
      </w:tblGrid>
      <w:tr w:rsidR="00EF58A2" w14:paraId="2E91725F" w14:textId="77777777" w:rsidTr="00EF58A2">
        <w:trPr>
          <w:trHeight w:val="440"/>
        </w:trPr>
        <w:tc>
          <w:tcPr>
            <w:tcW w:w="720" w:type="dxa"/>
            <w:tcBorders>
              <w:top w:val="double" w:sz="6" w:space="0" w:color="auto"/>
              <w:left w:val="nil"/>
              <w:bottom w:val="single" w:sz="6" w:space="0" w:color="auto"/>
              <w:right w:val="nil"/>
            </w:tcBorders>
            <w:vAlign w:val="center"/>
          </w:tcPr>
          <w:p w14:paraId="537C7805" w14:textId="1A4C2CEB" w:rsidR="00EF58A2" w:rsidRDefault="00EF58A2" w:rsidP="007657BC">
            <w:pPr>
              <w:jc w:val="center"/>
              <w:rPr>
                <w:sz w:val="16"/>
                <w:szCs w:val="16"/>
              </w:rPr>
            </w:pPr>
            <w:r>
              <w:rPr>
                <w:sz w:val="16"/>
                <w:szCs w:val="16"/>
              </w:rPr>
              <w:t>Metric</w:t>
            </w:r>
          </w:p>
        </w:tc>
        <w:tc>
          <w:tcPr>
            <w:tcW w:w="1710" w:type="dxa"/>
            <w:tcBorders>
              <w:top w:val="double" w:sz="6" w:space="0" w:color="auto"/>
              <w:left w:val="nil"/>
              <w:bottom w:val="single" w:sz="6" w:space="0" w:color="auto"/>
              <w:right w:val="nil"/>
            </w:tcBorders>
            <w:vAlign w:val="center"/>
          </w:tcPr>
          <w:p w14:paraId="69153CE4" w14:textId="69DED800" w:rsidR="00EF58A2" w:rsidRDefault="00EF58A2" w:rsidP="007657BC">
            <w:pPr>
              <w:pStyle w:val="TableTitle"/>
              <w:rPr>
                <w:smallCaps w:val="0"/>
              </w:rPr>
            </w:pPr>
            <w:r>
              <w:rPr>
                <w:smallCaps w:val="0"/>
              </w:rPr>
              <w:t>‘Black Box’ Model</w:t>
            </w:r>
          </w:p>
        </w:tc>
        <w:tc>
          <w:tcPr>
            <w:tcW w:w="2394" w:type="dxa"/>
            <w:tcBorders>
              <w:top w:val="double" w:sz="6" w:space="0" w:color="auto"/>
              <w:left w:val="nil"/>
              <w:bottom w:val="single" w:sz="6" w:space="0" w:color="auto"/>
              <w:right w:val="nil"/>
            </w:tcBorders>
            <w:vAlign w:val="center"/>
          </w:tcPr>
          <w:p w14:paraId="6EBB9D61" w14:textId="1999A695" w:rsidR="00EF58A2" w:rsidRDefault="00EF58A2" w:rsidP="00EF58A2">
            <w:pPr>
              <w:jc w:val="center"/>
              <w:rPr>
                <w:sz w:val="16"/>
                <w:szCs w:val="16"/>
              </w:rPr>
            </w:pPr>
            <w:r>
              <w:rPr>
                <w:sz w:val="16"/>
                <w:szCs w:val="16"/>
              </w:rPr>
              <w:t>‘XAI’ Model</w:t>
            </w:r>
          </w:p>
        </w:tc>
      </w:tr>
      <w:tr w:rsidR="00EF58A2" w14:paraId="441C924D" w14:textId="77777777" w:rsidTr="00EF58A2">
        <w:tc>
          <w:tcPr>
            <w:tcW w:w="720" w:type="dxa"/>
            <w:tcBorders>
              <w:top w:val="nil"/>
              <w:left w:val="nil"/>
              <w:bottom w:val="nil"/>
              <w:right w:val="nil"/>
            </w:tcBorders>
          </w:tcPr>
          <w:p w14:paraId="1CDD8227" w14:textId="1B3B1EA5" w:rsidR="00EF58A2" w:rsidRDefault="00EF58A2" w:rsidP="007657BC">
            <w:pPr>
              <w:rPr>
                <w:sz w:val="16"/>
                <w:szCs w:val="16"/>
              </w:rPr>
            </w:pPr>
            <w:r>
              <w:rPr>
                <w:sz w:val="16"/>
                <w:szCs w:val="16"/>
              </w:rPr>
              <w:t>RMSE</w:t>
            </w:r>
          </w:p>
        </w:tc>
        <w:tc>
          <w:tcPr>
            <w:tcW w:w="1710" w:type="dxa"/>
            <w:tcBorders>
              <w:top w:val="nil"/>
              <w:left w:val="nil"/>
              <w:bottom w:val="nil"/>
              <w:right w:val="nil"/>
            </w:tcBorders>
          </w:tcPr>
          <w:p w14:paraId="78D6CB43" w14:textId="23F8C4C8" w:rsidR="00EF58A2" w:rsidRDefault="00EF58A2" w:rsidP="001E5142">
            <w:pPr>
              <w:jc w:val="center"/>
              <w:rPr>
                <w:sz w:val="16"/>
                <w:szCs w:val="16"/>
              </w:rPr>
            </w:pPr>
            <w:r>
              <w:rPr>
                <w:sz w:val="16"/>
                <w:szCs w:val="16"/>
              </w:rPr>
              <w:t>4.66</w:t>
            </w:r>
          </w:p>
        </w:tc>
        <w:tc>
          <w:tcPr>
            <w:tcW w:w="2394" w:type="dxa"/>
            <w:tcBorders>
              <w:top w:val="nil"/>
              <w:left w:val="nil"/>
              <w:bottom w:val="nil"/>
              <w:right w:val="nil"/>
            </w:tcBorders>
          </w:tcPr>
          <w:p w14:paraId="6340B2E9" w14:textId="62AFC5D3" w:rsidR="00EF58A2" w:rsidRDefault="001E5142" w:rsidP="001E5142">
            <w:pPr>
              <w:jc w:val="center"/>
              <w:rPr>
                <w:sz w:val="16"/>
                <w:szCs w:val="16"/>
              </w:rPr>
            </w:pPr>
            <w:r>
              <w:rPr>
                <w:sz w:val="16"/>
                <w:szCs w:val="16"/>
              </w:rPr>
              <w:t>10.77</w:t>
            </w:r>
          </w:p>
        </w:tc>
      </w:tr>
      <w:tr w:rsidR="00EF58A2" w14:paraId="100A3B15" w14:textId="77777777" w:rsidTr="00EF58A2">
        <w:tc>
          <w:tcPr>
            <w:tcW w:w="720" w:type="dxa"/>
            <w:tcBorders>
              <w:top w:val="nil"/>
              <w:left w:val="nil"/>
              <w:bottom w:val="nil"/>
              <w:right w:val="nil"/>
            </w:tcBorders>
          </w:tcPr>
          <w:p w14:paraId="17255EE7" w14:textId="680A620D" w:rsidR="00EF58A2" w:rsidRPr="00EF58A2" w:rsidRDefault="00EF58A2" w:rsidP="007657BC">
            <w:pPr>
              <w:rPr>
                <w:sz w:val="16"/>
                <w:szCs w:val="16"/>
              </w:rPr>
            </w:pPr>
            <w:r w:rsidRPr="00EF58A2">
              <w:rPr>
                <w:sz w:val="16"/>
                <w:szCs w:val="16"/>
              </w:rPr>
              <w:t>MAE</w:t>
            </w:r>
          </w:p>
        </w:tc>
        <w:tc>
          <w:tcPr>
            <w:tcW w:w="1710" w:type="dxa"/>
            <w:tcBorders>
              <w:top w:val="nil"/>
              <w:left w:val="nil"/>
              <w:bottom w:val="nil"/>
              <w:right w:val="nil"/>
            </w:tcBorders>
          </w:tcPr>
          <w:p w14:paraId="69BE04F1" w14:textId="3D5D382A" w:rsidR="00EF58A2" w:rsidRDefault="001E5142" w:rsidP="001E5142">
            <w:pPr>
              <w:jc w:val="center"/>
              <w:rPr>
                <w:sz w:val="16"/>
                <w:szCs w:val="16"/>
              </w:rPr>
            </w:pPr>
            <w:r>
              <w:rPr>
                <w:sz w:val="16"/>
                <w:szCs w:val="16"/>
              </w:rPr>
              <w:t>3.74</w:t>
            </w:r>
          </w:p>
        </w:tc>
        <w:tc>
          <w:tcPr>
            <w:tcW w:w="2394" w:type="dxa"/>
            <w:tcBorders>
              <w:top w:val="nil"/>
              <w:left w:val="nil"/>
              <w:bottom w:val="nil"/>
              <w:right w:val="nil"/>
            </w:tcBorders>
          </w:tcPr>
          <w:p w14:paraId="39D08850" w14:textId="22C61984" w:rsidR="00EF58A2" w:rsidRDefault="001E5142" w:rsidP="001E5142">
            <w:pPr>
              <w:jc w:val="center"/>
              <w:rPr>
                <w:sz w:val="16"/>
                <w:szCs w:val="16"/>
                <w:vertAlign w:val="superscript"/>
              </w:rPr>
            </w:pPr>
            <w:r>
              <w:rPr>
                <w:sz w:val="16"/>
                <w:szCs w:val="16"/>
              </w:rPr>
              <w:t>8.68</w:t>
            </w:r>
          </w:p>
        </w:tc>
      </w:tr>
      <w:tr w:rsidR="000B67F8" w14:paraId="3B3DFF41" w14:textId="77777777" w:rsidTr="00EF58A2">
        <w:trPr>
          <w:trHeight w:val="279"/>
        </w:trPr>
        <w:tc>
          <w:tcPr>
            <w:tcW w:w="720" w:type="dxa"/>
            <w:tcBorders>
              <w:top w:val="nil"/>
              <w:left w:val="nil"/>
              <w:bottom w:val="double" w:sz="6" w:space="0" w:color="auto"/>
              <w:right w:val="nil"/>
            </w:tcBorders>
          </w:tcPr>
          <w:p w14:paraId="03C89960" w14:textId="474137DE" w:rsidR="000B67F8" w:rsidRPr="00EF58A2" w:rsidRDefault="000B67F8" w:rsidP="000B67F8">
            <w:pPr>
              <w:rPr>
                <w:sz w:val="16"/>
                <w:szCs w:val="16"/>
              </w:rPr>
            </w:pPr>
            <w:r w:rsidRPr="00EF58A2">
              <w:rPr>
                <w:sz w:val="16"/>
                <w:szCs w:val="16"/>
              </w:rPr>
              <w:t>R</w:t>
            </w:r>
            <w:r w:rsidRPr="00EF58A2">
              <w:rPr>
                <w:vertAlign w:val="superscript"/>
              </w:rPr>
              <w:t>2</w:t>
            </w:r>
          </w:p>
        </w:tc>
        <w:tc>
          <w:tcPr>
            <w:tcW w:w="1710" w:type="dxa"/>
            <w:tcBorders>
              <w:top w:val="nil"/>
              <w:left w:val="nil"/>
              <w:bottom w:val="double" w:sz="6" w:space="0" w:color="auto"/>
              <w:right w:val="nil"/>
            </w:tcBorders>
          </w:tcPr>
          <w:p w14:paraId="41B0A402" w14:textId="7DF23FC1" w:rsidR="000B67F8" w:rsidRDefault="000B67F8" w:rsidP="000B67F8">
            <w:pPr>
              <w:jc w:val="center"/>
              <w:rPr>
                <w:sz w:val="16"/>
                <w:szCs w:val="16"/>
              </w:rPr>
            </w:pPr>
            <w:r>
              <w:rPr>
                <w:sz w:val="16"/>
                <w:szCs w:val="16"/>
              </w:rPr>
              <w:t>0.97</w:t>
            </w:r>
          </w:p>
        </w:tc>
        <w:tc>
          <w:tcPr>
            <w:tcW w:w="2394" w:type="dxa"/>
            <w:tcBorders>
              <w:top w:val="nil"/>
              <w:left w:val="nil"/>
              <w:bottom w:val="double" w:sz="6" w:space="0" w:color="auto"/>
              <w:right w:val="nil"/>
            </w:tcBorders>
          </w:tcPr>
          <w:p w14:paraId="3090BA0B" w14:textId="5FFCC318" w:rsidR="000B67F8" w:rsidRDefault="000B67F8" w:rsidP="000B67F8">
            <w:pPr>
              <w:jc w:val="center"/>
              <w:rPr>
                <w:sz w:val="16"/>
                <w:szCs w:val="16"/>
              </w:rPr>
            </w:pPr>
            <w:r>
              <w:rPr>
                <w:sz w:val="16"/>
                <w:szCs w:val="16"/>
              </w:rPr>
              <w:t>0.84</w:t>
            </w:r>
          </w:p>
        </w:tc>
      </w:tr>
    </w:tbl>
    <w:p w14:paraId="59728FA6" w14:textId="7A1A4590" w:rsidR="00F85665" w:rsidRPr="00F85665" w:rsidRDefault="00F85665" w:rsidP="00F85665">
      <w:pPr>
        <w:pStyle w:val="PARAIndent"/>
        <w:ind w:firstLine="0"/>
        <w:rPr>
          <w:lang w:val="en-GB"/>
        </w:rPr>
      </w:pPr>
    </w:p>
    <w:p w14:paraId="411D54E6" w14:textId="41939214" w:rsidR="00484AAF" w:rsidRDefault="00484AAF" w:rsidP="00F85665">
      <w:pPr>
        <w:pStyle w:val="PARAIndent"/>
      </w:pPr>
      <w:r w:rsidRPr="00F85665">
        <w:rPr>
          <w:lang w:val="en-GB"/>
        </w:rPr>
        <w:t>To evaluate cost-effectiveness, a 14-day time window was applied</w:t>
      </w:r>
      <w:r w:rsidRPr="00A56F58">
        <w:t xml:space="preserve"> to</w:t>
      </w:r>
      <w:r>
        <w:t xml:space="preserve"> both sets of predictions</w:t>
      </w:r>
      <w:r w:rsidR="002F76FF">
        <w:t xml:space="preserve">, classifying </w:t>
      </w:r>
      <w:r w:rsidRPr="00A56F58">
        <w:t xml:space="preserve">components </w:t>
      </w:r>
      <w:r w:rsidR="002F76FF">
        <w:t xml:space="preserve">predicted to fail within the window as positive cases. </w:t>
      </w:r>
      <w:r w:rsidR="002C6D53">
        <w:t>C</w:t>
      </w:r>
      <w:r w:rsidR="002F76FF">
        <w:t>onfusion matrices for each model, based on actual failures during the same period</w:t>
      </w:r>
      <w:r w:rsidR="002C6D53">
        <w:t xml:space="preserve">, are </w:t>
      </w:r>
      <w:r w:rsidR="00E9317F">
        <w:t>shown</w:t>
      </w:r>
      <w:r w:rsidR="002C6D53">
        <w:t xml:space="preserve"> in Fig </w:t>
      </w:r>
      <w:r w:rsidR="003159A6">
        <w:t>5</w:t>
      </w:r>
      <w:r w:rsidR="002F76FF">
        <w:t>.</w:t>
      </w:r>
    </w:p>
    <w:p w14:paraId="01E5C52A" w14:textId="4B62ABE8" w:rsidR="00714587" w:rsidRDefault="00FB6D3E" w:rsidP="00A56F58">
      <w:pPr>
        <w:pStyle w:val="PARAIndent"/>
        <w:ind w:firstLine="0"/>
      </w:pPr>
      <w:r>
        <w:rPr>
          <w:noProof/>
        </w:rPr>
        <w:drawing>
          <wp:anchor distT="0" distB="0" distL="114300" distR="114300" simplePos="0" relativeHeight="251675648" behindDoc="0" locked="0" layoutInCell="1" allowOverlap="1" wp14:anchorId="57EBB9A0" wp14:editId="33B4BAA5">
            <wp:simplePos x="0" y="0"/>
            <wp:positionH relativeFrom="margin">
              <wp:posOffset>3613150</wp:posOffset>
            </wp:positionH>
            <wp:positionV relativeFrom="paragraph">
              <wp:posOffset>57150</wp:posOffset>
            </wp:positionV>
            <wp:extent cx="2406015" cy="1498600"/>
            <wp:effectExtent l="0" t="0" r="0" b="6350"/>
            <wp:wrapSquare wrapText="bothSides"/>
            <wp:docPr id="807979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6015" cy="1498600"/>
                    </a:xfrm>
                    <a:prstGeom prst="rect">
                      <a:avLst/>
                    </a:prstGeom>
                    <a:noFill/>
                  </pic:spPr>
                </pic:pic>
              </a:graphicData>
            </a:graphic>
            <wp14:sizeRelH relativeFrom="margin">
              <wp14:pctWidth>0</wp14:pctWidth>
            </wp14:sizeRelH>
            <wp14:sizeRelV relativeFrom="margin">
              <wp14:pctHeight>0</wp14:pctHeight>
            </wp14:sizeRelV>
          </wp:anchor>
        </w:drawing>
      </w:r>
    </w:p>
    <w:p w14:paraId="00BD5A2C" w14:textId="0128724E" w:rsidR="00F85665" w:rsidRPr="00486E60" w:rsidRDefault="00F85665" w:rsidP="00F85665">
      <w:pPr>
        <w:pStyle w:val="FigCaption"/>
      </w:pPr>
      <w:r>
        <w:t>Confusion matrices for both models generated for a 14-day time window</w:t>
      </w:r>
    </w:p>
    <w:p w14:paraId="50E28B6C" w14:textId="06B98C77" w:rsidR="00F85665" w:rsidRDefault="00F85665" w:rsidP="00F85665">
      <w:pPr>
        <w:pStyle w:val="PARAIndent"/>
      </w:pPr>
    </w:p>
    <w:p w14:paraId="0AC5EE63" w14:textId="67B80DF4" w:rsidR="005075BB" w:rsidRPr="006B2309" w:rsidRDefault="00F85665" w:rsidP="005D3E33">
      <w:pPr>
        <w:pStyle w:val="PARAIndent"/>
        <w:rPr>
          <w:lang w:val="en-GB"/>
        </w:rPr>
      </w:pPr>
      <w:r>
        <w:t xml:space="preserve">In calculating CER there are two context-specific variables: </w:t>
      </w:r>
      <w:r w:rsidRPr="00F85665">
        <w:t>α</w:t>
      </w:r>
      <w:r>
        <w:t xml:space="preserve"> (the reduction in expected reduction in cost attributable to an explanation) and FMCR (the relative cost of maintenance compared to the cost of a failure). Both these variables have a significant effect on the cost-effective ratio (CER). To investigate the FMCR-</w:t>
      </w:r>
      <w:r>
        <w:rPr>
          <w:rFonts w:cs="Times New Roman"/>
        </w:rPr>
        <w:t>α</w:t>
      </w:r>
      <w:r>
        <w:t xml:space="preserve"> relationship we determined the </w:t>
      </w:r>
      <w:r>
        <w:rPr>
          <w:rFonts w:cs="Times New Roman"/>
        </w:rPr>
        <w:t>α</w:t>
      </w:r>
      <w:r>
        <w:t xml:space="preserve"> value required for the XAI model to achieve the same cost-effectiveness as the black-box model at a range of values for FMCR. </w:t>
      </w:r>
      <w:r w:rsidR="002F76FF">
        <w:t xml:space="preserve">The </w:t>
      </w:r>
      <w:r w:rsidR="002F76FF" w:rsidRPr="006B2309">
        <w:rPr>
          <w:lang w:val="en-GB"/>
        </w:rPr>
        <w:t xml:space="preserve">results are plotted on Fig. </w:t>
      </w:r>
      <w:r w:rsidR="003159A6" w:rsidRPr="006B2309">
        <w:rPr>
          <w:lang w:val="en-GB"/>
        </w:rPr>
        <w:t>6</w:t>
      </w:r>
      <w:r w:rsidR="002F76FF" w:rsidRPr="006B2309">
        <w:rPr>
          <w:lang w:val="en-GB"/>
        </w:rPr>
        <w:t>.</w:t>
      </w:r>
    </w:p>
    <w:p w14:paraId="3A8E58F4" w14:textId="77777777" w:rsidR="004E48B0" w:rsidRDefault="004E48B0" w:rsidP="004E48B0">
      <w:pPr>
        <w:pStyle w:val="FigCaption"/>
        <w:rPr>
          <w:noProof/>
        </w:rPr>
      </w:pPr>
      <w:r>
        <w:t xml:space="preserve">FMCR’s effect on magnitude of explanatory factor </w:t>
      </w:r>
      <w:r w:rsidRPr="005075BB">
        <w:rPr>
          <w:rFonts w:cs="Helvetica"/>
        </w:rPr>
        <w:t>α</w:t>
      </w:r>
      <w:r>
        <w:t xml:space="preserve"> required for CER equality with a more accurate predictor.</w:t>
      </w:r>
    </w:p>
    <w:p w14:paraId="554ACFDB" w14:textId="58ACF0C3" w:rsidR="005D3E33" w:rsidRDefault="002C6D53" w:rsidP="004E48B0">
      <w:pPr>
        <w:pStyle w:val="PARAIndent"/>
      </w:pPr>
      <w:r w:rsidRPr="006B2309">
        <w:rPr>
          <w:lang w:val="en-GB"/>
        </w:rPr>
        <w:lastRenderedPageBreak/>
        <w:t>As FMCR reduces, the negative term in the CER calculation reduces and a model’s</w:t>
      </w:r>
      <w:r>
        <w:t xml:space="preserve"> recall statistic dominates</w:t>
      </w:r>
      <w:r w:rsidR="00D17BBB">
        <w:t>. L</w:t>
      </w:r>
      <w:r w:rsidR="006111CE">
        <w:t xml:space="preserve">ower </w:t>
      </w:r>
      <w:r w:rsidR="00D17BBB">
        <w:rPr>
          <w:rFonts w:cs="Times New Roman"/>
        </w:rPr>
        <w:t>α</w:t>
      </w:r>
      <w:r w:rsidR="00D17BBB">
        <w:t xml:space="preserve"> </w:t>
      </w:r>
      <w:r w:rsidR="006111CE">
        <w:t xml:space="preserve">values </w:t>
      </w:r>
      <w:r w:rsidR="00D17BBB">
        <w:t>are needed</w:t>
      </w:r>
      <w:r w:rsidR="006111CE">
        <w:t xml:space="preserve"> </w:t>
      </w:r>
      <w:r w:rsidR="00D17BBB">
        <w:t>for</w:t>
      </w:r>
      <w:r w:rsidR="006111CE">
        <w:t xml:space="preserve"> cost-effectiveness equality.</w:t>
      </w:r>
      <w:r>
        <w:t xml:space="preserve"> </w:t>
      </w:r>
      <w:r w:rsidR="002F76FF">
        <w:t xml:space="preserve">When </w:t>
      </w:r>
      <w:r w:rsidR="002F76FF">
        <w:rPr>
          <w:rFonts w:cs="Times New Roman"/>
        </w:rPr>
        <w:t>α</w:t>
      </w:r>
      <w:r w:rsidR="002F76FF">
        <w:t xml:space="preserve"> is zero, the CER equation simplifies to </w:t>
      </w:r>
      <m:oMath>
        <m:r>
          <w:rPr>
            <w:rFonts w:ascii="Cambria Math" w:hAnsi="Cambria Math"/>
          </w:rPr>
          <m:t>recall / (1-FMCR)</m:t>
        </m:r>
      </m:oMath>
      <w:r w:rsidR="002F76FF">
        <w:t>. This represents the maximum possible cost-effectiveness an explainable model can achieve; it assumes that explanations bring maintenance costs to zero. If this value</w:t>
      </w:r>
      <w:r w:rsidR="005D3E33">
        <w:t xml:space="preserve"> </w:t>
      </w:r>
      <w:r w:rsidR="005D3E33">
        <w:t>is still lower than a competing model’s CER, then no level of explanation is sufficient to match a stronger</w:t>
      </w:r>
      <w:r w:rsidR="005D3E33" w:rsidRPr="006F5CC8">
        <w:t xml:space="preserve"> </w:t>
      </w:r>
      <w:r w:rsidR="005D3E33">
        <w:t>predictor.</w:t>
      </w:r>
      <w:r w:rsidR="005D3E33">
        <w:t xml:space="preserve">   </w:t>
      </w:r>
    </w:p>
    <w:p w14:paraId="0BAB4B20" w14:textId="3C737355" w:rsidR="009C762D" w:rsidRDefault="00D35C5D" w:rsidP="00762746">
      <w:pPr>
        <w:pStyle w:val="PARAIndent"/>
      </w:pPr>
      <w:r>
        <w:t xml:space="preserve">For the </w:t>
      </w:r>
      <w:proofErr w:type="spellStart"/>
      <w:r>
        <w:t>analysed</w:t>
      </w:r>
      <w:proofErr w:type="spellEnd"/>
      <w:r w:rsidR="00AA7AF4">
        <w:t xml:space="preserve"> data</w:t>
      </w:r>
      <w:r>
        <w:t xml:space="preserve">, if FMCR falls below 0.22, the XAI model is unable to match the CER of the black-box model. </w:t>
      </w:r>
      <w:r w:rsidR="00DE08A0">
        <w:t>This</w:t>
      </w:r>
      <w:r>
        <w:t xml:space="preserve"> </w:t>
      </w:r>
      <w:r w:rsidR="00DE08A0">
        <w:t xml:space="preserve">is </w:t>
      </w:r>
      <w:r w:rsidR="001647F3">
        <w:t xml:space="preserve">proposed as </w:t>
      </w:r>
      <w:r w:rsidR="00DE08A0">
        <w:t>a general principle</w:t>
      </w:r>
      <w:r w:rsidR="001647F3">
        <w:t>.</w:t>
      </w:r>
      <w:r w:rsidR="00DE08A0">
        <w:t xml:space="preserve"> The threshold value is context specific, but </w:t>
      </w:r>
      <w:r w:rsidR="00DE08A0" w:rsidRPr="001647F3">
        <w:rPr>
          <w:b/>
          <w:bCs/>
        </w:rPr>
        <w:t>for an XAI model to be more cost effective than a</w:t>
      </w:r>
      <w:r w:rsidR="00F543FD">
        <w:rPr>
          <w:b/>
          <w:bCs/>
        </w:rPr>
        <w:t xml:space="preserve"> more accurate</w:t>
      </w:r>
      <w:r w:rsidR="00DE08A0" w:rsidRPr="001647F3">
        <w:rPr>
          <w:b/>
          <w:bCs/>
        </w:rPr>
        <w:t xml:space="preserve"> </w:t>
      </w:r>
      <w:r w:rsidR="00F543FD">
        <w:rPr>
          <w:b/>
          <w:bCs/>
        </w:rPr>
        <w:t>but less interpretable alternative</w:t>
      </w:r>
      <w:r w:rsidR="00DE08A0" w:rsidRPr="001647F3">
        <w:rPr>
          <w:b/>
          <w:bCs/>
        </w:rPr>
        <w:t>, there is a minimum FMCR value</w:t>
      </w:r>
      <w:r w:rsidR="00DE08A0">
        <w:t xml:space="preserve">. </w:t>
      </w:r>
    </w:p>
    <w:p w14:paraId="7B6C5C0F" w14:textId="487086C7" w:rsidR="009C762D" w:rsidRDefault="00D35C5D" w:rsidP="00CB2C72">
      <w:pPr>
        <w:pStyle w:val="PARAIndent"/>
      </w:pPr>
      <w:r>
        <w:t>Our</w:t>
      </w:r>
      <w:r w:rsidR="00DE08A0">
        <w:t xml:space="preserve"> analysis </w:t>
      </w:r>
      <w:r w:rsidR="006111CE">
        <w:t>found</w:t>
      </w:r>
      <w:r w:rsidR="00DE08A0">
        <w:t xml:space="preserve"> that for FMCR of 0.5, a 37% reduction in maintenance costs </w:t>
      </w:r>
      <w:r w:rsidR="001647F3">
        <w:t xml:space="preserve">(i.e. </w:t>
      </w:r>
      <w:r w:rsidR="001647F3">
        <w:rPr>
          <w:rFonts w:cs="Times New Roman"/>
        </w:rPr>
        <w:t>α</w:t>
      </w:r>
      <w:r w:rsidR="001647F3">
        <w:t xml:space="preserve">=0.63) </w:t>
      </w:r>
      <w:r w:rsidR="00DE08A0">
        <w:t>is required for the explanatory model to match the black-box</w:t>
      </w:r>
      <w:r w:rsidR="00484AAF">
        <w:t xml:space="preserve"> model</w:t>
      </w:r>
      <w:r w:rsidR="001647F3">
        <w:t xml:space="preserve">. Further, </w:t>
      </w:r>
      <w:r w:rsidR="00DE08A0">
        <w:t xml:space="preserve">with a 54% reduction in maintenance costs, the XAI model is more cost effective than </w:t>
      </w:r>
      <w:r w:rsidR="00484AAF">
        <w:t>a</w:t>
      </w:r>
      <w:r w:rsidR="00DE08A0">
        <w:t xml:space="preserve"> perfect </w:t>
      </w:r>
      <w:r w:rsidR="0047165B">
        <w:t>black-box</w:t>
      </w:r>
      <w:r w:rsidR="00DE08A0">
        <w:t xml:space="preserve"> </w:t>
      </w:r>
      <w:r w:rsidR="00484AAF">
        <w:t>model</w:t>
      </w:r>
      <w:r w:rsidR="00DE08A0">
        <w:t xml:space="preserve">; CER </w:t>
      </w:r>
      <w:r w:rsidR="006111CE">
        <w:t>grew</w:t>
      </w:r>
      <w:r w:rsidR="00DE08A0">
        <w:t xml:space="preserve"> greater than 1.0.</w:t>
      </w:r>
    </w:p>
    <w:p w14:paraId="3E5D7F2D" w14:textId="11BDB7E1" w:rsidR="009C762D" w:rsidRDefault="009C762D" w:rsidP="00762746">
      <w:pPr>
        <w:pStyle w:val="PARAIndent"/>
      </w:pPr>
    </w:p>
    <w:p w14:paraId="669BE6BC" w14:textId="5701C683" w:rsidR="008568FB" w:rsidRDefault="009E1D5E" w:rsidP="008568FB">
      <w:pPr>
        <w:pStyle w:val="H1ListNoSpace"/>
      </w:pPr>
      <w:r>
        <w:t>DISCUSSION</w:t>
      </w:r>
    </w:p>
    <w:p w14:paraId="7BE3D773" w14:textId="52CA8471" w:rsidR="002061D3" w:rsidRDefault="002061D3" w:rsidP="00D17BBB">
      <w:pPr>
        <w:pStyle w:val="PARAIndent"/>
        <w:ind w:firstLine="0"/>
      </w:pPr>
      <w:r>
        <w:t>It is intuitive that cost-efficiency is related to precision (how many predicted positives are true) and cost-effectiveness is related to recall (how many actual positives are identified). The criteria derived here enhance that intuition</w:t>
      </w:r>
      <w:r w:rsidR="000803AA">
        <w:t xml:space="preserve"> by incorporating </w:t>
      </w:r>
      <w:r>
        <w:t>costs and</w:t>
      </w:r>
      <w:r w:rsidR="0047165B">
        <w:t xml:space="preserve"> context-specific factors to</w:t>
      </w:r>
      <w:r>
        <w:t xml:space="preserve"> defin</w:t>
      </w:r>
      <w:r w:rsidR="0047165B">
        <w:t>e</w:t>
      </w:r>
      <w:r>
        <w:t xml:space="preserve"> expressions </w:t>
      </w:r>
      <w:r w:rsidR="000803AA">
        <w:t>that enable quantitative comparison.</w:t>
      </w:r>
    </w:p>
    <w:p w14:paraId="613CC47C" w14:textId="1F149ECD" w:rsidR="00ED3CBA" w:rsidRDefault="00ED3CBA" w:rsidP="00695F75">
      <w:pPr>
        <w:pStyle w:val="PARAIndent"/>
      </w:pPr>
      <w:r>
        <w:t>For cost-efficiency, model precision is identified as a</w:t>
      </w:r>
      <w:r w:rsidR="006111CE">
        <w:t>n upper</w:t>
      </w:r>
      <w:r>
        <w:t xml:space="preserve"> limit for the ratio </w:t>
      </w:r>
      <w:r w:rsidRPr="00ED3CBA">
        <w:rPr>
          <w:i/>
          <w:iCs/>
        </w:rPr>
        <w:t>m/f</w:t>
      </w:r>
      <w:r>
        <w:t xml:space="preserve">. For an XAI model, </w:t>
      </w:r>
      <w:r w:rsidRPr="00ED3CBA">
        <w:rPr>
          <w:i/>
          <w:iCs/>
        </w:rPr>
        <w:t>m/f</w:t>
      </w:r>
      <w:r>
        <w:t xml:space="preserve"> can be expressed as (</w:t>
      </w:r>
      <w:r w:rsidRPr="006111CE">
        <w:rPr>
          <w:i/>
          <w:iCs/>
        </w:rPr>
        <w:t xml:space="preserve">α * </w:t>
      </w:r>
      <w:r w:rsidRPr="00DC6CFB">
        <w:t>FMCR</w:t>
      </w:r>
      <w:r>
        <w:t xml:space="preserve">). This establishes a relationship for </w:t>
      </w:r>
      <w:r w:rsidR="008B6E30">
        <w:t>a</w:t>
      </w:r>
      <w:r>
        <w:t xml:space="preserve"> m</w:t>
      </w:r>
      <w:r w:rsidR="006111CE">
        <w:t>aximum</w:t>
      </w:r>
      <w:r>
        <w:t xml:space="preserve"> FMCR (</w:t>
      </w:r>
      <w:proofErr w:type="spellStart"/>
      <w:r>
        <w:t>FMCR</w:t>
      </w:r>
      <w:r w:rsidRPr="00E816F3">
        <w:rPr>
          <w:vertAlign w:val="subscript"/>
        </w:rPr>
        <w:t>m</w:t>
      </w:r>
      <w:r w:rsidR="006111CE">
        <w:rPr>
          <w:vertAlign w:val="subscript"/>
        </w:rPr>
        <w:t>ax</w:t>
      </w:r>
      <w:proofErr w:type="spellEnd"/>
      <w:r>
        <w:t>) at which an XAI model can be cost-efficient:</w:t>
      </w:r>
      <w:r w:rsidRPr="00E816F3">
        <w:t xml:space="preserve"> </w:t>
      </w:r>
    </w:p>
    <w:p w14:paraId="734AA295" w14:textId="0A571E47" w:rsidR="00ED3CBA" w:rsidRPr="00265FA7" w:rsidRDefault="00DC6CFB" w:rsidP="00ED3CBA">
      <w:pPr>
        <w:rPr>
          <w:sz w:val="20"/>
          <w:szCs w:val="20"/>
        </w:rPr>
      </w:pPr>
      <m:oMathPara>
        <m:oMathParaPr>
          <m:jc m:val="right"/>
        </m:oMathParaPr>
        <m:oMath>
          <m:r>
            <m:rPr>
              <m:sty m:val="p"/>
            </m:rPr>
            <w:rPr>
              <w:rFonts w:ascii="Cambria Math" w:hAnsi="Cambria Math"/>
              <w:sz w:val="20"/>
              <w:szCs w:val="20"/>
            </w:rPr>
            <m:t>FMCR</m:t>
          </m:r>
          <m:r>
            <m:rPr>
              <m:sty m:val="p"/>
            </m:rPr>
            <w:rPr>
              <w:rFonts w:ascii="Cambria Math" w:hAnsi="Cambria Math"/>
              <w:sz w:val="20"/>
              <w:szCs w:val="20"/>
              <w:vertAlign w:val="subscript"/>
            </w:rPr>
            <m:t>max</m:t>
          </m:r>
          <m:r>
            <m:rPr>
              <m:sty m:val="p"/>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precision</m:t>
              </m:r>
            </m:num>
            <m:den>
              <m:r>
                <w:rPr>
                  <w:rFonts w:ascii="Cambria Math" w:hAnsi="Cambria Math"/>
                  <w:sz w:val="20"/>
                  <w:szCs w:val="20"/>
                </w:rPr>
                <m:t>explanatory factor,  α</m:t>
              </m:r>
            </m:den>
          </m:f>
          <m:r>
            <w:rPr>
              <w:rFonts w:ascii="Cambria Math" w:hAnsi="Cambria Math"/>
              <w:sz w:val="20"/>
              <w:szCs w:val="20"/>
            </w:rPr>
            <m:t xml:space="preserve">             (5)</m:t>
          </m:r>
        </m:oMath>
      </m:oMathPara>
    </w:p>
    <w:p w14:paraId="6AC87E48" w14:textId="77777777" w:rsidR="00265FA7" w:rsidRDefault="00265FA7" w:rsidP="00695F75">
      <w:pPr>
        <w:pStyle w:val="PARAIndent"/>
      </w:pPr>
    </w:p>
    <w:p w14:paraId="44168979" w14:textId="6FBA700C" w:rsidR="00ED3CBA" w:rsidRDefault="00ED3CBA" w:rsidP="00695F75">
      <w:pPr>
        <w:pStyle w:val="PARAIndent"/>
      </w:pPr>
      <w:r>
        <w:t>Assuming that maintenance is cheaper than failure, FMCR is less tha</w:t>
      </w:r>
      <w:r w:rsidR="006111CE">
        <w:t>n</w:t>
      </w:r>
      <w:r>
        <w:t xml:space="preserve"> one. So, if the explanatory </w:t>
      </w:r>
      <w:r w:rsidR="00423B00">
        <w:t>factor</w:t>
      </w:r>
      <w:r w:rsidR="006111CE">
        <w:t xml:space="preserve"> </w:t>
      </w:r>
      <w:r>
        <w:t>is less tha</w:t>
      </w:r>
      <w:r w:rsidR="001E3EBA">
        <w:t>n</w:t>
      </w:r>
      <w:r>
        <w:t xml:space="preserve"> precision, there is no effective restriction on </w:t>
      </w:r>
      <w:r w:rsidR="000769D9">
        <w:t>FMCR</w:t>
      </w:r>
      <w:r w:rsidR="00881BB6">
        <w:t xml:space="preserve">; the </w:t>
      </w:r>
      <w:r w:rsidR="00423B00">
        <w:t xml:space="preserve">proportion of true </w:t>
      </w:r>
      <w:r w:rsidR="00881BB6">
        <w:t>positive</w:t>
      </w:r>
      <w:r w:rsidR="00423B00">
        <w:t>s</w:t>
      </w:r>
      <w:r w:rsidR="00881BB6">
        <w:t xml:space="preserve"> and the reduced maintenance cost ensure cost-efficiency</w:t>
      </w:r>
      <w:r>
        <w:t>.</w:t>
      </w:r>
      <w:r w:rsidR="001E3EBA">
        <w:t xml:space="preserve"> </w:t>
      </w:r>
      <w:r w:rsidR="000769D9">
        <w:t>When</w:t>
      </w:r>
      <w:r w:rsidR="00881BB6">
        <w:t xml:space="preserve"> </w:t>
      </w:r>
      <w:r w:rsidR="00881BB6" w:rsidRPr="00E816F3">
        <w:t>α</w:t>
      </w:r>
      <w:r w:rsidR="00881BB6">
        <w:t xml:space="preserve"> </w:t>
      </w:r>
      <w:r w:rsidR="000769D9">
        <w:t xml:space="preserve">is </w:t>
      </w:r>
      <w:r w:rsidR="00881BB6">
        <w:t xml:space="preserve">greater than precision, equation </w:t>
      </w:r>
      <w:r w:rsidR="0047165B">
        <w:t>5</w:t>
      </w:r>
      <w:r w:rsidR="00881BB6">
        <w:t xml:space="preserve"> </w:t>
      </w:r>
      <w:r w:rsidR="000769D9" w:rsidRPr="000769D9">
        <w:t>provides a clear criterion</w:t>
      </w:r>
      <w:r w:rsidR="00BE4F88">
        <w:t xml:space="preserve"> for validation</w:t>
      </w:r>
      <w:r w:rsidR="00B24F34">
        <w:t xml:space="preserve"> </w:t>
      </w:r>
      <w:r w:rsidR="0047165B">
        <w:t xml:space="preserve">of cost-efficiency </w:t>
      </w:r>
      <w:r w:rsidR="00B24F34">
        <w:t>using context-specific values</w:t>
      </w:r>
      <w:r w:rsidR="00881BB6">
        <w:t>.</w:t>
      </w:r>
    </w:p>
    <w:p w14:paraId="473796C1" w14:textId="4862D159" w:rsidR="00C323B3" w:rsidRDefault="001F32C6" w:rsidP="0047165B">
      <w:pPr>
        <w:pStyle w:val="PARAIndent"/>
      </w:pPr>
      <w:r>
        <w:t>This requirement for cost-efficiency</w:t>
      </w:r>
      <w:r w:rsidR="00CA74ED">
        <w:t>,</w:t>
      </w:r>
      <w:r>
        <w:t xml:space="preserve"> based on precision and FMCR</w:t>
      </w:r>
      <w:r w:rsidR="00CA74ED">
        <w:t>,</w:t>
      </w:r>
      <w:r>
        <w:t xml:space="preserve"> is complemented by the cost-effectiveness ceiling based on recall and FMCR</w:t>
      </w:r>
      <w:r w:rsidR="0047165B">
        <w:t xml:space="preserve"> </w:t>
      </w:r>
      <w:r w:rsidR="0011792A">
        <w:t>of</w:t>
      </w:r>
      <w:r>
        <w:t xml:space="preserve"> Section IV.A. Combined, these relationships establish upper and lower bounds for FMCR within which an XAI model is capable of comparative cost-effectiveness.</w:t>
      </w:r>
      <w:r w:rsidR="000769D9">
        <w:t xml:space="preserve"> </w:t>
      </w:r>
      <w:r w:rsidR="0011792A">
        <w:t>M</w:t>
      </w:r>
      <w:r w:rsidR="000769D9">
        <w:t>aintenance cost</w:t>
      </w:r>
      <w:r w:rsidR="0011792A">
        <w:t>s</w:t>
      </w:r>
      <w:r w:rsidR="000769D9">
        <w:t xml:space="preserve"> must be sufficiently high for actionable insights to generate significant cost savings. Equally, cost</w:t>
      </w:r>
      <w:r w:rsidR="0011792A">
        <w:t>s</w:t>
      </w:r>
      <w:r w:rsidR="000769D9">
        <w:t xml:space="preserve"> must be low enough for the cost of false positives to be outweighed by savings </w:t>
      </w:r>
      <w:r w:rsidR="0011792A">
        <w:t xml:space="preserve">from </w:t>
      </w:r>
      <w:r w:rsidR="000769D9">
        <w:t>prevent</w:t>
      </w:r>
      <w:r w:rsidR="0011792A">
        <w:t>ed</w:t>
      </w:r>
      <w:r w:rsidR="000769D9">
        <w:t xml:space="preserve"> failures.</w:t>
      </w:r>
      <w:bookmarkStart w:id="2" w:name="_Hlk201840427"/>
    </w:p>
    <w:bookmarkEnd w:id="2"/>
    <w:p w14:paraId="5CE0A92A" w14:textId="160864FB" w:rsidR="004A6D10" w:rsidRDefault="004A6D10" w:rsidP="00B24F34">
      <w:pPr>
        <w:pStyle w:val="PARAIndent"/>
      </w:pPr>
      <w:r>
        <w:t xml:space="preserve">In Section II.A we adopted equation (1), ignoring the likelihood that false positive cost is lower </w:t>
      </w:r>
      <w:r w:rsidR="00C72740">
        <w:t xml:space="preserve">than maintenance </w:t>
      </w:r>
      <w:r w:rsidR="00C72740">
        <w:t xml:space="preserve">for true positives, </w:t>
      </w:r>
      <w:r>
        <w:t>as an inspection cou</w:t>
      </w:r>
      <w:r w:rsidR="009D19BF">
        <w:t xml:space="preserve">ld identify that maintenance is not required. </w:t>
      </w:r>
      <w:r w:rsidR="00C72740">
        <w:t>A</w:t>
      </w:r>
      <w:r w:rsidR="00493088">
        <w:t>pply</w:t>
      </w:r>
      <w:r w:rsidR="00C72740">
        <w:t>ing</w:t>
      </w:r>
      <w:r w:rsidR="00493088">
        <w:t xml:space="preserve"> the reasoning </w:t>
      </w:r>
      <w:r w:rsidR="00C72740">
        <w:t>used for</w:t>
      </w:r>
      <w:r w:rsidR="00493088">
        <w:t xml:space="preserve"> equation 1.1, we </w:t>
      </w:r>
      <w:r>
        <w:t>derive:</w:t>
      </w:r>
    </w:p>
    <w:p w14:paraId="1752C505" w14:textId="77777777" w:rsidR="004E48B0" w:rsidRDefault="004E48B0" w:rsidP="00B24F34">
      <w:pPr>
        <w:pStyle w:val="PARAIndent"/>
      </w:pPr>
    </w:p>
    <w:p w14:paraId="31C6A0F3" w14:textId="3F7898B3" w:rsidR="004A6D10" w:rsidRPr="00265FA7" w:rsidRDefault="00DC6CFB" w:rsidP="004A6D10">
      <m:oMathPara>
        <m:oMathParaPr>
          <m:jc m:val="right"/>
        </m:oMathParaPr>
        <m:oMath>
          <m:r>
            <m:rPr>
              <m:sty m:val="p"/>
            </m:rPr>
            <w:rPr>
              <w:rFonts w:ascii="Cambria Math" w:hAnsi="Cambria Math"/>
              <w:sz w:val="20"/>
              <w:szCs w:val="20"/>
            </w:rPr>
            <m:t>CER=</m:t>
          </m:r>
          <m:f>
            <m:fPr>
              <m:ctrlPr>
                <w:rPr>
                  <w:rFonts w:ascii="Cambria Math" w:hAnsi="Cambria Math"/>
                  <w:i/>
                  <w:sz w:val="20"/>
                  <w:szCs w:val="20"/>
                </w:rPr>
              </m:ctrlPr>
            </m:fPr>
            <m:num>
              <m:r>
                <w:rPr>
                  <w:rFonts w:ascii="Cambria Math" w:hAnsi="Cambria Math"/>
                  <w:sz w:val="20"/>
                  <w:szCs w:val="20"/>
                </w:rPr>
                <m:t>recall- α*</m:t>
              </m:r>
              <m:r>
                <m:rPr>
                  <m:sty m:val="p"/>
                </m:rPr>
                <w:rPr>
                  <w:rFonts w:ascii="Cambria Math" w:hAnsi="Cambria Math"/>
                  <w:sz w:val="20"/>
                  <w:szCs w:val="20"/>
                </w:rPr>
                <m:t>FMCR</m:t>
              </m:r>
              <m:r>
                <w:rPr>
                  <w:rFonts w:ascii="Cambria Math" w:hAnsi="Cambria Math"/>
                  <w:sz w:val="20"/>
                  <w:szCs w:val="20"/>
                </w:rPr>
                <m:t>*(recall+λFR)</m:t>
              </m:r>
            </m:num>
            <m:den>
              <m:r>
                <w:rPr>
                  <w:rFonts w:ascii="Cambria Math" w:hAnsi="Cambria Math"/>
                  <w:sz w:val="20"/>
                  <w:szCs w:val="20"/>
                </w:rPr>
                <m:t>1-</m:t>
              </m:r>
              <m:r>
                <m:rPr>
                  <m:sty m:val="p"/>
                </m:rPr>
                <w:rPr>
                  <w:rFonts w:ascii="Cambria Math" w:hAnsi="Cambria Math"/>
                  <w:sz w:val="20"/>
                  <w:szCs w:val="20"/>
                </w:rPr>
                <m:t>FMCR</m:t>
              </m:r>
            </m:den>
          </m:f>
          <m:r>
            <w:rPr>
              <w:rFonts w:ascii="Cambria Math" w:hAnsi="Cambria Math"/>
              <w:sz w:val="20"/>
              <w:szCs w:val="20"/>
            </w:rPr>
            <m:t xml:space="preserve">       (4.2)</m:t>
          </m:r>
        </m:oMath>
      </m:oMathPara>
    </w:p>
    <w:p w14:paraId="1CB33FBD" w14:textId="2C196B50" w:rsidR="009D19BF" w:rsidRDefault="009D19BF" w:rsidP="008568FB">
      <w:pPr>
        <w:pStyle w:val="PARAIndent"/>
      </w:pPr>
    </w:p>
    <w:p w14:paraId="636AAEE2" w14:textId="5C5D2132" w:rsidR="004A6D10" w:rsidRDefault="004A6D10" w:rsidP="008568FB">
      <w:pPr>
        <w:pStyle w:val="PARAIndent"/>
      </w:pPr>
      <w:r>
        <w:t xml:space="preserve">Where </w:t>
      </w:r>
      <w:r>
        <w:rPr>
          <w:rFonts w:cs="Times New Roman"/>
        </w:rPr>
        <w:t>λ</w:t>
      </w:r>
      <w:r>
        <w:t xml:space="preserve"> is the </w:t>
      </w:r>
      <w:r w:rsidR="007E2DD9">
        <w:t xml:space="preserve">inspection cost as a fraction of the maintenance cost. </w:t>
      </w:r>
      <w:r>
        <w:t>This will increase the upper FMCR limit for a model</w:t>
      </w:r>
      <w:r w:rsidR="00E343CC">
        <w:t xml:space="preserve"> to be cost-effective</w:t>
      </w:r>
      <w:r>
        <w:t xml:space="preserve">. If we assume that </w:t>
      </w:r>
      <w:r w:rsidR="00423B00">
        <w:t>stronger predictors</w:t>
      </w:r>
      <w:r>
        <w:t xml:space="preserve"> generate fewer false positives, it will also improve </w:t>
      </w:r>
      <w:r w:rsidR="00423B00">
        <w:t>an explanatory</w:t>
      </w:r>
      <w:r>
        <w:t xml:space="preserve"> model’s cost-effectiveness relative to </w:t>
      </w:r>
      <w:r w:rsidR="00423B00">
        <w:t>its comparator</w:t>
      </w:r>
      <w:r>
        <w:t xml:space="preserve">. </w:t>
      </w:r>
    </w:p>
    <w:p w14:paraId="0AECADB5" w14:textId="18656BEF" w:rsidR="00D228F9" w:rsidRDefault="007E2DD9" w:rsidP="00D228F9">
      <w:pPr>
        <w:pStyle w:val="PARAIndent"/>
      </w:pPr>
      <w:r>
        <w:t xml:space="preserve">The introduction of another context-specific </w:t>
      </w:r>
      <w:proofErr w:type="gramStart"/>
      <w:r>
        <w:t>variable</w:t>
      </w:r>
      <w:r w:rsidR="00F543FD">
        <w:t xml:space="preserve">, </w:t>
      </w:r>
      <w:r w:rsidR="00F543FD">
        <w:rPr>
          <w:rFonts w:cs="Times New Roman"/>
        </w:rPr>
        <w:t>λ</w:t>
      </w:r>
      <w:proofErr w:type="gramEnd"/>
      <w:r>
        <w:t xml:space="preserve">, in addition to the explanatory factor and FMCR, </w:t>
      </w:r>
      <w:r w:rsidR="009962CD" w:rsidRPr="009962CD">
        <w:t xml:space="preserve">underscores that CER values </w:t>
      </w:r>
      <w:r w:rsidR="009962CD">
        <w:t>apply to</w:t>
      </w:r>
      <w:r w:rsidR="009962CD" w:rsidRPr="009962CD">
        <w:t xml:space="preserve"> specific operational settings. </w:t>
      </w:r>
      <w:r w:rsidR="00C72740">
        <w:t>T</w:t>
      </w:r>
      <w:r w:rsidR="009962CD" w:rsidRPr="009962CD">
        <w:t xml:space="preserve">his dependence on situational parameters may limit the practical utility of CER </w:t>
      </w:r>
      <w:r w:rsidR="00C72740">
        <w:t xml:space="preserve">if working practices and </w:t>
      </w:r>
      <w:r w:rsidR="009962CD" w:rsidRPr="009962CD">
        <w:t>cost</w:t>
      </w:r>
      <w:r w:rsidR="00C72740">
        <w:t>s vary frequently</w:t>
      </w:r>
      <w:r w:rsidR="009962CD">
        <w:t>.</w:t>
      </w:r>
    </w:p>
    <w:p w14:paraId="45937FAD" w14:textId="65A7C748" w:rsidR="00D13D56" w:rsidRDefault="00C72740" w:rsidP="00561079">
      <w:pPr>
        <w:pStyle w:val="PARAIndent"/>
      </w:pPr>
      <w:r>
        <w:t>Finally, w</w:t>
      </w:r>
      <w:r w:rsidR="00AC4505" w:rsidRPr="00AC4505">
        <w:t xml:space="preserve">hile these relationships provide comparative performance measures, it is important to note that absolute performance metrics depend on the consistency of class distributions between </w:t>
      </w:r>
      <w:r w:rsidR="00F543FD">
        <w:t xml:space="preserve">the </w:t>
      </w:r>
      <w:r w:rsidR="00AC4505" w:rsidRPr="00AC4505">
        <w:t xml:space="preserve">evaluation dataset and </w:t>
      </w:r>
      <w:r w:rsidR="00F543FD">
        <w:t xml:space="preserve">the </w:t>
      </w:r>
      <w:r w:rsidR="00AC4505" w:rsidRPr="00AC4505">
        <w:t xml:space="preserve">real-world prediction environment. Variations in class balance between these datasets can </w:t>
      </w:r>
      <w:r w:rsidR="000769D9" w:rsidRPr="000769D9">
        <w:t>alter the confusion matrix composition, leading to misleading cost estimat</w:t>
      </w:r>
      <w:r w:rsidR="000769D9">
        <w:t>es</w:t>
      </w:r>
      <w:r w:rsidR="00AC4505" w:rsidRPr="00AC4505">
        <w:t xml:space="preserve">. Therefore, ensuring </w:t>
      </w:r>
      <w:r w:rsidR="00AC4505">
        <w:t xml:space="preserve">consistent </w:t>
      </w:r>
      <w:r w:rsidR="00AC4505" w:rsidRPr="00AC4505">
        <w:t xml:space="preserve">class prevalence is critical for reliable </w:t>
      </w:r>
      <w:r w:rsidR="00AC4505">
        <w:t>estimation of actual costs and benefits.</w:t>
      </w:r>
    </w:p>
    <w:p w14:paraId="3BB363BD" w14:textId="2A32EFB7" w:rsidR="00561079" w:rsidRDefault="00B57CD0" w:rsidP="008B6E30">
      <w:pPr>
        <w:pStyle w:val="PARAIndent"/>
      </w:pPr>
      <w:r w:rsidRPr="00B57CD0">
        <w:t>In sum</w:t>
      </w:r>
      <w:r>
        <w:t>mary</w:t>
      </w:r>
      <w:r w:rsidRPr="00B57CD0">
        <w:t xml:space="preserve">, XAI model utility in </w:t>
      </w:r>
      <w:proofErr w:type="spellStart"/>
      <w:r w:rsidRPr="00B57CD0">
        <w:t>PdM</w:t>
      </w:r>
      <w:proofErr w:type="spellEnd"/>
      <w:r w:rsidRPr="00B57CD0">
        <w:t xml:space="preserve"> </w:t>
      </w:r>
      <w:r>
        <w:t>depends</w:t>
      </w:r>
      <w:r w:rsidRPr="00B57CD0">
        <w:t xml:space="preserve"> not only on performance metrics like precision and recall but also on contextual cost ratios and operational factors. The derived relationships provide a structured, quantifiable basis for evaluating </w:t>
      </w:r>
      <w:r>
        <w:t>if</w:t>
      </w:r>
      <w:r w:rsidRPr="00B57CD0">
        <w:t xml:space="preserve"> an XAI model can generate meaningful cost savings under real-world constraints.</w:t>
      </w:r>
    </w:p>
    <w:p w14:paraId="6C736D58" w14:textId="77777777" w:rsidR="0047165B" w:rsidRDefault="0047165B" w:rsidP="008B6E30">
      <w:pPr>
        <w:pStyle w:val="PARAIndent"/>
      </w:pPr>
    </w:p>
    <w:p w14:paraId="7D83D584" w14:textId="315DA3AB" w:rsidR="00D13D56" w:rsidRDefault="00D13D56" w:rsidP="00D13D56">
      <w:pPr>
        <w:pStyle w:val="H1ListNoSpace"/>
      </w:pPr>
      <w:r>
        <w:t>CONCLUSION</w:t>
      </w:r>
    </w:p>
    <w:p w14:paraId="2AAC26D4" w14:textId="299E5890" w:rsidR="00D80205" w:rsidRDefault="00FE00EB" w:rsidP="00D80205">
      <w:pPr>
        <w:pStyle w:val="PARAIndent"/>
        <w:ind w:firstLine="0"/>
      </w:pPr>
      <w:r w:rsidRPr="00FE00EB">
        <w:t xml:space="preserve">This study demonstrates how model precision and recall correspond to cost-efficiency and cost-effectiveness in predictive maintenance settings. </w:t>
      </w:r>
      <w:r w:rsidR="001476AB">
        <w:t>In</w:t>
      </w:r>
      <w:r w:rsidRPr="00FE00EB">
        <w:t xml:space="preserve"> quantifying these relationships, we </w:t>
      </w:r>
      <w:r w:rsidR="001476AB" w:rsidRPr="00FE00EB">
        <w:t>position XAI</w:t>
      </w:r>
      <w:r w:rsidR="001476AB">
        <w:t>’s</w:t>
      </w:r>
      <w:r w:rsidR="001476AB" w:rsidRPr="00FE00EB">
        <w:t xml:space="preserve"> explanations as </w:t>
      </w:r>
      <w:r w:rsidR="001476AB">
        <w:t>cost-reducing insights</w:t>
      </w:r>
      <w:r w:rsidR="001476AB" w:rsidRPr="00FE00EB">
        <w:t xml:space="preserve"> </w:t>
      </w:r>
      <w:r w:rsidR="001476AB">
        <w:t xml:space="preserve">and </w:t>
      </w:r>
      <w:r w:rsidRPr="00FE00EB">
        <w:t xml:space="preserve">incorporate the </w:t>
      </w:r>
      <w:r w:rsidR="00723D9A">
        <w:t xml:space="preserve">value </w:t>
      </w:r>
      <w:r w:rsidRPr="00FE00EB">
        <w:t>of explanat</w:t>
      </w:r>
      <w:r w:rsidR="00723D9A">
        <w:t>ions</w:t>
      </w:r>
      <w:r w:rsidR="001476AB">
        <w:t xml:space="preserve"> into criteria</w:t>
      </w:r>
      <w:r w:rsidRPr="00FE00EB">
        <w:t>.</w:t>
      </w:r>
      <w:r w:rsidR="0011792A">
        <w:t xml:space="preserve"> </w:t>
      </w:r>
    </w:p>
    <w:p w14:paraId="1BA5C0E6" w14:textId="7EB61763" w:rsidR="001D1315" w:rsidRDefault="00CB2C72" w:rsidP="00D80205">
      <w:pPr>
        <w:pStyle w:val="PARAIndent"/>
      </w:pPr>
      <w:r>
        <w:t xml:space="preserve">The </w:t>
      </w:r>
      <w:r w:rsidR="0033009B">
        <w:t xml:space="preserve">purpose of </w:t>
      </w:r>
      <w:r w:rsidRPr="00D80205">
        <w:rPr>
          <w:b/>
          <w:bCs/>
        </w:rPr>
        <w:t>RQ1</w:t>
      </w:r>
      <w:r>
        <w:t xml:space="preserve"> </w:t>
      </w:r>
      <w:r w:rsidR="0033009B">
        <w:t xml:space="preserve">was to establish a </w:t>
      </w:r>
      <w:r w:rsidR="001D1315">
        <w:t xml:space="preserve">test for the feasibility of an AI model contributing to a predictive maintenance system. We found that the </w:t>
      </w:r>
      <w:r>
        <w:t>condition for cost-efficiency of a predictive maintenance AI</w:t>
      </w:r>
      <w:r w:rsidR="001D1315">
        <w:t xml:space="preserve"> model is that </w:t>
      </w:r>
      <w:r>
        <w:t xml:space="preserve">the expected cost of maintenance, </w:t>
      </w:r>
      <w:r w:rsidRPr="00CB2C72">
        <w:rPr>
          <w:i/>
          <w:iCs/>
        </w:rPr>
        <w:t>m</w:t>
      </w:r>
      <w:r>
        <w:t xml:space="preserve">, relative to the cost of a failure, </w:t>
      </w:r>
      <w:r w:rsidRPr="00CB2C72">
        <w:rPr>
          <w:i/>
          <w:iCs/>
        </w:rPr>
        <w:t>f</w:t>
      </w:r>
      <w:r>
        <w:t xml:space="preserve">, </w:t>
      </w:r>
      <w:r w:rsidR="001D1315">
        <w:t>is</w:t>
      </w:r>
      <w:r>
        <w:t xml:space="preserve"> less than the model</w:t>
      </w:r>
      <w:r w:rsidR="00154431">
        <w:t>’s precision</w:t>
      </w:r>
      <w:r>
        <w:t>:</w:t>
      </w:r>
      <w:r w:rsidR="001D1315">
        <w:t xml:space="preserve">   </w:t>
      </w:r>
    </w:p>
    <w:p w14:paraId="3C20B4BA" w14:textId="4B3140DD" w:rsidR="00CB2C72" w:rsidRPr="00154431" w:rsidRDefault="00000000" w:rsidP="00CB2C72">
      <w:pPr>
        <w:rPr>
          <w:rFonts w:ascii="Cambria Math" w:hAnsi="Cambria Math"/>
          <w:i/>
          <w:sz w:val="20"/>
          <w:szCs w:val="20"/>
        </w:rPr>
      </w:pPr>
      <m:oMathPara>
        <m:oMathParaPr>
          <m:jc m:val="right"/>
        </m:oMathParaPr>
        <m:oMath>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f</m:t>
              </m:r>
            </m:den>
          </m:f>
          <m:r>
            <w:rPr>
              <w:rFonts w:ascii="Cambria Math" w:hAnsi="Cambria Math"/>
              <w:sz w:val="20"/>
              <w:szCs w:val="20"/>
            </w:rPr>
            <m:t xml:space="preserve">&lt;precision                                 </m:t>
          </m:r>
          <m:d>
            <m:dPr>
              <m:ctrlPr>
                <w:rPr>
                  <w:rFonts w:ascii="Cambria Math" w:hAnsi="Cambria Math"/>
                  <w:i/>
                  <w:sz w:val="20"/>
                  <w:szCs w:val="20"/>
                </w:rPr>
              </m:ctrlPr>
            </m:dPr>
            <m:e>
              <m:r>
                <w:rPr>
                  <w:rFonts w:ascii="Cambria Math" w:hAnsi="Cambria Math"/>
                  <w:sz w:val="20"/>
                  <w:szCs w:val="20"/>
                </w:rPr>
                <m:t>1</m:t>
              </m:r>
            </m:e>
          </m:d>
        </m:oMath>
      </m:oMathPara>
    </w:p>
    <w:p w14:paraId="4DC22A4C" w14:textId="0B96FB52" w:rsidR="00CB2C72" w:rsidRPr="00296CFF" w:rsidRDefault="00CB2C72" w:rsidP="00CB2C72">
      <w:pPr>
        <w:jc w:val="both"/>
        <w:rPr>
          <w:iCs/>
          <w:sz w:val="20"/>
          <w:szCs w:val="20"/>
        </w:rPr>
      </w:pPr>
    </w:p>
    <w:p w14:paraId="60A141E9" w14:textId="26BD79F9" w:rsidR="001D1315" w:rsidRDefault="001D1315" w:rsidP="0047165B">
      <w:pPr>
        <w:pStyle w:val="PARAIndent"/>
      </w:pPr>
      <w:r w:rsidRPr="001D587C">
        <w:rPr>
          <w:b/>
          <w:bCs/>
        </w:rPr>
        <w:t>RQ2</w:t>
      </w:r>
      <w:r>
        <w:t xml:space="preserve"> was designed to provide a basis for comparison </w:t>
      </w:r>
      <w:r w:rsidR="00D80205">
        <w:t>of</w:t>
      </w:r>
      <w:r>
        <w:t xml:space="preserve"> </w:t>
      </w:r>
      <w:r w:rsidR="00D80205">
        <w:t>candidate</w:t>
      </w:r>
      <w:r>
        <w:t xml:space="preserve"> models. Our response is based on a calculation of cost benefit compared to an ideal predictor. A calculation of the Cost-Effective</w:t>
      </w:r>
      <w:r w:rsidR="00F543FD">
        <w:t>ness</w:t>
      </w:r>
      <w:r>
        <w:t xml:space="preserve"> Ratio (CER) enables comparison of two or more feasible AI models. This is a more complex expression:</w:t>
      </w:r>
    </w:p>
    <w:p w14:paraId="256A7CC2" w14:textId="0C000169" w:rsidR="001D1315" w:rsidRPr="00154431" w:rsidRDefault="001D1315" w:rsidP="001D1315">
      <m:oMathPara>
        <m:oMathParaPr>
          <m:jc m:val="right"/>
        </m:oMathParaPr>
        <m:oMath>
          <m:r>
            <w:rPr>
              <w:rFonts w:ascii="Cambria Math" w:hAnsi="Cambria Math"/>
              <w:sz w:val="20"/>
              <w:szCs w:val="20"/>
            </w:rPr>
            <w:lastRenderedPageBreak/>
            <m:t>CER</m:t>
          </m:r>
          <m:r>
            <m:rPr>
              <m:sty m:val="p"/>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recall- α*</m:t>
              </m:r>
              <m:r>
                <m:rPr>
                  <m:sty m:val="p"/>
                </m:rPr>
                <w:rPr>
                  <w:rFonts w:ascii="Cambria Math" w:hAnsi="Cambria Math"/>
                  <w:sz w:val="20"/>
                  <w:szCs w:val="20"/>
                </w:rPr>
                <m:t>FMCR</m:t>
              </m:r>
              <m:r>
                <w:rPr>
                  <w:rFonts w:ascii="Cambria Math" w:hAnsi="Cambria Math"/>
                  <w:sz w:val="20"/>
                  <w:szCs w:val="20"/>
                </w:rPr>
                <m:t>*(recall+</m:t>
              </m:r>
              <m:r>
                <m:rPr>
                  <m:sty m:val="p"/>
                </m:rPr>
                <w:rPr>
                  <w:rFonts w:ascii="Cambria Math" w:hAnsi="Cambria Math"/>
                  <w:sz w:val="20"/>
                  <w:szCs w:val="20"/>
                </w:rPr>
                <m:t>FR</m:t>
              </m:r>
              <m:r>
                <w:rPr>
                  <w:rFonts w:ascii="Cambria Math" w:hAnsi="Cambria Math"/>
                  <w:sz w:val="20"/>
                  <w:szCs w:val="20"/>
                </w:rPr>
                <m:t>)</m:t>
              </m:r>
            </m:num>
            <m:den>
              <m:r>
                <w:rPr>
                  <w:rFonts w:ascii="Cambria Math" w:hAnsi="Cambria Math"/>
                  <w:sz w:val="20"/>
                  <w:szCs w:val="20"/>
                </w:rPr>
                <m:t>1-</m:t>
              </m:r>
              <m:r>
                <m:rPr>
                  <m:sty m:val="p"/>
                </m:rPr>
                <w:rPr>
                  <w:rFonts w:ascii="Cambria Math" w:hAnsi="Cambria Math"/>
                  <w:sz w:val="20"/>
                  <w:szCs w:val="20"/>
                </w:rPr>
                <m:t>FMCR</m:t>
              </m:r>
            </m:den>
          </m:f>
          <m:r>
            <w:rPr>
              <w:rFonts w:ascii="Cambria Math" w:hAnsi="Cambria Math"/>
              <w:sz w:val="20"/>
              <w:szCs w:val="20"/>
            </w:rPr>
            <m:t xml:space="preserve">  (4.1)</m:t>
          </m:r>
        </m:oMath>
      </m:oMathPara>
    </w:p>
    <w:p w14:paraId="4CF2419E" w14:textId="77777777" w:rsidR="001D1315" w:rsidRPr="00984F65" w:rsidRDefault="001D1315" w:rsidP="00762746">
      <w:pPr>
        <w:pStyle w:val="PARAIndent"/>
      </w:pPr>
    </w:p>
    <w:p w14:paraId="62DB129E" w14:textId="77777777" w:rsidR="00984F65" w:rsidRPr="00984F65" w:rsidRDefault="00984F65" w:rsidP="00762746">
      <w:pPr>
        <w:pStyle w:val="PARAIndent"/>
      </w:pPr>
      <w:r w:rsidRPr="00984F65">
        <w:t>Where recall is the standard performance metric; α represents the proportion of maintenance cost when guided by an explanation, relative to unguided maintenance; FR is the false positive rate relative to the number of actual positives; and FMCR is a context-specific variable representing the ratio of expected maintenance cost (without explanation) to the cost of failure or breakdown.</w:t>
      </w:r>
    </w:p>
    <w:p w14:paraId="6D384E89" w14:textId="6A192CDD" w:rsidR="009543CB" w:rsidRDefault="009543CB" w:rsidP="00762746">
      <w:pPr>
        <w:pStyle w:val="PARAIndent"/>
      </w:pPr>
      <w:r w:rsidRPr="00984F65">
        <w:t>We found that an XAI model can only match the</w:t>
      </w:r>
      <w:r>
        <w:t xml:space="preserve"> cost-effectiveness of a better predictor if the FMCR value </w:t>
      </w:r>
      <w:r w:rsidR="004B35E5">
        <w:t>lies</w:t>
      </w:r>
      <w:r>
        <w:t xml:space="preserve"> within</w:t>
      </w:r>
      <w:r w:rsidR="004B35E5">
        <w:t xml:space="preserve"> both</w:t>
      </w:r>
      <w:r>
        <w:t xml:space="preserve"> a lower bound (so that explanations generate significant value) and a</w:t>
      </w:r>
      <w:r w:rsidR="004B35E5">
        <w:t>n upper</w:t>
      </w:r>
      <w:r>
        <w:t xml:space="preserve"> bound (so that unnecessary maintenance </w:t>
      </w:r>
      <w:r w:rsidR="00D80205">
        <w:t xml:space="preserve">costs </w:t>
      </w:r>
      <w:r>
        <w:t>do not exceed the benefit of preventing actual failures).</w:t>
      </w:r>
    </w:p>
    <w:p w14:paraId="5E9E05D6" w14:textId="5A7BD76B" w:rsidR="000803AA" w:rsidRDefault="000803AA" w:rsidP="00762746">
      <w:pPr>
        <w:pStyle w:val="PARAIndent"/>
      </w:pPr>
      <w:r>
        <w:t xml:space="preserve">Time window analysis of regression </w:t>
      </w:r>
      <w:r w:rsidR="00E13E11">
        <w:t>models</w:t>
      </w:r>
      <w:r>
        <w:t xml:space="preserve"> in the context of </w:t>
      </w:r>
      <w:proofErr w:type="spellStart"/>
      <w:r>
        <w:t>PdM</w:t>
      </w:r>
      <w:proofErr w:type="spellEnd"/>
      <w:r>
        <w:t xml:space="preserve"> is considered reasonable </w:t>
      </w:r>
      <w:r w:rsidR="00E343CC">
        <w:t xml:space="preserve">and enables our criteria to be applied to continuous predictions. However, a time window </w:t>
      </w:r>
      <w:r>
        <w:t xml:space="preserve">may not be appropriate </w:t>
      </w:r>
      <w:r w:rsidR="00E13E11">
        <w:t>for some domains or situations</w:t>
      </w:r>
      <w:r>
        <w:t xml:space="preserve">. </w:t>
      </w:r>
      <w:r w:rsidR="00561079">
        <w:t>There is scope for further research to investigate alternative cost-based evaluations of regression models.</w:t>
      </w:r>
    </w:p>
    <w:p w14:paraId="48B2E62C" w14:textId="5C04129D" w:rsidR="009543CB" w:rsidRDefault="004B35E5" w:rsidP="00762746">
      <w:pPr>
        <w:pStyle w:val="PARAIndent"/>
      </w:pPr>
      <w:r>
        <w:t>XAI will not be suitable for all scenarios, and i</w:t>
      </w:r>
      <w:r w:rsidR="009543CB">
        <w:t>t is not feasible to derive global values for the applicability of XAI</w:t>
      </w:r>
      <w:r>
        <w:t>. T</w:t>
      </w:r>
      <w:r w:rsidR="009543CB">
        <w:t xml:space="preserve">he significance of </w:t>
      </w:r>
      <w:r w:rsidR="00CA5BE8">
        <w:t xml:space="preserve">explanations and operational costs are </w:t>
      </w:r>
      <w:r>
        <w:t xml:space="preserve">specific to </w:t>
      </w:r>
      <w:r w:rsidR="00CA5BE8">
        <w:t>context</w:t>
      </w:r>
      <w:r>
        <w:t>s</w:t>
      </w:r>
      <w:r w:rsidR="00CA5BE8">
        <w:t xml:space="preserve">. Further, significant investment decisions will require consideration of costs throughout the lifecycle of a predictive maintenance system. </w:t>
      </w:r>
    </w:p>
    <w:p w14:paraId="495F6016" w14:textId="77777777" w:rsidR="0047624B" w:rsidRDefault="0047624B" w:rsidP="0047165B">
      <w:pPr>
        <w:pStyle w:val="PARAIndent"/>
      </w:pPr>
      <w:r w:rsidRPr="0047624B">
        <w:t xml:space="preserve">However, we believe the cost-based criteria we have proposed offer valuable insights and practical tools for evaluating the utility of AI alternatives, benefiting both commercial decision makers and researchers. </w:t>
      </w:r>
    </w:p>
    <w:p w14:paraId="0E060F18" w14:textId="2FCC3380" w:rsidR="00154431" w:rsidRDefault="0047624B" w:rsidP="0047165B">
      <w:pPr>
        <w:pStyle w:val="PARAIndent"/>
      </w:pPr>
      <w:proofErr w:type="spellStart"/>
      <w:r w:rsidRPr="0047624B">
        <w:t>Organisations</w:t>
      </w:r>
      <w:proofErr w:type="spellEnd"/>
      <w:r w:rsidRPr="0047624B">
        <w:t xml:space="preserve"> can apply these metrics during the planning and feasibility phase of </w:t>
      </w:r>
      <w:proofErr w:type="spellStart"/>
      <w:r w:rsidRPr="0047624B">
        <w:t>PdM</w:t>
      </w:r>
      <w:proofErr w:type="spellEnd"/>
      <w:r w:rsidRPr="0047624B">
        <w:t xml:space="preserve"> initiatives, using internal cost structures and operational parameters to assess whether the adoption of an interpretable model is justified. Future work could involve integrating these criteria into structured evaluation processes or cost</w:t>
      </w:r>
      <w:r w:rsidR="00984F65">
        <w:t>-</w:t>
      </w:r>
      <w:r w:rsidRPr="0047624B">
        <w:t>benefit templates to support early-stage investment decisions in AI-enabled maintenance systems.</w:t>
      </w:r>
    </w:p>
    <w:bookmarkEnd w:id="0"/>
    <w:p w14:paraId="7CD699F9" w14:textId="509812AA" w:rsidR="00067C21" w:rsidRDefault="00067C21" w:rsidP="001E4083">
      <w:pPr>
        <w:pStyle w:val="H1"/>
        <w:spacing w:before="300"/>
      </w:pPr>
      <w:r w:rsidRPr="00067C21">
        <w:t>REFERENCES</w:t>
      </w:r>
    </w:p>
    <w:p w14:paraId="62455A20" w14:textId="77777777" w:rsidR="00B26B74" w:rsidRPr="00B26B74" w:rsidRDefault="00116A7C" w:rsidP="00B26B74">
      <w:pPr>
        <w:pStyle w:val="Bibliography"/>
        <w:rPr>
          <w:sz w:val="16"/>
        </w:rPr>
      </w:pPr>
      <w:r>
        <w:fldChar w:fldCharType="begin"/>
      </w:r>
      <w:r w:rsidR="00C87DC2">
        <w:instrText xml:space="preserve"> ADDIN ZOTERO_BIBL {"uncited":[],"omitted":[],"custom":[]} CSL_BIBLIOGRAPHY </w:instrText>
      </w:r>
      <w:r>
        <w:fldChar w:fldCharType="separate"/>
      </w:r>
      <w:r w:rsidR="00B26B74" w:rsidRPr="00B26B74">
        <w:rPr>
          <w:sz w:val="16"/>
        </w:rPr>
        <w:t>[1]</w:t>
      </w:r>
      <w:r w:rsidR="00B26B74" w:rsidRPr="00B26B74">
        <w:rPr>
          <w:sz w:val="16"/>
        </w:rPr>
        <w:tab/>
        <w:t xml:space="preserve">K. Schwab and W. E. Forum, </w:t>
      </w:r>
      <w:r w:rsidR="00B26B74" w:rsidRPr="00B26B74">
        <w:rPr>
          <w:i/>
          <w:iCs/>
          <w:sz w:val="16"/>
        </w:rPr>
        <w:t>The fourth industrial revolution</w:t>
      </w:r>
      <w:r w:rsidR="00B26B74" w:rsidRPr="00B26B74">
        <w:rPr>
          <w:sz w:val="16"/>
        </w:rPr>
        <w:t>. Geneva, Switzerland: World Economic Forum, 2016.</w:t>
      </w:r>
    </w:p>
    <w:p w14:paraId="199F7BA8" w14:textId="77777777" w:rsidR="00B26B74" w:rsidRPr="00B26B74" w:rsidRDefault="00B26B74" w:rsidP="00B26B74">
      <w:pPr>
        <w:pStyle w:val="Bibliography"/>
        <w:rPr>
          <w:sz w:val="16"/>
        </w:rPr>
      </w:pPr>
      <w:r w:rsidRPr="00B26B74">
        <w:rPr>
          <w:sz w:val="16"/>
        </w:rPr>
        <w:t>[2]</w:t>
      </w:r>
      <w:r w:rsidRPr="00B26B74">
        <w:rPr>
          <w:sz w:val="16"/>
        </w:rPr>
        <w:tab/>
        <w:t xml:space="preserve">T. Zonta, C. A. Da Costa, R. Da Rosa Righi, M. J. De Lima, E. S. Da Trindade, and G. P. Li, ‘Predictive maintenance in the </w:t>
      </w:r>
      <w:proofErr w:type="gramStart"/>
      <w:r w:rsidRPr="00B26B74">
        <w:rPr>
          <w:sz w:val="16"/>
        </w:rPr>
        <w:t>Industry</w:t>
      </w:r>
      <w:proofErr w:type="gramEnd"/>
      <w:r w:rsidRPr="00B26B74">
        <w:rPr>
          <w:sz w:val="16"/>
        </w:rPr>
        <w:t xml:space="preserve"> 4.0: A systematic literature review’, </w:t>
      </w:r>
      <w:proofErr w:type="spellStart"/>
      <w:r w:rsidRPr="00B26B74">
        <w:rPr>
          <w:i/>
          <w:iCs/>
          <w:sz w:val="16"/>
        </w:rPr>
        <w:t>Comput</w:t>
      </w:r>
      <w:proofErr w:type="spellEnd"/>
      <w:r w:rsidRPr="00B26B74">
        <w:rPr>
          <w:i/>
          <w:iCs/>
          <w:sz w:val="16"/>
        </w:rPr>
        <w:t>. Ind. Eng.</w:t>
      </w:r>
      <w:r w:rsidRPr="00B26B74">
        <w:rPr>
          <w:sz w:val="16"/>
        </w:rPr>
        <w:t xml:space="preserve">, vol. 150, p. 106889, Dec. 2020, </w:t>
      </w:r>
      <w:proofErr w:type="spellStart"/>
      <w:r w:rsidRPr="00B26B74">
        <w:rPr>
          <w:sz w:val="16"/>
        </w:rPr>
        <w:t>doi</w:t>
      </w:r>
      <w:proofErr w:type="spellEnd"/>
      <w:r w:rsidRPr="00B26B74">
        <w:rPr>
          <w:sz w:val="16"/>
        </w:rPr>
        <w:t>: 10.1016/j.cie.2020.106889.</w:t>
      </w:r>
    </w:p>
    <w:p w14:paraId="1657A371" w14:textId="77777777" w:rsidR="00B26B74" w:rsidRPr="00B26B74" w:rsidRDefault="00B26B74" w:rsidP="00B26B74">
      <w:pPr>
        <w:pStyle w:val="Bibliography"/>
        <w:rPr>
          <w:sz w:val="16"/>
        </w:rPr>
      </w:pPr>
      <w:r w:rsidRPr="00B26B74">
        <w:rPr>
          <w:sz w:val="16"/>
        </w:rPr>
        <w:t>[3]</w:t>
      </w:r>
      <w:r w:rsidRPr="00B26B74">
        <w:rPr>
          <w:sz w:val="16"/>
        </w:rPr>
        <w:tab/>
        <w:t xml:space="preserve">M. </w:t>
      </w:r>
      <w:proofErr w:type="spellStart"/>
      <w:r w:rsidRPr="00B26B74">
        <w:rPr>
          <w:sz w:val="16"/>
        </w:rPr>
        <w:t>Achouch</w:t>
      </w:r>
      <w:proofErr w:type="spellEnd"/>
      <w:r w:rsidRPr="00B26B74">
        <w:rPr>
          <w:sz w:val="16"/>
        </w:rPr>
        <w:t xml:space="preserve"> </w:t>
      </w:r>
      <w:r w:rsidRPr="00B26B74">
        <w:rPr>
          <w:i/>
          <w:iCs/>
          <w:sz w:val="16"/>
        </w:rPr>
        <w:t>et al</w:t>
      </w:r>
      <w:proofErr w:type="gramStart"/>
      <w:r w:rsidRPr="00B26B74">
        <w:rPr>
          <w:i/>
          <w:iCs/>
          <w:sz w:val="16"/>
        </w:rPr>
        <w:t>.</w:t>
      </w:r>
      <w:r w:rsidRPr="00B26B74">
        <w:rPr>
          <w:sz w:val="16"/>
        </w:rPr>
        <w:t>, ‘</w:t>
      </w:r>
      <w:proofErr w:type="gramEnd"/>
      <w:r w:rsidRPr="00B26B74">
        <w:rPr>
          <w:sz w:val="16"/>
        </w:rPr>
        <w:t xml:space="preserve">On Predictive Maintenance in Industry 4.0: Overview, Models, and Challenges’, </w:t>
      </w:r>
      <w:r w:rsidRPr="00B26B74">
        <w:rPr>
          <w:i/>
          <w:iCs/>
          <w:sz w:val="16"/>
        </w:rPr>
        <w:t>Appl. Sci.</w:t>
      </w:r>
      <w:r w:rsidRPr="00B26B74">
        <w:rPr>
          <w:sz w:val="16"/>
        </w:rPr>
        <w:t xml:space="preserve">, vol. 12, no. 16, p. 8081, Aug. 2022, </w:t>
      </w:r>
      <w:proofErr w:type="spellStart"/>
      <w:r w:rsidRPr="00B26B74">
        <w:rPr>
          <w:sz w:val="16"/>
        </w:rPr>
        <w:t>doi</w:t>
      </w:r>
      <w:proofErr w:type="spellEnd"/>
      <w:r w:rsidRPr="00B26B74">
        <w:rPr>
          <w:sz w:val="16"/>
        </w:rPr>
        <w:t>: 10.3390/app12168081.</w:t>
      </w:r>
    </w:p>
    <w:p w14:paraId="3B25DD80" w14:textId="77777777" w:rsidR="00B26B74" w:rsidRPr="00B26B74" w:rsidRDefault="00B26B74" w:rsidP="00B26B74">
      <w:pPr>
        <w:pStyle w:val="Bibliography"/>
        <w:rPr>
          <w:sz w:val="16"/>
        </w:rPr>
      </w:pPr>
      <w:r w:rsidRPr="00B26B74">
        <w:rPr>
          <w:sz w:val="16"/>
        </w:rPr>
        <w:t>[4]</w:t>
      </w:r>
      <w:r w:rsidRPr="00B26B74">
        <w:rPr>
          <w:sz w:val="16"/>
        </w:rPr>
        <w:tab/>
        <w:t xml:space="preserve">D. Gunning and D. W. Aha, ‘DARPA’s Explainable Artificial Intelligence Program’, </w:t>
      </w:r>
      <w:r w:rsidRPr="00B26B74">
        <w:rPr>
          <w:i/>
          <w:iCs/>
          <w:sz w:val="16"/>
        </w:rPr>
        <w:t>AI Mag.</w:t>
      </w:r>
      <w:r w:rsidRPr="00B26B74">
        <w:rPr>
          <w:sz w:val="16"/>
        </w:rPr>
        <w:t xml:space="preserve">, vol. 40, no. 2, pp. 44–58, Jun. 2019, </w:t>
      </w:r>
      <w:proofErr w:type="spellStart"/>
      <w:r w:rsidRPr="00B26B74">
        <w:rPr>
          <w:sz w:val="16"/>
        </w:rPr>
        <w:t>doi</w:t>
      </w:r>
      <w:proofErr w:type="spellEnd"/>
      <w:r w:rsidRPr="00B26B74">
        <w:rPr>
          <w:sz w:val="16"/>
        </w:rPr>
        <w:t>: 10.1609/</w:t>
      </w:r>
      <w:proofErr w:type="gramStart"/>
      <w:r w:rsidRPr="00B26B74">
        <w:rPr>
          <w:sz w:val="16"/>
        </w:rPr>
        <w:t>aimag.v</w:t>
      </w:r>
      <w:proofErr w:type="gramEnd"/>
      <w:r w:rsidRPr="00B26B74">
        <w:rPr>
          <w:sz w:val="16"/>
        </w:rPr>
        <w:t>40i2.2850.</w:t>
      </w:r>
    </w:p>
    <w:p w14:paraId="36AF3ADD" w14:textId="77777777" w:rsidR="00B26B74" w:rsidRPr="00B26B74" w:rsidRDefault="00B26B74" w:rsidP="00B26B74">
      <w:pPr>
        <w:pStyle w:val="Bibliography"/>
        <w:rPr>
          <w:sz w:val="16"/>
        </w:rPr>
      </w:pPr>
      <w:r w:rsidRPr="00B26B74">
        <w:rPr>
          <w:sz w:val="16"/>
        </w:rPr>
        <w:t>[5]</w:t>
      </w:r>
      <w:r w:rsidRPr="00B26B74">
        <w:rPr>
          <w:sz w:val="16"/>
        </w:rPr>
        <w:tab/>
        <w:t xml:space="preserve">M. T. Ribeiro, S. Singh, and C. </w:t>
      </w:r>
      <w:proofErr w:type="spellStart"/>
      <w:r w:rsidRPr="00B26B74">
        <w:rPr>
          <w:sz w:val="16"/>
        </w:rPr>
        <w:t>Guestrin</w:t>
      </w:r>
      <w:proofErr w:type="spellEnd"/>
      <w:r w:rsidRPr="00B26B74">
        <w:rPr>
          <w:sz w:val="16"/>
        </w:rPr>
        <w:t xml:space="preserve">, ‘“Why Should I Trust </w:t>
      </w:r>
      <w:proofErr w:type="gramStart"/>
      <w:r w:rsidRPr="00B26B74">
        <w:rPr>
          <w:sz w:val="16"/>
        </w:rPr>
        <w:t>You</w:t>
      </w:r>
      <w:proofErr w:type="gramEnd"/>
      <w:r w:rsidRPr="00B26B74">
        <w:rPr>
          <w:sz w:val="16"/>
        </w:rPr>
        <w:t xml:space="preserve">?”: Explaining the Predictions of Any Classifier’, Aug. 09, 2016, </w:t>
      </w:r>
      <w:proofErr w:type="spellStart"/>
      <w:r w:rsidRPr="00B26B74">
        <w:rPr>
          <w:i/>
          <w:iCs/>
          <w:sz w:val="16"/>
        </w:rPr>
        <w:t>arXiv</w:t>
      </w:r>
      <w:proofErr w:type="spellEnd"/>
      <w:r w:rsidRPr="00B26B74">
        <w:rPr>
          <w:sz w:val="16"/>
        </w:rPr>
        <w:t xml:space="preserve">: arXiv:1602.04938. </w:t>
      </w:r>
      <w:proofErr w:type="spellStart"/>
      <w:r w:rsidRPr="00B26B74">
        <w:rPr>
          <w:sz w:val="16"/>
        </w:rPr>
        <w:t>doi</w:t>
      </w:r>
      <w:proofErr w:type="spellEnd"/>
      <w:r w:rsidRPr="00B26B74">
        <w:rPr>
          <w:sz w:val="16"/>
        </w:rPr>
        <w:t>: 10.48550/arXiv.1602.04938.</w:t>
      </w:r>
    </w:p>
    <w:p w14:paraId="7B71EF12" w14:textId="77777777" w:rsidR="00B26B74" w:rsidRPr="00B26B74" w:rsidRDefault="00B26B74" w:rsidP="00B26B74">
      <w:pPr>
        <w:pStyle w:val="Bibliography"/>
        <w:rPr>
          <w:sz w:val="16"/>
        </w:rPr>
      </w:pPr>
      <w:r w:rsidRPr="00B26B74">
        <w:rPr>
          <w:sz w:val="16"/>
        </w:rPr>
        <w:t>[6]</w:t>
      </w:r>
      <w:r w:rsidRPr="00B26B74">
        <w:rPr>
          <w:sz w:val="16"/>
        </w:rPr>
        <w:tab/>
        <w:t xml:space="preserve">G. </w:t>
      </w:r>
      <w:proofErr w:type="spellStart"/>
      <w:r w:rsidRPr="00B26B74">
        <w:rPr>
          <w:sz w:val="16"/>
        </w:rPr>
        <w:t>Vilone</w:t>
      </w:r>
      <w:proofErr w:type="spellEnd"/>
      <w:r w:rsidRPr="00B26B74">
        <w:rPr>
          <w:sz w:val="16"/>
        </w:rPr>
        <w:t xml:space="preserve"> and L. Longo, ‘Notions of explainability and evaluation approaches for explainable artificial intelligence’, </w:t>
      </w:r>
      <w:r w:rsidRPr="00B26B74">
        <w:rPr>
          <w:i/>
          <w:iCs/>
          <w:sz w:val="16"/>
        </w:rPr>
        <w:t>Inf. Fusion</w:t>
      </w:r>
      <w:r w:rsidRPr="00B26B74">
        <w:rPr>
          <w:sz w:val="16"/>
        </w:rPr>
        <w:t xml:space="preserve">, vol. 76, pp. 89–106, Dec. 2021, </w:t>
      </w:r>
      <w:proofErr w:type="spellStart"/>
      <w:r w:rsidRPr="00B26B74">
        <w:rPr>
          <w:sz w:val="16"/>
        </w:rPr>
        <w:t>doi</w:t>
      </w:r>
      <w:proofErr w:type="spellEnd"/>
      <w:r w:rsidRPr="00B26B74">
        <w:rPr>
          <w:sz w:val="16"/>
        </w:rPr>
        <w:t>: 10.1016/j.inffus.2021.05.009.</w:t>
      </w:r>
    </w:p>
    <w:p w14:paraId="5CED8DFB" w14:textId="77777777" w:rsidR="00B26B74" w:rsidRPr="00B26B74" w:rsidRDefault="00B26B74" w:rsidP="00B26B74">
      <w:pPr>
        <w:pStyle w:val="Bibliography"/>
        <w:rPr>
          <w:sz w:val="16"/>
        </w:rPr>
      </w:pPr>
      <w:r w:rsidRPr="00B26B74">
        <w:rPr>
          <w:sz w:val="16"/>
        </w:rPr>
        <w:t>[7</w:t>
      </w:r>
      <w:proofErr w:type="gramStart"/>
      <w:r w:rsidRPr="00B26B74">
        <w:rPr>
          <w:sz w:val="16"/>
        </w:rPr>
        <w:t>]</w:t>
      </w:r>
      <w:r w:rsidRPr="00B26B74">
        <w:rPr>
          <w:sz w:val="16"/>
        </w:rPr>
        <w:tab/>
        <w:t>P.</w:t>
      </w:r>
      <w:proofErr w:type="gramEnd"/>
      <w:r w:rsidRPr="00B26B74">
        <w:rPr>
          <w:sz w:val="16"/>
        </w:rPr>
        <w:t xml:space="preserve"> Lopes, E. Silva, C. Braga, T. Oliveira, and L. </w:t>
      </w:r>
      <w:proofErr w:type="gramStart"/>
      <w:r w:rsidRPr="00B26B74">
        <w:rPr>
          <w:sz w:val="16"/>
        </w:rPr>
        <w:t>Rosado, ‘</w:t>
      </w:r>
      <w:proofErr w:type="gramEnd"/>
      <w:r w:rsidRPr="00B26B74">
        <w:rPr>
          <w:sz w:val="16"/>
        </w:rPr>
        <w:t xml:space="preserve">XAI Systems Evaluation: A Review of Human and Computer-Centred Methods’, </w:t>
      </w:r>
      <w:r w:rsidRPr="00B26B74">
        <w:rPr>
          <w:i/>
          <w:iCs/>
          <w:sz w:val="16"/>
        </w:rPr>
        <w:t>Appl. Sci.</w:t>
      </w:r>
      <w:r w:rsidRPr="00B26B74">
        <w:rPr>
          <w:sz w:val="16"/>
        </w:rPr>
        <w:t xml:space="preserve">, vol. 12, no. 19, p. 9423, Sep. 2022, </w:t>
      </w:r>
      <w:proofErr w:type="spellStart"/>
      <w:r w:rsidRPr="00B26B74">
        <w:rPr>
          <w:sz w:val="16"/>
        </w:rPr>
        <w:t>doi</w:t>
      </w:r>
      <w:proofErr w:type="spellEnd"/>
      <w:r w:rsidRPr="00B26B74">
        <w:rPr>
          <w:sz w:val="16"/>
        </w:rPr>
        <w:t>: 10.3390/app12199423.</w:t>
      </w:r>
    </w:p>
    <w:p w14:paraId="206CCD8C" w14:textId="77777777" w:rsidR="00B26B74" w:rsidRPr="00B26B74" w:rsidRDefault="00B26B74" w:rsidP="00B26B74">
      <w:pPr>
        <w:pStyle w:val="Bibliography"/>
        <w:rPr>
          <w:sz w:val="16"/>
        </w:rPr>
      </w:pPr>
      <w:r w:rsidRPr="00B26B74">
        <w:rPr>
          <w:sz w:val="16"/>
        </w:rPr>
        <w:t>[8]</w:t>
      </w:r>
      <w:r w:rsidRPr="00B26B74">
        <w:rPr>
          <w:sz w:val="16"/>
        </w:rPr>
        <w:tab/>
        <w:t xml:space="preserve">G. Bansal, B. Nushi, E. Kamar, D. S. Weld, W. S. Lasecki, and E. </w:t>
      </w:r>
      <w:proofErr w:type="gramStart"/>
      <w:r w:rsidRPr="00B26B74">
        <w:rPr>
          <w:sz w:val="16"/>
        </w:rPr>
        <w:t>Horvitz, ‘</w:t>
      </w:r>
      <w:proofErr w:type="gramEnd"/>
      <w:r w:rsidRPr="00B26B74">
        <w:rPr>
          <w:sz w:val="16"/>
        </w:rPr>
        <w:t xml:space="preserve">Updates in Human-AI Teams: Understanding and Addressing the Performance/Compatibility Tradeoff’, </w:t>
      </w:r>
      <w:r w:rsidRPr="00B26B74">
        <w:rPr>
          <w:i/>
          <w:iCs/>
          <w:sz w:val="16"/>
        </w:rPr>
        <w:t xml:space="preserve">Proc. AAAI Conf. </w:t>
      </w:r>
      <w:proofErr w:type="spellStart"/>
      <w:r w:rsidRPr="00B26B74">
        <w:rPr>
          <w:i/>
          <w:iCs/>
          <w:sz w:val="16"/>
        </w:rPr>
        <w:t>Artif</w:t>
      </w:r>
      <w:proofErr w:type="spellEnd"/>
      <w:r w:rsidRPr="00B26B74">
        <w:rPr>
          <w:i/>
          <w:iCs/>
          <w:sz w:val="16"/>
        </w:rPr>
        <w:t xml:space="preserve">. </w:t>
      </w:r>
      <w:proofErr w:type="spellStart"/>
      <w:r w:rsidRPr="00B26B74">
        <w:rPr>
          <w:i/>
          <w:iCs/>
          <w:sz w:val="16"/>
        </w:rPr>
        <w:t>Intell</w:t>
      </w:r>
      <w:proofErr w:type="spellEnd"/>
      <w:r w:rsidRPr="00B26B74">
        <w:rPr>
          <w:i/>
          <w:iCs/>
          <w:sz w:val="16"/>
        </w:rPr>
        <w:t>.</w:t>
      </w:r>
      <w:r w:rsidRPr="00B26B74">
        <w:rPr>
          <w:sz w:val="16"/>
        </w:rPr>
        <w:t xml:space="preserve">, vol. 33, no. 01, pp. 2429–2437, Jul. 2019, </w:t>
      </w:r>
      <w:proofErr w:type="spellStart"/>
      <w:r w:rsidRPr="00B26B74">
        <w:rPr>
          <w:sz w:val="16"/>
        </w:rPr>
        <w:t>doi</w:t>
      </w:r>
      <w:proofErr w:type="spellEnd"/>
      <w:r w:rsidRPr="00B26B74">
        <w:rPr>
          <w:sz w:val="16"/>
        </w:rPr>
        <w:t>: 10.1609/</w:t>
      </w:r>
      <w:proofErr w:type="gramStart"/>
      <w:r w:rsidRPr="00B26B74">
        <w:rPr>
          <w:sz w:val="16"/>
        </w:rPr>
        <w:t>aaai.v</w:t>
      </w:r>
      <w:proofErr w:type="gramEnd"/>
      <w:r w:rsidRPr="00B26B74">
        <w:rPr>
          <w:sz w:val="16"/>
        </w:rPr>
        <w:t>33i01.33012429.</w:t>
      </w:r>
    </w:p>
    <w:p w14:paraId="091634E7" w14:textId="77777777" w:rsidR="00B26B74" w:rsidRPr="00B26B74" w:rsidRDefault="00B26B74" w:rsidP="00B26B74">
      <w:pPr>
        <w:pStyle w:val="Bibliography"/>
        <w:rPr>
          <w:sz w:val="16"/>
        </w:rPr>
      </w:pPr>
      <w:r w:rsidRPr="00B26B74">
        <w:rPr>
          <w:sz w:val="16"/>
        </w:rPr>
        <w:t>[9]</w:t>
      </w:r>
      <w:r w:rsidRPr="00B26B74">
        <w:rPr>
          <w:sz w:val="16"/>
        </w:rPr>
        <w:tab/>
        <w:t xml:space="preserve">L. Cummins </w:t>
      </w:r>
      <w:r w:rsidRPr="00B26B74">
        <w:rPr>
          <w:i/>
          <w:iCs/>
          <w:sz w:val="16"/>
        </w:rPr>
        <w:t>et al.</w:t>
      </w:r>
      <w:r w:rsidRPr="00B26B74">
        <w:rPr>
          <w:sz w:val="16"/>
        </w:rPr>
        <w:t xml:space="preserve">, ‘Explainable Predictive Maintenance: A Survey of Current Methods, Challenges and Opportunities’, </w:t>
      </w:r>
      <w:r w:rsidRPr="00B26B74">
        <w:rPr>
          <w:i/>
          <w:iCs/>
          <w:sz w:val="16"/>
        </w:rPr>
        <w:t>IEEE Access</w:t>
      </w:r>
      <w:r w:rsidRPr="00B26B74">
        <w:rPr>
          <w:sz w:val="16"/>
        </w:rPr>
        <w:t xml:space="preserve">, vol. 12, pp. 57574–57602, 2024, </w:t>
      </w:r>
      <w:proofErr w:type="spellStart"/>
      <w:r w:rsidRPr="00B26B74">
        <w:rPr>
          <w:sz w:val="16"/>
        </w:rPr>
        <w:t>doi</w:t>
      </w:r>
      <w:proofErr w:type="spellEnd"/>
      <w:r w:rsidRPr="00B26B74">
        <w:rPr>
          <w:sz w:val="16"/>
        </w:rPr>
        <w:t>: 10.1109/ACCESS.2024.3391130.</w:t>
      </w:r>
    </w:p>
    <w:p w14:paraId="33F82882" w14:textId="77777777" w:rsidR="00B26B74" w:rsidRPr="00B26B74" w:rsidRDefault="00B26B74" w:rsidP="00B26B74">
      <w:pPr>
        <w:pStyle w:val="Bibliography"/>
        <w:rPr>
          <w:sz w:val="16"/>
        </w:rPr>
      </w:pPr>
      <w:r w:rsidRPr="00B26B74">
        <w:rPr>
          <w:sz w:val="16"/>
        </w:rPr>
        <w:t>[10]</w:t>
      </w:r>
      <w:r w:rsidRPr="00B26B74">
        <w:rPr>
          <w:sz w:val="16"/>
        </w:rPr>
        <w:tab/>
        <w:t xml:space="preserve">J. Chatterjee and N. </w:t>
      </w:r>
      <w:proofErr w:type="gramStart"/>
      <w:r w:rsidRPr="00B26B74">
        <w:rPr>
          <w:sz w:val="16"/>
        </w:rPr>
        <w:t>Dethlefs, ‘</w:t>
      </w:r>
      <w:proofErr w:type="gramEnd"/>
      <w:r w:rsidRPr="00B26B74">
        <w:rPr>
          <w:sz w:val="16"/>
        </w:rPr>
        <w:t xml:space="preserve">XAI4Wind: A Multimodal Knowledge Graph Database for Explainable Decision Support in Operations &amp; Maintenance of Wind Turbines’, Feb. 24, 2021, </w:t>
      </w:r>
      <w:proofErr w:type="spellStart"/>
      <w:r w:rsidRPr="00B26B74">
        <w:rPr>
          <w:i/>
          <w:iCs/>
          <w:sz w:val="16"/>
        </w:rPr>
        <w:t>arXiv</w:t>
      </w:r>
      <w:proofErr w:type="spellEnd"/>
      <w:r w:rsidRPr="00B26B74">
        <w:rPr>
          <w:sz w:val="16"/>
        </w:rPr>
        <w:t xml:space="preserve">: arXiv:2012.10489. </w:t>
      </w:r>
      <w:proofErr w:type="spellStart"/>
      <w:r w:rsidRPr="00B26B74">
        <w:rPr>
          <w:sz w:val="16"/>
        </w:rPr>
        <w:t>doi</w:t>
      </w:r>
      <w:proofErr w:type="spellEnd"/>
      <w:r w:rsidRPr="00B26B74">
        <w:rPr>
          <w:sz w:val="16"/>
        </w:rPr>
        <w:t>: 10.48550/arXiv.2012.10489.</w:t>
      </w:r>
    </w:p>
    <w:p w14:paraId="5236CB9B" w14:textId="77777777" w:rsidR="00B26B74" w:rsidRPr="00B26B74" w:rsidRDefault="00B26B74" w:rsidP="00B26B74">
      <w:pPr>
        <w:pStyle w:val="Bibliography"/>
        <w:rPr>
          <w:sz w:val="16"/>
        </w:rPr>
      </w:pPr>
      <w:r w:rsidRPr="00B26B74">
        <w:rPr>
          <w:sz w:val="16"/>
        </w:rPr>
        <w:t>[11]</w:t>
      </w:r>
      <w:r w:rsidRPr="00B26B74">
        <w:rPr>
          <w:sz w:val="16"/>
        </w:rPr>
        <w:tab/>
        <w:t xml:space="preserve">G. Youness and A. </w:t>
      </w:r>
      <w:proofErr w:type="spellStart"/>
      <w:r w:rsidRPr="00B26B74">
        <w:rPr>
          <w:sz w:val="16"/>
        </w:rPr>
        <w:t>Aalah</w:t>
      </w:r>
      <w:proofErr w:type="spellEnd"/>
      <w:r w:rsidRPr="00B26B74">
        <w:rPr>
          <w:sz w:val="16"/>
        </w:rPr>
        <w:t xml:space="preserve">, ‘An Explainable Artificial Intelligence Approach for Remaining Useful Life Prediction’, </w:t>
      </w:r>
      <w:r w:rsidRPr="00B26B74">
        <w:rPr>
          <w:i/>
          <w:iCs/>
          <w:sz w:val="16"/>
        </w:rPr>
        <w:t>Aerospace</w:t>
      </w:r>
      <w:r w:rsidRPr="00B26B74">
        <w:rPr>
          <w:sz w:val="16"/>
        </w:rPr>
        <w:t xml:space="preserve">, vol. 10, no. 5, p. 474, May 2023, </w:t>
      </w:r>
      <w:proofErr w:type="spellStart"/>
      <w:r w:rsidRPr="00B26B74">
        <w:rPr>
          <w:sz w:val="16"/>
        </w:rPr>
        <w:t>doi</w:t>
      </w:r>
      <w:proofErr w:type="spellEnd"/>
      <w:r w:rsidRPr="00B26B74">
        <w:rPr>
          <w:sz w:val="16"/>
        </w:rPr>
        <w:t>: 10.3390/aerospace10050474.</w:t>
      </w:r>
    </w:p>
    <w:p w14:paraId="1B2DE4FC" w14:textId="77777777" w:rsidR="00B26B74" w:rsidRPr="00B26B74" w:rsidRDefault="00B26B74" w:rsidP="00B26B74">
      <w:pPr>
        <w:pStyle w:val="Bibliography"/>
        <w:rPr>
          <w:sz w:val="16"/>
        </w:rPr>
      </w:pPr>
      <w:r w:rsidRPr="00B26B74">
        <w:rPr>
          <w:sz w:val="16"/>
        </w:rPr>
        <w:t>[12]</w:t>
      </w:r>
      <w:r w:rsidRPr="00B26B74">
        <w:rPr>
          <w:sz w:val="16"/>
        </w:rPr>
        <w:tab/>
        <w:t xml:space="preserve">U. Dereci and G. </w:t>
      </w:r>
      <w:proofErr w:type="spellStart"/>
      <w:r w:rsidRPr="00B26B74">
        <w:rPr>
          <w:sz w:val="16"/>
        </w:rPr>
        <w:t>Tuzkaya</w:t>
      </w:r>
      <w:proofErr w:type="spellEnd"/>
      <w:r w:rsidRPr="00B26B74">
        <w:rPr>
          <w:sz w:val="16"/>
        </w:rPr>
        <w:t xml:space="preserve">, ‘An explainable artificial intelligence model for predictive maintenance and spare parts optimization’, </w:t>
      </w:r>
      <w:r w:rsidRPr="00B26B74">
        <w:rPr>
          <w:i/>
          <w:iCs/>
          <w:sz w:val="16"/>
        </w:rPr>
        <w:t>Supply Chain Anal.</w:t>
      </w:r>
      <w:r w:rsidRPr="00B26B74">
        <w:rPr>
          <w:sz w:val="16"/>
        </w:rPr>
        <w:t xml:space="preserve">, vol. 8, p. 100078, Dec. 2024, </w:t>
      </w:r>
      <w:proofErr w:type="spellStart"/>
      <w:r w:rsidRPr="00B26B74">
        <w:rPr>
          <w:sz w:val="16"/>
        </w:rPr>
        <w:t>doi</w:t>
      </w:r>
      <w:proofErr w:type="spellEnd"/>
      <w:r w:rsidRPr="00B26B74">
        <w:rPr>
          <w:sz w:val="16"/>
        </w:rPr>
        <w:t>: 10.1016/j.sca.2024.100078.</w:t>
      </w:r>
    </w:p>
    <w:p w14:paraId="4AB64BB2" w14:textId="77777777" w:rsidR="00B26B74" w:rsidRPr="00B26B74" w:rsidRDefault="00B26B74" w:rsidP="00B26B74">
      <w:pPr>
        <w:pStyle w:val="Bibliography"/>
        <w:rPr>
          <w:sz w:val="16"/>
        </w:rPr>
      </w:pPr>
      <w:r w:rsidRPr="00B26B74">
        <w:rPr>
          <w:sz w:val="16"/>
        </w:rPr>
        <w:t>[13]</w:t>
      </w:r>
      <w:r w:rsidRPr="00B26B74">
        <w:rPr>
          <w:sz w:val="16"/>
        </w:rPr>
        <w:tab/>
        <w:t>M. Vergara, L. Ramos, N. D. Rivera-Campoverde, and F. Rivas-Echeverría, ‘</w:t>
      </w:r>
      <w:proofErr w:type="spellStart"/>
      <w:r w:rsidRPr="00B26B74">
        <w:rPr>
          <w:sz w:val="16"/>
        </w:rPr>
        <w:t>EngineFaultDB</w:t>
      </w:r>
      <w:proofErr w:type="spellEnd"/>
      <w:r w:rsidRPr="00B26B74">
        <w:rPr>
          <w:sz w:val="16"/>
        </w:rPr>
        <w:t xml:space="preserve">: A Novel Dataset for Automotive Engine Fault Classification and Baseline Results’, </w:t>
      </w:r>
      <w:r w:rsidRPr="00B26B74">
        <w:rPr>
          <w:i/>
          <w:iCs/>
          <w:sz w:val="16"/>
        </w:rPr>
        <w:t>IEEE Access</w:t>
      </w:r>
      <w:r w:rsidRPr="00B26B74">
        <w:rPr>
          <w:sz w:val="16"/>
        </w:rPr>
        <w:t xml:space="preserve">, vol. 11, pp. 126155–126171, 2023, </w:t>
      </w:r>
      <w:proofErr w:type="spellStart"/>
      <w:r w:rsidRPr="00B26B74">
        <w:rPr>
          <w:sz w:val="16"/>
        </w:rPr>
        <w:t>doi</w:t>
      </w:r>
      <w:proofErr w:type="spellEnd"/>
      <w:r w:rsidRPr="00B26B74">
        <w:rPr>
          <w:sz w:val="16"/>
        </w:rPr>
        <w:t>: 10.1109/ACCESS.2023.3331316.</w:t>
      </w:r>
    </w:p>
    <w:p w14:paraId="4E82D5B0" w14:textId="77777777" w:rsidR="00B26B74" w:rsidRPr="00B26B74" w:rsidRDefault="00B26B74" w:rsidP="00B26B74">
      <w:pPr>
        <w:pStyle w:val="Bibliography"/>
        <w:rPr>
          <w:sz w:val="16"/>
        </w:rPr>
      </w:pPr>
      <w:r w:rsidRPr="00B26B74">
        <w:rPr>
          <w:sz w:val="16"/>
        </w:rPr>
        <w:t>[14]</w:t>
      </w:r>
      <w:r w:rsidRPr="00B26B74">
        <w:rPr>
          <w:sz w:val="16"/>
        </w:rPr>
        <w:tab/>
        <w:t xml:space="preserve">A. Saxena </w:t>
      </w:r>
      <w:r w:rsidRPr="00B26B74">
        <w:rPr>
          <w:i/>
          <w:iCs/>
          <w:sz w:val="16"/>
        </w:rPr>
        <w:t>et al.</w:t>
      </w:r>
      <w:r w:rsidRPr="00B26B74">
        <w:rPr>
          <w:sz w:val="16"/>
        </w:rPr>
        <w:t xml:space="preserve">, ‘Metrics for evaluating performance of prognostic techniques’, in </w:t>
      </w:r>
      <w:r w:rsidRPr="00B26B74">
        <w:rPr>
          <w:i/>
          <w:iCs/>
          <w:sz w:val="16"/>
        </w:rPr>
        <w:t>2008 International Conference on Prognostics and Health Management</w:t>
      </w:r>
      <w:r w:rsidRPr="00B26B74">
        <w:rPr>
          <w:sz w:val="16"/>
        </w:rPr>
        <w:t xml:space="preserve">, Denver, CO, USA: IEEE, Oct. 2008, pp. 1–17. </w:t>
      </w:r>
      <w:proofErr w:type="spellStart"/>
      <w:r w:rsidRPr="00B26B74">
        <w:rPr>
          <w:sz w:val="16"/>
        </w:rPr>
        <w:t>doi</w:t>
      </w:r>
      <w:proofErr w:type="spellEnd"/>
      <w:r w:rsidRPr="00B26B74">
        <w:rPr>
          <w:sz w:val="16"/>
        </w:rPr>
        <w:t>: 10.1109/PHM.2008.4711436.</w:t>
      </w:r>
    </w:p>
    <w:p w14:paraId="327C1DB5" w14:textId="71FA348A" w:rsidR="00116A7C" w:rsidRDefault="00116A7C" w:rsidP="00561079">
      <w:pPr>
        <w:pStyle w:val="References"/>
        <w:tabs>
          <w:tab w:val="num" w:pos="1170"/>
        </w:tabs>
        <w:ind w:left="360" w:hanging="360"/>
      </w:pPr>
      <w:r>
        <w:fldChar w:fldCharType="end"/>
      </w:r>
    </w:p>
    <w:p w14:paraId="47F1F41E" w14:textId="7CE1325C" w:rsidR="00561079" w:rsidRDefault="00C86DF2" w:rsidP="00561079">
      <w:pPr>
        <w:pStyle w:val="AUBiosNoSpace"/>
        <w:ind w:firstLine="0"/>
        <w:rPr>
          <w:rFonts w:cs="Times New Roman"/>
        </w:rPr>
      </w:pPr>
      <w:r w:rsidRPr="00E252F5">
        <w:rPr>
          <w:rStyle w:val="AUBiosbd"/>
          <w:noProof/>
        </w:rPr>
        <w:drawing>
          <wp:anchor distT="0" distB="0" distL="114300" distR="114300" simplePos="0" relativeHeight="251671552" behindDoc="0" locked="0" layoutInCell="1" allowOverlap="1" wp14:anchorId="5E48729A" wp14:editId="6AC70576">
            <wp:simplePos x="0" y="0"/>
            <wp:positionH relativeFrom="column">
              <wp:align>left</wp:align>
            </wp:positionH>
            <wp:positionV relativeFrom="paragraph">
              <wp:posOffset>107600</wp:posOffset>
            </wp:positionV>
            <wp:extent cx="882650" cy="1220470"/>
            <wp:effectExtent l="0" t="0" r="0" b="0"/>
            <wp:wrapSquare wrapText="bothSides"/>
            <wp:docPr id="1728345371" name="Picture 2" descr="A person wearing glasses and a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45371" name="Picture 2" descr="A person wearing glasses and a sweat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907" cy="1225446"/>
                    </a:xfrm>
                    <a:prstGeom prst="rect">
                      <a:avLst/>
                    </a:prstGeom>
                    <a:noFill/>
                  </pic:spPr>
                </pic:pic>
              </a:graphicData>
            </a:graphic>
            <wp14:sizeRelH relativeFrom="margin">
              <wp14:pctWidth>0</wp14:pctWidth>
            </wp14:sizeRelH>
            <wp14:sizeRelV relativeFrom="margin">
              <wp14:pctHeight>0</wp14:pctHeight>
            </wp14:sizeRelV>
          </wp:anchor>
        </w:drawing>
      </w:r>
    </w:p>
    <w:p w14:paraId="282EFDB7" w14:textId="641008C6" w:rsidR="00561079" w:rsidRDefault="00561079" w:rsidP="00561079">
      <w:pPr>
        <w:pStyle w:val="AUBiosNoSpace"/>
        <w:ind w:firstLine="0"/>
        <w:rPr>
          <w:rFonts w:cs="Times New Roman"/>
        </w:rPr>
      </w:pPr>
      <w:r w:rsidRPr="00E252F5">
        <w:rPr>
          <w:rStyle w:val="AUBiosbd"/>
        </w:rPr>
        <w:t>PETER HUGHES</w:t>
      </w:r>
      <w:r>
        <w:rPr>
          <w:rFonts w:cs="Times New Roman"/>
        </w:rPr>
        <w:t xml:space="preserve"> studied Physics (</w:t>
      </w:r>
      <w:proofErr w:type="spellStart"/>
      <w:proofErr w:type="gramStart"/>
      <w:r>
        <w:rPr>
          <w:rFonts w:cs="Times New Roman"/>
        </w:rPr>
        <w:t>B.Sc</w:t>
      </w:r>
      <w:proofErr w:type="spellEnd"/>
      <w:proofErr w:type="gramEnd"/>
      <w:r>
        <w:rPr>
          <w:rFonts w:cs="Times New Roman"/>
        </w:rPr>
        <w:t>) and Atmospheric Physics (</w:t>
      </w:r>
      <w:proofErr w:type="spellStart"/>
      <w:proofErr w:type="gramStart"/>
      <w:r>
        <w:rPr>
          <w:rFonts w:cs="Times New Roman"/>
        </w:rPr>
        <w:t>M.Sc</w:t>
      </w:r>
      <w:proofErr w:type="spellEnd"/>
      <w:proofErr w:type="gramEnd"/>
      <w:r>
        <w:rPr>
          <w:rFonts w:cs="Times New Roman"/>
        </w:rPr>
        <w:t>) at Imperial College, London, before a varied career in bookmaking, management, human resources, and software development</w:t>
      </w:r>
      <w:r w:rsidR="00D80205">
        <w:rPr>
          <w:rFonts w:cs="Times New Roman"/>
        </w:rPr>
        <w:t>, architecture, and delivery</w:t>
      </w:r>
      <w:r>
        <w:rPr>
          <w:rFonts w:cs="Times New Roman"/>
        </w:rPr>
        <w:t xml:space="preserve">. After completing an </w:t>
      </w:r>
      <w:proofErr w:type="spellStart"/>
      <w:proofErr w:type="gramStart"/>
      <w:r>
        <w:rPr>
          <w:rFonts w:cs="Times New Roman"/>
        </w:rPr>
        <w:t>M.Sc</w:t>
      </w:r>
      <w:proofErr w:type="spellEnd"/>
      <w:proofErr w:type="gramEnd"/>
      <w:r>
        <w:rPr>
          <w:rFonts w:cs="Times New Roman"/>
        </w:rPr>
        <w:t xml:space="preserve"> in Computer Science and Artificial Intelligence at the University of York, he has commenced a research-based PhD at the same university. </w:t>
      </w:r>
    </w:p>
    <w:p w14:paraId="2DC80EA7" w14:textId="6A84639F" w:rsidR="00561079" w:rsidRDefault="00561079" w:rsidP="00561079">
      <w:pPr>
        <w:pStyle w:val="AUBiosNoSpace"/>
        <w:ind w:firstLine="0"/>
        <w:rPr>
          <w:rFonts w:cs="Times New Roman"/>
        </w:rPr>
      </w:pPr>
    </w:p>
    <w:p w14:paraId="5AAB9FDF" w14:textId="358B348C" w:rsidR="00561079" w:rsidRDefault="00561079" w:rsidP="00561079">
      <w:pPr>
        <w:pStyle w:val="AUBiosNoSpace"/>
        <w:ind w:firstLine="0"/>
        <w:rPr>
          <w:rFonts w:cs="Times New Roman"/>
        </w:rPr>
      </w:pPr>
    </w:p>
    <w:p w14:paraId="55E8BE7C" w14:textId="77777777" w:rsidR="00D80205" w:rsidRDefault="00D80205" w:rsidP="00561079">
      <w:pPr>
        <w:pStyle w:val="AUBiosNoSpace"/>
        <w:ind w:firstLine="0"/>
        <w:rPr>
          <w:rFonts w:cs="Times New Roman"/>
        </w:rPr>
      </w:pPr>
    </w:p>
    <w:p w14:paraId="6BD2A663" w14:textId="5404CC50" w:rsidR="00561079" w:rsidRDefault="00C86DF2" w:rsidP="00561079">
      <w:pPr>
        <w:pStyle w:val="AUBiosNoSpace"/>
        <w:ind w:firstLine="0"/>
        <w:rPr>
          <w:rFonts w:cs="Times New Roman"/>
        </w:rPr>
      </w:pPr>
      <w:r>
        <w:rPr>
          <w:noProof/>
        </w:rPr>
        <w:drawing>
          <wp:anchor distT="0" distB="0" distL="114300" distR="114300" simplePos="0" relativeHeight="251674624" behindDoc="0" locked="0" layoutInCell="1" allowOverlap="1" wp14:anchorId="197F5E7B" wp14:editId="28676C99">
            <wp:simplePos x="0" y="0"/>
            <wp:positionH relativeFrom="column">
              <wp:align>left</wp:align>
            </wp:positionH>
            <wp:positionV relativeFrom="paragraph">
              <wp:posOffset>66675</wp:posOffset>
            </wp:positionV>
            <wp:extent cx="876300" cy="1155700"/>
            <wp:effectExtent l="0" t="0" r="0" b="6350"/>
            <wp:wrapSquare wrapText="bothSides"/>
            <wp:docPr id="26255" name="Picture 1" descr="A person in a suit and tie&#10;&#10;AI-generated content may be incorrect."/>
            <wp:cNvGraphicFramePr/>
            <a:graphic xmlns:a="http://schemas.openxmlformats.org/drawingml/2006/main">
              <a:graphicData uri="http://schemas.openxmlformats.org/drawingml/2006/picture">
                <pic:pic xmlns:pic="http://schemas.openxmlformats.org/drawingml/2006/picture">
                  <pic:nvPicPr>
                    <pic:cNvPr id="26255" name="Picture 1" descr="A person in a suit and ti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6300" cy="1155700"/>
                    </a:xfrm>
                    <a:prstGeom prst="rect">
                      <a:avLst/>
                    </a:prstGeom>
                  </pic:spPr>
                </pic:pic>
              </a:graphicData>
            </a:graphic>
            <wp14:sizeRelH relativeFrom="margin">
              <wp14:pctWidth>0</wp14:pctWidth>
            </wp14:sizeRelH>
            <wp14:sizeRelV relativeFrom="margin">
              <wp14:pctHeight>0</wp14:pctHeight>
            </wp14:sizeRelV>
          </wp:anchor>
        </w:drawing>
      </w:r>
      <w:r w:rsidR="00561079">
        <w:rPr>
          <w:rStyle w:val="AUBiosbd"/>
        </w:rPr>
        <w:t>SURESH PERINPANAYAGAM</w:t>
      </w:r>
      <w:r w:rsidR="00561079" w:rsidRPr="00E252F5">
        <w:rPr>
          <w:rFonts w:cs="Times New Roman"/>
        </w:rPr>
        <w:t xml:space="preserve"> (Member, IEEE) received the M.Eng. degree in aeronautical engineering from the Imperial College of Science, Technology, and Medicine, London, U.K., in 1996, and the Ph.D. degree in aeronautical engineering from the Rolls</w:t>
      </w:r>
      <w:r w:rsidR="00561079">
        <w:rPr>
          <w:rFonts w:cs="Times New Roman"/>
        </w:rPr>
        <w:t xml:space="preserve"> </w:t>
      </w:r>
      <w:r w:rsidR="00561079" w:rsidRPr="00E252F5">
        <w:rPr>
          <w:rFonts w:cs="Times New Roman"/>
        </w:rPr>
        <w:t xml:space="preserve">Royce University Technology Centre, Imperial College, London, U.K., in 2004. He is currently a Professor of Engineering </w:t>
      </w:r>
      <w:r w:rsidR="0011792A">
        <w:rPr>
          <w:rFonts w:cs="Times New Roman"/>
        </w:rPr>
        <w:t>at</w:t>
      </w:r>
      <w:r w:rsidR="00561079" w:rsidRPr="00E252F5">
        <w:rPr>
          <w:rFonts w:cs="Times New Roman"/>
        </w:rPr>
        <w:t xml:space="preserve"> the University of York, U.K. His research interests include data-centric engineering and digital twins for intelligent systems, sensory systems, advanced reasoners, artificial intelligence, predictive capabilities, and decision-making for intelligent systems, which demonstrate self-health awareness, operational resilience, failure recovery, system configurability, and end-of-life prediction. Dr. Perinpanayagam is an Associate Editor for IEEE T</w:t>
      </w:r>
      <w:r w:rsidR="0047165B">
        <w:rPr>
          <w:rFonts w:cs="Times New Roman"/>
        </w:rPr>
        <w:t>ransactions</w:t>
      </w:r>
      <w:r w:rsidR="00561079" w:rsidRPr="00E252F5">
        <w:rPr>
          <w:rFonts w:cs="Times New Roman"/>
        </w:rPr>
        <w:t xml:space="preserve"> </w:t>
      </w:r>
      <w:proofErr w:type="gramStart"/>
      <w:r w:rsidR="00561079" w:rsidRPr="00E252F5">
        <w:rPr>
          <w:rFonts w:cs="Times New Roman"/>
        </w:rPr>
        <w:t>O</w:t>
      </w:r>
      <w:r w:rsidR="0047165B">
        <w:rPr>
          <w:rFonts w:cs="Times New Roman"/>
        </w:rPr>
        <w:t>n</w:t>
      </w:r>
      <w:proofErr w:type="gramEnd"/>
      <w:r w:rsidR="00561079" w:rsidRPr="00E252F5">
        <w:rPr>
          <w:rFonts w:cs="Times New Roman"/>
        </w:rPr>
        <w:t xml:space="preserve"> P</w:t>
      </w:r>
      <w:r w:rsidR="0047165B">
        <w:rPr>
          <w:rFonts w:cs="Times New Roman"/>
        </w:rPr>
        <w:t>ower</w:t>
      </w:r>
      <w:r w:rsidR="00561079" w:rsidRPr="00E252F5">
        <w:rPr>
          <w:rFonts w:cs="Times New Roman"/>
        </w:rPr>
        <w:t xml:space="preserve"> E</w:t>
      </w:r>
      <w:r w:rsidR="0047165B">
        <w:rPr>
          <w:rFonts w:cs="Times New Roman"/>
        </w:rPr>
        <w:t>lectronics</w:t>
      </w:r>
      <w:r w:rsidR="00561079" w:rsidRPr="00E252F5">
        <w:rPr>
          <w:rFonts w:cs="Times New Roman"/>
        </w:rPr>
        <w:t>, Special Issue on Robust Design and Reliability in Power Electronics.</w:t>
      </w:r>
    </w:p>
    <w:p w14:paraId="156BA772" w14:textId="786C101B" w:rsidR="0011792A" w:rsidRDefault="00C86DF2" w:rsidP="00561079">
      <w:pPr>
        <w:pStyle w:val="AUBiosNoSpace"/>
        <w:ind w:firstLine="0"/>
        <w:rPr>
          <w:rStyle w:val="AUBiosbd"/>
        </w:rPr>
      </w:pPr>
      <w:r w:rsidRPr="00E63DDF">
        <w:rPr>
          <w:rStyle w:val="AUBiosbd"/>
          <w:noProof/>
        </w:rPr>
        <w:lastRenderedPageBreak/>
        <w:drawing>
          <wp:anchor distT="0" distB="0" distL="114300" distR="114300" simplePos="0" relativeHeight="251673600" behindDoc="0" locked="0" layoutInCell="1" allowOverlap="1" wp14:anchorId="46EB9B00" wp14:editId="48814349">
            <wp:simplePos x="0" y="0"/>
            <wp:positionH relativeFrom="column">
              <wp:align>left</wp:align>
            </wp:positionH>
            <wp:positionV relativeFrom="paragraph">
              <wp:posOffset>118745</wp:posOffset>
            </wp:positionV>
            <wp:extent cx="914400" cy="1296035"/>
            <wp:effectExtent l="0" t="0" r="0" b="0"/>
            <wp:wrapSquare wrapText="bothSides"/>
            <wp:docPr id="529206099" name="Picture 529206099"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06099" name="Picture 529206099" descr="A person in a blue shirt&#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1440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A710C" w14:textId="789E870E" w:rsidR="0003253A" w:rsidRPr="00C86DF2" w:rsidRDefault="00561079" w:rsidP="0003253A">
      <w:pPr>
        <w:pStyle w:val="AUBiosNoSpace"/>
        <w:ind w:firstLine="0"/>
        <w:rPr>
          <w:rFonts w:ascii="Helvetica" w:hAnsi="Helvetica" w:cs="FormataOTFMd"/>
          <w:b/>
          <w:sz w:val="24"/>
          <w:szCs w:val="24"/>
        </w:rPr>
      </w:pPr>
      <w:r>
        <w:rPr>
          <w:rStyle w:val="AUBiosbd"/>
        </w:rPr>
        <w:t>PETER BALL</w:t>
      </w:r>
      <w:r w:rsidRPr="00575FB5">
        <w:t xml:space="preserve"> is Professor of Operations Management at the University of York's School for Business and Society. He studied both Mechanical Engineering (BEng) and his Ph.D. in manufacturing simulation at Aston University, UK. He uses modelling, simulation and digital twins to understand performance as well as works on practices that underpin performance. His research has been funded by UK Research &amp; Innovation bodies, including EPSRC and Innovate UK, into environmental sustainability, circularity,</w:t>
      </w:r>
      <w:r w:rsidR="0011792A">
        <w:t xml:space="preserve"> </w:t>
      </w:r>
      <w:r w:rsidRPr="00575FB5">
        <w:t>multi-scale modelling, digital twins, machine learning and systems transformation.</w:t>
      </w:r>
      <w:r w:rsidRPr="00BF71A1">
        <w:rPr>
          <w:rFonts w:cs="Times New Roman"/>
          <w:snapToGrid w:val="0"/>
          <w:color w:val="000000"/>
          <w:w w:val="0"/>
          <w:sz w:val="0"/>
          <w:szCs w:val="0"/>
          <w:u w:color="000000"/>
          <w:bdr w:val="none" w:sz="0" w:space="0" w:color="000000"/>
          <w:shd w:val="clear" w:color="000000" w:fill="000000"/>
          <w:lang w:val="x-none" w:eastAsia="x-none" w:bidi="x-none"/>
        </w:rPr>
        <w:t xml:space="preserve"> </w:t>
      </w:r>
    </w:p>
    <w:sectPr w:rsidR="0003253A" w:rsidRPr="00C86DF2" w:rsidSect="00CB2DB1">
      <w:footerReference w:type="default" r:id="rId23"/>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D4AB" w14:textId="77777777" w:rsidR="002813E7" w:rsidRDefault="002813E7">
      <w:r>
        <w:separator/>
      </w:r>
    </w:p>
  </w:endnote>
  <w:endnote w:type="continuationSeparator" w:id="0">
    <w:p w14:paraId="5619EC96" w14:textId="77777777" w:rsidR="002813E7" w:rsidRDefault="0028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Calibri"/>
    <w:panose1 w:val="00000000000000000000"/>
    <w:charset w:val="00"/>
    <w:family w:val="modern"/>
    <w:notTrueType/>
    <w:pitch w:val="variable"/>
    <w:sig w:usb0="8000002F" w:usb1="40000048"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976A" w14:textId="77777777" w:rsidR="009C79C4" w:rsidRPr="00B979BB" w:rsidRDefault="009C79C4" w:rsidP="00422716">
    <w:pPr>
      <w:pStyle w:val="Footer"/>
      <w:tabs>
        <w:tab w:val="clear" w:pos="4320"/>
        <w:tab w:val="clear" w:pos="8640"/>
        <w:tab w:val="right" w:pos="10044"/>
      </w:tabs>
      <w:rPr>
        <w:rFonts w:ascii="Helvetica" w:hAnsi="Helvetica"/>
        <w:sz w:val="12"/>
        <w:szCs w:val="12"/>
      </w:rPr>
    </w:pPr>
    <w:r w:rsidRPr="00B979BB">
      <w:rPr>
        <w:rFonts w:ascii="Helvetica" w:hAnsi="Helvetica" w:cs="FormataOTF-Reg"/>
        <w:sz w:val="12"/>
        <w:szCs w:val="12"/>
      </w:rPr>
      <w:t>VOLUME XX, 2017</w:t>
    </w:r>
    <w:r w:rsidRPr="00B979BB">
      <w:rPr>
        <w:rFonts w:ascii="Helvetica" w:hAnsi="Helvetica" w:cs="FormataOTF-Reg"/>
        <w:sz w:val="12"/>
        <w:szCs w:val="12"/>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595324"/>
      <w:docPartObj>
        <w:docPartGallery w:val="Page Numbers (Bottom of Page)"/>
        <w:docPartUnique/>
      </w:docPartObj>
    </w:sdtPr>
    <w:sdtContent>
      <w:p w14:paraId="265859D0" w14:textId="0614E9AD" w:rsidR="001476AB" w:rsidRDefault="001476AB">
        <w:pPr>
          <w:pStyle w:val="Footer"/>
        </w:pPr>
        <w:r w:rsidRPr="001476AB">
          <w:rPr>
            <w:sz w:val="18"/>
            <w:szCs w:val="18"/>
          </w:rPr>
          <w:fldChar w:fldCharType="begin"/>
        </w:r>
        <w:r w:rsidRPr="001476AB">
          <w:rPr>
            <w:sz w:val="18"/>
            <w:szCs w:val="18"/>
          </w:rPr>
          <w:instrText>PAGE   \* MERGEFORMAT</w:instrText>
        </w:r>
        <w:r w:rsidRPr="001476AB">
          <w:rPr>
            <w:sz w:val="18"/>
            <w:szCs w:val="18"/>
          </w:rPr>
          <w:fldChar w:fldCharType="separate"/>
        </w:r>
        <w:r w:rsidRPr="001476AB">
          <w:rPr>
            <w:sz w:val="18"/>
            <w:szCs w:val="18"/>
            <w:lang w:val="en-GB"/>
          </w:rPr>
          <w:t>2</w:t>
        </w:r>
        <w:r w:rsidRPr="001476AB">
          <w:rPr>
            <w:sz w:val="18"/>
            <w:szCs w:val="18"/>
          </w:rPr>
          <w:fldChar w:fldCharType="end"/>
        </w:r>
      </w:p>
    </w:sdtContent>
  </w:sdt>
  <w:p w14:paraId="485B6DD2" w14:textId="3CC9D760" w:rsidR="005C7DF8" w:rsidRPr="00B979BB" w:rsidRDefault="005C7DF8" w:rsidP="005C7DF8">
    <w:pPr>
      <w:pStyle w:val="Footer"/>
      <w:tabs>
        <w:tab w:val="clear" w:pos="4320"/>
        <w:tab w:val="clear" w:pos="8640"/>
        <w:tab w:val="center" w:pos="9540"/>
      </w:tabs>
      <w:rPr>
        <w:rFonts w:ascii="Helvetica" w:hAnsi="Helvetic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07AED" w14:textId="77777777" w:rsidR="002813E7" w:rsidRDefault="002813E7">
      <w:r>
        <w:separator/>
      </w:r>
    </w:p>
  </w:footnote>
  <w:footnote w:type="continuationSeparator" w:id="0">
    <w:p w14:paraId="7BCFD742" w14:textId="77777777" w:rsidR="002813E7" w:rsidRDefault="0028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B0C1" w14:textId="77777777" w:rsidR="009C79C4" w:rsidRPr="00E721A9" w:rsidRDefault="009C79C4" w:rsidP="00E721A9">
    <w:pPr>
      <w:pStyle w:val="Header"/>
      <w:pBdr>
        <w:bottom w:val="single" w:sz="4" w:space="3" w:color="auto"/>
      </w:pBdr>
      <w:tabs>
        <w:tab w:val="clear" w:pos="4320"/>
        <w:tab w:val="left" w:pos="5532"/>
      </w:tabs>
      <w:jc w:val="right"/>
      <w:rPr>
        <w:rFonts w:ascii="Formata OTF" w:hAnsi="Formata OTF"/>
        <w:sz w:val="14"/>
        <w:szCs w:val="14"/>
      </w:rPr>
    </w:pPr>
    <w:r>
      <w:rPr>
        <w:rFonts w:ascii="Formata OTF" w:hAnsi="Formata OTF"/>
        <w:noProof/>
        <w:sz w:val="14"/>
        <w:szCs w:val="14"/>
      </w:rPr>
      <w:drawing>
        <wp:inline distT="0" distB="0" distL="0" distR="0" wp14:anchorId="396B900A" wp14:editId="6E819850">
          <wp:extent cx="1169670" cy="297815"/>
          <wp:effectExtent l="0" t="0" r="0" b="6985"/>
          <wp:docPr id="3" name="Pictur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297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852AC50"/>
    <w:lvl w:ilvl="0">
      <w:start w:val="1"/>
      <w:numFmt w:val="upperRoman"/>
      <w:pStyle w:val="Heading1"/>
      <w:lvlText w:val="%1."/>
      <w:lvlJc w:val="left"/>
      <w:pPr>
        <w:ind w:left="0" w:firstLine="0"/>
      </w:pPr>
      <w:rPr>
        <w:rFonts w:hint="default"/>
      </w:rPr>
    </w:lvl>
    <w:lvl w:ilvl="1">
      <w:start w:val="3"/>
      <w:numFmt w:val="upperLetter"/>
      <w:pStyle w:val="Heading2"/>
      <w:lvlText w:val="%2."/>
      <w:lvlJc w:val="left"/>
      <w:pPr>
        <w:ind w:left="0" w:firstLine="0"/>
      </w:pPr>
      <w:rPr>
        <w:rFonts w:hint="default"/>
        <w:b w:val="0"/>
      </w:rPr>
    </w:lvl>
    <w:lvl w:ilvl="2">
      <w:start w:val="1"/>
      <w:numFmt w:val="decimal"/>
      <w:pStyle w:val="Heading3"/>
      <w:lvlText w:val="%3)"/>
      <w:lvlJc w:val="left"/>
      <w:pPr>
        <w:ind w:left="0" w:firstLine="0"/>
      </w:pPr>
      <w:rPr>
        <w:rFonts w:hint="default"/>
        <w:i/>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15:restartNumberingAfterBreak="0">
    <w:nsid w:val="00334CBB"/>
    <w:multiLevelType w:val="multilevel"/>
    <w:tmpl w:val="7C88D4CC"/>
    <w:lvl w:ilvl="0">
      <w:start w:val="2"/>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07FDF"/>
    <w:multiLevelType w:val="multilevel"/>
    <w:tmpl w:val="CD96871E"/>
    <w:styleLink w:val="H2Restart"/>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6661ED"/>
    <w:multiLevelType w:val="multilevel"/>
    <w:tmpl w:val="C4B293A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F845B4"/>
    <w:multiLevelType w:val="hybridMultilevel"/>
    <w:tmpl w:val="BF64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849EF"/>
    <w:multiLevelType w:val="multilevel"/>
    <w:tmpl w:val="86D4EC90"/>
    <w:lvl w:ilvl="0">
      <w:start w:val="5"/>
      <w:numFmt w:val="upperLetter"/>
      <w:pStyle w:val="H2ConSpaceBefore12pt"/>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89045E"/>
    <w:multiLevelType w:val="multilevel"/>
    <w:tmpl w:val="C4B293A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A62AE8"/>
    <w:multiLevelType w:val="hybridMultilevel"/>
    <w:tmpl w:val="31D04022"/>
    <w:lvl w:ilvl="0" w:tplc="04090015">
      <w:start w:val="1"/>
      <w:numFmt w:val="upperLetter"/>
      <w:pStyle w:val="H2After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D64C9C"/>
    <w:multiLevelType w:val="hybridMultilevel"/>
    <w:tmpl w:val="A45CD83A"/>
    <w:lvl w:ilvl="0" w:tplc="B6E8773A">
      <w:start w:val="1"/>
      <w:numFmt w:val="bullet"/>
      <w:pStyle w:val="REF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AE2830"/>
    <w:multiLevelType w:val="hybridMultilevel"/>
    <w:tmpl w:val="EA52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32016">
    <w:abstractNumId w:val="0"/>
  </w:num>
  <w:num w:numId="2" w16cid:durableId="1904947642">
    <w:abstractNumId w:val="8"/>
  </w:num>
  <w:num w:numId="3" w16cid:durableId="2086564019">
    <w:abstractNumId w:val="13"/>
  </w:num>
  <w:num w:numId="4" w16cid:durableId="1720010044">
    <w:abstractNumId w:val="10"/>
  </w:num>
  <w:num w:numId="5" w16cid:durableId="572131377">
    <w:abstractNumId w:val="11"/>
  </w:num>
  <w:num w:numId="6" w16cid:durableId="282537363">
    <w:abstractNumId w:val="4"/>
  </w:num>
  <w:num w:numId="7" w16cid:durableId="511922190">
    <w:abstractNumId w:val="2"/>
  </w:num>
  <w:num w:numId="8" w16cid:durableId="1487938667">
    <w:abstractNumId w:val="6"/>
  </w:num>
  <w:num w:numId="9" w16cid:durableId="1495729568">
    <w:abstractNumId w:val="14"/>
  </w:num>
  <w:num w:numId="10" w16cid:durableId="102464003">
    <w:abstractNumId w:val="9"/>
  </w:num>
  <w:num w:numId="11" w16cid:durableId="462891185">
    <w:abstractNumId w:val="1"/>
  </w:num>
  <w:num w:numId="12" w16cid:durableId="577785744">
    <w:abstractNumId w:val="12"/>
  </w:num>
  <w:num w:numId="13" w16cid:durableId="765078099">
    <w:abstractNumId w:val="15"/>
  </w:num>
  <w:num w:numId="14" w16cid:durableId="301229370">
    <w:abstractNumId w:val="7"/>
  </w:num>
  <w:num w:numId="15" w16cid:durableId="1752851812">
    <w:abstractNumId w:val="3"/>
  </w:num>
  <w:num w:numId="16" w16cid:durableId="1517036059">
    <w:abstractNumId w:val="5"/>
  </w:num>
  <w:num w:numId="17" w16cid:durableId="1326278921">
    <w:abstractNumId w:val="1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D"/>
    <w:rsid w:val="0000046F"/>
    <w:rsid w:val="000005DE"/>
    <w:rsid w:val="00001006"/>
    <w:rsid w:val="00002951"/>
    <w:rsid w:val="00006F48"/>
    <w:rsid w:val="0001139A"/>
    <w:rsid w:val="00015A0A"/>
    <w:rsid w:val="00015E73"/>
    <w:rsid w:val="00015E9A"/>
    <w:rsid w:val="0001799E"/>
    <w:rsid w:val="00017C56"/>
    <w:rsid w:val="00020B93"/>
    <w:rsid w:val="00021C67"/>
    <w:rsid w:val="00023D75"/>
    <w:rsid w:val="00024A01"/>
    <w:rsid w:val="00027AA1"/>
    <w:rsid w:val="0003250B"/>
    <w:rsid w:val="0003253A"/>
    <w:rsid w:val="00033D56"/>
    <w:rsid w:val="00034A7F"/>
    <w:rsid w:val="00035315"/>
    <w:rsid w:val="0003793F"/>
    <w:rsid w:val="0004090A"/>
    <w:rsid w:val="00040C78"/>
    <w:rsid w:val="00041819"/>
    <w:rsid w:val="00043A88"/>
    <w:rsid w:val="000518DD"/>
    <w:rsid w:val="00052666"/>
    <w:rsid w:val="00052968"/>
    <w:rsid w:val="00057E9A"/>
    <w:rsid w:val="00060D60"/>
    <w:rsid w:val="00061511"/>
    <w:rsid w:val="00061B24"/>
    <w:rsid w:val="00065CD5"/>
    <w:rsid w:val="0006708E"/>
    <w:rsid w:val="00067C21"/>
    <w:rsid w:val="00070737"/>
    <w:rsid w:val="000714C3"/>
    <w:rsid w:val="00071D5E"/>
    <w:rsid w:val="00076966"/>
    <w:rsid w:val="000769D9"/>
    <w:rsid w:val="000803AA"/>
    <w:rsid w:val="00083EC4"/>
    <w:rsid w:val="000844AB"/>
    <w:rsid w:val="00084BD2"/>
    <w:rsid w:val="00087133"/>
    <w:rsid w:val="00090D81"/>
    <w:rsid w:val="00090E84"/>
    <w:rsid w:val="0009131B"/>
    <w:rsid w:val="00091F92"/>
    <w:rsid w:val="00092C74"/>
    <w:rsid w:val="000937E9"/>
    <w:rsid w:val="00094BAA"/>
    <w:rsid w:val="000A1FA2"/>
    <w:rsid w:val="000A203E"/>
    <w:rsid w:val="000A3B16"/>
    <w:rsid w:val="000A40E6"/>
    <w:rsid w:val="000B2C18"/>
    <w:rsid w:val="000B330B"/>
    <w:rsid w:val="000B67F8"/>
    <w:rsid w:val="000B7135"/>
    <w:rsid w:val="000C01F4"/>
    <w:rsid w:val="000C09C8"/>
    <w:rsid w:val="000C0E3B"/>
    <w:rsid w:val="000C221B"/>
    <w:rsid w:val="000C426E"/>
    <w:rsid w:val="000C4F1A"/>
    <w:rsid w:val="000D3A5A"/>
    <w:rsid w:val="000D4A20"/>
    <w:rsid w:val="000D6320"/>
    <w:rsid w:val="000E4447"/>
    <w:rsid w:val="000F25D7"/>
    <w:rsid w:val="000F33CB"/>
    <w:rsid w:val="000F5003"/>
    <w:rsid w:val="0010090B"/>
    <w:rsid w:val="00104663"/>
    <w:rsid w:val="00104CB0"/>
    <w:rsid w:val="00105925"/>
    <w:rsid w:val="00107070"/>
    <w:rsid w:val="001072E6"/>
    <w:rsid w:val="00110791"/>
    <w:rsid w:val="0011128A"/>
    <w:rsid w:val="001120C4"/>
    <w:rsid w:val="0011425D"/>
    <w:rsid w:val="001146BF"/>
    <w:rsid w:val="0011479C"/>
    <w:rsid w:val="00114A56"/>
    <w:rsid w:val="00116A7C"/>
    <w:rsid w:val="0011792A"/>
    <w:rsid w:val="00117D9A"/>
    <w:rsid w:val="00121CF0"/>
    <w:rsid w:val="00121E38"/>
    <w:rsid w:val="0012667E"/>
    <w:rsid w:val="001316F6"/>
    <w:rsid w:val="00134A06"/>
    <w:rsid w:val="0014000F"/>
    <w:rsid w:val="0014141F"/>
    <w:rsid w:val="00141D98"/>
    <w:rsid w:val="00144E81"/>
    <w:rsid w:val="001474E1"/>
    <w:rsid w:val="001476AB"/>
    <w:rsid w:val="001504BE"/>
    <w:rsid w:val="00151703"/>
    <w:rsid w:val="00154431"/>
    <w:rsid w:val="0016308D"/>
    <w:rsid w:val="001647F3"/>
    <w:rsid w:val="00164873"/>
    <w:rsid w:val="00165F70"/>
    <w:rsid w:val="001661D9"/>
    <w:rsid w:val="00166BEA"/>
    <w:rsid w:val="00170818"/>
    <w:rsid w:val="001718E6"/>
    <w:rsid w:val="0017288F"/>
    <w:rsid w:val="00174020"/>
    <w:rsid w:val="00174C21"/>
    <w:rsid w:val="00174D84"/>
    <w:rsid w:val="00176753"/>
    <w:rsid w:val="001777E5"/>
    <w:rsid w:val="00180AE6"/>
    <w:rsid w:val="00182839"/>
    <w:rsid w:val="001840C9"/>
    <w:rsid w:val="00184695"/>
    <w:rsid w:val="0018578F"/>
    <w:rsid w:val="00185AFE"/>
    <w:rsid w:val="00186F4C"/>
    <w:rsid w:val="001870C4"/>
    <w:rsid w:val="001904CD"/>
    <w:rsid w:val="0019262C"/>
    <w:rsid w:val="001955E9"/>
    <w:rsid w:val="0019723F"/>
    <w:rsid w:val="001A4A79"/>
    <w:rsid w:val="001A773F"/>
    <w:rsid w:val="001A7827"/>
    <w:rsid w:val="001B1B9C"/>
    <w:rsid w:val="001B2F14"/>
    <w:rsid w:val="001B4688"/>
    <w:rsid w:val="001B720D"/>
    <w:rsid w:val="001C2E5E"/>
    <w:rsid w:val="001C312D"/>
    <w:rsid w:val="001C3B16"/>
    <w:rsid w:val="001C495F"/>
    <w:rsid w:val="001C597C"/>
    <w:rsid w:val="001C681E"/>
    <w:rsid w:val="001C683D"/>
    <w:rsid w:val="001D0247"/>
    <w:rsid w:val="001D1315"/>
    <w:rsid w:val="001D3924"/>
    <w:rsid w:val="001D3AED"/>
    <w:rsid w:val="001D4C0D"/>
    <w:rsid w:val="001D5027"/>
    <w:rsid w:val="001D5163"/>
    <w:rsid w:val="001D5407"/>
    <w:rsid w:val="001D587C"/>
    <w:rsid w:val="001D6F48"/>
    <w:rsid w:val="001E28D2"/>
    <w:rsid w:val="001E3B7C"/>
    <w:rsid w:val="001E3E87"/>
    <w:rsid w:val="001E3EBA"/>
    <w:rsid w:val="001E4083"/>
    <w:rsid w:val="001E4698"/>
    <w:rsid w:val="001E5142"/>
    <w:rsid w:val="001E69B5"/>
    <w:rsid w:val="001E6A66"/>
    <w:rsid w:val="001E6CFA"/>
    <w:rsid w:val="001F0601"/>
    <w:rsid w:val="001F3042"/>
    <w:rsid w:val="001F32C6"/>
    <w:rsid w:val="001F4FA0"/>
    <w:rsid w:val="001F73C8"/>
    <w:rsid w:val="00200B38"/>
    <w:rsid w:val="00201A76"/>
    <w:rsid w:val="00202508"/>
    <w:rsid w:val="002025F9"/>
    <w:rsid w:val="00205C43"/>
    <w:rsid w:val="002061D3"/>
    <w:rsid w:val="00207411"/>
    <w:rsid w:val="00210142"/>
    <w:rsid w:val="00210E41"/>
    <w:rsid w:val="00211824"/>
    <w:rsid w:val="002141C8"/>
    <w:rsid w:val="00215F8D"/>
    <w:rsid w:val="002170E6"/>
    <w:rsid w:val="00220965"/>
    <w:rsid w:val="00223B9B"/>
    <w:rsid w:val="00227DAA"/>
    <w:rsid w:val="00231E14"/>
    <w:rsid w:val="0023283F"/>
    <w:rsid w:val="00235B17"/>
    <w:rsid w:val="00241628"/>
    <w:rsid w:val="00241C15"/>
    <w:rsid w:val="00242C14"/>
    <w:rsid w:val="00243F48"/>
    <w:rsid w:val="002467D5"/>
    <w:rsid w:val="00251F55"/>
    <w:rsid w:val="00252416"/>
    <w:rsid w:val="0025299A"/>
    <w:rsid w:val="00253A96"/>
    <w:rsid w:val="00253CFC"/>
    <w:rsid w:val="002556FD"/>
    <w:rsid w:val="002560D8"/>
    <w:rsid w:val="002571E3"/>
    <w:rsid w:val="002633DB"/>
    <w:rsid w:val="00265FA7"/>
    <w:rsid w:val="0026796B"/>
    <w:rsid w:val="00275282"/>
    <w:rsid w:val="002813E7"/>
    <w:rsid w:val="0028303E"/>
    <w:rsid w:val="00284674"/>
    <w:rsid w:val="00285B40"/>
    <w:rsid w:val="00285DD4"/>
    <w:rsid w:val="00293D7A"/>
    <w:rsid w:val="00295093"/>
    <w:rsid w:val="002967D4"/>
    <w:rsid w:val="002969CB"/>
    <w:rsid w:val="00296CFF"/>
    <w:rsid w:val="002A000F"/>
    <w:rsid w:val="002A048A"/>
    <w:rsid w:val="002A14BA"/>
    <w:rsid w:val="002A24AD"/>
    <w:rsid w:val="002A3234"/>
    <w:rsid w:val="002A4118"/>
    <w:rsid w:val="002A486E"/>
    <w:rsid w:val="002A529C"/>
    <w:rsid w:val="002B0C37"/>
    <w:rsid w:val="002B17AE"/>
    <w:rsid w:val="002B197E"/>
    <w:rsid w:val="002B379B"/>
    <w:rsid w:val="002B5DFD"/>
    <w:rsid w:val="002B62BC"/>
    <w:rsid w:val="002B7F19"/>
    <w:rsid w:val="002C2CCF"/>
    <w:rsid w:val="002C419A"/>
    <w:rsid w:val="002C6D53"/>
    <w:rsid w:val="002C707C"/>
    <w:rsid w:val="002D11FD"/>
    <w:rsid w:val="002D26B0"/>
    <w:rsid w:val="002D3E91"/>
    <w:rsid w:val="002D4A44"/>
    <w:rsid w:val="002D54D7"/>
    <w:rsid w:val="002D7313"/>
    <w:rsid w:val="002E02B1"/>
    <w:rsid w:val="002E396B"/>
    <w:rsid w:val="002E3D2C"/>
    <w:rsid w:val="002F1879"/>
    <w:rsid w:val="002F1D45"/>
    <w:rsid w:val="002F2B55"/>
    <w:rsid w:val="002F3420"/>
    <w:rsid w:val="002F42B2"/>
    <w:rsid w:val="002F63A1"/>
    <w:rsid w:val="002F76FF"/>
    <w:rsid w:val="00300232"/>
    <w:rsid w:val="003036BA"/>
    <w:rsid w:val="00303AB0"/>
    <w:rsid w:val="00304392"/>
    <w:rsid w:val="0030758F"/>
    <w:rsid w:val="00311545"/>
    <w:rsid w:val="00313105"/>
    <w:rsid w:val="003141B6"/>
    <w:rsid w:val="003146F4"/>
    <w:rsid w:val="003159A6"/>
    <w:rsid w:val="00317803"/>
    <w:rsid w:val="00321775"/>
    <w:rsid w:val="00321EB5"/>
    <w:rsid w:val="00322DAA"/>
    <w:rsid w:val="00323E56"/>
    <w:rsid w:val="00327067"/>
    <w:rsid w:val="00327078"/>
    <w:rsid w:val="0033009B"/>
    <w:rsid w:val="00330A48"/>
    <w:rsid w:val="00332A2D"/>
    <w:rsid w:val="0033583E"/>
    <w:rsid w:val="00336145"/>
    <w:rsid w:val="0034128C"/>
    <w:rsid w:val="003412F9"/>
    <w:rsid w:val="003415A6"/>
    <w:rsid w:val="00344CE5"/>
    <w:rsid w:val="003469D0"/>
    <w:rsid w:val="003504E9"/>
    <w:rsid w:val="003519F1"/>
    <w:rsid w:val="00351EDC"/>
    <w:rsid w:val="003520A4"/>
    <w:rsid w:val="00353818"/>
    <w:rsid w:val="003541F4"/>
    <w:rsid w:val="003548AE"/>
    <w:rsid w:val="00355460"/>
    <w:rsid w:val="00355620"/>
    <w:rsid w:val="0035702D"/>
    <w:rsid w:val="00360535"/>
    <w:rsid w:val="00361216"/>
    <w:rsid w:val="003628EB"/>
    <w:rsid w:val="0036342D"/>
    <w:rsid w:val="00363602"/>
    <w:rsid w:val="003639EB"/>
    <w:rsid w:val="00363A14"/>
    <w:rsid w:val="00364197"/>
    <w:rsid w:val="00366309"/>
    <w:rsid w:val="00373A9F"/>
    <w:rsid w:val="003756EB"/>
    <w:rsid w:val="003763CB"/>
    <w:rsid w:val="0038011D"/>
    <w:rsid w:val="00380D62"/>
    <w:rsid w:val="00381001"/>
    <w:rsid w:val="0038145D"/>
    <w:rsid w:val="00382E5B"/>
    <w:rsid w:val="00383853"/>
    <w:rsid w:val="00384980"/>
    <w:rsid w:val="003874CB"/>
    <w:rsid w:val="00390B86"/>
    <w:rsid w:val="00391E44"/>
    <w:rsid w:val="00393CE8"/>
    <w:rsid w:val="003940D4"/>
    <w:rsid w:val="003A0AEE"/>
    <w:rsid w:val="003A5252"/>
    <w:rsid w:val="003A7420"/>
    <w:rsid w:val="003A74DC"/>
    <w:rsid w:val="003A75E8"/>
    <w:rsid w:val="003B2723"/>
    <w:rsid w:val="003B3AC6"/>
    <w:rsid w:val="003B3FFE"/>
    <w:rsid w:val="003B5D6A"/>
    <w:rsid w:val="003C1744"/>
    <w:rsid w:val="003C615D"/>
    <w:rsid w:val="003C7EBF"/>
    <w:rsid w:val="003D0AFA"/>
    <w:rsid w:val="003D112E"/>
    <w:rsid w:val="003D12A0"/>
    <w:rsid w:val="003D1A98"/>
    <w:rsid w:val="003D37D6"/>
    <w:rsid w:val="003D3FE2"/>
    <w:rsid w:val="003D4E93"/>
    <w:rsid w:val="003D640F"/>
    <w:rsid w:val="003D7316"/>
    <w:rsid w:val="003D7D09"/>
    <w:rsid w:val="003E17F3"/>
    <w:rsid w:val="003E1895"/>
    <w:rsid w:val="003E2E13"/>
    <w:rsid w:val="003E5B4C"/>
    <w:rsid w:val="003F16AF"/>
    <w:rsid w:val="003F40DE"/>
    <w:rsid w:val="003F7D7E"/>
    <w:rsid w:val="00402953"/>
    <w:rsid w:val="00403F8E"/>
    <w:rsid w:val="0040408F"/>
    <w:rsid w:val="00410A00"/>
    <w:rsid w:val="0041108E"/>
    <w:rsid w:val="0041189C"/>
    <w:rsid w:val="004127AE"/>
    <w:rsid w:val="0041399D"/>
    <w:rsid w:val="00416591"/>
    <w:rsid w:val="00416D80"/>
    <w:rsid w:val="00417315"/>
    <w:rsid w:val="00420CA6"/>
    <w:rsid w:val="00422716"/>
    <w:rsid w:val="00423B00"/>
    <w:rsid w:val="004320C4"/>
    <w:rsid w:val="004360DF"/>
    <w:rsid w:val="00440B9E"/>
    <w:rsid w:val="004423FC"/>
    <w:rsid w:val="0044242A"/>
    <w:rsid w:val="00442439"/>
    <w:rsid w:val="00442B34"/>
    <w:rsid w:val="00443AB2"/>
    <w:rsid w:val="00444E10"/>
    <w:rsid w:val="004462AC"/>
    <w:rsid w:val="0044635D"/>
    <w:rsid w:val="00446720"/>
    <w:rsid w:val="00447CF6"/>
    <w:rsid w:val="004511F5"/>
    <w:rsid w:val="0045239B"/>
    <w:rsid w:val="004538CE"/>
    <w:rsid w:val="00453EB7"/>
    <w:rsid w:val="00454152"/>
    <w:rsid w:val="00454F1F"/>
    <w:rsid w:val="004570C8"/>
    <w:rsid w:val="00457310"/>
    <w:rsid w:val="00457471"/>
    <w:rsid w:val="0045757E"/>
    <w:rsid w:val="00460D49"/>
    <w:rsid w:val="004642B5"/>
    <w:rsid w:val="00465AB7"/>
    <w:rsid w:val="00465CAE"/>
    <w:rsid w:val="004701DE"/>
    <w:rsid w:val="004702C9"/>
    <w:rsid w:val="0047165B"/>
    <w:rsid w:val="00472E27"/>
    <w:rsid w:val="00473196"/>
    <w:rsid w:val="0047624B"/>
    <w:rsid w:val="004772EC"/>
    <w:rsid w:val="00477BF4"/>
    <w:rsid w:val="004811E6"/>
    <w:rsid w:val="00482836"/>
    <w:rsid w:val="00482B55"/>
    <w:rsid w:val="00482EE5"/>
    <w:rsid w:val="00483326"/>
    <w:rsid w:val="00484AAF"/>
    <w:rsid w:val="00486D54"/>
    <w:rsid w:val="00486E60"/>
    <w:rsid w:val="00491213"/>
    <w:rsid w:val="00492AEB"/>
    <w:rsid w:val="00492D86"/>
    <w:rsid w:val="00493088"/>
    <w:rsid w:val="0049327F"/>
    <w:rsid w:val="00493B58"/>
    <w:rsid w:val="0049433A"/>
    <w:rsid w:val="004949B8"/>
    <w:rsid w:val="00496B71"/>
    <w:rsid w:val="004A0234"/>
    <w:rsid w:val="004A11FE"/>
    <w:rsid w:val="004A465D"/>
    <w:rsid w:val="004A6349"/>
    <w:rsid w:val="004A6D10"/>
    <w:rsid w:val="004A7ADD"/>
    <w:rsid w:val="004B30CA"/>
    <w:rsid w:val="004B35E5"/>
    <w:rsid w:val="004B7C73"/>
    <w:rsid w:val="004C1DD3"/>
    <w:rsid w:val="004C23B8"/>
    <w:rsid w:val="004C41FA"/>
    <w:rsid w:val="004C6BFB"/>
    <w:rsid w:val="004C7957"/>
    <w:rsid w:val="004D0892"/>
    <w:rsid w:val="004D0B9B"/>
    <w:rsid w:val="004D0E4A"/>
    <w:rsid w:val="004D67B3"/>
    <w:rsid w:val="004E48B0"/>
    <w:rsid w:val="004F105E"/>
    <w:rsid w:val="004F2C2F"/>
    <w:rsid w:val="004F6E39"/>
    <w:rsid w:val="004F7211"/>
    <w:rsid w:val="00500D8B"/>
    <w:rsid w:val="00502AFF"/>
    <w:rsid w:val="00504A78"/>
    <w:rsid w:val="00505244"/>
    <w:rsid w:val="005052D3"/>
    <w:rsid w:val="00505C65"/>
    <w:rsid w:val="00506758"/>
    <w:rsid w:val="005075BB"/>
    <w:rsid w:val="00510D59"/>
    <w:rsid w:val="005151B5"/>
    <w:rsid w:val="00517438"/>
    <w:rsid w:val="00517856"/>
    <w:rsid w:val="005206B2"/>
    <w:rsid w:val="00520DF1"/>
    <w:rsid w:val="00523407"/>
    <w:rsid w:val="00523A05"/>
    <w:rsid w:val="005250BC"/>
    <w:rsid w:val="00525891"/>
    <w:rsid w:val="0052668A"/>
    <w:rsid w:val="00527F31"/>
    <w:rsid w:val="005305DC"/>
    <w:rsid w:val="0053363E"/>
    <w:rsid w:val="005336C5"/>
    <w:rsid w:val="005376CB"/>
    <w:rsid w:val="00540BCE"/>
    <w:rsid w:val="005411C5"/>
    <w:rsid w:val="00541B4E"/>
    <w:rsid w:val="00541F28"/>
    <w:rsid w:val="0054241F"/>
    <w:rsid w:val="0054746D"/>
    <w:rsid w:val="00551F45"/>
    <w:rsid w:val="00555F01"/>
    <w:rsid w:val="0055767F"/>
    <w:rsid w:val="00561079"/>
    <w:rsid w:val="00561F3D"/>
    <w:rsid w:val="0056411F"/>
    <w:rsid w:val="00564E0C"/>
    <w:rsid w:val="00565A4C"/>
    <w:rsid w:val="0056670F"/>
    <w:rsid w:val="00566CE5"/>
    <w:rsid w:val="00570D65"/>
    <w:rsid w:val="005722AA"/>
    <w:rsid w:val="005762F3"/>
    <w:rsid w:val="00577FB4"/>
    <w:rsid w:val="00580E82"/>
    <w:rsid w:val="00581E03"/>
    <w:rsid w:val="00583293"/>
    <w:rsid w:val="00583985"/>
    <w:rsid w:val="005842B4"/>
    <w:rsid w:val="005858F8"/>
    <w:rsid w:val="00587CF1"/>
    <w:rsid w:val="005902A9"/>
    <w:rsid w:val="0059062E"/>
    <w:rsid w:val="00590A10"/>
    <w:rsid w:val="00592666"/>
    <w:rsid w:val="0059297F"/>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433F"/>
    <w:rsid w:val="005C5095"/>
    <w:rsid w:val="005C6411"/>
    <w:rsid w:val="005C7DF8"/>
    <w:rsid w:val="005D0EDF"/>
    <w:rsid w:val="005D3ACC"/>
    <w:rsid w:val="005D3E33"/>
    <w:rsid w:val="005D6B46"/>
    <w:rsid w:val="005D6C52"/>
    <w:rsid w:val="005E0BAE"/>
    <w:rsid w:val="005E0E65"/>
    <w:rsid w:val="005E1970"/>
    <w:rsid w:val="005E36FF"/>
    <w:rsid w:val="005E5941"/>
    <w:rsid w:val="005F14FC"/>
    <w:rsid w:val="005F2A4C"/>
    <w:rsid w:val="005F36BF"/>
    <w:rsid w:val="005F7D12"/>
    <w:rsid w:val="00601262"/>
    <w:rsid w:val="00604D84"/>
    <w:rsid w:val="006066E8"/>
    <w:rsid w:val="00607722"/>
    <w:rsid w:val="006111CE"/>
    <w:rsid w:val="006129FD"/>
    <w:rsid w:val="00614D94"/>
    <w:rsid w:val="00616EC7"/>
    <w:rsid w:val="0062116B"/>
    <w:rsid w:val="00622CC0"/>
    <w:rsid w:val="0062439C"/>
    <w:rsid w:val="0062501A"/>
    <w:rsid w:val="006259D1"/>
    <w:rsid w:val="0063180F"/>
    <w:rsid w:val="00631923"/>
    <w:rsid w:val="00632C12"/>
    <w:rsid w:val="0063306E"/>
    <w:rsid w:val="00643136"/>
    <w:rsid w:val="0064321C"/>
    <w:rsid w:val="006452AD"/>
    <w:rsid w:val="00647B74"/>
    <w:rsid w:val="00650847"/>
    <w:rsid w:val="00650AC5"/>
    <w:rsid w:val="00652438"/>
    <w:rsid w:val="00653552"/>
    <w:rsid w:val="00654C7D"/>
    <w:rsid w:val="0065507F"/>
    <w:rsid w:val="0065710F"/>
    <w:rsid w:val="00660B10"/>
    <w:rsid w:val="006621CC"/>
    <w:rsid w:val="00663B0C"/>
    <w:rsid w:val="006671EF"/>
    <w:rsid w:val="00670377"/>
    <w:rsid w:val="006772E7"/>
    <w:rsid w:val="006777B9"/>
    <w:rsid w:val="00680E60"/>
    <w:rsid w:val="00681461"/>
    <w:rsid w:val="006817D9"/>
    <w:rsid w:val="006821E9"/>
    <w:rsid w:val="0068233A"/>
    <w:rsid w:val="006831DC"/>
    <w:rsid w:val="00687034"/>
    <w:rsid w:val="00687253"/>
    <w:rsid w:val="006873AA"/>
    <w:rsid w:val="006874AA"/>
    <w:rsid w:val="006920B0"/>
    <w:rsid w:val="00692183"/>
    <w:rsid w:val="00692480"/>
    <w:rsid w:val="006932A5"/>
    <w:rsid w:val="006934C7"/>
    <w:rsid w:val="00695F75"/>
    <w:rsid w:val="00697787"/>
    <w:rsid w:val="006A04F2"/>
    <w:rsid w:val="006A0B53"/>
    <w:rsid w:val="006A0DAB"/>
    <w:rsid w:val="006A190F"/>
    <w:rsid w:val="006A2937"/>
    <w:rsid w:val="006A3523"/>
    <w:rsid w:val="006B0525"/>
    <w:rsid w:val="006B2309"/>
    <w:rsid w:val="006B24AE"/>
    <w:rsid w:val="006B6C9F"/>
    <w:rsid w:val="006C04BE"/>
    <w:rsid w:val="006C2A2F"/>
    <w:rsid w:val="006C5493"/>
    <w:rsid w:val="006C550F"/>
    <w:rsid w:val="006C599B"/>
    <w:rsid w:val="006C69B6"/>
    <w:rsid w:val="006D02FC"/>
    <w:rsid w:val="006D096B"/>
    <w:rsid w:val="006D294B"/>
    <w:rsid w:val="006D2F5B"/>
    <w:rsid w:val="006D31AB"/>
    <w:rsid w:val="006D446E"/>
    <w:rsid w:val="006D4A1A"/>
    <w:rsid w:val="006D5343"/>
    <w:rsid w:val="006D6A18"/>
    <w:rsid w:val="006D6BB5"/>
    <w:rsid w:val="006D7BFC"/>
    <w:rsid w:val="006E247C"/>
    <w:rsid w:val="006E3B17"/>
    <w:rsid w:val="006F3E7C"/>
    <w:rsid w:val="006F4214"/>
    <w:rsid w:val="006F4C4C"/>
    <w:rsid w:val="006F5CC8"/>
    <w:rsid w:val="006F6C87"/>
    <w:rsid w:val="006F6F42"/>
    <w:rsid w:val="0070502C"/>
    <w:rsid w:val="007074FD"/>
    <w:rsid w:val="0070798C"/>
    <w:rsid w:val="00714587"/>
    <w:rsid w:val="00715990"/>
    <w:rsid w:val="0071635C"/>
    <w:rsid w:val="007200B4"/>
    <w:rsid w:val="00720592"/>
    <w:rsid w:val="00721E50"/>
    <w:rsid w:val="00722E0A"/>
    <w:rsid w:val="00722FB0"/>
    <w:rsid w:val="00723860"/>
    <w:rsid w:val="00723D9A"/>
    <w:rsid w:val="007250AC"/>
    <w:rsid w:val="007268F5"/>
    <w:rsid w:val="00731485"/>
    <w:rsid w:val="00731792"/>
    <w:rsid w:val="00732067"/>
    <w:rsid w:val="0074265D"/>
    <w:rsid w:val="00742C4F"/>
    <w:rsid w:val="007463A7"/>
    <w:rsid w:val="0074666A"/>
    <w:rsid w:val="007472D6"/>
    <w:rsid w:val="00753AD5"/>
    <w:rsid w:val="00754771"/>
    <w:rsid w:val="00756A59"/>
    <w:rsid w:val="007573E5"/>
    <w:rsid w:val="00762309"/>
    <w:rsid w:val="00762746"/>
    <w:rsid w:val="00764E9A"/>
    <w:rsid w:val="00765478"/>
    <w:rsid w:val="00765EFC"/>
    <w:rsid w:val="00766175"/>
    <w:rsid w:val="00767D54"/>
    <w:rsid w:val="00777554"/>
    <w:rsid w:val="00777FC6"/>
    <w:rsid w:val="0078331C"/>
    <w:rsid w:val="00785008"/>
    <w:rsid w:val="00786FBC"/>
    <w:rsid w:val="007908A3"/>
    <w:rsid w:val="00791AA8"/>
    <w:rsid w:val="00791FC4"/>
    <w:rsid w:val="007922D4"/>
    <w:rsid w:val="00795E68"/>
    <w:rsid w:val="00796645"/>
    <w:rsid w:val="00797CC2"/>
    <w:rsid w:val="00797D6C"/>
    <w:rsid w:val="007A1AE0"/>
    <w:rsid w:val="007A3BCE"/>
    <w:rsid w:val="007A706D"/>
    <w:rsid w:val="007A73F6"/>
    <w:rsid w:val="007B0961"/>
    <w:rsid w:val="007B2C20"/>
    <w:rsid w:val="007B42EE"/>
    <w:rsid w:val="007B753F"/>
    <w:rsid w:val="007C3C5C"/>
    <w:rsid w:val="007C4B89"/>
    <w:rsid w:val="007C6BED"/>
    <w:rsid w:val="007D09F3"/>
    <w:rsid w:val="007D55B1"/>
    <w:rsid w:val="007D57A8"/>
    <w:rsid w:val="007D73E9"/>
    <w:rsid w:val="007E0556"/>
    <w:rsid w:val="007E1456"/>
    <w:rsid w:val="007E17FA"/>
    <w:rsid w:val="007E2DD9"/>
    <w:rsid w:val="007E44F5"/>
    <w:rsid w:val="007E4ED6"/>
    <w:rsid w:val="007E56C6"/>
    <w:rsid w:val="007F0C04"/>
    <w:rsid w:val="007F2F1F"/>
    <w:rsid w:val="007F46D2"/>
    <w:rsid w:val="007F4EC6"/>
    <w:rsid w:val="007F7FD1"/>
    <w:rsid w:val="00800B09"/>
    <w:rsid w:val="0080221D"/>
    <w:rsid w:val="00802FF6"/>
    <w:rsid w:val="00803F2B"/>
    <w:rsid w:val="008041BD"/>
    <w:rsid w:val="008053A6"/>
    <w:rsid w:val="00805B41"/>
    <w:rsid w:val="008073EA"/>
    <w:rsid w:val="008105D3"/>
    <w:rsid w:val="0081329F"/>
    <w:rsid w:val="0081376C"/>
    <w:rsid w:val="00814D2E"/>
    <w:rsid w:val="008158A3"/>
    <w:rsid w:val="008166F7"/>
    <w:rsid w:val="008178EE"/>
    <w:rsid w:val="008208C7"/>
    <w:rsid w:val="00825012"/>
    <w:rsid w:val="0082676B"/>
    <w:rsid w:val="008310FF"/>
    <w:rsid w:val="00833C2D"/>
    <w:rsid w:val="008379B1"/>
    <w:rsid w:val="00844ECD"/>
    <w:rsid w:val="0084556B"/>
    <w:rsid w:val="0084716E"/>
    <w:rsid w:val="00847BB9"/>
    <w:rsid w:val="00850293"/>
    <w:rsid w:val="00853B01"/>
    <w:rsid w:val="00853E00"/>
    <w:rsid w:val="00853F30"/>
    <w:rsid w:val="008540B3"/>
    <w:rsid w:val="0085574D"/>
    <w:rsid w:val="00855E21"/>
    <w:rsid w:val="008568FB"/>
    <w:rsid w:val="00856CFF"/>
    <w:rsid w:val="00857FFB"/>
    <w:rsid w:val="0086016B"/>
    <w:rsid w:val="00860963"/>
    <w:rsid w:val="008612B0"/>
    <w:rsid w:val="008637A0"/>
    <w:rsid w:val="00864000"/>
    <w:rsid w:val="00864EFE"/>
    <w:rsid w:val="00865D5B"/>
    <w:rsid w:val="0086631A"/>
    <w:rsid w:val="0086796B"/>
    <w:rsid w:val="00872C56"/>
    <w:rsid w:val="008757F8"/>
    <w:rsid w:val="008773E5"/>
    <w:rsid w:val="00881AEC"/>
    <w:rsid w:val="00881BB6"/>
    <w:rsid w:val="00884341"/>
    <w:rsid w:val="00884362"/>
    <w:rsid w:val="00887535"/>
    <w:rsid w:val="00887BB0"/>
    <w:rsid w:val="0089022F"/>
    <w:rsid w:val="008A019E"/>
    <w:rsid w:val="008A0235"/>
    <w:rsid w:val="008A05F2"/>
    <w:rsid w:val="008A0C34"/>
    <w:rsid w:val="008A1C40"/>
    <w:rsid w:val="008A240F"/>
    <w:rsid w:val="008B116A"/>
    <w:rsid w:val="008B2BCE"/>
    <w:rsid w:val="008B46A7"/>
    <w:rsid w:val="008B5F7B"/>
    <w:rsid w:val="008B6E30"/>
    <w:rsid w:val="008B7348"/>
    <w:rsid w:val="008C0734"/>
    <w:rsid w:val="008C075C"/>
    <w:rsid w:val="008C093B"/>
    <w:rsid w:val="008C4341"/>
    <w:rsid w:val="008C5AA7"/>
    <w:rsid w:val="008C6D05"/>
    <w:rsid w:val="008C7C9B"/>
    <w:rsid w:val="008D1510"/>
    <w:rsid w:val="008D384B"/>
    <w:rsid w:val="008D3922"/>
    <w:rsid w:val="008D44E3"/>
    <w:rsid w:val="008D4CC7"/>
    <w:rsid w:val="008D4E58"/>
    <w:rsid w:val="008D7A2F"/>
    <w:rsid w:val="008E2ED6"/>
    <w:rsid w:val="008E4786"/>
    <w:rsid w:val="008E5D55"/>
    <w:rsid w:val="008F04BD"/>
    <w:rsid w:val="008F26AD"/>
    <w:rsid w:val="008F2E64"/>
    <w:rsid w:val="008F2FB3"/>
    <w:rsid w:val="008F4B39"/>
    <w:rsid w:val="008F6716"/>
    <w:rsid w:val="008F78D5"/>
    <w:rsid w:val="008F7D94"/>
    <w:rsid w:val="00901B23"/>
    <w:rsid w:val="00902F55"/>
    <w:rsid w:val="0090470C"/>
    <w:rsid w:val="00906198"/>
    <w:rsid w:val="009102CF"/>
    <w:rsid w:val="00910718"/>
    <w:rsid w:val="009116B8"/>
    <w:rsid w:val="00911CA6"/>
    <w:rsid w:val="00916FEB"/>
    <w:rsid w:val="009170D7"/>
    <w:rsid w:val="0091745E"/>
    <w:rsid w:val="00917CD8"/>
    <w:rsid w:val="009233F5"/>
    <w:rsid w:val="00924109"/>
    <w:rsid w:val="009261C4"/>
    <w:rsid w:val="00926D5C"/>
    <w:rsid w:val="00930956"/>
    <w:rsid w:val="009337AB"/>
    <w:rsid w:val="009360D1"/>
    <w:rsid w:val="009364DE"/>
    <w:rsid w:val="00947BF1"/>
    <w:rsid w:val="0095097F"/>
    <w:rsid w:val="00950F2C"/>
    <w:rsid w:val="009512A7"/>
    <w:rsid w:val="009543CB"/>
    <w:rsid w:val="009543EE"/>
    <w:rsid w:val="0096645D"/>
    <w:rsid w:val="00967F32"/>
    <w:rsid w:val="009702DE"/>
    <w:rsid w:val="0097166B"/>
    <w:rsid w:val="00971B64"/>
    <w:rsid w:val="00973331"/>
    <w:rsid w:val="00974712"/>
    <w:rsid w:val="00976266"/>
    <w:rsid w:val="00976FBE"/>
    <w:rsid w:val="00977BEF"/>
    <w:rsid w:val="0098142E"/>
    <w:rsid w:val="0098218D"/>
    <w:rsid w:val="00984F65"/>
    <w:rsid w:val="009855D2"/>
    <w:rsid w:val="00990E54"/>
    <w:rsid w:val="00990F3D"/>
    <w:rsid w:val="009962CD"/>
    <w:rsid w:val="00996B36"/>
    <w:rsid w:val="009A239C"/>
    <w:rsid w:val="009A3976"/>
    <w:rsid w:val="009A3AAF"/>
    <w:rsid w:val="009A3EAE"/>
    <w:rsid w:val="009A4956"/>
    <w:rsid w:val="009A6153"/>
    <w:rsid w:val="009A6156"/>
    <w:rsid w:val="009A7747"/>
    <w:rsid w:val="009A7DCC"/>
    <w:rsid w:val="009A7E35"/>
    <w:rsid w:val="009B0652"/>
    <w:rsid w:val="009B23BA"/>
    <w:rsid w:val="009B271F"/>
    <w:rsid w:val="009B2AEC"/>
    <w:rsid w:val="009B2C68"/>
    <w:rsid w:val="009B6ADC"/>
    <w:rsid w:val="009B78A1"/>
    <w:rsid w:val="009C1BFF"/>
    <w:rsid w:val="009C4DE4"/>
    <w:rsid w:val="009C6A89"/>
    <w:rsid w:val="009C762D"/>
    <w:rsid w:val="009C79C4"/>
    <w:rsid w:val="009D19BF"/>
    <w:rsid w:val="009D219C"/>
    <w:rsid w:val="009D22F8"/>
    <w:rsid w:val="009D2959"/>
    <w:rsid w:val="009D2CDF"/>
    <w:rsid w:val="009D3510"/>
    <w:rsid w:val="009D72AA"/>
    <w:rsid w:val="009E1D5E"/>
    <w:rsid w:val="009E393C"/>
    <w:rsid w:val="009E6008"/>
    <w:rsid w:val="009E6385"/>
    <w:rsid w:val="009E6EE9"/>
    <w:rsid w:val="009F0268"/>
    <w:rsid w:val="009F1F2E"/>
    <w:rsid w:val="009F4313"/>
    <w:rsid w:val="009F494B"/>
    <w:rsid w:val="00A009EA"/>
    <w:rsid w:val="00A06892"/>
    <w:rsid w:val="00A07761"/>
    <w:rsid w:val="00A12D02"/>
    <w:rsid w:val="00A139C5"/>
    <w:rsid w:val="00A17980"/>
    <w:rsid w:val="00A21E33"/>
    <w:rsid w:val="00A21E81"/>
    <w:rsid w:val="00A25047"/>
    <w:rsid w:val="00A26023"/>
    <w:rsid w:val="00A30094"/>
    <w:rsid w:val="00A30934"/>
    <w:rsid w:val="00A33184"/>
    <w:rsid w:val="00A33C56"/>
    <w:rsid w:val="00A36342"/>
    <w:rsid w:val="00A4099B"/>
    <w:rsid w:val="00A42896"/>
    <w:rsid w:val="00A43179"/>
    <w:rsid w:val="00A44B1E"/>
    <w:rsid w:val="00A45310"/>
    <w:rsid w:val="00A468EB"/>
    <w:rsid w:val="00A4771A"/>
    <w:rsid w:val="00A50D78"/>
    <w:rsid w:val="00A52005"/>
    <w:rsid w:val="00A52947"/>
    <w:rsid w:val="00A52B6E"/>
    <w:rsid w:val="00A53223"/>
    <w:rsid w:val="00A53E3C"/>
    <w:rsid w:val="00A54D2C"/>
    <w:rsid w:val="00A56F58"/>
    <w:rsid w:val="00A57B01"/>
    <w:rsid w:val="00A57BE7"/>
    <w:rsid w:val="00A611EE"/>
    <w:rsid w:val="00A6545C"/>
    <w:rsid w:val="00A6563F"/>
    <w:rsid w:val="00A66CCA"/>
    <w:rsid w:val="00A67F48"/>
    <w:rsid w:val="00A704D5"/>
    <w:rsid w:val="00A70752"/>
    <w:rsid w:val="00A736B6"/>
    <w:rsid w:val="00A7774E"/>
    <w:rsid w:val="00A8467A"/>
    <w:rsid w:val="00A86C97"/>
    <w:rsid w:val="00A86DE0"/>
    <w:rsid w:val="00A86E28"/>
    <w:rsid w:val="00A92AC5"/>
    <w:rsid w:val="00A93E28"/>
    <w:rsid w:val="00AA0E03"/>
    <w:rsid w:val="00AA12FD"/>
    <w:rsid w:val="00AA6824"/>
    <w:rsid w:val="00AA701D"/>
    <w:rsid w:val="00AA7AF4"/>
    <w:rsid w:val="00AB4207"/>
    <w:rsid w:val="00AB6454"/>
    <w:rsid w:val="00AC2B6A"/>
    <w:rsid w:val="00AC4505"/>
    <w:rsid w:val="00AD0FD6"/>
    <w:rsid w:val="00AD786F"/>
    <w:rsid w:val="00AD7994"/>
    <w:rsid w:val="00AE0A20"/>
    <w:rsid w:val="00AE31C7"/>
    <w:rsid w:val="00AE3911"/>
    <w:rsid w:val="00AE3DD9"/>
    <w:rsid w:val="00AE6142"/>
    <w:rsid w:val="00AE709A"/>
    <w:rsid w:val="00AE784D"/>
    <w:rsid w:val="00AE7B85"/>
    <w:rsid w:val="00AF7E75"/>
    <w:rsid w:val="00B005D4"/>
    <w:rsid w:val="00B00868"/>
    <w:rsid w:val="00B01558"/>
    <w:rsid w:val="00B02FB1"/>
    <w:rsid w:val="00B0645A"/>
    <w:rsid w:val="00B06847"/>
    <w:rsid w:val="00B07042"/>
    <w:rsid w:val="00B071FD"/>
    <w:rsid w:val="00B07868"/>
    <w:rsid w:val="00B1340A"/>
    <w:rsid w:val="00B159DB"/>
    <w:rsid w:val="00B16883"/>
    <w:rsid w:val="00B21B6E"/>
    <w:rsid w:val="00B220B5"/>
    <w:rsid w:val="00B22EA9"/>
    <w:rsid w:val="00B24F0E"/>
    <w:rsid w:val="00B24F34"/>
    <w:rsid w:val="00B25403"/>
    <w:rsid w:val="00B262E4"/>
    <w:rsid w:val="00B26B74"/>
    <w:rsid w:val="00B30359"/>
    <w:rsid w:val="00B313EF"/>
    <w:rsid w:val="00B40077"/>
    <w:rsid w:val="00B42160"/>
    <w:rsid w:val="00B43D5E"/>
    <w:rsid w:val="00B45A43"/>
    <w:rsid w:val="00B45D4C"/>
    <w:rsid w:val="00B47C3D"/>
    <w:rsid w:val="00B47C78"/>
    <w:rsid w:val="00B50BAE"/>
    <w:rsid w:val="00B53434"/>
    <w:rsid w:val="00B54914"/>
    <w:rsid w:val="00B5501D"/>
    <w:rsid w:val="00B57CD0"/>
    <w:rsid w:val="00B61668"/>
    <w:rsid w:val="00B6613A"/>
    <w:rsid w:val="00B6722E"/>
    <w:rsid w:val="00B70AB8"/>
    <w:rsid w:val="00B7110A"/>
    <w:rsid w:val="00B71D96"/>
    <w:rsid w:val="00B73845"/>
    <w:rsid w:val="00B76BA6"/>
    <w:rsid w:val="00B76BE5"/>
    <w:rsid w:val="00B7709C"/>
    <w:rsid w:val="00B80094"/>
    <w:rsid w:val="00B81523"/>
    <w:rsid w:val="00B81683"/>
    <w:rsid w:val="00B841B0"/>
    <w:rsid w:val="00B85469"/>
    <w:rsid w:val="00B902AE"/>
    <w:rsid w:val="00B9337F"/>
    <w:rsid w:val="00B94176"/>
    <w:rsid w:val="00B94BF5"/>
    <w:rsid w:val="00B958C0"/>
    <w:rsid w:val="00B979BB"/>
    <w:rsid w:val="00B97F8D"/>
    <w:rsid w:val="00BA020C"/>
    <w:rsid w:val="00BA0D9F"/>
    <w:rsid w:val="00BA1C7A"/>
    <w:rsid w:val="00BA1EAC"/>
    <w:rsid w:val="00BA205D"/>
    <w:rsid w:val="00BA31AE"/>
    <w:rsid w:val="00BA7B2F"/>
    <w:rsid w:val="00BB2B67"/>
    <w:rsid w:val="00BB4689"/>
    <w:rsid w:val="00BB5D21"/>
    <w:rsid w:val="00BB6C89"/>
    <w:rsid w:val="00BB72FD"/>
    <w:rsid w:val="00BC0473"/>
    <w:rsid w:val="00BC1036"/>
    <w:rsid w:val="00BC2D8F"/>
    <w:rsid w:val="00BC4302"/>
    <w:rsid w:val="00BC55C7"/>
    <w:rsid w:val="00BC57BB"/>
    <w:rsid w:val="00BD13D0"/>
    <w:rsid w:val="00BD2CE8"/>
    <w:rsid w:val="00BD2E2F"/>
    <w:rsid w:val="00BD6B49"/>
    <w:rsid w:val="00BD7DD2"/>
    <w:rsid w:val="00BE0B38"/>
    <w:rsid w:val="00BE1BCC"/>
    <w:rsid w:val="00BE203F"/>
    <w:rsid w:val="00BE4777"/>
    <w:rsid w:val="00BE4F88"/>
    <w:rsid w:val="00BF47AC"/>
    <w:rsid w:val="00BF71A1"/>
    <w:rsid w:val="00C017C5"/>
    <w:rsid w:val="00C01E2F"/>
    <w:rsid w:val="00C02BA6"/>
    <w:rsid w:val="00C03393"/>
    <w:rsid w:val="00C05C30"/>
    <w:rsid w:val="00C061C7"/>
    <w:rsid w:val="00C07C7D"/>
    <w:rsid w:val="00C13035"/>
    <w:rsid w:val="00C13F1C"/>
    <w:rsid w:val="00C13FC6"/>
    <w:rsid w:val="00C142AB"/>
    <w:rsid w:val="00C1435D"/>
    <w:rsid w:val="00C162ED"/>
    <w:rsid w:val="00C202C1"/>
    <w:rsid w:val="00C21A1B"/>
    <w:rsid w:val="00C2639C"/>
    <w:rsid w:val="00C263CC"/>
    <w:rsid w:val="00C276C8"/>
    <w:rsid w:val="00C2797C"/>
    <w:rsid w:val="00C3227D"/>
    <w:rsid w:val="00C323B3"/>
    <w:rsid w:val="00C34A5B"/>
    <w:rsid w:val="00C36E6D"/>
    <w:rsid w:val="00C3787E"/>
    <w:rsid w:val="00C42011"/>
    <w:rsid w:val="00C42BCF"/>
    <w:rsid w:val="00C4392E"/>
    <w:rsid w:val="00C45E9C"/>
    <w:rsid w:val="00C4774B"/>
    <w:rsid w:val="00C52B44"/>
    <w:rsid w:val="00C557BA"/>
    <w:rsid w:val="00C55C70"/>
    <w:rsid w:val="00C56421"/>
    <w:rsid w:val="00C56EF3"/>
    <w:rsid w:val="00C57B14"/>
    <w:rsid w:val="00C60153"/>
    <w:rsid w:val="00C60719"/>
    <w:rsid w:val="00C65B54"/>
    <w:rsid w:val="00C65BBB"/>
    <w:rsid w:val="00C70E54"/>
    <w:rsid w:val="00C71521"/>
    <w:rsid w:val="00C72740"/>
    <w:rsid w:val="00C74121"/>
    <w:rsid w:val="00C74475"/>
    <w:rsid w:val="00C74538"/>
    <w:rsid w:val="00C74BFC"/>
    <w:rsid w:val="00C74C7A"/>
    <w:rsid w:val="00C8361D"/>
    <w:rsid w:val="00C83ADA"/>
    <w:rsid w:val="00C868DA"/>
    <w:rsid w:val="00C86DF2"/>
    <w:rsid w:val="00C87DC2"/>
    <w:rsid w:val="00C90CAE"/>
    <w:rsid w:val="00C93054"/>
    <w:rsid w:val="00C93634"/>
    <w:rsid w:val="00C957D8"/>
    <w:rsid w:val="00C95A94"/>
    <w:rsid w:val="00CA0618"/>
    <w:rsid w:val="00CA0A25"/>
    <w:rsid w:val="00CA21C4"/>
    <w:rsid w:val="00CA24C1"/>
    <w:rsid w:val="00CA2547"/>
    <w:rsid w:val="00CA2EC3"/>
    <w:rsid w:val="00CA4724"/>
    <w:rsid w:val="00CA5BE8"/>
    <w:rsid w:val="00CA6B90"/>
    <w:rsid w:val="00CA74ED"/>
    <w:rsid w:val="00CB00BE"/>
    <w:rsid w:val="00CB13E7"/>
    <w:rsid w:val="00CB191E"/>
    <w:rsid w:val="00CB2604"/>
    <w:rsid w:val="00CB2C72"/>
    <w:rsid w:val="00CB2DB1"/>
    <w:rsid w:val="00CB3F7E"/>
    <w:rsid w:val="00CB47FC"/>
    <w:rsid w:val="00CB4D80"/>
    <w:rsid w:val="00CB6F7C"/>
    <w:rsid w:val="00CB7844"/>
    <w:rsid w:val="00CB7E0F"/>
    <w:rsid w:val="00CC06D9"/>
    <w:rsid w:val="00CC32B5"/>
    <w:rsid w:val="00CC6C12"/>
    <w:rsid w:val="00CC7759"/>
    <w:rsid w:val="00CD2415"/>
    <w:rsid w:val="00CD2980"/>
    <w:rsid w:val="00CD2DF0"/>
    <w:rsid w:val="00CD3789"/>
    <w:rsid w:val="00CD4F00"/>
    <w:rsid w:val="00CD6C55"/>
    <w:rsid w:val="00CE05E3"/>
    <w:rsid w:val="00CE1988"/>
    <w:rsid w:val="00CE2BDC"/>
    <w:rsid w:val="00CE3A39"/>
    <w:rsid w:val="00CE5F46"/>
    <w:rsid w:val="00CE715D"/>
    <w:rsid w:val="00CF1C08"/>
    <w:rsid w:val="00CF4264"/>
    <w:rsid w:val="00CF61B0"/>
    <w:rsid w:val="00CF66C6"/>
    <w:rsid w:val="00CF67C1"/>
    <w:rsid w:val="00CF6965"/>
    <w:rsid w:val="00CF6EC5"/>
    <w:rsid w:val="00D01A21"/>
    <w:rsid w:val="00D02B6A"/>
    <w:rsid w:val="00D03B52"/>
    <w:rsid w:val="00D04273"/>
    <w:rsid w:val="00D06451"/>
    <w:rsid w:val="00D10464"/>
    <w:rsid w:val="00D11438"/>
    <w:rsid w:val="00D11F00"/>
    <w:rsid w:val="00D11FD0"/>
    <w:rsid w:val="00D1286E"/>
    <w:rsid w:val="00D13D56"/>
    <w:rsid w:val="00D17BBB"/>
    <w:rsid w:val="00D210E0"/>
    <w:rsid w:val="00D228F9"/>
    <w:rsid w:val="00D26E50"/>
    <w:rsid w:val="00D273C4"/>
    <w:rsid w:val="00D30B3E"/>
    <w:rsid w:val="00D31782"/>
    <w:rsid w:val="00D321C7"/>
    <w:rsid w:val="00D332C1"/>
    <w:rsid w:val="00D35C5D"/>
    <w:rsid w:val="00D36F44"/>
    <w:rsid w:val="00D41CF4"/>
    <w:rsid w:val="00D44556"/>
    <w:rsid w:val="00D45F11"/>
    <w:rsid w:val="00D45F7B"/>
    <w:rsid w:val="00D46167"/>
    <w:rsid w:val="00D504EF"/>
    <w:rsid w:val="00D518FB"/>
    <w:rsid w:val="00D53E5D"/>
    <w:rsid w:val="00D54DB4"/>
    <w:rsid w:val="00D56750"/>
    <w:rsid w:val="00D56AAE"/>
    <w:rsid w:val="00D60144"/>
    <w:rsid w:val="00D623F3"/>
    <w:rsid w:val="00D62A61"/>
    <w:rsid w:val="00D721CB"/>
    <w:rsid w:val="00D72322"/>
    <w:rsid w:val="00D729EE"/>
    <w:rsid w:val="00D739D3"/>
    <w:rsid w:val="00D73BF5"/>
    <w:rsid w:val="00D73E04"/>
    <w:rsid w:val="00D7586C"/>
    <w:rsid w:val="00D77E8F"/>
    <w:rsid w:val="00D80205"/>
    <w:rsid w:val="00D81728"/>
    <w:rsid w:val="00D828C6"/>
    <w:rsid w:val="00D91FF4"/>
    <w:rsid w:val="00D95FC4"/>
    <w:rsid w:val="00D965FD"/>
    <w:rsid w:val="00D96DFE"/>
    <w:rsid w:val="00D96EEF"/>
    <w:rsid w:val="00D97993"/>
    <w:rsid w:val="00DA2F9C"/>
    <w:rsid w:val="00DA3E29"/>
    <w:rsid w:val="00DA4AFA"/>
    <w:rsid w:val="00DA66D7"/>
    <w:rsid w:val="00DB0143"/>
    <w:rsid w:val="00DB45CB"/>
    <w:rsid w:val="00DB7966"/>
    <w:rsid w:val="00DC1FAF"/>
    <w:rsid w:val="00DC59D1"/>
    <w:rsid w:val="00DC6CFB"/>
    <w:rsid w:val="00DC7D0F"/>
    <w:rsid w:val="00DD2B2D"/>
    <w:rsid w:val="00DD6641"/>
    <w:rsid w:val="00DE08A0"/>
    <w:rsid w:val="00DE168E"/>
    <w:rsid w:val="00DF172F"/>
    <w:rsid w:val="00DF17BF"/>
    <w:rsid w:val="00DF2140"/>
    <w:rsid w:val="00DF36B4"/>
    <w:rsid w:val="00DF42A2"/>
    <w:rsid w:val="00DF49FE"/>
    <w:rsid w:val="00DF56B6"/>
    <w:rsid w:val="00DF65DE"/>
    <w:rsid w:val="00E0043F"/>
    <w:rsid w:val="00E02368"/>
    <w:rsid w:val="00E05FFD"/>
    <w:rsid w:val="00E119C1"/>
    <w:rsid w:val="00E12A76"/>
    <w:rsid w:val="00E12DAF"/>
    <w:rsid w:val="00E13E11"/>
    <w:rsid w:val="00E15E99"/>
    <w:rsid w:val="00E1687C"/>
    <w:rsid w:val="00E17BCE"/>
    <w:rsid w:val="00E213C4"/>
    <w:rsid w:val="00E25C96"/>
    <w:rsid w:val="00E26C9C"/>
    <w:rsid w:val="00E3158C"/>
    <w:rsid w:val="00E32038"/>
    <w:rsid w:val="00E33CF9"/>
    <w:rsid w:val="00E343CC"/>
    <w:rsid w:val="00E34FBD"/>
    <w:rsid w:val="00E35052"/>
    <w:rsid w:val="00E35309"/>
    <w:rsid w:val="00E356FE"/>
    <w:rsid w:val="00E41196"/>
    <w:rsid w:val="00E424D2"/>
    <w:rsid w:val="00E43455"/>
    <w:rsid w:val="00E43819"/>
    <w:rsid w:val="00E43EF1"/>
    <w:rsid w:val="00E4554E"/>
    <w:rsid w:val="00E45C23"/>
    <w:rsid w:val="00E47EC0"/>
    <w:rsid w:val="00E51795"/>
    <w:rsid w:val="00E5277A"/>
    <w:rsid w:val="00E53B52"/>
    <w:rsid w:val="00E5541C"/>
    <w:rsid w:val="00E632AC"/>
    <w:rsid w:val="00E6491A"/>
    <w:rsid w:val="00E66762"/>
    <w:rsid w:val="00E66F12"/>
    <w:rsid w:val="00E67101"/>
    <w:rsid w:val="00E67B3A"/>
    <w:rsid w:val="00E715AF"/>
    <w:rsid w:val="00E721A9"/>
    <w:rsid w:val="00E74E1D"/>
    <w:rsid w:val="00E75D00"/>
    <w:rsid w:val="00E75F3B"/>
    <w:rsid w:val="00E76648"/>
    <w:rsid w:val="00E77B61"/>
    <w:rsid w:val="00E77E5A"/>
    <w:rsid w:val="00E80A9C"/>
    <w:rsid w:val="00E83193"/>
    <w:rsid w:val="00E83DC4"/>
    <w:rsid w:val="00E86C0D"/>
    <w:rsid w:val="00E87D96"/>
    <w:rsid w:val="00E90168"/>
    <w:rsid w:val="00E90A8F"/>
    <w:rsid w:val="00E90B4B"/>
    <w:rsid w:val="00E91452"/>
    <w:rsid w:val="00E9317F"/>
    <w:rsid w:val="00E93F89"/>
    <w:rsid w:val="00EA2030"/>
    <w:rsid w:val="00EA5D2D"/>
    <w:rsid w:val="00EB0BA5"/>
    <w:rsid w:val="00EB151B"/>
    <w:rsid w:val="00EB3128"/>
    <w:rsid w:val="00EB7F44"/>
    <w:rsid w:val="00EC189B"/>
    <w:rsid w:val="00EC2CC3"/>
    <w:rsid w:val="00EC385B"/>
    <w:rsid w:val="00EC3F6B"/>
    <w:rsid w:val="00EC5C8C"/>
    <w:rsid w:val="00EC7BD8"/>
    <w:rsid w:val="00EC7F67"/>
    <w:rsid w:val="00ED04DC"/>
    <w:rsid w:val="00ED0A07"/>
    <w:rsid w:val="00ED0B50"/>
    <w:rsid w:val="00ED1033"/>
    <w:rsid w:val="00ED3993"/>
    <w:rsid w:val="00ED3CBA"/>
    <w:rsid w:val="00ED4B30"/>
    <w:rsid w:val="00ED4E28"/>
    <w:rsid w:val="00ED5206"/>
    <w:rsid w:val="00ED72C1"/>
    <w:rsid w:val="00ED788C"/>
    <w:rsid w:val="00ED7F0E"/>
    <w:rsid w:val="00EE1CF4"/>
    <w:rsid w:val="00EE2316"/>
    <w:rsid w:val="00EE46FF"/>
    <w:rsid w:val="00EE4709"/>
    <w:rsid w:val="00EE6643"/>
    <w:rsid w:val="00EE71F1"/>
    <w:rsid w:val="00EF051A"/>
    <w:rsid w:val="00EF1336"/>
    <w:rsid w:val="00EF1494"/>
    <w:rsid w:val="00EF1E4E"/>
    <w:rsid w:val="00EF5356"/>
    <w:rsid w:val="00EF5447"/>
    <w:rsid w:val="00EF58A2"/>
    <w:rsid w:val="00EF77D8"/>
    <w:rsid w:val="00F02D75"/>
    <w:rsid w:val="00F06E6E"/>
    <w:rsid w:val="00F11CFC"/>
    <w:rsid w:val="00F21756"/>
    <w:rsid w:val="00F218C8"/>
    <w:rsid w:val="00F22CEC"/>
    <w:rsid w:val="00F2489D"/>
    <w:rsid w:val="00F2502E"/>
    <w:rsid w:val="00F259E5"/>
    <w:rsid w:val="00F2743A"/>
    <w:rsid w:val="00F309E2"/>
    <w:rsid w:val="00F30EB0"/>
    <w:rsid w:val="00F35BA4"/>
    <w:rsid w:val="00F374DD"/>
    <w:rsid w:val="00F37A1F"/>
    <w:rsid w:val="00F40428"/>
    <w:rsid w:val="00F419EF"/>
    <w:rsid w:val="00F448F1"/>
    <w:rsid w:val="00F451D8"/>
    <w:rsid w:val="00F45366"/>
    <w:rsid w:val="00F459EC"/>
    <w:rsid w:val="00F479DE"/>
    <w:rsid w:val="00F50781"/>
    <w:rsid w:val="00F5116C"/>
    <w:rsid w:val="00F51EC5"/>
    <w:rsid w:val="00F53B86"/>
    <w:rsid w:val="00F543FD"/>
    <w:rsid w:val="00F54E71"/>
    <w:rsid w:val="00F556DC"/>
    <w:rsid w:val="00F56B6C"/>
    <w:rsid w:val="00F572C7"/>
    <w:rsid w:val="00F62237"/>
    <w:rsid w:val="00F62DC5"/>
    <w:rsid w:val="00F639C8"/>
    <w:rsid w:val="00F65DD1"/>
    <w:rsid w:val="00F70DB5"/>
    <w:rsid w:val="00F710F9"/>
    <w:rsid w:val="00F74621"/>
    <w:rsid w:val="00F817DE"/>
    <w:rsid w:val="00F85665"/>
    <w:rsid w:val="00F90B52"/>
    <w:rsid w:val="00F91137"/>
    <w:rsid w:val="00F91E50"/>
    <w:rsid w:val="00F91F7C"/>
    <w:rsid w:val="00F9337E"/>
    <w:rsid w:val="00F93958"/>
    <w:rsid w:val="00F94A95"/>
    <w:rsid w:val="00F95B81"/>
    <w:rsid w:val="00F96663"/>
    <w:rsid w:val="00F97224"/>
    <w:rsid w:val="00FA1152"/>
    <w:rsid w:val="00FA186C"/>
    <w:rsid w:val="00FA1B88"/>
    <w:rsid w:val="00FA1CDC"/>
    <w:rsid w:val="00FA1E7F"/>
    <w:rsid w:val="00FA1ED5"/>
    <w:rsid w:val="00FA2D02"/>
    <w:rsid w:val="00FA2F02"/>
    <w:rsid w:val="00FA4D0F"/>
    <w:rsid w:val="00FA7965"/>
    <w:rsid w:val="00FB1155"/>
    <w:rsid w:val="00FB3B21"/>
    <w:rsid w:val="00FB6D3E"/>
    <w:rsid w:val="00FC0788"/>
    <w:rsid w:val="00FC307D"/>
    <w:rsid w:val="00FC4849"/>
    <w:rsid w:val="00FC4A99"/>
    <w:rsid w:val="00FC5334"/>
    <w:rsid w:val="00FC5379"/>
    <w:rsid w:val="00FC5574"/>
    <w:rsid w:val="00FC5729"/>
    <w:rsid w:val="00FC6EA1"/>
    <w:rsid w:val="00FD187A"/>
    <w:rsid w:val="00FD1C08"/>
    <w:rsid w:val="00FD44FC"/>
    <w:rsid w:val="00FD5695"/>
    <w:rsid w:val="00FD7030"/>
    <w:rsid w:val="00FD7B44"/>
    <w:rsid w:val="00FE00EB"/>
    <w:rsid w:val="00FE0E6E"/>
    <w:rsid w:val="00FE3160"/>
    <w:rsid w:val="00FE448D"/>
    <w:rsid w:val="00FE5536"/>
    <w:rsid w:val="00FE76EC"/>
    <w:rsid w:val="00FF0F47"/>
    <w:rsid w:val="00FF11D7"/>
    <w:rsid w:val="00FF1579"/>
    <w:rsid w:val="00FF7D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F9328"/>
  <w15:docId w15:val="{E2BAEBAB-C634-4EAA-A062-034D8B6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7"/>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3"/>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4"/>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2"/>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A06892"/>
    <w:pPr>
      <w:numPr>
        <w:numId w:val="10"/>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9"/>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8"/>
      </w:numPr>
      <w:spacing w:before="260"/>
    </w:pPr>
    <w:rPr>
      <w:rFonts w:cs="Times New Roman"/>
      <w:bCs/>
      <w:iCs/>
      <w:szCs w:val="20"/>
    </w:rPr>
  </w:style>
  <w:style w:type="paragraph" w:customStyle="1" w:styleId="H2ConNoSpace">
    <w:name w:val="H2_Con NoSpace"/>
    <w:rsid w:val="0033583E"/>
    <w:pPr>
      <w:numPr>
        <w:numId w:val="5"/>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6"/>
      </w:numPr>
    </w:pPr>
  </w:style>
  <w:style w:type="paragraph" w:customStyle="1" w:styleId="H2Cont">
    <w:name w:val="H2_Cont"/>
    <w:rsid w:val="007C4B89"/>
    <w:pPr>
      <w:numPr>
        <w:numId w:val="11"/>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12"/>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 w:type="paragraph" w:styleId="Bibliography">
    <w:name w:val="Bibliography"/>
    <w:basedOn w:val="Normal"/>
    <w:next w:val="Normal"/>
    <w:uiPriority w:val="37"/>
    <w:unhideWhenUsed/>
    <w:rsid w:val="00116A7C"/>
    <w:pPr>
      <w:tabs>
        <w:tab w:val="left" w:pos="384"/>
      </w:tabs>
      <w:ind w:left="384" w:hanging="384"/>
    </w:pPr>
  </w:style>
  <w:style w:type="paragraph" w:styleId="ListParagraph">
    <w:name w:val="List Paragraph"/>
    <w:basedOn w:val="Normal"/>
    <w:uiPriority w:val="34"/>
    <w:qFormat/>
    <w:rsid w:val="00174C21"/>
    <w:pPr>
      <w:ind w:left="720"/>
      <w:contextualSpacing/>
    </w:pPr>
    <w:rPr>
      <w:lang w:val="en-GB"/>
    </w:rPr>
  </w:style>
  <w:style w:type="character" w:styleId="PlaceholderText">
    <w:name w:val="Placeholder Text"/>
    <w:basedOn w:val="DefaultParagraphFont"/>
    <w:uiPriority w:val="99"/>
    <w:semiHidden/>
    <w:rsid w:val="00FE448D"/>
    <w:rPr>
      <w:color w:val="666666"/>
    </w:rPr>
  </w:style>
  <w:style w:type="table" w:styleId="TableGrid">
    <w:name w:val="Table Grid"/>
    <w:basedOn w:val="TableNormal"/>
    <w:rsid w:val="00CE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3F48"/>
    <w:rPr>
      <w:color w:val="605E5C"/>
      <w:shd w:val="clear" w:color="auto" w:fill="E1DFDD"/>
    </w:rPr>
  </w:style>
  <w:style w:type="character" w:customStyle="1" w:styleId="FooterChar">
    <w:name w:val="Footer Char"/>
    <w:basedOn w:val="DefaultParagraphFont"/>
    <w:link w:val="Footer"/>
    <w:uiPriority w:val="99"/>
    <w:rsid w:val="001476AB"/>
    <w:rPr>
      <w:sz w:val="24"/>
      <w:szCs w:val="24"/>
      <w:lang w:val="en-US" w:eastAsia="en-US"/>
    </w:rPr>
  </w:style>
  <w:style w:type="paragraph" w:styleId="NormalWeb">
    <w:name w:val="Normal (Web)"/>
    <w:basedOn w:val="Normal"/>
    <w:semiHidden/>
    <w:unhideWhenUsed/>
    <w:rsid w:val="00B7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70663">
      <w:bodyDiv w:val="1"/>
      <w:marLeft w:val="0"/>
      <w:marRight w:val="0"/>
      <w:marTop w:val="0"/>
      <w:marBottom w:val="0"/>
      <w:divBdr>
        <w:top w:val="none" w:sz="0" w:space="0" w:color="auto"/>
        <w:left w:val="none" w:sz="0" w:space="0" w:color="auto"/>
        <w:bottom w:val="none" w:sz="0" w:space="0" w:color="auto"/>
        <w:right w:val="none" w:sz="0" w:space="0" w:color="auto"/>
      </w:divBdr>
    </w:div>
    <w:div w:id="240023007">
      <w:bodyDiv w:val="1"/>
      <w:marLeft w:val="0"/>
      <w:marRight w:val="0"/>
      <w:marTop w:val="0"/>
      <w:marBottom w:val="0"/>
      <w:divBdr>
        <w:top w:val="none" w:sz="0" w:space="0" w:color="auto"/>
        <w:left w:val="none" w:sz="0" w:space="0" w:color="auto"/>
        <w:bottom w:val="none" w:sz="0" w:space="0" w:color="auto"/>
        <w:right w:val="none" w:sz="0" w:space="0" w:color="auto"/>
      </w:divBdr>
    </w:div>
    <w:div w:id="842668607">
      <w:bodyDiv w:val="1"/>
      <w:marLeft w:val="0"/>
      <w:marRight w:val="0"/>
      <w:marTop w:val="0"/>
      <w:marBottom w:val="0"/>
      <w:divBdr>
        <w:top w:val="none" w:sz="0" w:space="0" w:color="auto"/>
        <w:left w:val="none" w:sz="0" w:space="0" w:color="auto"/>
        <w:bottom w:val="none" w:sz="0" w:space="0" w:color="auto"/>
        <w:right w:val="none" w:sz="0" w:space="0" w:color="auto"/>
      </w:divBdr>
    </w:div>
    <w:div w:id="15980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h536@york.ac.uk" TargetMode="Externa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sv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A4D4-BF06-4BA0-A3D8-63287419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11405</Words>
  <Characters>61020</Characters>
  <Application>Microsoft Office Word</Application>
  <DocSecurity>0</DocSecurity>
  <Lines>924</Lines>
  <Paragraphs>234</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72191</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Peter Hughes</cp:lastModifiedBy>
  <cp:revision>4</cp:revision>
  <cp:lastPrinted>2025-06-28T11:17:00Z</cp:lastPrinted>
  <dcterms:created xsi:type="dcterms:W3CDTF">2025-08-18T11:02:00Z</dcterms:created>
  <dcterms:modified xsi:type="dcterms:W3CDTF">2025-08-18T13:15:00Z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id="T5HYuEDy"/&gt;&lt;style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