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1A766F" w14:textId="4BD5F2AE" w:rsidR="00693D27" w:rsidRPr="00DD1EEC" w:rsidRDefault="00F469FB" w:rsidP="008329D6">
      <w:pPr>
        <w:pStyle w:val="BATitle"/>
      </w:pPr>
      <w:r>
        <w:t>A DFT Study</w:t>
      </w:r>
      <w:r w:rsidR="00981043">
        <w:t xml:space="preserve"> </w:t>
      </w:r>
      <w:r w:rsidR="00004357">
        <w:t xml:space="preserve">of the </w:t>
      </w:r>
      <w:r w:rsidR="00981043">
        <w:t>H</w:t>
      </w:r>
      <w:r w:rsidR="005E7931">
        <w:t xml:space="preserve">ydroacylation </w:t>
      </w:r>
      <w:r w:rsidR="00981043">
        <w:t xml:space="preserve">Reaction Catalyzed </w:t>
      </w:r>
      <w:r w:rsidR="005E7931">
        <w:t xml:space="preserve">by </w:t>
      </w:r>
      <w:r w:rsidR="00981043">
        <w:t xml:space="preserve">Rhodium Complexes </w:t>
      </w:r>
      <w:r w:rsidR="005E7931">
        <w:t>with</w:t>
      </w:r>
      <w:r w:rsidR="000A2201">
        <w:t xml:space="preserve"> </w:t>
      </w:r>
      <w:r w:rsidR="00981043">
        <w:t>Small</w:t>
      </w:r>
      <w:r w:rsidR="000A2201">
        <w:t>-</w:t>
      </w:r>
      <w:r w:rsidR="00981043">
        <w:t>Bite</w:t>
      </w:r>
      <w:r w:rsidR="000A2201">
        <w:t>-</w:t>
      </w:r>
      <w:r w:rsidR="00981043">
        <w:t xml:space="preserve">Angle </w:t>
      </w:r>
      <w:proofErr w:type="spellStart"/>
      <w:r w:rsidR="00981043">
        <w:t>Diphosphine</w:t>
      </w:r>
      <w:proofErr w:type="spellEnd"/>
      <w:r w:rsidR="00981043">
        <w:t xml:space="preserve"> Ligands</w:t>
      </w:r>
      <w:r w:rsidR="0066146F">
        <w:t xml:space="preserve">: </w:t>
      </w:r>
      <w:r>
        <w:t>The Crucial Role of</w:t>
      </w:r>
      <w:r w:rsidR="00B80FE6">
        <w:t xml:space="preserve"> External Lewis Base</w:t>
      </w:r>
    </w:p>
    <w:p w14:paraId="127A468A" w14:textId="4EF00BA6" w:rsidR="00CA025C" w:rsidRPr="00CA025C" w:rsidRDefault="00CA025C" w:rsidP="008329D6">
      <w:pPr>
        <w:pStyle w:val="BCAuthorAddress"/>
      </w:pPr>
      <w:r>
        <w:t>Andrew S. Weller</w:t>
      </w:r>
      <w:r w:rsidR="00693D27">
        <w:rPr>
          <w:vertAlign w:val="superscript"/>
        </w:rPr>
        <w:t>§</w:t>
      </w:r>
      <w:r>
        <w:t>, Michael C. Willis</w:t>
      </w:r>
      <w:r w:rsidR="00693D27">
        <w:rPr>
          <w:vertAlign w:val="superscript"/>
        </w:rPr>
        <w:t>‡</w:t>
      </w:r>
      <w:r>
        <w:t>, Libero J. Bartolotti</w:t>
      </w:r>
      <w:r w:rsidR="003E77DD">
        <w:rPr>
          <w:vertAlign w:val="superscript"/>
        </w:rPr>
        <w:t>◊</w:t>
      </w:r>
      <w:r w:rsidRPr="00CA025C">
        <w:t>, Andrew T. Morehead, Jr.</w:t>
      </w:r>
      <w:r w:rsidR="003E77DD">
        <w:rPr>
          <w:vertAlign w:val="superscript"/>
        </w:rPr>
        <w:t>◊</w:t>
      </w:r>
      <w:r w:rsidRPr="00CA025C">
        <w:t>* and Andrew L. Sargent</w:t>
      </w:r>
      <w:r w:rsidR="003E77DD" w:rsidRPr="003E77DD">
        <w:rPr>
          <w:vertAlign w:val="superscript"/>
        </w:rPr>
        <w:t>◊</w:t>
      </w:r>
      <w:r w:rsidRPr="00CA025C">
        <w:t>*</w:t>
      </w:r>
    </w:p>
    <w:p w14:paraId="78677555" w14:textId="77777777" w:rsidR="00CA025C" w:rsidRDefault="00CA025C" w:rsidP="008329D6">
      <w:pPr>
        <w:pStyle w:val="BCAuthorAddress"/>
      </w:pPr>
    </w:p>
    <w:p w14:paraId="38E84856" w14:textId="74627483" w:rsidR="00981043" w:rsidRDefault="00693D27" w:rsidP="008329D6">
      <w:pPr>
        <w:pStyle w:val="BCAuthorAddress"/>
      </w:pPr>
      <w:r w:rsidRPr="00693D27">
        <w:t>§</w:t>
      </w:r>
      <w:r>
        <w:t xml:space="preserve"> </w:t>
      </w:r>
      <w:r w:rsidRPr="00693D27">
        <w:t xml:space="preserve">Department of Chemistry, </w:t>
      </w:r>
      <w:r w:rsidR="008329D6">
        <w:t>University of York, Heslington, York, YO10 5DD</w:t>
      </w:r>
      <w:r w:rsidR="00981043">
        <w:t xml:space="preserve"> (UK)</w:t>
      </w:r>
    </w:p>
    <w:p w14:paraId="39CAE5AF" w14:textId="65DBFCEB" w:rsidR="00981043" w:rsidRDefault="00693D27" w:rsidP="008329D6">
      <w:pPr>
        <w:pStyle w:val="BCAuthorAddress"/>
      </w:pPr>
      <w:r>
        <w:t xml:space="preserve">‡ </w:t>
      </w:r>
      <w:r w:rsidRPr="00693D27">
        <w:t>Department of Chemistry, University of Oxford</w:t>
      </w:r>
      <w:r>
        <w:t xml:space="preserve">, </w:t>
      </w:r>
      <w:r w:rsidR="00E52B75">
        <w:t>Mansfield Road</w:t>
      </w:r>
      <w:r w:rsidRPr="00693D27">
        <w:t>, Oxford, OX1 3</w:t>
      </w:r>
      <w:r w:rsidR="00E52B75">
        <w:t>TA</w:t>
      </w:r>
      <w:r w:rsidRPr="00693D27">
        <w:t xml:space="preserve"> (UK)</w:t>
      </w:r>
      <w:r>
        <w:t xml:space="preserve"> </w:t>
      </w:r>
    </w:p>
    <w:p w14:paraId="60C6DE94" w14:textId="34683774" w:rsidR="00CA025C" w:rsidRPr="007166E7" w:rsidRDefault="003E77DD" w:rsidP="008329D6">
      <w:pPr>
        <w:pStyle w:val="BCAuthorAddress"/>
      </w:pPr>
      <w:r>
        <w:t xml:space="preserve">◊ </w:t>
      </w:r>
      <w:r w:rsidR="00CA025C" w:rsidRPr="007166E7">
        <w:t>Department of Chemistry, East Carolina University, Greenville, NC 27858</w:t>
      </w:r>
      <w:r w:rsidR="00981043">
        <w:t xml:space="preserve"> </w:t>
      </w:r>
    </w:p>
    <w:p w14:paraId="7946FC9D" w14:textId="77777777" w:rsidR="00693D27" w:rsidRDefault="00693D27" w:rsidP="00693D27">
      <w:pPr>
        <w:pStyle w:val="BGKeywords"/>
      </w:pPr>
    </w:p>
    <w:p w14:paraId="3B6F2939" w14:textId="77777777" w:rsidR="0044112A" w:rsidRDefault="0044112A" w:rsidP="00B42906">
      <w:pPr>
        <w:pStyle w:val="BDAbstract"/>
        <w:rPr>
          <w:rStyle w:val="BDAbstractTitleChar"/>
        </w:rPr>
        <w:sectPr w:rsidR="0044112A" w:rsidSect="00D30160">
          <w:headerReference w:type="default" r:id="rId11"/>
          <w:footerReference w:type="even" r:id="rId12"/>
          <w:footerReference w:type="default" r:id="rId13"/>
          <w:footnotePr>
            <w:pos w:val="beneathText"/>
          </w:footnotePr>
          <w:endnotePr>
            <w:numFmt w:val="decimal"/>
          </w:endnotePr>
          <w:pgSz w:w="12240" w:h="15840"/>
          <w:pgMar w:top="720" w:right="1094" w:bottom="950" w:left="1094" w:header="720" w:footer="720" w:gutter="0"/>
          <w:cols w:space="461"/>
        </w:sectPr>
      </w:pPr>
    </w:p>
    <w:p w14:paraId="4E1096AC" w14:textId="63316248" w:rsidR="00693D27" w:rsidRPr="00BE533F" w:rsidRDefault="005B7DD9" w:rsidP="00B42906">
      <w:pPr>
        <w:pStyle w:val="BDAbstract"/>
      </w:pPr>
      <w:r w:rsidRPr="006532A9">
        <w:rPr>
          <w:rStyle w:val="BDAbstractTitleChar"/>
        </w:rPr>
        <w:t>ABSTRACT:</w:t>
      </w:r>
      <w:r w:rsidR="009E76D1">
        <w:t xml:space="preserve"> </w:t>
      </w:r>
      <w:r w:rsidR="00981043">
        <w:t>H</w:t>
      </w:r>
      <w:r w:rsidR="009E76D1">
        <w:t>ydroacylation catalysts</w:t>
      </w:r>
      <w:r w:rsidR="00EE08AF">
        <w:t xml:space="preserve"> have been previously reported [Weller, Willis et al.</w:t>
      </w:r>
      <w:r w:rsidR="00EE08AF" w:rsidRPr="00EE08AF">
        <w:rPr>
          <w:i/>
          <w:iCs/>
        </w:rPr>
        <w:t xml:space="preserve"> </w:t>
      </w:r>
      <w:r w:rsidR="00EE08AF">
        <w:rPr>
          <w:i/>
          <w:iCs/>
        </w:rPr>
        <w:t xml:space="preserve">J. Am. Chem. Soc. </w:t>
      </w:r>
      <w:r w:rsidR="00EE08AF">
        <w:rPr>
          <w:b/>
          <w:bCs/>
        </w:rPr>
        <w:t>2012</w:t>
      </w:r>
      <w:r w:rsidR="00EE08AF">
        <w:t xml:space="preserve">, </w:t>
      </w:r>
      <w:r w:rsidR="00EE08AF">
        <w:rPr>
          <w:i/>
          <w:iCs/>
        </w:rPr>
        <w:t>134</w:t>
      </w:r>
      <w:r w:rsidR="00EE08AF">
        <w:t>, 4885-4897]</w:t>
      </w:r>
      <w:r w:rsidR="00981043">
        <w:t xml:space="preserve"> that couple an alkene and a </w:t>
      </w:r>
      <w:r w:rsidR="00981043" w:rsidRPr="00B9769E">
        <w:rPr>
          <w:rFonts w:ascii="Symbol" w:hAnsi="Symbol"/>
        </w:rPr>
        <w:t>b</w:t>
      </w:r>
      <w:r w:rsidR="00981043">
        <w:t>-thioether aldehyde</w:t>
      </w:r>
      <w:r w:rsidR="00B03253">
        <w:t xml:space="preserve"> </w:t>
      </w:r>
      <w:r w:rsidR="00FC0F24">
        <w:t>using</w:t>
      </w:r>
      <w:r w:rsidR="002A4C24">
        <w:t xml:space="preserve"> </w:t>
      </w:r>
      <w:r w:rsidR="009E76D1">
        <w:t xml:space="preserve">cationic </w:t>
      </w:r>
      <w:r w:rsidR="009E76D1">
        <w:rPr>
          <w:rFonts w:hint="eastAsia"/>
        </w:rPr>
        <w:t>rhodium</w:t>
      </w:r>
      <w:r w:rsidR="009E76D1">
        <w:t xml:space="preserve">(I) </w:t>
      </w:r>
      <w:r w:rsidR="00EE08AF">
        <w:t>c</w:t>
      </w:r>
      <w:r w:rsidR="00FC0F24">
        <w:t>atalyst</w:t>
      </w:r>
      <w:r w:rsidR="00EE08AF">
        <w:t xml:space="preserve">s with </w:t>
      </w:r>
      <w:r w:rsidR="009E76D1">
        <w:t>small bite</w:t>
      </w:r>
      <w:r w:rsidR="00EE08AF">
        <w:t>-</w:t>
      </w:r>
      <w:r w:rsidR="009E76D1">
        <w:t xml:space="preserve">angle </w:t>
      </w:r>
      <w:proofErr w:type="spellStart"/>
      <w:r w:rsidR="009E76D1">
        <w:t>diphosphine</w:t>
      </w:r>
      <w:proofErr w:type="spellEnd"/>
      <w:r w:rsidR="009E76D1">
        <w:t xml:space="preserve"> ligands. The high</w:t>
      </w:r>
      <w:r w:rsidR="008F6E9E">
        <w:t>er</w:t>
      </w:r>
      <w:r w:rsidR="009E76D1">
        <w:t xml:space="preserve"> catalytic activity </w:t>
      </w:r>
      <w:r w:rsidR="00981043">
        <w:t xml:space="preserve">was </w:t>
      </w:r>
      <w:r w:rsidR="009E76D1">
        <w:t>attributed to the facilitation of reductive elimination</w:t>
      </w:r>
      <w:r w:rsidR="00981043">
        <w:t xml:space="preserve"> of the </w:t>
      </w:r>
      <w:r w:rsidR="00EE08AF">
        <w:t xml:space="preserve">final </w:t>
      </w:r>
      <w:r w:rsidR="00981043">
        <w:t>product</w:t>
      </w:r>
      <w:r w:rsidR="009E76D1">
        <w:t xml:space="preserve"> in the catalytic cycle, </w:t>
      </w:r>
      <w:r w:rsidR="00EE08AF">
        <w:t xml:space="preserve">while </w:t>
      </w:r>
      <w:r w:rsidR="009E76D1">
        <w:t>external Lewis bases</w:t>
      </w:r>
      <w:r w:rsidR="00EE08AF">
        <w:t>,</w:t>
      </w:r>
      <w:r w:rsidR="009E76D1">
        <w:t xml:space="preserve"> in</w:t>
      </w:r>
      <w:r w:rsidR="00BC0CCB">
        <w:t xml:space="preserve">cluding </w:t>
      </w:r>
      <w:r w:rsidR="00ED574B">
        <w:t>solvent (a</w:t>
      </w:r>
      <w:r w:rsidR="009E76D1">
        <w:t>cetone and acetonitrile</w:t>
      </w:r>
      <w:r w:rsidR="00AB6C26">
        <w:t>)</w:t>
      </w:r>
      <w:r w:rsidR="00EE08AF">
        <w:t>,</w:t>
      </w:r>
      <w:r w:rsidR="009E76D1">
        <w:t xml:space="preserve"> were found to have a protective </w:t>
      </w:r>
      <w:r w:rsidR="009E76D1" w:rsidRPr="00135C3D">
        <w:rPr>
          <w:color w:val="000000" w:themeColor="text1"/>
        </w:rPr>
        <w:t>effect</w:t>
      </w:r>
      <w:r w:rsidR="00135C3D">
        <w:rPr>
          <w:color w:val="000000" w:themeColor="text1"/>
        </w:rPr>
        <w:t xml:space="preserve"> against catalyst deactivation. </w:t>
      </w:r>
      <w:r w:rsidR="009E76D1" w:rsidRPr="00135C3D">
        <w:rPr>
          <w:color w:val="000000" w:themeColor="text1"/>
        </w:rPr>
        <w:t>In</w:t>
      </w:r>
      <w:r w:rsidR="009E76D1">
        <w:t xml:space="preserve"> this </w:t>
      </w:r>
      <w:r w:rsidR="00A45BED">
        <w:t>contribution</w:t>
      </w:r>
      <w:r w:rsidR="009E76D1">
        <w:t>, the relative energetics of the</w:t>
      </w:r>
      <w:r w:rsidR="00EE08AF">
        <w:t>se</w:t>
      </w:r>
      <w:r w:rsidR="009E76D1">
        <w:t xml:space="preserve"> process are examined computationally, and a unique role for the external Lewis base is </w:t>
      </w:r>
      <w:r w:rsidR="00615D33">
        <w:t xml:space="preserve">discovered in </w:t>
      </w:r>
      <w:r w:rsidR="00615D33">
        <w:rPr>
          <w:rFonts w:hint="eastAsia"/>
        </w:rPr>
        <w:t>which</w:t>
      </w:r>
      <w:r w:rsidR="00615D33">
        <w:t xml:space="preserve"> the base intercepts a critical inter</w:t>
      </w:r>
      <w:r w:rsidR="004F340B">
        <w:t xml:space="preserve">mediate in a pathway leading to catalyst </w:t>
      </w:r>
      <w:r w:rsidR="00EE08AF">
        <w:t xml:space="preserve">deactivation </w:t>
      </w:r>
      <w:r w:rsidR="004F340B">
        <w:t>and redirects the reaction to productive hydroacylation</w:t>
      </w:r>
      <w:r w:rsidR="009E76D1">
        <w:t>.</w:t>
      </w:r>
    </w:p>
    <w:p w14:paraId="23DB3FE7" w14:textId="77777777" w:rsidR="0044112A" w:rsidRDefault="0044112A" w:rsidP="008E40E5">
      <w:pPr>
        <w:pStyle w:val="TAMainText"/>
      </w:pPr>
    </w:p>
    <w:p w14:paraId="625BFDF4" w14:textId="77777777" w:rsidR="00EE08AF" w:rsidRDefault="00EE08AF" w:rsidP="008E40E5">
      <w:pPr>
        <w:pStyle w:val="TAMainText"/>
        <w:sectPr w:rsidR="00EE08AF" w:rsidSect="00D30160">
          <w:footnotePr>
            <w:pos w:val="beneathText"/>
          </w:footnotePr>
          <w:endnotePr>
            <w:numFmt w:val="decimal"/>
          </w:endnotePr>
          <w:type w:val="continuous"/>
          <w:pgSz w:w="12240" w:h="15840"/>
          <w:pgMar w:top="720" w:right="1094" w:bottom="950" w:left="1094" w:header="720" w:footer="720" w:gutter="0"/>
          <w:cols w:space="461"/>
        </w:sectPr>
      </w:pPr>
    </w:p>
    <w:p w14:paraId="2015D4F4" w14:textId="2F6F7804" w:rsidR="00933E5F" w:rsidRPr="00A113BE" w:rsidRDefault="00933E5F" w:rsidP="008E40E5">
      <w:pPr>
        <w:pStyle w:val="TAMainText"/>
        <w:rPr>
          <w:b/>
          <w:bCs/>
        </w:rPr>
      </w:pPr>
      <w:r w:rsidRPr="00A113BE">
        <w:rPr>
          <w:b/>
          <w:bCs/>
        </w:rPr>
        <w:lastRenderedPageBreak/>
        <w:t>Introduction</w:t>
      </w:r>
    </w:p>
    <w:p w14:paraId="6BFBE102" w14:textId="40E72D0E" w:rsidR="00933E5F" w:rsidRDefault="00373ADF" w:rsidP="008E40E5">
      <w:pPr>
        <w:pStyle w:val="TAMainText"/>
      </w:pPr>
      <w:r>
        <w:t>Hydroacylation is the addition of an aldehyde</w:t>
      </w:r>
      <w:r w:rsidR="00BB588A">
        <w:t xml:space="preserve"> C</w:t>
      </w:r>
      <w:r w:rsidR="00A45BED">
        <w:t>–</w:t>
      </w:r>
      <w:r w:rsidR="00BB588A">
        <w:t>H bond</w:t>
      </w:r>
      <w:r>
        <w:t xml:space="preserve"> across a </w:t>
      </w:r>
      <w:r w:rsidR="00A45BED">
        <w:t xml:space="preserve">C–C </w:t>
      </w:r>
      <w:r w:rsidR="00A45BED" w:rsidRPr="00A113BE">
        <w:rPr>
          <w:rFonts w:ascii="Symbol" w:hAnsi="Symbol"/>
        </w:rPr>
        <w:t>p</w:t>
      </w:r>
      <w:r w:rsidR="00A45BED">
        <w:t xml:space="preserve"> </w:t>
      </w:r>
      <w:r>
        <w:t>bond (Equation 1).</w:t>
      </w:r>
      <w:r w:rsidR="00BB588A">
        <w:t xml:space="preserve"> Rhodium com</w:t>
      </w:r>
      <w:r w:rsidR="004B0DC9">
        <w:t xml:space="preserve">plexes are </w:t>
      </w:r>
      <w:r w:rsidR="00BB588A">
        <w:t xml:space="preserve">commonly utilized </w:t>
      </w:r>
      <w:r w:rsidR="004B0DC9">
        <w:t xml:space="preserve">as </w:t>
      </w:r>
      <w:r w:rsidR="00BB588A">
        <w:t>catalysts</w:t>
      </w:r>
      <w:r w:rsidR="00833B14">
        <w:t>, but ruthenium</w:t>
      </w:r>
      <w:r w:rsidR="005B3FE9">
        <w:t xml:space="preserve">, </w:t>
      </w:r>
      <w:r w:rsidR="00833B14">
        <w:t>cobalt</w:t>
      </w:r>
      <w:r w:rsidR="005B3FE9">
        <w:t>, and other metal</w:t>
      </w:r>
      <w:r w:rsidR="00833B14">
        <w:t xml:space="preserve"> catalysis</w:t>
      </w:r>
      <w:r w:rsidR="002E3588">
        <w:t xml:space="preserve"> ha</w:t>
      </w:r>
      <w:r w:rsidR="00557AEB">
        <w:t>ve</w:t>
      </w:r>
      <w:r w:rsidR="002E3588">
        <w:t xml:space="preserve"> also been </w:t>
      </w:r>
      <w:r w:rsidR="00434D9E">
        <w:t>utiliz</w:t>
      </w:r>
      <w:r w:rsidR="002E3588">
        <w:t>ed</w:t>
      </w:r>
      <w:r w:rsidR="00BB588A">
        <w:t>.</w:t>
      </w:r>
      <w:r w:rsidR="00281A63">
        <w:rPr>
          <w:rStyle w:val="EndnoteReference"/>
        </w:rPr>
        <w:endnoteReference w:id="1"/>
      </w:r>
      <w:r w:rsidR="00BB588A">
        <w:t xml:space="preserve"> </w:t>
      </w:r>
      <w:r>
        <w:t>This highly atom economic</w:t>
      </w:r>
      <w:r w:rsidR="00BB588A">
        <w:t xml:space="preserve"> reaction</w:t>
      </w:r>
      <w:r>
        <w:t xml:space="preserve"> </w:t>
      </w:r>
      <w:r w:rsidR="00E31DE3">
        <w:t>is very attractive</w:t>
      </w:r>
      <w:r w:rsidR="001367FC">
        <w:t xml:space="preserve"> due to the wide variety of alkenes</w:t>
      </w:r>
      <w:r w:rsidR="000039B2">
        <w:t xml:space="preserve"> </w:t>
      </w:r>
      <w:r w:rsidR="00981B44">
        <w:t>and</w:t>
      </w:r>
      <w:r w:rsidR="001367FC">
        <w:t xml:space="preserve"> alkynes</w:t>
      </w:r>
      <w:r w:rsidR="00981B44">
        <w:t xml:space="preserve"> that can be paired with</w:t>
      </w:r>
      <w:r w:rsidR="000039B2">
        <w:t xml:space="preserve"> the</w:t>
      </w:r>
      <w:r w:rsidR="00CF7658">
        <w:t xml:space="preserve"> </w:t>
      </w:r>
      <w:r w:rsidR="001367FC">
        <w:t>readily available</w:t>
      </w:r>
      <w:r w:rsidR="00BB588A">
        <w:t xml:space="preserve"> </w:t>
      </w:r>
      <w:r w:rsidR="00CF7658">
        <w:t xml:space="preserve">aldehydes </w:t>
      </w:r>
      <w:r w:rsidR="00BB588A">
        <w:t>as substrates</w:t>
      </w:r>
      <w:r w:rsidR="00CF7658">
        <w:t>,</w:t>
      </w:r>
      <w:r w:rsidR="00334A31">
        <w:t xml:space="preserve"> and the </w:t>
      </w:r>
      <w:r w:rsidR="00747896">
        <w:t>onward</w:t>
      </w:r>
      <w:r w:rsidR="00C61E83">
        <w:t xml:space="preserve"> </w:t>
      </w:r>
      <w:r w:rsidR="00334A31">
        <w:t>utility of the ketone products</w:t>
      </w:r>
      <w:r w:rsidR="001367FC">
        <w:t xml:space="preserve">. For reasons discussed below, the intramolecular </w:t>
      </w:r>
      <w:r w:rsidR="001367FC">
        <w:rPr>
          <w:rFonts w:hint="eastAsia"/>
        </w:rPr>
        <w:t>variant</w:t>
      </w:r>
      <w:r w:rsidR="001367FC">
        <w:t xml:space="preserve"> is more widely utilized, but recent advances have made the intermolecular </w:t>
      </w:r>
      <w:r w:rsidR="001367FC">
        <w:rPr>
          <w:rFonts w:hint="eastAsia"/>
        </w:rPr>
        <w:t xml:space="preserve">version more </w:t>
      </w:r>
      <w:r w:rsidR="00334A31">
        <w:t>accessible</w:t>
      </w:r>
      <w:r w:rsidR="001367FC">
        <w:rPr>
          <w:rFonts w:hint="eastAsia"/>
        </w:rPr>
        <w:t>.</w:t>
      </w:r>
      <w:r w:rsidR="005E294B">
        <w:rPr>
          <w:rStyle w:val="EndnoteReference"/>
        </w:rPr>
        <w:endnoteReference w:id="2"/>
      </w:r>
      <w:r w:rsidR="001367FC">
        <w:rPr>
          <w:rFonts w:hint="eastAsia"/>
        </w:rPr>
        <w:t xml:space="preserve"> The field has been </w:t>
      </w:r>
      <w:r w:rsidR="003376F6">
        <w:t>the subject of multiple</w:t>
      </w:r>
      <w:r w:rsidR="003376F6">
        <w:rPr>
          <w:rFonts w:hint="eastAsia"/>
        </w:rPr>
        <w:t xml:space="preserve"> </w:t>
      </w:r>
      <w:r w:rsidR="001367FC">
        <w:rPr>
          <w:rFonts w:hint="eastAsia"/>
        </w:rPr>
        <w:t>review</w:t>
      </w:r>
      <w:r w:rsidR="003376F6">
        <w:t>s</w:t>
      </w:r>
      <w:r w:rsidR="001367FC">
        <w:rPr>
          <w:rFonts w:hint="eastAsia"/>
        </w:rPr>
        <w:t>.</w:t>
      </w:r>
      <w:r w:rsidR="006C51C7">
        <w:rPr>
          <w:rStyle w:val="EndnoteReference"/>
        </w:rPr>
        <w:endnoteReference w:id="3"/>
      </w:r>
    </w:p>
    <w:p w14:paraId="68F793FD" w14:textId="0A2CCB22" w:rsidR="00BB588A" w:rsidRDefault="00BB588A" w:rsidP="008E40E5">
      <w:pPr>
        <w:pStyle w:val="TAMainText"/>
      </w:pPr>
    </w:p>
    <w:p w14:paraId="3BA02F44" w14:textId="0DA93EB5" w:rsidR="001367FC" w:rsidRDefault="00BB588A" w:rsidP="008E40E5">
      <w:pPr>
        <w:pStyle w:val="TAMainText"/>
      </w:pPr>
      <w:r>
        <w:rPr>
          <w:noProof/>
          <w:lang w:eastAsia="zh-CN"/>
        </w:rPr>
        <w:drawing>
          <wp:inline distT="0" distB="0" distL="0" distR="0" wp14:anchorId="260927AD" wp14:editId="60A65AD5">
            <wp:extent cx="2828925" cy="323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28925" cy="323850"/>
                    </a:xfrm>
                    <a:prstGeom prst="rect">
                      <a:avLst/>
                    </a:prstGeom>
                    <a:noFill/>
                    <a:ln>
                      <a:noFill/>
                    </a:ln>
                  </pic:spPr>
                </pic:pic>
              </a:graphicData>
            </a:graphic>
          </wp:inline>
        </w:drawing>
      </w:r>
    </w:p>
    <w:p w14:paraId="7CF53F5A" w14:textId="2584B357" w:rsidR="00BB588A" w:rsidRDefault="00BB588A" w:rsidP="008E40E5">
      <w:pPr>
        <w:pStyle w:val="TAMainText"/>
      </w:pPr>
    </w:p>
    <w:p w14:paraId="7111D41D" w14:textId="004C6A20" w:rsidR="0044112A" w:rsidRDefault="004F6530" w:rsidP="008E40E5">
      <w:pPr>
        <w:pStyle w:val="TAMainText"/>
      </w:pPr>
      <w:r>
        <w:t xml:space="preserve">The </w:t>
      </w:r>
      <w:r w:rsidR="00506F5E">
        <w:t xml:space="preserve">accepted </w:t>
      </w:r>
      <w:r>
        <w:t xml:space="preserve">mechanism of </w:t>
      </w:r>
      <w:r w:rsidR="009853A9">
        <w:t xml:space="preserve">traditional </w:t>
      </w:r>
      <w:r>
        <w:t xml:space="preserve">hydroacylation reactions </w:t>
      </w:r>
      <w:r w:rsidR="003041B3" w:rsidRPr="003041B3">
        <w:t>can be telescoped to three fundamental reaction steps that involve bond breaking/making at the metal cent</w:t>
      </w:r>
      <w:r w:rsidR="00AC5100">
        <w:t xml:space="preserve">er </w:t>
      </w:r>
      <w:r>
        <w:t xml:space="preserve">(and one or more </w:t>
      </w:r>
      <w:r w:rsidR="00C54345">
        <w:t>association</w:t>
      </w:r>
      <w:r>
        <w:t>/dissociation steps). Th</w:t>
      </w:r>
      <w:r w:rsidR="00BD36DB">
        <w:t>at</w:t>
      </w:r>
      <w:r>
        <w:t xml:space="preserve"> </w:t>
      </w:r>
      <w:r w:rsidR="00150FE1">
        <w:t xml:space="preserve">simplified </w:t>
      </w:r>
      <w:r>
        <w:t>ca</w:t>
      </w:r>
      <w:r w:rsidR="00CE7DAB">
        <w:t>talytic cycle is shown in Scheme</w:t>
      </w:r>
      <w:r>
        <w:t xml:space="preserve"> 1 below.</w:t>
      </w:r>
    </w:p>
    <w:p w14:paraId="1910F606" w14:textId="6B01D14F" w:rsidR="00CA1EFD" w:rsidRDefault="00CA1EFD" w:rsidP="008E40E5">
      <w:pPr>
        <w:pStyle w:val="TAMainText"/>
      </w:pPr>
    </w:p>
    <w:p w14:paraId="727854F5" w14:textId="0E900A18" w:rsidR="00CE7DAB" w:rsidRDefault="00CE7DAB" w:rsidP="00C309AB">
      <w:pPr>
        <w:pStyle w:val="VCSchemeTitle"/>
      </w:pPr>
      <w:r>
        <w:t xml:space="preserve">Scheme 1: General mechanism for </w:t>
      </w:r>
      <w:r w:rsidR="00414C54">
        <w:t>r</w:t>
      </w:r>
      <w:r>
        <w:t>hodium-catalyzed hydroacylation</w:t>
      </w:r>
      <w:r w:rsidR="00A45BED">
        <w:t xml:space="preserve"> using a cationic Rh-</w:t>
      </w:r>
      <w:proofErr w:type="spellStart"/>
      <w:r w:rsidR="00A45BED">
        <w:t>precatalyst</w:t>
      </w:r>
      <w:proofErr w:type="spellEnd"/>
    </w:p>
    <w:p w14:paraId="405ECB7B" w14:textId="4060A3B4" w:rsidR="00CE7DAB" w:rsidRDefault="00E452A1" w:rsidP="008E40E5">
      <w:pPr>
        <w:pStyle w:val="TAMainText"/>
      </w:pPr>
      <w:r w:rsidRPr="00E452A1">
        <w:rPr>
          <w:noProof/>
        </w:rPr>
        <w:drawing>
          <wp:inline distT="0" distB="0" distL="0" distR="0" wp14:anchorId="56750DE6" wp14:editId="162EA1EC">
            <wp:extent cx="2613306" cy="1645920"/>
            <wp:effectExtent l="0" t="0" r="3175" b="5080"/>
            <wp:docPr id="732816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16747" name=""/>
                    <pic:cNvPicPr/>
                  </pic:nvPicPr>
                  <pic:blipFill>
                    <a:blip r:embed="rId15"/>
                    <a:stretch>
                      <a:fillRect/>
                    </a:stretch>
                  </pic:blipFill>
                  <pic:spPr>
                    <a:xfrm>
                      <a:off x="0" y="0"/>
                      <a:ext cx="2613306" cy="1645920"/>
                    </a:xfrm>
                    <a:prstGeom prst="rect">
                      <a:avLst/>
                    </a:prstGeom>
                  </pic:spPr>
                </pic:pic>
              </a:graphicData>
            </a:graphic>
          </wp:inline>
        </w:drawing>
      </w:r>
    </w:p>
    <w:p w14:paraId="509E3DA9" w14:textId="26C84239" w:rsidR="00CA1EFD" w:rsidRPr="00CA1EFD" w:rsidRDefault="00FD19F1" w:rsidP="008E40E5">
      <w:pPr>
        <w:pStyle w:val="TAMainText"/>
      </w:pPr>
      <w:r>
        <w:rPr>
          <w:noProof/>
          <w:lang w:eastAsia="zh-CN"/>
        </w:rPr>
        <mc:AlternateContent>
          <mc:Choice Requires="wps">
            <w:drawing>
              <wp:anchor distT="0" distB="0" distL="114300" distR="114300" simplePos="0" relativeHeight="251685888" behindDoc="0" locked="0" layoutInCell="1" allowOverlap="1" wp14:anchorId="6BA1455E" wp14:editId="24EF1DFD">
                <wp:simplePos x="0" y="0"/>
                <wp:positionH relativeFrom="column">
                  <wp:posOffset>0</wp:posOffset>
                </wp:positionH>
                <wp:positionV relativeFrom="paragraph">
                  <wp:posOffset>24765</wp:posOffset>
                </wp:positionV>
                <wp:extent cx="3090334" cy="8044"/>
                <wp:effectExtent l="50800" t="25400" r="85090" b="93980"/>
                <wp:wrapNone/>
                <wp:docPr id="21" name="Straight Connector 21"/>
                <wp:cNvGraphicFramePr/>
                <a:graphic xmlns:a="http://schemas.openxmlformats.org/drawingml/2006/main">
                  <a:graphicData uri="http://schemas.microsoft.com/office/word/2010/wordprocessingShape">
                    <wps:wsp>
                      <wps:cNvCnPr/>
                      <wps:spPr>
                        <a:xfrm flipV="1">
                          <a:off x="0" y="0"/>
                          <a:ext cx="3090334" cy="804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D34CCC6">
              <v:line id="Straight Connector 21"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0,1.95pt" to="243.35pt,2.6pt" w14:anchorId="482664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">
                <v:shadow on="t" color="black" opacity="24903f" offset="0,.55556mm" origin=",.5"/>
              </v:line>
            </w:pict>
          </mc:Fallback>
        </mc:AlternateContent>
      </w:r>
    </w:p>
    <w:p w14:paraId="1F7638A7" w14:textId="3FEDC191" w:rsidR="006D55C5" w:rsidRPr="008C63BA" w:rsidRDefault="00235852" w:rsidP="008E40E5">
      <w:pPr>
        <w:pStyle w:val="TAMainText"/>
      </w:pPr>
      <w:r>
        <w:t>In the first step</w:t>
      </w:r>
      <w:r w:rsidR="002A4435">
        <w:t xml:space="preserve">, </w:t>
      </w:r>
      <w:r>
        <w:t xml:space="preserve">which typically begins with </w:t>
      </w:r>
      <w:r w:rsidR="006A5CF7" w:rsidRPr="006A5CF7">
        <w:t xml:space="preserve">a pre-equilibrium of </w:t>
      </w:r>
      <w:r w:rsidR="006A5CF7" w:rsidRPr="00B03253">
        <w:rPr>
          <w:rFonts w:ascii="Symbol" w:hAnsi="Symbol"/>
        </w:rPr>
        <w:t>h</w:t>
      </w:r>
      <w:r w:rsidR="006A5CF7" w:rsidRPr="00B03253">
        <w:rPr>
          <w:vertAlign w:val="superscript"/>
        </w:rPr>
        <w:t>1</w:t>
      </w:r>
      <w:r w:rsidR="006A5CF7" w:rsidRPr="006A5CF7">
        <w:t>-O coordination prior to oxidative cleavage</w:t>
      </w:r>
      <w:r w:rsidR="00BF780C">
        <w:t xml:space="preserve"> </w:t>
      </w:r>
      <w:r>
        <w:t>of the aldehyde C</w:t>
      </w:r>
      <w:r w:rsidR="00A45BED">
        <w:t>–</w:t>
      </w:r>
      <w:r>
        <w:t>H bond</w:t>
      </w:r>
      <w:r w:rsidR="002A4435">
        <w:t>,</w:t>
      </w:r>
      <w:r>
        <w:t xml:space="preserve"> generates </w:t>
      </w:r>
      <w:r w:rsidR="000E3FD7">
        <w:t xml:space="preserve">the rhodium-acyl-hydride complex </w:t>
      </w:r>
      <w:r w:rsidR="000E3FD7" w:rsidRPr="00A113BE">
        <w:rPr>
          <w:b/>
          <w:bCs/>
        </w:rPr>
        <w:t>B</w:t>
      </w:r>
      <w:r w:rsidR="006D55C5">
        <w:t>. A</w:t>
      </w:r>
      <w:r w:rsidR="00A161AF">
        <w:t xml:space="preserve">lkene/alkyne </w:t>
      </w:r>
      <w:r w:rsidR="00D17155">
        <w:t xml:space="preserve">association </w:t>
      </w:r>
      <w:r w:rsidR="006D55C5">
        <w:t xml:space="preserve">to </w:t>
      </w:r>
      <w:r w:rsidR="006D55C5" w:rsidRPr="00A113BE">
        <w:rPr>
          <w:b/>
          <w:bCs/>
        </w:rPr>
        <w:t>B</w:t>
      </w:r>
      <w:r w:rsidR="000E3FD7">
        <w:t xml:space="preserve"> results in </w:t>
      </w:r>
      <w:r w:rsidR="000E3FD7" w:rsidRPr="00A113BE">
        <w:rPr>
          <w:b/>
          <w:bCs/>
        </w:rPr>
        <w:t>C</w:t>
      </w:r>
      <w:r w:rsidR="000E3FD7">
        <w:t xml:space="preserve">, and insertion of the alkene or alkyne into the hydride generates </w:t>
      </w:r>
      <w:r w:rsidR="000E3FD7" w:rsidRPr="00A113BE">
        <w:rPr>
          <w:b/>
          <w:bCs/>
        </w:rPr>
        <w:t>D</w:t>
      </w:r>
      <w:r w:rsidR="000E3FD7">
        <w:t xml:space="preserve">. Reductive elimination of </w:t>
      </w:r>
      <w:r w:rsidR="000E3FD7" w:rsidRPr="00A113BE">
        <w:rPr>
          <w:b/>
          <w:bCs/>
        </w:rPr>
        <w:t>D</w:t>
      </w:r>
      <w:r w:rsidR="000E3FD7">
        <w:t xml:space="preserve"> gives the product</w:t>
      </w:r>
      <w:r w:rsidR="00A161AF">
        <w:t xml:space="preserve"> ketone</w:t>
      </w:r>
      <w:r w:rsidR="000E3FD7">
        <w:t xml:space="preserve"> and regenerates the catalyst complex </w:t>
      </w:r>
      <w:r w:rsidR="000E3FD7" w:rsidRPr="00A113BE">
        <w:rPr>
          <w:b/>
          <w:bCs/>
        </w:rPr>
        <w:t>A</w:t>
      </w:r>
      <w:r w:rsidR="000E3FD7">
        <w:t>.</w:t>
      </w:r>
      <w:r w:rsidR="008C63BA">
        <w:t xml:space="preserve"> The major competing pathway is decar</w:t>
      </w:r>
      <w:r w:rsidR="00C366BB">
        <w:t>bonylation (</w:t>
      </w:r>
      <w:r w:rsidR="008C63BA">
        <w:t xml:space="preserve">deinsertion of the carbonyl) to generate </w:t>
      </w:r>
      <w:r w:rsidR="00A45BED">
        <w:t xml:space="preserve">an </w:t>
      </w:r>
      <w:proofErr w:type="spellStart"/>
      <w:r w:rsidR="00A45BED">
        <w:t>hydrido</w:t>
      </w:r>
      <w:proofErr w:type="spellEnd"/>
      <w:r w:rsidR="00A45BED">
        <w:t xml:space="preserve"> alkyl carbonyl </w:t>
      </w:r>
      <w:r w:rsidR="008C63BA" w:rsidRPr="00A113BE">
        <w:rPr>
          <w:b/>
          <w:bCs/>
        </w:rPr>
        <w:t>E</w:t>
      </w:r>
      <w:r w:rsidR="008C63BA">
        <w:t xml:space="preserve">, which can </w:t>
      </w:r>
      <w:r w:rsidR="00A45BED">
        <w:t>the</w:t>
      </w:r>
      <w:r w:rsidR="00684321">
        <w:t>n</w:t>
      </w:r>
      <w:r w:rsidR="00A45BED">
        <w:t xml:space="preserve"> irreversibly </w:t>
      </w:r>
      <w:r w:rsidR="008C63BA">
        <w:t xml:space="preserve">reductively eliminate and generate the complex </w:t>
      </w:r>
      <w:r w:rsidR="008C63BA" w:rsidRPr="00A113BE">
        <w:rPr>
          <w:b/>
          <w:bCs/>
        </w:rPr>
        <w:t>F</w:t>
      </w:r>
      <w:r w:rsidR="00A45BED">
        <w:t xml:space="preserve">, </w:t>
      </w:r>
      <w:r w:rsidR="008C63BA">
        <w:t xml:space="preserve">resulting in catalyst </w:t>
      </w:r>
      <w:r w:rsidR="00A45BED">
        <w:t>decomposition to an inactive species</w:t>
      </w:r>
      <w:r w:rsidR="008C63BA">
        <w:t>.</w:t>
      </w:r>
      <w:r w:rsidR="00741C49">
        <w:t xml:space="preserve"> </w:t>
      </w:r>
      <w:r w:rsidR="00C366BB">
        <w:t>Clearly,</w:t>
      </w:r>
      <w:r w:rsidR="00106B14">
        <w:t xml:space="preserve"> with all the steps but the </w:t>
      </w:r>
      <w:r w:rsidR="00124D1D">
        <w:t>reductive eliminations being</w:t>
      </w:r>
      <w:r w:rsidR="00106B14">
        <w:t xml:space="preserve"> reversible,</w:t>
      </w:r>
      <w:r w:rsidR="00C366BB">
        <w:t xml:space="preserve"> the relative rates of </w:t>
      </w:r>
      <w:r w:rsidR="00300B61">
        <w:t>the</w:t>
      </w:r>
      <w:r w:rsidR="00EE2958">
        <w:t xml:space="preserve"> oxidative cleavage, a</w:t>
      </w:r>
      <w:r w:rsidR="00C366BB">
        <w:t xml:space="preserve">lkene </w:t>
      </w:r>
      <w:r w:rsidR="00E856D7">
        <w:t>association</w:t>
      </w:r>
      <w:r w:rsidR="00106B14">
        <w:t>,</w:t>
      </w:r>
      <w:r w:rsidR="00C63C0E">
        <w:t xml:space="preserve"> </w:t>
      </w:r>
      <w:r w:rsidR="00C366BB">
        <w:t>carbonyl deinsertion</w:t>
      </w:r>
      <w:r w:rsidR="00106B14">
        <w:t>,</w:t>
      </w:r>
      <w:r w:rsidR="00C366BB">
        <w:t xml:space="preserve"> and </w:t>
      </w:r>
      <w:r w:rsidR="00430071">
        <w:t xml:space="preserve">the </w:t>
      </w:r>
      <w:r w:rsidR="00430071">
        <w:t xml:space="preserve">final </w:t>
      </w:r>
      <w:r w:rsidR="005F43F5">
        <w:t xml:space="preserve">irreversible </w:t>
      </w:r>
      <w:r w:rsidR="00C366BB">
        <w:t>reductive elimination</w:t>
      </w:r>
      <w:r w:rsidR="00D5448D">
        <w:t>s</w:t>
      </w:r>
      <w:r w:rsidR="00C366BB">
        <w:t xml:space="preserve"> determine the </w:t>
      </w:r>
      <w:r w:rsidR="00D5448D">
        <w:t>p</w:t>
      </w:r>
      <w:r w:rsidR="00171C76">
        <w:t>a</w:t>
      </w:r>
      <w:r w:rsidR="00D5448D">
        <w:t>rt</w:t>
      </w:r>
      <w:r w:rsidR="006A6181">
        <w:t>it</w:t>
      </w:r>
      <w:r w:rsidR="00D5448D">
        <w:t xml:space="preserve">ioning of </w:t>
      </w:r>
      <w:r w:rsidR="00C366BB">
        <w:t>the reaction</w:t>
      </w:r>
      <w:r w:rsidR="00D5448D">
        <w:t xml:space="preserve"> between the desired </w:t>
      </w:r>
      <w:r w:rsidR="00171C76">
        <w:t>productive hydroacylation reaction and the catalyst inactivation that results from the decarbonylation pathway</w:t>
      </w:r>
      <w:r w:rsidR="00C366BB">
        <w:t xml:space="preserve">. </w:t>
      </w:r>
      <w:r w:rsidR="00716896">
        <w:rPr>
          <w:rFonts w:hint="eastAsia"/>
        </w:rPr>
        <w:t>Various strategies have been introduced that favor hydroacylation over decarbonylation and are discussed below.</w:t>
      </w:r>
    </w:p>
    <w:p w14:paraId="3C6CC6F4" w14:textId="3B316B65" w:rsidR="00C65BD7" w:rsidRDefault="00030263" w:rsidP="008E40E5">
      <w:pPr>
        <w:pStyle w:val="TAMainText"/>
      </w:pPr>
      <w:r>
        <w:t xml:space="preserve">The first </w:t>
      </w:r>
      <w:r w:rsidR="0073299B">
        <w:t xml:space="preserve">widely used </w:t>
      </w:r>
      <w:r w:rsidR="008063C4">
        <w:t xml:space="preserve">intramolecular </w:t>
      </w:r>
      <w:r w:rsidR="0073299B">
        <w:t xml:space="preserve">HA catalyst system </w:t>
      </w:r>
      <w:r w:rsidR="005D6BB0">
        <w:t>was introduced</w:t>
      </w:r>
      <w:r w:rsidR="00C770BA">
        <w:t xml:space="preserve"> by Bosnich </w:t>
      </w:r>
      <w:r w:rsidR="005D6BB0">
        <w:t>using</w:t>
      </w:r>
      <w:r>
        <w:t xml:space="preserve"> cation</w:t>
      </w:r>
      <w:r w:rsidR="00C770BA">
        <w:t>ic</w:t>
      </w:r>
      <w:r>
        <w:t xml:space="preserve"> rhodium(I) </w:t>
      </w:r>
      <w:r w:rsidR="00C770BA">
        <w:t xml:space="preserve">complexes with chelating </w:t>
      </w:r>
      <w:proofErr w:type="spellStart"/>
      <w:r w:rsidR="00C770BA">
        <w:t>diphosphine</w:t>
      </w:r>
      <w:proofErr w:type="spellEnd"/>
      <w:r w:rsidR="00C770BA">
        <w:t xml:space="preserve"> </w:t>
      </w:r>
      <w:r w:rsidR="00BF1C9C">
        <w:t xml:space="preserve">ligands </w:t>
      </w:r>
      <w:r w:rsidR="00C770BA">
        <w:t xml:space="preserve">such as </w:t>
      </w:r>
      <w:r w:rsidR="00C770BA" w:rsidRPr="00212C42">
        <w:rPr>
          <w:b/>
          <w:bCs/>
        </w:rPr>
        <w:t>1</w:t>
      </w:r>
      <w:r w:rsidR="00B9460A">
        <w:t xml:space="preserve"> (Figure 1)</w:t>
      </w:r>
      <w:r w:rsidR="00C770BA">
        <w:t>.</w:t>
      </w:r>
      <w:r w:rsidR="00B7611E">
        <w:rPr>
          <w:rStyle w:val="EndnoteReference"/>
        </w:rPr>
        <w:endnoteReference w:id="4"/>
      </w:r>
      <w:r w:rsidR="00DB1929">
        <w:t xml:space="preserve"> </w:t>
      </w:r>
      <w:r w:rsidR="00C770BA">
        <w:t xml:space="preserve">Bosnich reasoned that the </w:t>
      </w:r>
      <w:r w:rsidR="00C770BA" w:rsidRPr="00135C3D">
        <w:t>positive charge</w:t>
      </w:r>
      <w:r w:rsidR="00C770BA">
        <w:t xml:space="preserve"> would disfavor decarbonylation and that coordinative unsaturation</w:t>
      </w:r>
      <w:r w:rsidR="00350E16">
        <w:t xml:space="preserve"> (i.e. five vs. six coordinate </w:t>
      </w:r>
      <w:proofErr w:type="gramStart"/>
      <w:r w:rsidR="00350E16">
        <w:t>Rh(</w:t>
      </w:r>
      <w:proofErr w:type="gramEnd"/>
      <w:r w:rsidR="00350E16">
        <w:t>III) complexes)</w:t>
      </w:r>
      <w:r w:rsidR="00C770BA">
        <w:t xml:space="preserve"> would f</w:t>
      </w:r>
      <w:r w:rsidR="00C65BD7">
        <w:t>acilitate reductive elimination</w:t>
      </w:r>
      <w:r w:rsidR="00207012">
        <w:t>.</w:t>
      </w:r>
      <w:r w:rsidR="00C65BD7">
        <w:t xml:space="preserve"> </w:t>
      </w:r>
      <w:r w:rsidR="00207012">
        <w:t>T</w:t>
      </w:r>
      <w:r w:rsidR="00C65BD7">
        <w:t>h</w:t>
      </w:r>
      <w:r w:rsidR="00207012">
        <w:t>is</w:t>
      </w:r>
      <w:r w:rsidR="00C65BD7">
        <w:t xml:space="preserve"> catalyst system </w:t>
      </w:r>
      <w:r w:rsidR="00C65BD7">
        <w:rPr>
          <w:rFonts w:hint="eastAsia"/>
        </w:rPr>
        <w:t>achieved</w:t>
      </w:r>
      <w:r w:rsidR="00C65BD7">
        <w:t xml:space="preserve"> turnover numbers approaching 100.</w:t>
      </w:r>
      <w:r w:rsidR="00E93EF6">
        <w:t xml:space="preserve"> Bosnich </w:t>
      </w:r>
      <w:r w:rsidR="00B452D7">
        <w:t xml:space="preserve">also </w:t>
      </w:r>
      <w:r w:rsidR="00475146">
        <w:t xml:space="preserve">performed </w:t>
      </w:r>
      <w:r w:rsidR="0037346F">
        <w:t>detailed</w:t>
      </w:r>
      <w:r w:rsidR="00475146">
        <w:t xml:space="preserve"> mechanistic </w:t>
      </w:r>
      <w:r w:rsidR="00502A36">
        <w:t xml:space="preserve">studies that demonstrated that the </w:t>
      </w:r>
      <w:r w:rsidR="00475146">
        <w:t>reductive elimination</w:t>
      </w:r>
      <w:r w:rsidR="00502A36">
        <w:t xml:space="preserve"> to form the ketone</w:t>
      </w:r>
      <w:r w:rsidR="00475146">
        <w:t xml:space="preserve"> </w:t>
      </w:r>
      <w:r w:rsidR="001926A3">
        <w:t>wa</w:t>
      </w:r>
      <w:r w:rsidR="00475146">
        <w:t>s the ra</w:t>
      </w:r>
      <w:r w:rsidR="00B452D7">
        <w:t>te-</w:t>
      </w:r>
      <w:r w:rsidR="00475146">
        <w:t>li</w:t>
      </w:r>
      <w:r w:rsidR="008214B3">
        <w:t>miting step.</w:t>
      </w:r>
      <w:r w:rsidR="00CC7844">
        <w:rPr>
          <w:rStyle w:val="EndnoteReference"/>
        </w:rPr>
        <w:endnoteReference w:id="5"/>
      </w:r>
    </w:p>
    <w:p w14:paraId="599100F1" w14:textId="245948CA" w:rsidR="00DA1178" w:rsidRDefault="00387068" w:rsidP="008E40E5">
      <w:pPr>
        <w:pStyle w:val="TAMainText"/>
      </w:pPr>
      <w:r w:rsidRPr="00387068">
        <w:t>Two of us</w:t>
      </w:r>
      <w:r w:rsidR="005B0E5A">
        <w:t xml:space="preserve"> </w:t>
      </w:r>
      <w:r w:rsidR="00DA1178">
        <w:t>carried out a comprehensive computational examination of the Bosnich system.</w:t>
      </w:r>
      <w:bookmarkStart w:id="0" w:name="_Ref197013122"/>
      <w:r w:rsidR="00A70120">
        <w:rPr>
          <w:rStyle w:val="EndnoteReference"/>
        </w:rPr>
        <w:endnoteReference w:id="6"/>
      </w:r>
      <w:bookmarkEnd w:id="0"/>
      <w:r w:rsidR="00DA1178">
        <w:t xml:space="preserve"> </w:t>
      </w:r>
      <w:r w:rsidR="006A5E67">
        <w:t>An i</w:t>
      </w:r>
      <w:r w:rsidR="00DA1178">
        <w:t xml:space="preserve">mportant finding in the study </w:t>
      </w:r>
      <w:r w:rsidR="006A5E67">
        <w:t xml:space="preserve">was that </w:t>
      </w:r>
      <w:r w:rsidR="00F82B4C">
        <w:t>c</w:t>
      </w:r>
      <w:r w:rsidR="00561C99">
        <w:t xml:space="preserve">oordination of a Lewis base immediately prior to reductive elimination was critical to the partitioning between the productive hydroacylation and </w:t>
      </w:r>
      <w:r w:rsidR="0037346F">
        <w:t xml:space="preserve">unproductive </w:t>
      </w:r>
      <w:r w:rsidR="00561C99">
        <w:t>decarbonylation pathways.</w:t>
      </w:r>
      <w:r w:rsidR="0012111F">
        <w:t xml:space="preserve"> Decarbonylation was found to be the favored pathway in the absence of coordinated </w:t>
      </w:r>
      <w:proofErr w:type="gramStart"/>
      <w:r w:rsidR="0012111F">
        <w:t>Lewis</w:t>
      </w:r>
      <w:proofErr w:type="gramEnd"/>
      <w:r w:rsidR="0012111F">
        <w:t xml:space="preserve"> base, while the productive pathway was accelerated </w:t>
      </w:r>
      <w:r w:rsidR="00A168CC">
        <w:t>sufficiently</w:t>
      </w:r>
      <w:r w:rsidR="0012111F">
        <w:t xml:space="preserve"> in the presence of the Lewis base to become dominant.</w:t>
      </w:r>
    </w:p>
    <w:p w14:paraId="626B4671" w14:textId="11CB82EC" w:rsidR="00E02548" w:rsidRDefault="001C519E" w:rsidP="008E40E5">
      <w:pPr>
        <w:pStyle w:val="TAMainText"/>
      </w:pPr>
      <w:r>
        <w:t>A</w:t>
      </w:r>
      <w:r w:rsidR="004020EE">
        <w:t>ldehydes</w:t>
      </w:r>
      <w:r>
        <w:t xml:space="preserve"> with </w:t>
      </w:r>
      <w:r w:rsidR="008929C1">
        <w:t>appropriately placed coordinating group</w:t>
      </w:r>
      <w:r w:rsidR="00FC0C47">
        <w:t>s could be utilized in</w:t>
      </w:r>
      <w:r w:rsidR="009A1720">
        <w:t xml:space="preserve"> </w:t>
      </w:r>
      <w:r w:rsidR="00FC0C47">
        <w:t>intermolecular hydroacylation reactions with the Bosnich system</w:t>
      </w:r>
      <w:r w:rsidR="00E9167C">
        <w:t xml:space="preserve">, </w:t>
      </w:r>
      <w:r w:rsidR="004020EE">
        <w:t>and</w:t>
      </w:r>
      <w:r w:rsidR="00FC0C47">
        <w:t xml:space="preserve"> </w:t>
      </w:r>
      <w:r w:rsidR="00DC30A0" w:rsidRPr="00DC30A0">
        <w:t>constraining the acyl within a five-membered metallacycl</w:t>
      </w:r>
      <w:r w:rsidR="00B03253" w:rsidRPr="00350E16">
        <w:t>e</w:t>
      </w:r>
      <w:r w:rsidR="004020EE">
        <w:t xml:space="preserve"> was suggested to</w:t>
      </w:r>
      <w:r w:rsidR="00B03253" w:rsidRPr="00350E16">
        <w:t xml:space="preserve"> s</w:t>
      </w:r>
      <w:r w:rsidR="00DC30A0" w:rsidRPr="00350E16">
        <w:t xml:space="preserve">uppress </w:t>
      </w:r>
      <w:r w:rsidR="00DC30A0" w:rsidRPr="00DC30A0">
        <w:t>decarbonylation due to the necessity of this process forming a strained, four-membered ring</w:t>
      </w:r>
      <w:r w:rsidR="00DC30A0" w:rsidRPr="00DC30A0" w:rsidDel="00DC30A0">
        <w:t xml:space="preserve"> </w:t>
      </w:r>
      <w:r w:rsidR="00982062">
        <w:t>(</w:t>
      </w:r>
      <w:r w:rsidR="008929C1">
        <w:t xml:space="preserve">for an example, see </w:t>
      </w:r>
      <w:r w:rsidR="00982062" w:rsidRPr="00135C3D">
        <w:t>Equation</w:t>
      </w:r>
      <w:r w:rsidR="006B798A">
        <w:t>s</w:t>
      </w:r>
      <w:r w:rsidR="00982062" w:rsidRPr="00135C3D">
        <w:t xml:space="preserve"> </w:t>
      </w:r>
      <w:r w:rsidR="00135C3D">
        <w:t>2</w:t>
      </w:r>
      <w:r w:rsidR="006B798A">
        <w:t xml:space="preserve"> and 3</w:t>
      </w:r>
      <w:r w:rsidR="00982062">
        <w:t>)</w:t>
      </w:r>
      <w:r w:rsidR="00FC0C47">
        <w:t>.</w:t>
      </w:r>
      <w:r w:rsidR="004F4CA3" w:rsidRPr="006D7D51">
        <w:rPr>
          <w:vertAlign w:val="superscript"/>
        </w:rPr>
        <w:t>2</w:t>
      </w:r>
      <w:r w:rsidR="00702E2E" w:rsidRPr="006D7D51">
        <w:rPr>
          <w:vertAlign w:val="superscript"/>
        </w:rPr>
        <w:t>a-h</w:t>
      </w:r>
      <w:r w:rsidR="00B03253" w:rsidRPr="00B03253">
        <w:t xml:space="preserve"> </w:t>
      </w:r>
      <w:r w:rsidR="007E4EA2">
        <w:t>Two of us</w:t>
      </w:r>
      <w:r w:rsidR="000B6063">
        <w:t xml:space="preserve"> </w:t>
      </w:r>
      <w:r w:rsidR="00FC0C47">
        <w:t>further extended the reaction with an</w:t>
      </w:r>
      <w:r w:rsidR="009C56B5">
        <w:t xml:space="preserve"> approach </w:t>
      </w:r>
      <w:r w:rsidR="00FC0C47">
        <w:t>utilizing</w:t>
      </w:r>
      <w:r w:rsidR="009C56B5">
        <w:t xml:space="preserve"> a hemilabile Lewis base in the backbone of the ligand DPEphos</w:t>
      </w:r>
      <w:r w:rsidR="00FC0C47">
        <w:t xml:space="preserve"> (shown coordinated to rhodium as in </w:t>
      </w:r>
      <w:r w:rsidR="00C4211F">
        <w:rPr>
          <w:b/>
          <w:bCs/>
        </w:rPr>
        <w:t>2</w:t>
      </w:r>
      <w:r w:rsidR="006A72FB">
        <w:t>, Figure 1</w:t>
      </w:r>
      <w:r w:rsidR="00FC0C47" w:rsidRPr="00350E16">
        <w:t>)</w:t>
      </w:r>
      <w:r w:rsidR="00350E16" w:rsidRPr="00350E16">
        <w:t xml:space="preserve"> and r</w:t>
      </w:r>
      <w:r w:rsidR="000B6063" w:rsidRPr="00350E16">
        <w:t>easoned</w:t>
      </w:r>
      <w:r w:rsidR="000B6063">
        <w:t xml:space="preserve"> </w:t>
      </w:r>
      <w:r w:rsidR="00B769AD">
        <w:t xml:space="preserve">that </w:t>
      </w:r>
      <w:r w:rsidR="007A1E6C">
        <w:t xml:space="preserve">blocking a </w:t>
      </w:r>
      <w:r w:rsidR="00E55E4E">
        <w:t>vacant</w:t>
      </w:r>
      <w:r w:rsidR="007A1E6C">
        <w:t xml:space="preserve"> coordination site would </w:t>
      </w:r>
      <w:r w:rsidR="00D028CE">
        <w:t>improv</w:t>
      </w:r>
      <w:r w:rsidR="007A1E6C">
        <w:t>e</w:t>
      </w:r>
      <w:r w:rsidR="00FC0C47">
        <w:t xml:space="preserve"> the rate and turnover num</w:t>
      </w:r>
      <w:r w:rsidR="00D028CE">
        <w:t>bers in</w:t>
      </w:r>
      <w:r w:rsidR="00350E16" w:rsidRPr="00350E16">
        <w:t xml:space="preserve"> t</w:t>
      </w:r>
      <w:r w:rsidR="000B6063" w:rsidRPr="00350E16">
        <w:t>he</w:t>
      </w:r>
      <w:r w:rsidR="000B6063">
        <w:t xml:space="preserve"> </w:t>
      </w:r>
      <w:r w:rsidR="00FC0C47">
        <w:t>intermolecular reaction.</w:t>
      </w:r>
      <w:r w:rsidR="00F03D8C">
        <w:rPr>
          <w:rStyle w:val="EndnoteReference"/>
        </w:rPr>
        <w:endnoteReference w:id="7"/>
      </w:r>
    </w:p>
    <w:p w14:paraId="4D9C8CB0" w14:textId="1254FEC5" w:rsidR="00EB671F" w:rsidRDefault="00FD19F1" w:rsidP="008E40E5">
      <w:pPr>
        <w:pStyle w:val="TAMainText"/>
      </w:pPr>
      <w:r>
        <w:rPr>
          <w:noProof/>
          <w:lang w:eastAsia="zh-CN"/>
        </w:rPr>
        <mc:AlternateContent>
          <mc:Choice Requires="wps">
            <w:drawing>
              <wp:anchor distT="0" distB="0" distL="114300" distR="114300" simplePos="0" relativeHeight="251679744" behindDoc="0" locked="0" layoutInCell="1" allowOverlap="1" wp14:anchorId="61BE979E" wp14:editId="67CB703F">
                <wp:simplePos x="0" y="0"/>
                <wp:positionH relativeFrom="column">
                  <wp:posOffset>0</wp:posOffset>
                </wp:positionH>
                <wp:positionV relativeFrom="paragraph">
                  <wp:posOffset>25400</wp:posOffset>
                </wp:positionV>
                <wp:extent cx="3090334" cy="8044"/>
                <wp:effectExtent l="50800" t="25400" r="85090" b="93980"/>
                <wp:wrapNone/>
                <wp:docPr id="18" name="Straight Connector 18"/>
                <wp:cNvGraphicFramePr/>
                <a:graphic xmlns:a="http://schemas.openxmlformats.org/drawingml/2006/main">
                  <a:graphicData uri="http://schemas.microsoft.com/office/word/2010/wordprocessingShape">
                    <wps:wsp>
                      <wps:cNvCnPr/>
                      <wps:spPr>
                        <a:xfrm flipV="1">
                          <a:off x="0" y="0"/>
                          <a:ext cx="3090334" cy="804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598D4C7">
              <v:line id="Straight Connector 18"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0,2pt" to="243.35pt,2.65pt" w14:anchorId="60DED8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">
                <v:shadow on="t" color="black" opacity="24903f" offset="0,.55556mm" origin=",.5"/>
              </v:line>
            </w:pict>
          </mc:Fallback>
        </mc:AlternateContent>
      </w:r>
    </w:p>
    <w:p w14:paraId="1834BA90" w14:textId="7DCAD36F" w:rsidR="00492701" w:rsidRPr="00422E1A" w:rsidRDefault="00234569" w:rsidP="006B798A">
      <w:pPr>
        <w:pStyle w:val="TAMainText"/>
        <w:jc w:val="center"/>
      </w:pPr>
      <w:r w:rsidRPr="00234569">
        <w:rPr>
          <w:noProof/>
        </w:rPr>
        <w:drawing>
          <wp:inline distT="0" distB="0" distL="0" distR="0" wp14:anchorId="691E47E0" wp14:editId="39073AEA">
            <wp:extent cx="2131539" cy="1371600"/>
            <wp:effectExtent l="0" t="0" r="2540" b="0"/>
            <wp:docPr id="524425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25880" name=""/>
                    <pic:cNvPicPr/>
                  </pic:nvPicPr>
                  <pic:blipFill>
                    <a:blip r:embed="rId16"/>
                    <a:stretch>
                      <a:fillRect/>
                    </a:stretch>
                  </pic:blipFill>
                  <pic:spPr>
                    <a:xfrm>
                      <a:off x="0" y="0"/>
                      <a:ext cx="2131539" cy="1371600"/>
                    </a:xfrm>
                    <a:prstGeom prst="rect">
                      <a:avLst/>
                    </a:prstGeom>
                  </pic:spPr>
                </pic:pic>
              </a:graphicData>
            </a:graphic>
          </wp:inline>
        </w:drawing>
      </w:r>
    </w:p>
    <w:p w14:paraId="09CE2CEF" w14:textId="27295653" w:rsidR="00EB671F" w:rsidRDefault="00FD19F1" w:rsidP="008E40E5">
      <w:pPr>
        <w:pStyle w:val="TAMainText"/>
      </w:pPr>
      <w:r>
        <w:rPr>
          <w:noProof/>
          <w:lang w:eastAsia="zh-CN"/>
        </w:rPr>
        <mc:AlternateContent>
          <mc:Choice Requires="wps">
            <w:drawing>
              <wp:anchor distT="0" distB="0" distL="114300" distR="114300" simplePos="0" relativeHeight="251677696" behindDoc="0" locked="0" layoutInCell="1" allowOverlap="1" wp14:anchorId="77E18644" wp14:editId="21E8CFEC">
                <wp:simplePos x="0" y="0"/>
                <wp:positionH relativeFrom="column">
                  <wp:posOffset>0</wp:posOffset>
                </wp:positionH>
                <wp:positionV relativeFrom="paragraph">
                  <wp:posOffset>24765</wp:posOffset>
                </wp:positionV>
                <wp:extent cx="3090334" cy="8044"/>
                <wp:effectExtent l="50800" t="25400" r="85090" b="93980"/>
                <wp:wrapNone/>
                <wp:docPr id="17" name="Straight Connector 17"/>
                <wp:cNvGraphicFramePr/>
                <a:graphic xmlns:a="http://schemas.openxmlformats.org/drawingml/2006/main">
                  <a:graphicData uri="http://schemas.microsoft.com/office/word/2010/wordprocessingShape">
                    <wps:wsp>
                      <wps:cNvCnPr/>
                      <wps:spPr>
                        <a:xfrm flipV="1">
                          <a:off x="0" y="0"/>
                          <a:ext cx="3090334" cy="804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2F812C7">
              <v:line id="Straight Connector 17"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0,1.95pt" to="243.35pt,2.6pt" w14:anchorId="38241F4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">
                <v:shadow on="t" color="black" opacity="24903f" offset="0,.55556mm" origin=",.5"/>
              </v:line>
            </w:pict>
          </mc:Fallback>
        </mc:AlternateContent>
      </w:r>
    </w:p>
    <w:p w14:paraId="19D74D56" w14:textId="79252ABC" w:rsidR="00251588" w:rsidRDefault="00247BA3" w:rsidP="008E40E5">
      <w:pPr>
        <w:pStyle w:val="TAMainText"/>
      </w:pPr>
      <w:r>
        <w:t xml:space="preserve">In 2012 </w:t>
      </w:r>
      <w:r w:rsidR="00A27D4C">
        <w:t>two of us</w:t>
      </w:r>
      <w:r w:rsidR="004059EF">
        <w:t xml:space="preserve"> introduced a new catalytic system utilizing small bite angle </w:t>
      </w:r>
      <w:r>
        <w:t xml:space="preserve">PCP ligands </w:t>
      </w:r>
      <w:r w:rsidR="004059EF">
        <w:t>developed by Hoffman ligated to cationic rhodium (</w:t>
      </w:r>
      <w:r w:rsidR="00C4211F">
        <w:rPr>
          <w:b/>
          <w:bCs/>
        </w:rPr>
        <w:t>3</w:t>
      </w:r>
      <w:r w:rsidR="004059EF">
        <w:t>).</w:t>
      </w:r>
      <w:bookmarkStart w:id="1" w:name="_Ref197013075"/>
      <w:r w:rsidR="001E5CF6">
        <w:rPr>
          <w:rStyle w:val="EndnoteReference"/>
        </w:rPr>
        <w:endnoteReference w:id="8"/>
      </w:r>
      <w:bookmarkEnd w:id="1"/>
      <w:r w:rsidR="004059EF">
        <w:t xml:space="preserve"> These </w:t>
      </w:r>
      <w:r w:rsidR="004059EF">
        <w:lastRenderedPageBreak/>
        <w:t xml:space="preserve">complexes are very fast catalysts for the intermolecular hydroacylation reaction of 2-methylthiobenzaldehyde with alkenes or alkynes, approaching </w:t>
      </w:r>
      <w:r w:rsidR="00EA4917">
        <w:t>two</w:t>
      </w:r>
      <w:r w:rsidR="004059EF">
        <w:t xml:space="preserve"> orders of magnitude faster than the </w:t>
      </w:r>
      <w:r w:rsidR="009679A8">
        <w:t>equivalent</w:t>
      </w:r>
      <w:r w:rsidR="004059EF">
        <w:t xml:space="preserve"> reaction utilizing DPEphos as the ligand.</w:t>
      </w:r>
      <w:r w:rsidR="00BF43EF">
        <w:t xml:space="preserve"> This rate acceleration was attributed to an improvement in the rate of reductive elimination. </w:t>
      </w:r>
      <w:r w:rsidR="00842E1B">
        <w:t>As will be discussed below</w:t>
      </w:r>
      <w:r w:rsidR="00BF43EF">
        <w:t>, there were several interesting observations</w:t>
      </w:r>
      <w:r w:rsidR="009044EC">
        <w:t xml:space="preserve"> in this study</w:t>
      </w:r>
      <w:r w:rsidR="00BF43EF">
        <w:t xml:space="preserve">. Running the reaction in acetone resulted in significant extension of catalyst lifetimes, as </w:t>
      </w:r>
      <w:r>
        <w:t xml:space="preserve">did </w:t>
      </w:r>
      <w:r w:rsidR="00BF43EF">
        <w:t xml:space="preserve">adding </w:t>
      </w:r>
      <w:r w:rsidR="001943FB">
        <w:t>two</w:t>
      </w:r>
      <w:r w:rsidR="00BF43EF">
        <w:t xml:space="preserve"> equivalents of acetonitril</w:t>
      </w:r>
      <w:r>
        <w:t>e. T</w:t>
      </w:r>
      <w:r w:rsidR="00BF43EF">
        <w:t>hese effects</w:t>
      </w:r>
      <w:r w:rsidR="00DC6A2A">
        <w:t xml:space="preserve"> </w:t>
      </w:r>
      <w:r w:rsidR="001A13CB">
        <w:t xml:space="preserve">were </w:t>
      </w:r>
      <w:r>
        <w:t xml:space="preserve">also </w:t>
      </w:r>
      <w:r w:rsidR="00BF43EF">
        <w:t xml:space="preserve">additive. </w:t>
      </w:r>
      <w:r w:rsidR="00FA7A52">
        <w:t xml:space="preserve">Furthermore, as binding of alkene to form </w:t>
      </w:r>
      <w:r w:rsidR="00FA7A52">
        <w:rPr>
          <w:b/>
          <w:bCs/>
        </w:rPr>
        <w:t xml:space="preserve">C </w:t>
      </w:r>
      <w:r w:rsidR="00FA7A52">
        <w:t xml:space="preserve">moves the catalyst system away from decarbonylation via </w:t>
      </w:r>
      <w:r w:rsidR="00FA7A52" w:rsidRPr="00A113BE">
        <w:rPr>
          <w:b/>
          <w:bCs/>
        </w:rPr>
        <w:t>B</w:t>
      </w:r>
      <w:r w:rsidR="00FA7A52">
        <w:t xml:space="preserve">, </w:t>
      </w:r>
      <w:r w:rsidR="00BF43EF">
        <w:t xml:space="preserve">increasing the </w:t>
      </w:r>
      <w:r w:rsidR="00FA7A52">
        <w:t xml:space="preserve">relative </w:t>
      </w:r>
      <w:r w:rsidR="00BF43EF">
        <w:t xml:space="preserve">concentration of the alkene </w:t>
      </w:r>
      <w:r w:rsidR="00FA7A52">
        <w:t>(</w:t>
      </w:r>
      <w:r w:rsidR="00BF43EF">
        <w:t>and aldehyde</w:t>
      </w:r>
      <w:r w:rsidR="00FA7A52">
        <w:t>)</w:t>
      </w:r>
      <w:r w:rsidR="00F01862">
        <w:t xml:space="preserve"> </w:t>
      </w:r>
      <w:r w:rsidR="00FA7A52">
        <w:t xml:space="preserve">resulted in a system less prone to deactivation, and </w:t>
      </w:r>
      <w:r w:rsidR="00F01862">
        <w:t>allowed</w:t>
      </w:r>
      <w:r w:rsidR="0032376C">
        <w:t xml:space="preserve"> catalyst loadings as low as 0.1 mol</w:t>
      </w:r>
      <w:r w:rsidR="007B3A1D">
        <w:t xml:space="preserve"> </w:t>
      </w:r>
      <w:r w:rsidR="00655A5E">
        <w:t>%</w:t>
      </w:r>
      <w:r w:rsidR="0032376C">
        <w:t xml:space="preserve"> </w:t>
      </w:r>
      <w:r w:rsidR="00FA7A52">
        <w:t xml:space="preserve">compared to </w:t>
      </w:r>
      <w:r w:rsidR="0032376C">
        <w:t xml:space="preserve">typical loadings for the previous catalyst systems </w:t>
      </w:r>
      <w:r w:rsidR="00FA7A52">
        <w:t xml:space="preserve">of </w:t>
      </w:r>
      <w:r w:rsidR="0032376C">
        <w:t xml:space="preserve">5 </w:t>
      </w:r>
      <w:r w:rsidR="00FA7A52">
        <w:t xml:space="preserve">- </w:t>
      </w:r>
      <w:r w:rsidR="0032376C">
        <w:t>10 mol %</w:t>
      </w:r>
      <w:r w:rsidR="00747896">
        <w:t>.</w:t>
      </w:r>
      <w:r w:rsidR="00AD216A" w:rsidRPr="006D7D51">
        <w:rPr>
          <w:vertAlign w:val="superscript"/>
        </w:rPr>
        <w:t>1-</w:t>
      </w:r>
      <w:r w:rsidR="00C945AF" w:rsidRPr="006D7D51">
        <w:rPr>
          <w:vertAlign w:val="superscript"/>
        </w:rPr>
        <w:t>5</w:t>
      </w:r>
    </w:p>
    <w:p w14:paraId="7504FF77" w14:textId="16622251" w:rsidR="002469EA" w:rsidRDefault="00FD19F1" w:rsidP="008E40E5">
      <w:pPr>
        <w:pStyle w:val="TAMainText"/>
      </w:pPr>
      <w:r>
        <w:rPr>
          <w:noProof/>
          <w:lang w:eastAsia="zh-CN"/>
        </w:rPr>
        <mc:AlternateContent>
          <mc:Choice Requires="wps">
            <w:drawing>
              <wp:anchor distT="0" distB="0" distL="114300" distR="114300" simplePos="0" relativeHeight="251675648" behindDoc="0" locked="0" layoutInCell="1" allowOverlap="1" wp14:anchorId="4DCB3C11" wp14:editId="08CC2C53">
                <wp:simplePos x="0" y="0"/>
                <wp:positionH relativeFrom="column">
                  <wp:posOffset>0</wp:posOffset>
                </wp:positionH>
                <wp:positionV relativeFrom="paragraph">
                  <wp:posOffset>24765</wp:posOffset>
                </wp:positionV>
                <wp:extent cx="3090334" cy="8044"/>
                <wp:effectExtent l="50800" t="25400" r="85090" b="93980"/>
                <wp:wrapNone/>
                <wp:docPr id="16" name="Straight Connector 16"/>
                <wp:cNvGraphicFramePr/>
                <a:graphic xmlns:a="http://schemas.openxmlformats.org/drawingml/2006/main">
                  <a:graphicData uri="http://schemas.microsoft.com/office/word/2010/wordprocessingShape">
                    <wps:wsp>
                      <wps:cNvCnPr/>
                      <wps:spPr>
                        <a:xfrm flipV="1">
                          <a:off x="0" y="0"/>
                          <a:ext cx="3090334" cy="804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A158C06">
              <v:line id="Straight Connector 1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0,1.95pt" to="243.35pt,2.6pt" w14:anchorId="26F5AC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">
                <v:shadow on="t" color="black" opacity="24903f" offset="0,.55556mm" origin=",.5"/>
              </v:line>
            </w:pict>
          </mc:Fallback>
        </mc:AlternateContent>
      </w:r>
    </w:p>
    <w:p w14:paraId="506E1372" w14:textId="7B051F75" w:rsidR="00E9167C" w:rsidRDefault="002350D9" w:rsidP="008E40E5">
      <w:pPr>
        <w:pStyle w:val="TAMainText"/>
      </w:pPr>
      <w:r w:rsidRPr="002350D9">
        <w:rPr>
          <w:noProof/>
        </w:rPr>
        <w:drawing>
          <wp:inline distT="0" distB="0" distL="0" distR="0" wp14:anchorId="5964F1C6" wp14:editId="5B9F66C7">
            <wp:extent cx="2282270" cy="1773936"/>
            <wp:effectExtent l="0" t="0" r="3810" b="4445"/>
            <wp:docPr id="705297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97113" name=""/>
                    <pic:cNvPicPr/>
                  </pic:nvPicPr>
                  <pic:blipFill>
                    <a:blip r:embed="rId17"/>
                    <a:stretch>
                      <a:fillRect/>
                    </a:stretch>
                  </pic:blipFill>
                  <pic:spPr>
                    <a:xfrm>
                      <a:off x="0" y="0"/>
                      <a:ext cx="2282270" cy="1773936"/>
                    </a:xfrm>
                    <a:prstGeom prst="rect">
                      <a:avLst/>
                    </a:prstGeom>
                  </pic:spPr>
                </pic:pic>
              </a:graphicData>
            </a:graphic>
          </wp:inline>
        </w:drawing>
      </w:r>
    </w:p>
    <w:p w14:paraId="291EBE2E" w14:textId="2429E4B5" w:rsidR="007D67DE" w:rsidRPr="007D67DE" w:rsidRDefault="007D67DE" w:rsidP="009853A9">
      <w:pPr>
        <w:pStyle w:val="VAFigureCaption"/>
      </w:pPr>
      <w:r>
        <w:t xml:space="preserve">Figure 1: </w:t>
      </w:r>
      <w:r w:rsidR="00192C94">
        <w:t xml:space="preserve">Common </w:t>
      </w:r>
      <w:r w:rsidR="0004007C">
        <w:t xml:space="preserve">Rhodium </w:t>
      </w:r>
      <w:r>
        <w:t>Hydroacylation Catalysts</w:t>
      </w:r>
    </w:p>
    <w:p w14:paraId="1E0FECC2" w14:textId="63FA83E6" w:rsidR="002469EA" w:rsidRDefault="002469EA" w:rsidP="008E40E5">
      <w:pPr>
        <w:pStyle w:val="TAMainText"/>
      </w:pPr>
      <w:r>
        <w:rPr>
          <w:noProof/>
          <w:lang w:eastAsia="zh-CN"/>
        </w:rPr>
        <mc:AlternateContent>
          <mc:Choice Requires="wps">
            <w:drawing>
              <wp:anchor distT="0" distB="0" distL="114300" distR="114300" simplePos="0" relativeHeight="251661312" behindDoc="0" locked="0" layoutInCell="1" allowOverlap="1" wp14:anchorId="1CA2FBF4" wp14:editId="392BEF8F">
                <wp:simplePos x="0" y="0"/>
                <wp:positionH relativeFrom="column">
                  <wp:posOffset>-2117</wp:posOffset>
                </wp:positionH>
                <wp:positionV relativeFrom="paragraph">
                  <wp:posOffset>23707</wp:posOffset>
                </wp:positionV>
                <wp:extent cx="3090334" cy="8044"/>
                <wp:effectExtent l="50800" t="25400" r="85090" b="93980"/>
                <wp:wrapNone/>
                <wp:docPr id="8" name="Straight Connector 8"/>
                <wp:cNvGraphicFramePr/>
                <a:graphic xmlns:a="http://schemas.openxmlformats.org/drawingml/2006/main">
                  <a:graphicData uri="http://schemas.microsoft.com/office/word/2010/wordprocessingShape">
                    <wps:wsp>
                      <wps:cNvCnPr/>
                      <wps:spPr>
                        <a:xfrm flipV="1">
                          <a:off x="0" y="0"/>
                          <a:ext cx="3090334" cy="8044"/>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8C66E7D">
              <v:line id="Straight Connector 8"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15pt,1.85pt" to="243.2pt,2.5pt" w14:anchorId="7622D9C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">
                <v:shadow on="t" color="black" opacity="24903f" offset="0,.55556mm" origin=",.5"/>
              </v:line>
            </w:pict>
          </mc:Fallback>
        </mc:AlternateContent>
      </w:r>
    </w:p>
    <w:p w14:paraId="64FA6E48" w14:textId="12816E2E" w:rsidR="00DB1929" w:rsidRDefault="00903652" w:rsidP="008E40E5">
      <w:pPr>
        <w:pStyle w:val="TAMainText"/>
      </w:pPr>
      <w:r>
        <w:t xml:space="preserve">It is tempting to attribute these observations to </w:t>
      </w:r>
      <w:r w:rsidR="00A7602A">
        <w:t>one of the t</w:t>
      </w:r>
      <w:r w:rsidR="007655D9">
        <w:t>hree</w:t>
      </w:r>
      <w:r w:rsidR="00A7602A">
        <w:t xml:space="preserve"> established protective </w:t>
      </w:r>
      <w:r w:rsidR="00522F9C">
        <w:t>mechanisms</w:t>
      </w:r>
      <w:r w:rsidR="00CB6C92">
        <w:t xml:space="preserve"> in hydroacylation reactions</w:t>
      </w:r>
      <w:r w:rsidR="00A43005">
        <w:t>:</w:t>
      </w:r>
      <w:r w:rsidR="00A7602A">
        <w:t xml:space="preserve"> </w:t>
      </w:r>
      <w:r w:rsidR="007C433A">
        <w:t>(</w:t>
      </w:r>
      <w:proofErr w:type="spellStart"/>
      <w:r w:rsidR="007C433A">
        <w:t>i</w:t>
      </w:r>
      <w:proofErr w:type="spellEnd"/>
      <w:r w:rsidR="007C433A">
        <w:t xml:space="preserve">) </w:t>
      </w:r>
      <w:r w:rsidR="00A7602A">
        <w:t>the coordination of a Lewis base facilitating the reductive elimination</w:t>
      </w:r>
      <w:r w:rsidR="00926ADC">
        <w:t xml:space="preserve">, </w:t>
      </w:r>
      <w:r w:rsidR="007C433A">
        <w:t xml:space="preserve">(ii) </w:t>
      </w:r>
      <w:r w:rsidR="005F1318">
        <w:t xml:space="preserve">chelating substrates disfavoring deinsertion due to the strain of the resulting metallocycle, </w:t>
      </w:r>
      <w:r w:rsidR="00A7602A">
        <w:t xml:space="preserve">or </w:t>
      </w:r>
      <w:r w:rsidR="007C433A">
        <w:t xml:space="preserve">(iii) </w:t>
      </w:r>
      <w:r w:rsidR="00A7602A">
        <w:t xml:space="preserve">blocking </w:t>
      </w:r>
      <w:r w:rsidR="00FF618B">
        <w:t>the open coordination site needed for decarbonylation.</w:t>
      </w:r>
      <w:r w:rsidR="007C433A">
        <w:t xml:space="preserve"> However, </w:t>
      </w:r>
      <w:r w:rsidR="001A13CB">
        <w:t xml:space="preserve">an alternative </w:t>
      </w:r>
      <w:r w:rsidR="00265EA0">
        <w:t xml:space="preserve">protective </w:t>
      </w:r>
      <w:r w:rsidR="001A13CB">
        <w:t xml:space="preserve">mechanism may </w:t>
      </w:r>
      <w:r w:rsidR="00E52882">
        <w:t xml:space="preserve">also </w:t>
      </w:r>
      <w:r w:rsidR="001A13CB">
        <w:t>be at work.</w:t>
      </w:r>
      <w:r w:rsidR="00FF618B">
        <w:t xml:space="preserve"> </w:t>
      </w:r>
      <w:r w:rsidR="00DB1929">
        <w:t>In this paper, we discuss a comprehensive computational examination of the PCP based catalytic system. Specifically, we were interested in examining the origin of the rate enhancement relative to other catalytic systems and the protective effect provided by added Lewis bases such as acetone, acetonitrile, or increasing the substrate concentration.</w:t>
      </w:r>
    </w:p>
    <w:p w14:paraId="62CE5C12" w14:textId="77777777" w:rsidR="004B51CD" w:rsidRDefault="004B51CD" w:rsidP="008E40E5">
      <w:pPr>
        <w:pStyle w:val="TAMainText"/>
      </w:pPr>
    </w:p>
    <w:p w14:paraId="70B88538" w14:textId="6ADE0763" w:rsidR="00B82A40" w:rsidRPr="00A113BE" w:rsidRDefault="00B82A40" w:rsidP="008E40E5">
      <w:pPr>
        <w:pStyle w:val="TAMainText"/>
        <w:rPr>
          <w:b/>
          <w:bCs/>
        </w:rPr>
      </w:pPr>
      <w:r w:rsidRPr="00A113BE">
        <w:rPr>
          <w:b/>
          <w:bCs/>
        </w:rPr>
        <w:t xml:space="preserve">Methods </w:t>
      </w:r>
    </w:p>
    <w:p w14:paraId="754354BE" w14:textId="77777777" w:rsidR="005A6B35" w:rsidRPr="006953EA" w:rsidRDefault="00D474FD" w:rsidP="008E40E5">
      <w:pPr>
        <w:pStyle w:val="TAMainText"/>
        <w:rPr>
          <w:color w:val="000000" w:themeColor="text1"/>
        </w:rPr>
      </w:pPr>
      <w:r>
        <w:t>Routine geometry optimizations were calculated with the numerical density functional package DMol3,</w:t>
      </w:r>
      <w:r w:rsidR="00B75A00">
        <w:rPr>
          <w:rStyle w:val="EndnoteReference"/>
        </w:rPr>
        <w:endnoteReference w:id="9"/>
      </w:r>
      <w:r>
        <w:t xml:space="preserve"> where the Becke-</w:t>
      </w:r>
      <w:proofErr w:type="spellStart"/>
      <w:r>
        <w:t>Tsuneda</w:t>
      </w:r>
      <w:proofErr w:type="spellEnd"/>
      <w:r>
        <w:t>-Hirao gradient-corrected functional</w:t>
      </w:r>
      <w:r w:rsidR="00076927">
        <w:rPr>
          <w:rStyle w:val="EndnoteReference"/>
        </w:rPr>
        <w:endnoteReference w:id="10"/>
      </w:r>
      <w:r>
        <w:t xml:space="preserve"> was employed with double numerical plus polarization basis sets, a 20 </w:t>
      </w:r>
      <w:proofErr w:type="spellStart"/>
      <w:r>
        <w:t>bohr</w:t>
      </w:r>
      <w:proofErr w:type="spellEnd"/>
      <w:r>
        <w:t xml:space="preserve"> cutoff, fine integration grid, and </w:t>
      </w:r>
      <w:r>
        <w:t>scalar relativistic corrections.</w:t>
      </w:r>
      <w:r w:rsidR="00D2650C">
        <w:rPr>
          <w:rStyle w:val="EndnoteReference"/>
        </w:rPr>
        <w:endnoteReference w:id="11"/>
      </w:r>
      <w:r>
        <w:t xml:space="preserve"> Calculations were considered converged </w:t>
      </w:r>
      <w:r w:rsidR="006A29C2">
        <w:t>at</w:t>
      </w:r>
      <w:r>
        <w:t xml:space="preserve"> a 10</w:t>
      </w:r>
      <w:r>
        <w:rPr>
          <w:vertAlign w:val="superscript"/>
        </w:rPr>
        <w:t>-6</w:t>
      </w:r>
      <w:r>
        <w:t xml:space="preserve"> </w:t>
      </w:r>
      <w:proofErr w:type="spellStart"/>
      <w:r>
        <w:t>hartree</w:t>
      </w:r>
      <w:proofErr w:type="spellEnd"/>
      <w:r>
        <w:t xml:space="preserve"> change for the wavefunction and a 10</w:t>
      </w:r>
      <w:r>
        <w:rPr>
          <w:vertAlign w:val="superscript"/>
        </w:rPr>
        <w:t>-3</w:t>
      </w:r>
      <w:r>
        <w:t xml:space="preserve"> </w:t>
      </w:r>
      <w:proofErr w:type="spellStart"/>
      <w:r>
        <w:t>hartree</w:t>
      </w:r>
      <w:proofErr w:type="spellEnd"/>
      <w:r>
        <w:t>/</w:t>
      </w:r>
      <w:proofErr w:type="spellStart"/>
      <w:r>
        <w:t>bohr</w:t>
      </w:r>
      <w:proofErr w:type="spellEnd"/>
      <w:r>
        <w:t xml:space="preserve"> change in the gradients. </w:t>
      </w:r>
      <w:r w:rsidR="00F74F7C">
        <w:t>Select geometries were reevaluated for consistency with the G16 program package</w:t>
      </w:r>
      <w:r w:rsidR="00F74F7C">
        <w:rPr>
          <w:rStyle w:val="EndnoteReference"/>
        </w:rPr>
        <w:endnoteReference w:id="12"/>
      </w:r>
      <w:r w:rsidR="00F74F7C">
        <w:t xml:space="preserve"> where default convergence criteria were </w:t>
      </w:r>
      <w:r w:rsidR="00C26FD6">
        <w:t>employed. The Gaussian calculations involved the B3LYP hybrid exchange correlation functional,</w:t>
      </w:r>
      <w:r w:rsidR="00E23168">
        <w:rPr>
          <w:rStyle w:val="EndnoteReference"/>
        </w:rPr>
        <w:endnoteReference w:id="13"/>
      </w:r>
      <w:r w:rsidR="00C26FD6">
        <w:t xml:space="preserve"> a 6-31g** basis set for the nonmetal atoms, and a def2-tzvp basis for the rhodium</w:t>
      </w:r>
      <w:r w:rsidR="00F74F7C">
        <w:t>.</w:t>
      </w:r>
      <w:r w:rsidR="00F80647">
        <w:rPr>
          <w:rStyle w:val="EndnoteReference"/>
        </w:rPr>
        <w:endnoteReference w:id="14"/>
      </w:r>
      <w:r w:rsidR="00C26FD6">
        <w:t xml:space="preserve"> </w:t>
      </w:r>
      <w:r w:rsidR="00FF115E">
        <w:t xml:space="preserve">Gibbs free energies were evaluated at the B3LYP/6-31g** optimized geometries with </w:t>
      </w:r>
      <w:proofErr w:type="spellStart"/>
      <w:r w:rsidR="00FF115E">
        <w:t>tzvp</w:t>
      </w:r>
      <w:proofErr w:type="spellEnd"/>
      <w:r w:rsidR="00FF115E">
        <w:t xml:space="preserve"> basis sets on all non-metal atoms.</w:t>
      </w:r>
      <w:r w:rsidR="003C7FC7">
        <w:rPr>
          <w:rStyle w:val="EndnoteReference"/>
        </w:rPr>
        <w:endnoteReference w:id="15"/>
      </w:r>
      <w:r w:rsidR="00AE03AE">
        <w:t xml:space="preserve"> </w:t>
      </w:r>
      <w:r w:rsidR="00596686">
        <w:rPr>
          <w:color w:val="000000" w:themeColor="text1"/>
        </w:rPr>
        <w:t>No implicit solvation model was included since external Lewis bases, including molecules of solvent, w</w:t>
      </w:r>
      <w:r w:rsidR="00E72C71">
        <w:rPr>
          <w:color w:val="000000" w:themeColor="text1"/>
        </w:rPr>
        <w:t>ere</w:t>
      </w:r>
      <w:r w:rsidR="00596686">
        <w:rPr>
          <w:color w:val="000000" w:themeColor="text1"/>
        </w:rPr>
        <w:t xml:space="preserve"> treated explicitly.</w:t>
      </w:r>
    </w:p>
    <w:p w14:paraId="2E331C62" w14:textId="2931E6FF" w:rsidR="002377DD" w:rsidRDefault="0031553C" w:rsidP="008E40E5">
      <w:pPr>
        <w:pStyle w:val="TAMainText"/>
      </w:pPr>
      <w:r>
        <w:t xml:space="preserve">Reaction pathways were routinely constructed using the DMol3 code, though occasional pathways were verified for consistency using the G16 code. </w:t>
      </w:r>
      <w:r w:rsidR="00AE03AE">
        <w:t>Minimum energy pathways were constructed between adjacent intermediates along the reaction using in-house versions of the NEB</w:t>
      </w:r>
      <w:r w:rsidR="00D24012">
        <w:rPr>
          <w:rStyle w:val="EndnoteReference"/>
        </w:rPr>
        <w:endnoteReference w:id="16"/>
      </w:r>
      <w:r w:rsidR="00AE03AE">
        <w:t xml:space="preserve"> and improved dimer</w:t>
      </w:r>
      <w:r w:rsidR="00092000">
        <w:rPr>
          <w:rStyle w:val="EndnoteReference"/>
        </w:rPr>
        <w:endnoteReference w:id="17"/>
      </w:r>
      <w:r w:rsidR="00AE03AE">
        <w:t xml:space="preserve"> methods to locate transition states.</w:t>
      </w:r>
      <w:r w:rsidR="001A6B85">
        <w:t xml:space="preserve"> </w:t>
      </w:r>
      <w:proofErr w:type="gramStart"/>
      <w:r w:rsidR="001A6B85">
        <w:t>In order to</w:t>
      </w:r>
      <w:proofErr w:type="gramEnd"/>
      <w:r w:rsidR="001A6B85">
        <w:t xml:space="preserve"> improve convergence within the NEB code, we incorporated the fast inertial relaxation engine (FIRE) optimizer</w:t>
      </w:r>
      <w:r w:rsidR="001A6B85">
        <w:rPr>
          <w:rStyle w:val="EndnoteReference"/>
        </w:rPr>
        <w:endnoteReference w:id="18"/>
      </w:r>
      <w:r w:rsidR="001A6B85">
        <w:t xml:space="preserve"> as the default minimizer in our NEB driver and added the climbing image and variable strings algorithms</w:t>
      </w:r>
      <w:r w:rsidR="001A6B85">
        <w:rPr>
          <w:rStyle w:val="EndnoteReference"/>
        </w:rPr>
        <w:endnoteReference w:id="19"/>
      </w:r>
      <w:r w:rsidR="001A6B85">
        <w:t xml:space="preserve"> to the code. </w:t>
      </w:r>
      <w:r w:rsidR="00C9251F">
        <w:t>Sixteen</w:t>
      </w:r>
      <w:r w:rsidR="001A6B85">
        <w:t xml:space="preserve"> movable images along each NEB path were generated</w:t>
      </w:r>
      <w:r w:rsidR="00B35DF2">
        <w:t xml:space="preserve"> initially</w:t>
      </w:r>
      <w:r w:rsidR="001A6B85">
        <w:t xml:space="preserve"> by </w:t>
      </w:r>
      <w:r w:rsidR="00B35DF2">
        <w:t>the image dependent pair potential (IDPP)</w:t>
      </w:r>
      <w:r w:rsidR="00AA1E64">
        <w:rPr>
          <w:rStyle w:val="EndnoteReference"/>
        </w:rPr>
        <w:endnoteReference w:id="20"/>
      </w:r>
      <w:r w:rsidR="00B35DF2">
        <w:t xml:space="preserve"> method</w:t>
      </w:r>
      <w:r w:rsidR="00B33E71">
        <w:t>,</w:t>
      </w:r>
      <w:r w:rsidR="00414C54">
        <w:t xml:space="preserve"> the latest version of which is based on the atomic simulation environment (ASE)</w:t>
      </w:r>
      <w:r w:rsidR="00414C54">
        <w:rPr>
          <w:rStyle w:val="EndnoteReference"/>
        </w:rPr>
        <w:endnoteReference w:id="21"/>
      </w:r>
      <w:r w:rsidR="00B33E71">
        <w:t xml:space="preserve"> and</w:t>
      </w:r>
      <w:r w:rsidR="00537120">
        <w:t xml:space="preserve"> uses </w:t>
      </w:r>
      <w:proofErr w:type="spellStart"/>
      <w:r w:rsidR="00537120">
        <w:t>PyMOL</w:t>
      </w:r>
      <w:proofErr w:type="spellEnd"/>
      <w:r w:rsidR="00537120">
        <w:rPr>
          <w:rStyle w:val="EndnoteReference"/>
        </w:rPr>
        <w:endnoteReference w:id="22"/>
      </w:r>
      <w:r w:rsidR="00537120">
        <w:t xml:space="preserve"> to superimpose the adjacent intermediate structures. All NEB calculations</w:t>
      </w:r>
      <w:r w:rsidR="00B33E71">
        <w:t xml:space="preserve"> w</w:t>
      </w:r>
      <w:r w:rsidR="00E126D1">
        <w:t>ere</w:t>
      </w:r>
      <w:r w:rsidR="00B33E71">
        <w:t xml:space="preserve"> run to convergence where the NEB forces were below 1 x 10</w:t>
      </w:r>
      <w:r w:rsidR="00B33E71">
        <w:rPr>
          <w:vertAlign w:val="superscript"/>
        </w:rPr>
        <w:t>-3</w:t>
      </w:r>
      <w:r w:rsidR="00B33E71">
        <w:t xml:space="preserve"> </w:t>
      </w:r>
      <w:proofErr w:type="spellStart"/>
      <w:r w:rsidR="00B33E71">
        <w:t>hartree</w:t>
      </w:r>
      <w:proofErr w:type="spellEnd"/>
      <w:r w:rsidR="00B33E71">
        <w:t>/</w:t>
      </w:r>
      <w:proofErr w:type="spellStart"/>
      <w:r w:rsidR="00B33E71">
        <w:t>bohr</w:t>
      </w:r>
      <w:proofErr w:type="spellEnd"/>
      <w:r w:rsidR="00B33E71">
        <w:t>. Coordinates of the maximum on the NEB path and an adjacent image were used to define the dimer vector in the subsequent refinement of the transition state</w:t>
      </w:r>
      <w:r w:rsidR="00C84603">
        <w:t>; t</w:t>
      </w:r>
      <w:r w:rsidR="00B33E71">
        <w:t xml:space="preserve">he algorithm was run until the gradients were </w:t>
      </w:r>
      <w:r w:rsidR="00F735E8">
        <w:t>less than 5 x 10</w:t>
      </w:r>
      <w:r w:rsidR="00F735E8">
        <w:rPr>
          <w:vertAlign w:val="superscript"/>
        </w:rPr>
        <w:t>-4</w:t>
      </w:r>
      <w:r w:rsidR="00F735E8">
        <w:t xml:space="preserve"> </w:t>
      </w:r>
      <w:proofErr w:type="spellStart"/>
      <w:r w:rsidR="00F735E8">
        <w:t>hartrees</w:t>
      </w:r>
      <w:proofErr w:type="spellEnd"/>
      <w:r w:rsidR="00F735E8">
        <w:t>/</w:t>
      </w:r>
      <w:proofErr w:type="spellStart"/>
      <w:r w:rsidR="00F735E8">
        <w:t>bohr</w:t>
      </w:r>
      <w:proofErr w:type="spellEnd"/>
      <w:r w:rsidR="00F735E8">
        <w:t>.</w:t>
      </w:r>
      <w:r w:rsidR="001242B5">
        <w:t xml:space="preserve"> Subsequent frequency calculations were performed to ensure the presence of only one negative force constant, signifying first-order saddle point</w:t>
      </w:r>
      <w:r w:rsidR="00B269A4">
        <w:t>s</w:t>
      </w:r>
      <w:r w:rsidR="001242B5">
        <w:t>.</w:t>
      </w:r>
      <w:r w:rsidR="005A6B35">
        <w:t xml:space="preserve"> The thermodynamic quantities were calculated from an in-house</w:t>
      </w:r>
      <w:r w:rsidR="00DC03E0">
        <w:t>-</w:t>
      </w:r>
      <w:r w:rsidR="005A6B35">
        <w:t xml:space="preserve">generated software program that </w:t>
      </w:r>
      <w:r w:rsidR="00DC03E0">
        <w:t>utilizes</w:t>
      </w:r>
      <w:r w:rsidR="005A6B35">
        <w:t xml:space="preserve"> molecular coordinates, energy, gradients, and hessian from the quantum mechanical calculation. These quantities </w:t>
      </w:r>
      <w:r w:rsidR="004156A4">
        <w:t>were</w:t>
      </w:r>
      <w:r w:rsidR="005A6B35">
        <w:t xml:space="preserve"> then used to evaluate the molecular partition function at a given temperature, as defined by statistical mechanics.</w:t>
      </w:r>
      <w:r w:rsidR="008D50E2">
        <w:t xml:space="preserve"> The translational and rotational partition functions were calculated </w:t>
      </w:r>
      <w:r w:rsidR="00C40A74">
        <w:t>classically,</w:t>
      </w:r>
      <w:r w:rsidR="008D50E2">
        <w:t xml:space="preserve"> and the vibrational partition function was calculated from the quantum mechanical frequencies. The electronic partition function was generally given by one term</w:t>
      </w:r>
      <w:r w:rsidR="00C40A74">
        <w:t>:</w:t>
      </w:r>
      <w:r w:rsidR="008D50E2">
        <w:t xml:space="preserve"> the degeneracy of the ground state.</w:t>
      </w:r>
    </w:p>
    <w:p w14:paraId="0A547CC8" w14:textId="7AEF07E4" w:rsidR="005E6FE0" w:rsidRPr="005E6FE0" w:rsidRDefault="005E6FE0" w:rsidP="008E40E5">
      <w:pPr>
        <w:pStyle w:val="TAMainText"/>
      </w:pPr>
      <w:r>
        <w:t xml:space="preserve">Basis set superposition error was evaluated for the alkene association step corresponding to intermediate </w:t>
      </w:r>
      <w:r>
        <w:rPr>
          <w:b/>
          <w:bCs/>
        </w:rPr>
        <w:t>13</w:t>
      </w:r>
      <w:r>
        <w:t xml:space="preserve"> by using the counterpoise method</w:t>
      </w:r>
      <w:r>
        <w:rPr>
          <w:rStyle w:val="EndnoteReference"/>
        </w:rPr>
        <w:endnoteReference w:id="23"/>
      </w:r>
      <w:r>
        <w:t xml:space="preserve"> within the G16 program package</w:t>
      </w:r>
      <w:r w:rsidR="007E6258">
        <w:t xml:space="preserve"> and was found to be negligible at 0.23 kcal/mol. </w:t>
      </w:r>
      <w:r w:rsidR="00F1541B">
        <w:t xml:space="preserve">The numerical basis sets that were utilized in </w:t>
      </w:r>
      <w:r w:rsidR="00F1541B">
        <w:lastRenderedPageBreak/>
        <w:t>the</w:t>
      </w:r>
      <w:r w:rsidR="007E6258">
        <w:t xml:space="preserve"> routine calculations </w:t>
      </w:r>
      <w:r w:rsidR="00F1541B">
        <w:t>of this study are less prone to superposition error.</w:t>
      </w:r>
      <w:r w:rsidR="00F1541B">
        <w:rPr>
          <w:rStyle w:val="EndnoteReference"/>
        </w:rPr>
        <w:endnoteReference w:id="24"/>
      </w:r>
    </w:p>
    <w:p w14:paraId="0F0CF261" w14:textId="77777777" w:rsidR="008C52B4" w:rsidRPr="00F735E8" w:rsidRDefault="008C52B4" w:rsidP="008E40E5">
      <w:pPr>
        <w:pStyle w:val="TAMainText"/>
      </w:pPr>
    </w:p>
    <w:p w14:paraId="7755D4D9" w14:textId="4C7D047F" w:rsidR="00520C36" w:rsidRPr="00A113BE" w:rsidRDefault="00933E5F" w:rsidP="008E40E5">
      <w:pPr>
        <w:pStyle w:val="TAMainText"/>
        <w:rPr>
          <w:b/>
          <w:bCs/>
        </w:rPr>
      </w:pPr>
      <w:r w:rsidRPr="00A113BE">
        <w:rPr>
          <w:b/>
          <w:bCs/>
        </w:rPr>
        <w:t>Results and Discussion</w:t>
      </w:r>
    </w:p>
    <w:p w14:paraId="1960CC74" w14:textId="760441C0" w:rsidR="00520C36" w:rsidRPr="00B03253" w:rsidRDefault="00520C36" w:rsidP="008E40E5">
      <w:pPr>
        <w:pStyle w:val="TAMainText"/>
        <w:rPr>
          <w:vertAlign w:val="superscript"/>
        </w:rPr>
      </w:pPr>
      <w:r>
        <w:t>As discussed in the introduction, these new catalysts are markedly faster than the previous standard bearers</w:t>
      </w:r>
      <w:r w:rsidR="00EB52AC">
        <w:t xml:space="preserve">. </w:t>
      </w:r>
      <w:r w:rsidR="00533F22">
        <w:t>Utilizing 10 mol</w:t>
      </w:r>
      <w:r w:rsidR="00A861A1">
        <w:t xml:space="preserve"> </w:t>
      </w:r>
      <w:r w:rsidR="00533F22">
        <w:t>% catalyst in 1,2-dichloroethane,</w:t>
      </w:r>
      <w:r w:rsidR="00DC6A2A">
        <w:t xml:space="preserve"> </w:t>
      </w:r>
      <w:r w:rsidR="00602175">
        <w:t xml:space="preserve">the </w:t>
      </w:r>
      <w:r w:rsidR="00EB52AC">
        <w:t>DPE</w:t>
      </w:r>
      <w:r w:rsidR="00C869E9">
        <w:t>p</w:t>
      </w:r>
      <w:r w:rsidR="00EB52AC">
        <w:t xml:space="preserve">hos complex </w:t>
      </w:r>
      <w:r w:rsidR="007C6453">
        <w:rPr>
          <w:b/>
          <w:bCs/>
        </w:rPr>
        <w:t>2</w:t>
      </w:r>
      <w:r w:rsidR="00EB52AC">
        <w:t xml:space="preserve"> is </w:t>
      </w:r>
      <w:r w:rsidR="00A051DA">
        <w:t xml:space="preserve">only </w:t>
      </w:r>
      <w:r w:rsidR="00EB52AC">
        <w:t>slightly faster than Bosnich’s [</w:t>
      </w:r>
      <w:proofErr w:type="spellStart"/>
      <w:r w:rsidR="00EB52AC">
        <w:t>dppeRh</w:t>
      </w:r>
      <w:proofErr w:type="spellEnd"/>
      <w:r w:rsidR="00EB52AC">
        <w:t>]</w:t>
      </w:r>
      <w:r w:rsidR="00EB52AC">
        <w:rPr>
          <w:vertAlign w:val="superscript"/>
        </w:rPr>
        <w:t>+</w:t>
      </w:r>
      <w:r w:rsidR="00EB52AC">
        <w:t xml:space="preserve"> </w:t>
      </w:r>
      <w:proofErr w:type="gramStart"/>
      <w:r w:rsidR="00EB52AC" w:rsidRPr="000E1505">
        <w:rPr>
          <w:b/>
          <w:bCs/>
        </w:rPr>
        <w:t>1</w:t>
      </w:r>
      <w:r w:rsidR="00EB52AC">
        <w:t>, but</w:t>
      </w:r>
      <w:proofErr w:type="gramEnd"/>
      <w:r w:rsidR="00EB52AC">
        <w:t xml:space="preserve"> posses</w:t>
      </w:r>
      <w:r w:rsidR="005A2AAB">
        <w:t>ses a significantly higher turn</w:t>
      </w:r>
      <w:r w:rsidR="00EB52AC">
        <w:t>over number</w:t>
      </w:r>
      <w:r w:rsidR="00536F0F">
        <w:t xml:space="preserve"> as </w:t>
      </w:r>
      <w:r w:rsidR="00536F0F" w:rsidRPr="00536F0F">
        <w:t>decarbonylation is attenuated, possibly at the expense of alkene coordination, with this hemilabile ligand</w:t>
      </w:r>
      <w:r w:rsidR="00EB52AC">
        <w:t xml:space="preserve">. The PCP complex </w:t>
      </w:r>
      <w:r w:rsidR="007C6453" w:rsidRPr="006D7D51">
        <w:rPr>
          <w:b/>
          <w:bCs/>
        </w:rPr>
        <w:t>3</w:t>
      </w:r>
      <w:r w:rsidR="007A7BB9" w:rsidRPr="003B45BF">
        <w:rPr>
          <w:b/>
          <w:bCs/>
        </w:rPr>
        <w:fldChar w:fldCharType="begin"/>
      </w:r>
      <w:r w:rsidR="007A7BB9" w:rsidRPr="003B45BF">
        <w:rPr>
          <w:b/>
          <w:bCs/>
        </w:rPr>
        <w:instrText xml:space="preserve"> NOTEREF _Ref197013075 \f \h </w:instrText>
      </w:r>
      <w:r w:rsidR="00EB36AA" w:rsidRPr="003B45BF">
        <w:rPr>
          <w:b/>
          <w:bCs/>
        </w:rPr>
        <w:instrText xml:space="preserve"> \* MERGEFORMAT </w:instrText>
      </w:r>
      <w:r w:rsidR="007A7BB9" w:rsidRPr="003B45BF">
        <w:rPr>
          <w:b/>
          <w:bCs/>
        </w:rPr>
      </w:r>
      <w:r w:rsidR="007A7BB9" w:rsidRPr="003B45BF">
        <w:rPr>
          <w:b/>
          <w:bCs/>
        </w:rPr>
        <w:fldChar w:fldCharType="separate"/>
      </w:r>
      <w:r w:rsidR="00A03108" w:rsidRPr="003B45BF">
        <w:rPr>
          <w:rStyle w:val="EndnoteReference"/>
        </w:rPr>
        <w:t>7</w:t>
      </w:r>
      <w:r w:rsidR="007A7BB9" w:rsidRPr="003B45BF">
        <w:rPr>
          <w:b/>
          <w:bCs/>
        </w:rPr>
        <w:fldChar w:fldCharType="end"/>
      </w:r>
      <w:r w:rsidR="007A7BB9">
        <w:rPr>
          <w:b/>
          <w:bCs/>
        </w:rPr>
        <w:t xml:space="preserve"> </w:t>
      </w:r>
      <w:r w:rsidR="00EB52AC">
        <w:t xml:space="preserve">is up to two orders of magnitude faster than </w:t>
      </w:r>
      <w:r w:rsidR="007C6453">
        <w:rPr>
          <w:b/>
          <w:bCs/>
        </w:rPr>
        <w:t>2</w:t>
      </w:r>
      <w:r w:rsidR="00EB52AC">
        <w:t xml:space="preserve">, a result </w:t>
      </w:r>
      <w:r w:rsidR="009A6D96">
        <w:t xml:space="preserve">initially </w:t>
      </w:r>
      <w:r w:rsidR="00EB52AC">
        <w:t xml:space="preserve">attributed to the </w:t>
      </w:r>
      <w:r w:rsidR="003C3037">
        <w:t xml:space="preserve">potential for faster </w:t>
      </w:r>
      <w:r w:rsidR="00EB52AC">
        <w:t>reductive elimination for these small bite angle ligand rhodium complexes</w:t>
      </w:r>
      <w:r w:rsidR="009A6D96">
        <w:t>,</w:t>
      </w:r>
      <w:r w:rsidR="003C3037">
        <w:t xml:space="preserve"> based on Fink’s observation of fast reductive elimination for related palladium complexes</w:t>
      </w:r>
      <w:r w:rsidR="00EB52AC">
        <w:t>.</w:t>
      </w:r>
      <w:r w:rsidR="003C3037">
        <w:rPr>
          <w:rStyle w:val="EndnoteReference"/>
        </w:rPr>
        <w:endnoteReference w:id="25"/>
      </w:r>
      <w:r w:rsidR="00982062">
        <w:t xml:space="preserve"> </w:t>
      </w:r>
      <w:r w:rsidR="00A10BF4">
        <w:t xml:space="preserve">A significant limitation for these </w:t>
      </w:r>
      <w:r w:rsidR="00C1266D">
        <w:t xml:space="preserve">PCP </w:t>
      </w:r>
      <w:r w:rsidR="00A10BF4">
        <w:t xml:space="preserve">catalysts in the preliminary study was the relatively high rate of decarbonylation. For example, under the conditions referenced above, </w:t>
      </w:r>
      <w:r w:rsidR="007C6453">
        <w:rPr>
          <w:b/>
          <w:bCs/>
        </w:rPr>
        <w:t>3</w:t>
      </w:r>
      <w:r w:rsidR="00A10BF4">
        <w:t xml:space="preserve"> achieved 94% conversion within fifteen minutes, but catalyst </w:t>
      </w:r>
      <w:r w:rsidR="009A6D96">
        <w:t xml:space="preserve">deactivation </w:t>
      </w:r>
      <w:r w:rsidR="00A10BF4">
        <w:t xml:space="preserve">eroded the activity nearly as quickly. Catalyst </w:t>
      </w:r>
      <w:r w:rsidR="007C6453">
        <w:rPr>
          <w:b/>
          <w:bCs/>
        </w:rPr>
        <w:t>2</w:t>
      </w:r>
      <w:r w:rsidR="00A10BF4">
        <w:t xml:space="preserve"> takes 36 hours to achieve 71% conversion, but the catalyst complex retains activity throughout.</w:t>
      </w:r>
      <w:r w:rsidR="002E7372">
        <w:t xml:space="preserve"> </w:t>
      </w:r>
    </w:p>
    <w:p w14:paraId="2F2CE62E" w14:textId="084B2E0A" w:rsidR="00CC1C1B" w:rsidRDefault="00CC1C1B" w:rsidP="008E40E5">
      <w:pPr>
        <w:pStyle w:val="TAMainText"/>
      </w:pPr>
      <w:r>
        <w:t>As summarized</w:t>
      </w:r>
      <w:r w:rsidR="00D91565">
        <w:t xml:space="preserve"> (</w:t>
      </w:r>
      <w:r w:rsidR="00A10BF4">
        <w:t xml:space="preserve">going </w:t>
      </w:r>
      <w:r w:rsidR="00D91565">
        <w:t>clockwise)</w:t>
      </w:r>
      <w:r>
        <w:t xml:space="preserve"> in </w:t>
      </w:r>
      <w:r w:rsidR="00AA422C">
        <w:t xml:space="preserve">Figure </w:t>
      </w:r>
      <w:r w:rsidR="0066146F">
        <w:t>2</w:t>
      </w:r>
      <w:r>
        <w:t xml:space="preserve">, </w:t>
      </w:r>
      <w:r w:rsidR="004A4469">
        <w:t xml:space="preserve">the study referenced </w:t>
      </w:r>
      <w:r w:rsidR="00A03108">
        <w:t>above</w:t>
      </w:r>
      <w:r w:rsidR="00A03108">
        <w:rPr>
          <w:vertAlign w:val="superscript"/>
        </w:rPr>
        <w:t>7</w:t>
      </w:r>
      <w:r w:rsidRPr="00AD3AE1">
        <w:t xml:space="preserve"> h</w:t>
      </w:r>
      <w:r w:rsidR="00FD3561">
        <w:t>ad</w:t>
      </w:r>
      <w:r>
        <w:t xml:space="preserve"> shown</w:t>
      </w:r>
      <w:r w:rsidR="008F5F5B">
        <w:t xml:space="preserve"> </w:t>
      </w:r>
      <w:r w:rsidR="00DB1C4E">
        <w:t xml:space="preserve">that when </w:t>
      </w:r>
      <w:r w:rsidR="008F5F5B">
        <w:t xml:space="preserve">utilizing </w:t>
      </w:r>
      <w:r w:rsidR="008F5F5B">
        <w:t>the same solvent and catalyst loadings</w:t>
      </w:r>
      <w:r w:rsidR="004A7CAA">
        <w:t>,</w:t>
      </w:r>
      <w:r>
        <w:t xml:space="preserve"> the small-bite-angle ligand complexes such as </w:t>
      </w:r>
      <w:r w:rsidR="007C6453">
        <w:rPr>
          <w:b/>
          <w:bCs/>
        </w:rPr>
        <w:t>3</w:t>
      </w:r>
      <w:r w:rsidRPr="00AD3AE1">
        <w:t xml:space="preserve"> </w:t>
      </w:r>
      <w:r>
        <w:t>g</w:t>
      </w:r>
      <w:r w:rsidR="008F5F5B">
        <w:t>a</w:t>
      </w:r>
      <w:r>
        <w:t xml:space="preserve">ve </w:t>
      </w:r>
      <w:r w:rsidR="00824FF2">
        <w:t xml:space="preserve">much </w:t>
      </w:r>
      <w:r>
        <w:t>greater conversions in their screening reactions</w:t>
      </w:r>
      <w:r w:rsidR="006C38F1">
        <w:t xml:space="preserve"> utilizing </w:t>
      </w:r>
      <w:r w:rsidR="006C38F1">
        <w:rPr>
          <w:b/>
          <w:bCs/>
        </w:rPr>
        <w:t>5</w:t>
      </w:r>
      <w:r w:rsidR="006C38F1">
        <w:t xml:space="preserve"> and 1-octene as substrates</w:t>
      </w:r>
      <w:r>
        <w:t xml:space="preserve"> relative to the previous generation catalyst </w:t>
      </w:r>
      <w:r w:rsidR="007C6453">
        <w:rPr>
          <w:b/>
          <w:bCs/>
        </w:rPr>
        <w:t>2</w:t>
      </w:r>
      <w:r>
        <w:t xml:space="preserve">. </w:t>
      </w:r>
      <w:r w:rsidR="004A4469">
        <w:t xml:space="preserve">It </w:t>
      </w:r>
      <w:r>
        <w:t xml:space="preserve">also established </w:t>
      </w:r>
      <w:r w:rsidRPr="00AD3AE1">
        <w:t xml:space="preserve">that incorporation of two equivalents of acetonitrile </w:t>
      </w:r>
      <w:r w:rsidR="007D0D76">
        <w:t xml:space="preserve">into the reaction ensemble </w:t>
      </w:r>
      <w:r w:rsidRPr="00AD3AE1">
        <w:t>had a p</w:t>
      </w:r>
      <w:r>
        <w:t>rotective</w:t>
      </w:r>
      <w:r w:rsidRPr="00AD3AE1">
        <w:t xml:space="preserve"> effect</w:t>
      </w:r>
      <w:r>
        <w:t xml:space="preserve"> (catalyst </w:t>
      </w:r>
      <w:r w:rsidR="007C6453">
        <w:rPr>
          <w:b/>
          <w:bCs/>
        </w:rPr>
        <w:t>4</w:t>
      </w:r>
      <w:r>
        <w:t xml:space="preserve"> is formed from </w:t>
      </w:r>
      <w:r w:rsidR="007C6453">
        <w:rPr>
          <w:b/>
          <w:bCs/>
        </w:rPr>
        <w:t>3</w:t>
      </w:r>
      <w:r w:rsidRPr="002D40A1">
        <w:rPr>
          <w:b/>
          <w:bCs/>
        </w:rPr>
        <w:t xml:space="preserve"> </w:t>
      </w:r>
      <w:r>
        <w:t>by the addition of the two equivalents of acetonitrile)</w:t>
      </w:r>
      <w:r w:rsidRPr="00AD3AE1">
        <w:t xml:space="preserve">, </w:t>
      </w:r>
      <w:r w:rsidR="00824FF2">
        <w:t>reducing</w:t>
      </w:r>
      <w:r w:rsidRPr="00AD3AE1">
        <w:t xml:space="preserve"> decarbonylation</w:t>
      </w:r>
      <w:r>
        <w:t>, but that higher amounts suppressed rates and conversions</w:t>
      </w:r>
      <w:r w:rsidR="0003252F">
        <w:t xml:space="preserve">, </w:t>
      </w:r>
      <w:r w:rsidR="00763C62">
        <w:t>presumably by competing too successfully with the alkene binding</w:t>
      </w:r>
      <w:r w:rsidRPr="00AD3AE1">
        <w:t xml:space="preserve">. </w:t>
      </w:r>
      <w:r w:rsidR="00824FF2">
        <w:t>Further</w:t>
      </w:r>
      <w:r w:rsidRPr="00AD3AE1">
        <w:t xml:space="preserve">, utilization of acetone as a solvent </w:t>
      </w:r>
      <w:r>
        <w:t xml:space="preserve">instead of dichloroethane </w:t>
      </w:r>
      <w:r w:rsidRPr="00AD3AE1">
        <w:t>was found to als</w:t>
      </w:r>
      <w:r>
        <w:t xml:space="preserve">o suppress decarbonylation, </w:t>
      </w:r>
      <w:r w:rsidRPr="00AD3AE1">
        <w:t xml:space="preserve">and the effects were </w:t>
      </w:r>
      <w:r w:rsidRPr="00B15312">
        <w:t>additive</w:t>
      </w:r>
      <w:r w:rsidR="002E54D8">
        <w:t xml:space="preserve"> with the protective effect of the acetonitrile ligand</w:t>
      </w:r>
      <w:r>
        <w:t>. Increasing the concentration</w:t>
      </w:r>
      <w:r w:rsidR="005A676C">
        <w:t>s</w:t>
      </w:r>
      <w:r>
        <w:t xml:space="preserve"> of the aldehyde </w:t>
      </w:r>
      <w:r w:rsidR="008B60F3">
        <w:rPr>
          <w:b/>
          <w:bCs/>
        </w:rPr>
        <w:t>5</w:t>
      </w:r>
      <w:r>
        <w:t xml:space="preserve"> </w:t>
      </w:r>
      <w:r w:rsidR="00267225">
        <w:t xml:space="preserve">and alkene </w:t>
      </w:r>
      <w:r>
        <w:t xml:space="preserve">allowed reduction of the catalyst loadings </w:t>
      </w:r>
      <w:r w:rsidR="009912F7">
        <w:t>from 1</w:t>
      </w:r>
      <w:r w:rsidR="007D0D76">
        <w:t xml:space="preserve"> mol </w:t>
      </w:r>
      <w:r w:rsidR="009912F7">
        <w:t>% to 0.1</w:t>
      </w:r>
      <w:r>
        <w:t xml:space="preserve"> </w:t>
      </w:r>
      <w:r w:rsidR="007D0D76">
        <w:t xml:space="preserve">mol </w:t>
      </w:r>
      <w:r>
        <w:t>% while still maintaining high turnover.</w:t>
      </w:r>
    </w:p>
    <w:p w14:paraId="68873312" w14:textId="1EDA852D" w:rsidR="00CC1C1B" w:rsidRPr="00000C2E" w:rsidRDefault="00CC1C1B" w:rsidP="008E40E5">
      <w:pPr>
        <w:pStyle w:val="TAMainText"/>
      </w:pPr>
      <w:r>
        <w:t>To summarize these findings, small amounts of acetonitrile and the coordinating solvent</w:t>
      </w:r>
      <w:r w:rsidR="00053E63">
        <w:t xml:space="preserve"> acetone</w:t>
      </w:r>
      <w:r>
        <w:t xml:space="preserve"> increase the turnover number for the catalyst, while</w:t>
      </w:r>
      <w:r w:rsidR="00ED250A">
        <w:t xml:space="preserve"> high</w:t>
      </w:r>
      <w:r w:rsidR="00075255">
        <w:t>er</w:t>
      </w:r>
      <w:r w:rsidR="00ED250A">
        <w:t xml:space="preserve"> concentration</w:t>
      </w:r>
      <w:r w:rsidR="007130B7">
        <w:t>s</w:t>
      </w:r>
      <w:r w:rsidR="00ED250A">
        <w:t xml:space="preserve"> of </w:t>
      </w:r>
      <w:r w:rsidR="00486398">
        <w:t>acetonitrile</w:t>
      </w:r>
      <w:r>
        <w:t xml:space="preserve"> slow catalysis. Increasing the amount of </w:t>
      </w:r>
      <w:r w:rsidR="008B60F3">
        <w:rPr>
          <w:b/>
          <w:bCs/>
        </w:rPr>
        <w:t>5</w:t>
      </w:r>
      <w:r>
        <w:t xml:space="preserve"> and the alkene relative to the catalyst also increases turnover.</w:t>
      </w:r>
    </w:p>
    <w:p w14:paraId="53511350" w14:textId="77777777" w:rsidR="007861C5" w:rsidRDefault="007861C5" w:rsidP="008E40E5">
      <w:pPr>
        <w:pStyle w:val="TAMainText"/>
        <w:sectPr w:rsidR="007861C5" w:rsidSect="00D30160">
          <w:footnotePr>
            <w:pos w:val="beneathText"/>
          </w:footnotePr>
          <w:endnotePr>
            <w:numFmt w:val="decimal"/>
          </w:endnotePr>
          <w:pgSz w:w="12240" w:h="15840"/>
          <w:pgMar w:top="720" w:right="1094" w:bottom="950" w:left="1094" w:header="720" w:footer="720" w:gutter="0"/>
          <w:cols w:num="2" w:space="461"/>
        </w:sectPr>
      </w:pPr>
    </w:p>
    <w:p w14:paraId="3C751627" w14:textId="77777777" w:rsidR="0047520D" w:rsidRDefault="0047520D" w:rsidP="008E40E5">
      <w:pPr>
        <w:pStyle w:val="TAMainText"/>
      </w:pPr>
    </w:p>
    <w:p w14:paraId="33443179" w14:textId="4731DEC5" w:rsidR="007861C5" w:rsidRPr="008D545A" w:rsidRDefault="001125E2" w:rsidP="008E40E5">
      <w:pPr>
        <w:pStyle w:val="TAMainText"/>
        <w:rPr>
          <w:b/>
          <w:bCs/>
        </w:rPr>
      </w:pPr>
      <w:r>
        <w:rPr>
          <w:b/>
          <w:bCs/>
        </w:rPr>
        <w:t>Figure</w:t>
      </w:r>
      <w:r w:rsidR="0047520D" w:rsidRPr="008D545A">
        <w:rPr>
          <w:b/>
          <w:bCs/>
        </w:rPr>
        <w:t xml:space="preserve"> 2: </w:t>
      </w:r>
      <w:r w:rsidR="00F03668" w:rsidRPr="008D545A">
        <w:rPr>
          <w:b/>
          <w:bCs/>
        </w:rPr>
        <w:t>Dependence of yield on l</w:t>
      </w:r>
      <w:r w:rsidR="00401703" w:rsidRPr="008D545A">
        <w:rPr>
          <w:b/>
          <w:bCs/>
        </w:rPr>
        <w:t xml:space="preserve">igand, </w:t>
      </w:r>
      <w:r w:rsidR="00F03668" w:rsidRPr="008D545A">
        <w:rPr>
          <w:b/>
          <w:bCs/>
        </w:rPr>
        <w:t>a</w:t>
      </w:r>
      <w:r w:rsidR="00401703" w:rsidRPr="008D545A">
        <w:rPr>
          <w:b/>
          <w:bCs/>
        </w:rPr>
        <w:t xml:space="preserve">dditive, and </w:t>
      </w:r>
      <w:r w:rsidR="00F03668" w:rsidRPr="008D545A">
        <w:rPr>
          <w:b/>
          <w:bCs/>
        </w:rPr>
        <w:t>s</w:t>
      </w:r>
      <w:r w:rsidR="00401703" w:rsidRPr="008D545A">
        <w:rPr>
          <w:b/>
          <w:bCs/>
        </w:rPr>
        <w:t>olvent</w:t>
      </w:r>
    </w:p>
    <w:p w14:paraId="77348DF9" w14:textId="51A41F79" w:rsidR="00BE384F" w:rsidRDefault="00747896" w:rsidP="008E40E5">
      <w:pPr>
        <w:pStyle w:val="TAMainText"/>
      </w:pPr>
      <w:r w:rsidRPr="00747896">
        <w:rPr>
          <w:noProof/>
        </w:rPr>
        <w:drawing>
          <wp:inline distT="0" distB="0" distL="0" distR="0" wp14:anchorId="20583F3F" wp14:editId="387FE332">
            <wp:extent cx="6383020" cy="3042920"/>
            <wp:effectExtent l="0" t="0" r="5080" b="5080"/>
            <wp:docPr id="1497603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03919" name=""/>
                    <pic:cNvPicPr/>
                  </pic:nvPicPr>
                  <pic:blipFill>
                    <a:blip r:embed="rId18"/>
                    <a:stretch>
                      <a:fillRect/>
                    </a:stretch>
                  </pic:blipFill>
                  <pic:spPr>
                    <a:xfrm>
                      <a:off x="0" y="0"/>
                      <a:ext cx="6383020" cy="3042920"/>
                    </a:xfrm>
                    <a:prstGeom prst="rect">
                      <a:avLst/>
                    </a:prstGeom>
                  </pic:spPr>
                </pic:pic>
              </a:graphicData>
            </a:graphic>
          </wp:inline>
        </w:drawing>
      </w:r>
    </w:p>
    <w:p w14:paraId="43D0A5C3" w14:textId="24FD76FE" w:rsidR="00EB62C6" w:rsidRDefault="00EB62C6" w:rsidP="007577E6">
      <w:pPr>
        <w:pStyle w:val="FDSchemeFootnote"/>
        <w:sectPr w:rsidR="00EB62C6" w:rsidSect="007577E6">
          <w:footnotePr>
            <w:pos w:val="beneathText"/>
          </w:footnotePr>
          <w:endnotePr>
            <w:numFmt w:val="decimal"/>
          </w:endnotePr>
          <w:type w:val="continuous"/>
          <w:pgSz w:w="12240" w:h="15840"/>
          <w:pgMar w:top="720" w:right="1094" w:bottom="950" w:left="1094" w:header="720" w:footer="720" w:gutter="0"/>
          <w:cols w:space="461"/>
        </w:sectPr>
      </w:pPr>
      <w:r w:rsidRPr="00F72ED1">
        <w:t>Conditions: ClCH</w:t>
      </w:r>
      <w:r w:rsidRPr="00081170">
        <w:rPr>
          <w:vertAlign w:val="subscript"/>
        </w:rPr>
        <w:t>2</w:t>
      </w:r>
      <w:r w:rsidRPr="00F72ED1">
        <w:t>CH</w:t>
      </w:r>
      <w:r w:rsidRPr="00081170">
        <w:rPr>
          <w:vertAlign w:val="subscript"/>
        </w:rPr>
        <w:t>2</w:t>
      </w:r>
      <w:r w:rsidRPr="00F72ED1">
        <w:t xml:space="preserve">Cl solvent, 353 K; acetone solvent, 328 K. </w:t>
      </w:r>
      <w:r w:rsidR="00E61AA3">
        <w:t>Catalyst 1.0 mol</w:t>
      </w:r>
      <w:r w:rsidR="00966BED">
        <w:t xml:space="preserve"> </w:t>
      </w:r>
      <w:r w:rsidR="00E61AA3">
        <w:t>%</w:t>
      </w:r>
      <w:r w:rsidR="00FB51F3">
        <w:t xml:space="preserve"> of the </w:t>
      </w:r>
      <w:r w:rsidR="00E61AA3">
        <w:t>a</w:t>
      </w:r>
      <w:r w:rsidRPr="00F72ED1">
        <w:t>ldehyde</w:t>
      </w:r>
      <w:r w:rsidR="00533C88">
        <w:t xml:space="preserve"> concentration</w:t>
      </w:r>
      <w:r w:rsidR="001C025C">
        <w:t>,</w:t>
      </w:r>
      <w:r w:rsidRPr="00F72ED1">
        <w:t xml:space="preserve"> alkene </w:t>
      </w:r>
      <w:r w:rsidR="001C025C">
        <w:t xml:space="preserve">added as </w:t>
      </w:r>
      <w:r w:rsidRPr="00F72ED1">
        <w:t>1.5 equiv</w:t>
      </w:r>
      <w:r w:rsidR="00533C88">
        <w:t>. relative to the aldehyde</w:t>
      </w:r>
      <w:r w:rsidRPr="00F72ED1">
        <w:t>. Conversions and selectivity are by HPLC</w:t>
      </w:r>
      <w:r w:rsidR="006E74BA">
        <w:rPr>
          <w:vertAlign w:val="subscript"/>
        </w:rPr>
        <w:t>.</w:t>
      </w:r>
    </w:p>
    <w:p w14:paraId="2EA25677" w14:textId="0A679533" w:rsidR="00CC1C1B" w:rsidRDefault="00CC1C1B" w:rsidP="008E40E5">
      <w:pPr>
        <w:pStyle w:val="TAMainText"/>
      </w:pPr>
    </w:p>
    <w:p w14:paraId="4AF96E0D" w14:textId="1B0D2AF3" w:rsidR="008E3AC2" w:rsidRDefault="008E3AC2" w:rsidP="008E40E5">
      <w:pPr>
        <w:pStyle w:val="TAMainText"/>
      </w:pPr>
      <w:r>
        <w:t xml:space="preserve">The </w:t>
      </w:r>
      <w:r w:rsidR="00532F3E">
        <w:t xml:space="preserve">DFT </w:t>
      </w:r>
      <w:r w:rsidR="00727AB4">
        <w:t xml:space="preserve">calculated </w:t>
      </w:r>
      <w:r>
        <w:t>catalytic cycle for productive hydroacylation and the competing decarbonylation</w:t>
      </w:r>
      <w:r w:rsidR="00A051DA">
        <w:t xml:space="preserve"> in the absence of any explicit solvent or added ligand</w:t>
      </w:r>
      <w:r>
        <w:t xml:space="preserve"> </w:t>
      </w:r>
      <w:r w:rsidR="00770683">
        <w:t>is</w:t>
      </w:r>
      <w:r>
        <w:t xml:space="preserve"> </w:t>
      </w:r>
      <w:r>
        <w:t xml:space="preserve">illustrated in Scheme </w:t>
      </w:r>
      <w:r w:rsidR="00AA422C">
        <w:t>2</w:t>
      </w:r>
      <w:r>
        <w:t xml:space="preserve">, while the reaction energy profiles for these two paths are shown in Scheme </w:t>
      </w:r>
      <w:r w:rsidR="00AA422C">
        <w:t>3</w:t>
      </w:r>
      <w:r>
        <w:t>.</w:t>
      </w:r>
    </w:p>
    <w:p w14:paraId="009AB53A" w14:textId="13A9C9A4" w:rsidR="00F06785" w:rsidRDefault="001370DB" w:rsidP="008E40E5">
      <w:pPr>
        <w:pStyle w:val="TAMainText"/>
      </w:pPr>
      <w:r>
        <w:t xml:space="preserve">Consistent with our recent communication clarifying the oxidative </w:t>
      </w:r>
      <w:r w:rsidR="000A33D7">
        <w:t>cleavage</w:t>
      </w:r>
      <w:r>
        <w:t xml:space="preserve"> process for the Bosnich </w:t>
      </w:r>
      <w:r>
        <w:lastRenderedPageBreak/>
        <w:t>[</w:t>
      </w:r>
      <w:proofErr w:type="spellStart"/>
      <w:r>
        <w:t>Rhdppe</w:t>
      </w:r>
      <w:proofErr w:type="spellEnd"/>
      <w:r>
        <w:t>]</w:t>
      </w:r>
      <w:r w:rsidRPr="4ABCE378">
        <w:rPr>
          <w:vertAlign w:val="superscript"/>
        </w:rPr>
        <w:t>+</w:t>
      </w:r>
      <w:r>
        <w:t>-catalyzed HA,</w:t>
      </w:r>
      <w:r w:rsidR="000817F1" w:rsidRPr="003B45BF">
        <w:rPr>
          <w:vertAlign w:val="superscript"/>
        </w:rPr>
        <w:t>6</w:t>
      </w:r>
      <w:r w:rsidR="00126C85" w:rsidRPr="003B45BF">
        <w:rPr>
          <w:vertAlign w:val="superscript"/>
        </w:rPr>
        <w:t>b</w:t>
      </w:r>
      <w:r>
        <w:t xml:space="preserve"> here the formal </w:t>
      </w:r>
      <w:r w:rsidR="0089360C">
        <w:t xml:space="preserve">C-H </w:t>
      </w:r>
      <w:r>
        <w:t xml:space="preserve">oxidative </w:t>
      </w:r>
      <w:r w:rsidR="003C5134">
        <w:t>cleavage</w:t>
      </w:r>
      <w:r>
        <w:t xml:space="preserve"> step proceeds from the coordinated substrate complex </w:t>
      </w:r>
      <w:r w:rsidR="006576E1" w:rsidRPr="4ABCE378">
        <w:rPr>
          <w:b/>
          <w:bCs/>
        </w:rPr>
        <w:t>7</w:t>
      </w:r>
      <w:r>
        <w:t xml:space="preserve"> through the </w:t>
      </w:r>
      <w:r w:rsidRPr="4ABCE378">
        <w:rPr>
          <w:rFonts w:ascii="Symbol" w:hAnsi="Symbol"/>
        </w:rPr>
        <w:t></w:t>
      </w:r>
      <w:r>
        <w:t xml:space="preserve"> complex </w:t>
      </w:r>
      <w:r w:rsidR="006576E1" w:rsidRPr="4ABCE378">
        <w:rPr>
          <w:b/>
          <w:bCs/>
        </w:rPr>
        <w:t>8</w:t>
      </w:r>
      <w:r>
        <w:t xml:space="preserve">, </w:t>
      </w:r>
      <w:r w:rsidRPr="4ABCE378">
        <w:rPr>
          <w:rFonts w:ascii="Symbol" w:hAnsi="Symbol"/>
        </w:rPr>
        <w:t></w:t>
      </w:r>
      <w:r>
        <w:t xml:space="preserve"> complex </w:t>
      </w:r>
      <w:r w:rsidR="006576E1" w:rsidRPr="4ABCE378">
        <w:rPr>
          <w:b/>
          <w:bCs/>
        </w:rPr>
        <w:t>9</w:t>
      </w:r>
      <w:r>
        <w:t xml:space="preserve"> and the</w:t>
      </w:r>
      <w:r w:rsidR="00B2622B">
        <w:t xml:space="preserve">n </w:t>
      </w:r>
      <w:r w:rsidR="00296DE0">
        <w:t>to</w:t>
      </w:r>
      <w:r>
        <w:t xml:space="preserve"> </w:t>
      </w:r>
      <w:r w:rsidR="006576E1" w:rsidRPr="4ABCE378">
        <w:rPr>
          <w:b/>
          <w:bCs/>
        </w:rPr>
        <w:t>10</w:t>
      </w:r>
      <w:r>
        <w:t>.</w:t>
      </w:r>
      <w:r w:rsidR="00B2622B">
        <w:t xml:space="preserve"> Of </w:t>
      </w:r>
      <w:proofErr w:type="gramStart"/>
      <w:r w:rsidR="00B2622B">
        <w:t>particular note</w:t>
      </w:r>
      <w:proofErr w:type="gramEnd"/>
      <w:r w:rsidR="00B2622B">
        <w:t xml:space="preserve"> for this oxidative </w:t>
      </w:r>
      <w:r w:rsidR="00A60991">
        <w:t>cleavage</w:t>
      </w:r>
      <w:r w:rsidR="00B2622B">
        <w:t xml:space="preserve"> is that the formation of the </w:t>
      </w:r>
      <w:r w:rsidR="00B2622B" w:rsidRPr="4ABCE378">
        <w:rPr>
          <w:rFonts w:ascii="Symbol" w:hAnsi="Symbol"/>
        </w:rPr>
        <w:t></w:t>
      </w:r>
      <w:r w:rsidR="00B2622B">
        <w:t xml:space="preserve"> complex is the</w:t>
      </w:r>
      <w:r w:rsidR="00EA643A">
        <w:t xml:space="preserve"> slow</w:t>
      </w:r>
      <w:r w:rsidR="00B2622B">
        <w:t xml:space="preserve"> step</w:t>
      </w:r>
      <w:r w:rsidR="00296DE0">
        <w:t xml:space="preserve"> (</w:t>
      </w:r>
      <w:r w:rsidR="00FF7F69">
        <w:t>∆G</w:t>
      </w:r>
      <w:r w:rsidR="00FD4DFD" w:rsidRPr="4ABCE378">
        <w:rPr>
          <w:rFonts w:ascii="Arial" w:hAnsi="Arial" w:cs="Arial"/>
          <w:vertAlign w:val="superscript"/>
        </w:rPr>
        <w:t>‡</w:t>
      </w:r>
      <w:r w:rsidR="00FF7F69">
        <w:t xml:space="preserve"> 17.7 kcal/mol</w:t>
      </w:r>
      <w:r w:rsidR="00FD4DFD">
        <w:t>)</w:t>
      </w:r>
      <w:r w:rsidR="00B2622B">
        <w:t>, while the actual C</w:t>
      </w:r>
      <w:r w:rsidR="008A6BB3">
        <w:t>–</w:t>
      </w:r>
      <w:r w:rsidR="00B2622B">
        <w:t>H cleavage has a very low barrier</w:t>
      </w:r>
      <w:r w:rsidR="00FD4DFD">
        <w:t xml:space="preserve"> (∆G</w:t>
      </w:r>
      <w:r w:rsidR="00FD4DFD" w:rsidRPr="4ABCE378">
        <w:rPr>
          <w:rFonts w:ascii="Arial" w:hAnsi="Arial" w:cs="Arial"/>
          <w:vertAlign w:val="superscript"/>
        </w:rPr>
        <w:t>‡</w:t>
      </w:r>
      <w:r w:rsidR="00FD4DFD">
        <w:t xml:space="preserve"> </w:t>
      </w:r>
      <w:r w:rsidR="005F127B">
        <w:t>8</w:t>
      </w:r>
      <w:r w:rsidR="00FD4DFD">
        <w:t>.</w:t>
      </w:r>
      <w:r w:rsidR="005F127B">
        <w:t>3</w:t>
      </w:r>
      <w:r w:rsidR="00FD4DFD">
        <w:t xml:space="preserve"> kcal/mol)</w:t>
      </w:r>
      <w:r w:rsidR="00B2622B">
        <w:t>.</w:t>
      </w:r>
      <w:r w:rsidR="00CA1D26">
        <w:t xml:space="preserve"> </w:t>
      </w:r>
      <w:r w:rsidR="00FD3F93">
        <w:t xml:space="preserve">In any case, the oxidative </w:t>
      </w:r>
      <w:r w:rsidR="00A60991">
        <w:t>cleavage</w:t>
      </w:r>
      <w:r w:rsidR="00FD3F93">
        <w:t xml:space="preserve"> steps are rapid and reversible.</w:t>
      </w:r>
    </w:p>
    <w:p w14:paraId="0243992D" w14:textId="6538B41C" w:rsidR="00CA1D26" w:rsidRPr="00CA1D26" w:rsidRDefault="00CA1D26" w:rsidP="008E40E5">
      <w:pPr>
        <w:pStyle w:val="TAMainText"/>
      </w:pPr>
      <w:r>
        <w:t xml:space="preserve">These </w:t>
      </w:r>
      <w:r w:rsidR="000D2B33">
        <w:t>initial</w:t>
      </w:r>
      <w:r>
        <w:t xml:space="preserve"> steps </w:t>
      </w:r>
      <w:r w:rsidR="00086779">
        <w:t>also preview</w:t>
      </w:r>
      <w:r w:rsidR="00582BA8">
        <w:t xml:space="preserve"> the critical role played by</w:t>
      </w:r>
      <w:r>
        <w:t xml:space="preserve"> the </w:t>
      </w:r>
      <w:proofErr w:type="spellStart"/>
      <w:r>
        <w:t>thiomethyl</w:t>
      </w:r>
      <w:proofErr w:type="spellEnd"/>
      <w:r>
        <w:t xml:space="preserve"> group</w:t>
      </w:r>
      <w:r w:rsidR="007130B7">
        <w:t xml:space="preserve"> of </w:t>
      </w:r>
      <w:proofErr w:type="gramStart"/>
      <w:r w:rsidR="007130B7">
        <w:t>substrate</w:t>
      </w:r>
      <w:proofErr w:type="gramEnd"/>
      <w:r w:rsidR="007130B7">
        <w:t xml:space="preserve"> </w:t>
      </w:r>
      <w:r w:rsidR="007130B7">
        <w:rPr>
          <w:b/>
          <w:bCs/>
        </w:rPr>
        <w:t>5</w:t>
      </w:r>
      <w:r w:rsidR="00D21BCC">
        <w:t>. F</w:t>
      </w:r>
      <w:r>
        <w:t>irst</w:t>
      </w:r>
      <w:r w:rsidR="002140A5">
        <w:t>,</w:t>
      </w:r>
      <w:r>
        <w:t xml:space="preserve"> the chelate affords enough stability to the </w:t>
      </w:r>
      <w:r w:rsidRPr="00585351">
        <w:rPr>
          <w:rFonts w:ascii="Symbol" w:hAnsi="Symbol"/>
        </w:rPr>
        <w:t></w:t>
      </w:r>
      <w:r>
        <w:t xml:space="preserve"> complex </w:t>
      </w:r>
      <w:r w:rsidR="002140A5">
        <w:t xml:space="preserve">so </w:t>
      </w:r>
      <w:r>
        <w:t>that the C</w:t>
      </w:r>
      <w:r w:rsidR="00D21BCC">
        <w:t>–</w:t>
      </w:r>
      <w:r>
        <w:t>H cleavage can occur.</w:t>
      </w:r>
      <w:r w:rsidR="00585351">
        <w:t xml:space="preserve"> Second, w</w:t>
      </w:r>
      <w:r>
        <w:t>hile the inv</w:t>
      </w:r>
      <w:r w:rsidR="00F64FC8">
        <w:t xml:space="preserve">ersion of the </w:t>
      </w:r>
      <w:proofErr w:type="spellStart"/>
      <w:r w:rsidR="00F64FC8">
        <w:t>thiomethyl</w:t>
      </w:r>
      <w:proofErr w:type="spellEnd"/>
      <w:r w:rsidR="00F64FC8">
        <w:t xml:space="preserve"> group generally ha</w:t>
      </w:r>
      <w:r>
        <w:t>s a relatively low barrier (vid</w:t>
      </w:r>
      <w:r w:rsidR="00803790">
        <w:t>e</w:t>
      </w:r>
      <w:r>
        <w:t xml:space="preserve"> infra), the stereochemistry of the methyl</w:t>
      </w:r>
      <w:r w:rsidR="00935DD8">
        <w:t xml:space="preserve"> group</w:t>
      </w:r>
      <w:r>
        <w:t xml:space="preserve"> must be accounted for during many of the steps, including the oxidative </w:t>
      </w:r>
      <w:r w:rsidR="000449D0">
        <w:t>cleavage</w:t>
      </w:r>
      <w:r>
        <w:t>, where</w:t>
      </w:r>
      <w:r w:rsidR="00F10E46">
        <w:t>in</w:t>
      </w:r>
      <w:r>
        <w:t xml:space="preserve"> the other </w:t>
      </w:r>
      <w:r>
        <w:t xml:space="preserve">diastereomer of adduct </w:t>
      </w:r>
      <w:r w:rsidR="00D94D86">
        <w:rPr>
          <w:b/>
          <w:bCs/>
        </w:rPr>
        <w:t>10</w:t>
      </w:r>
      <w:r>
        <w:t xml:space="preserve"> places the methyl group into steric conflict with the </w:t>
      </w:r>
      <w:r w:rsidRPr="00F64FC8">
        <w:rPr>
          <w:i/>
        </w:rPr>
        <w:t>t</w:t>
      </w:r>
      <w:r>
        <w:t>-butyl groups of the ligand and is significantly disfavored.</w:t>
      </w:r>
    </w:p>
    <w:p w14:paraId="191C9B1E" w14:textId="05E880DB" w:rsidR="00DF739A" w:rsidRDefault="00EC185F" w:rsidP="008E40E5">
      <w:pPr>
        <w:pStyle w:val="TAMainText"/>
      </w:pPr>
      <w:r>
        <w:t>At this juncture, i</w:t>
      </w:r>
      <w:r w:rsidR="00663F2E">
        <w:t xml:space="preserve">t </w:t>
      </w:r>
      <w:r w:rsidR="000F3B8F">
        <w:t xml:space="preserve">is </w:t>
      </w:r>
      <w:r w:rsidR="00663F2E">
        <w:t xml:space="preserve">tempting to </w:t>
      </w:r>
      <w:r w:rsidR="009F0B80">
        <w:t xml:space="preserve">associate </w:t>
      </w:r>
      <w:r w:rsidR="00663F2E">
        <w:t>the alkene</w:t>
      </w:r>
      <w:r w:rsidR="00C0789B">
        <w:t xml:space="preserve"> in the open coordination site </w:t>
      </w:r>
      <w:r w:rsidR="00C0789B" w:rsidRPr="00AB2FB4">
        <w:rPr>
          <w:i/>
          <w:iCs/>
        </w:rPr>
        <w:t>cis</w:t>
      </w:r>
      <w:r w:rsidR="00C0789B">
        <w:t xml:space="preserve"> to the hydride</w:t>
      </w:r>
      <w:r w:rsidR="00D21BCC">
        <w:t xml:space="preserve"> and trans to the acyl</w:t>
      </w:r>
      <w:r w:rsidR="00C80924">
        <w:t xml:space="preserve"> of intermediate </w:t>
      </w:r>
      <w:r w:rsidR="00C80924" w:rsidRPr="00C80924">
        <w:rPr>
          <w:b/>
          <w:bCs/>
        </w:rPr>
        <w:t>10</w:t>
      </w:r>
      <w:r w:rsidR="00C0789B">
        <w:t xml:space="preserve">, </w:t>
      </w:r>
      <w:r w:rsidR="00C93330">
        <w:t xml:space="preserve">the product of </w:t>
      </w:r>
      <w:r w:rsidR="00C0789B">
        <w:t xml:space="preserve">which could be postulated to proceed via an insertion/rearrangement sequence to give productive hydroacylation. </w:t>
      </w:r>
      <w:r w:rsidR="00C0789B" w:rsidRPr="00054B7C">
        <w:t xml:space="preserve">However, the very high </w:t>
      </w:r>
      <w:r w:rsidR="00C0789B" w:rsidRPr="00AB2FB4">
        <w:rPr>
          <w:i/>
          <w:iCs/>
        </w:rPr>
        <w:t>trans</w:t>
      </w:r>
      <w:r w:rsidR="00C0789B" w:rsidRPr="00054B7C">
        <w:t xml:space="preserve"> influence of the acyl ligand</w:t>
      </w:r>
      <w:r w:rsidR="00D70936">
        <w:t xml:space="preserve"> manifests itself in two important ways. First, it</w:t>
      </w:r>
      <w:r w:rsidR="00C0789B" w:rsidRPr="00054B7C">
        <w:t xml:space="preserve"> </w:t>
      </w:r>
      <w:r w:rsidR="00DA39F2">
        <w:t xml:space="preserve">precludes coordination of the alkene in </w:t>
      </w:r>
      <w:r w:rsidR="00E87799">
        <w:t xml:space="preserve">the </w:t>
      </w:r>
      <w:r w:rsidR="00D70936" w:rsidRPr="00E82D2A">
        <w:rPr>
          <w:i/>
          <w:iCs/>
        </w:rPr>
        <w:t>trans</w:t>
      </w:r>
      <w:r w:rsidR="00D70936">
        <w:t xml:space="preserve"> </w:t>
      </w:r>
      <w:r w:rsidR="00E87799">
        <w:t>location</w:t>
      </w:r>
      <w:r w:rsidR="00395D9B">
        <w:t xml:space="preserve"> </w:t>
      </w:r>
      <w:r w:rsidR="00703C1C">
        <w:t>(</w:t>
      </w:r>
      <w:r w:rsidR="00DA39F2">
        <w:t xml:space="preserve">no stable alkene coordinated structure could be </w:t>
      </w:r>
      <w:r w:rsidR="00E87799">
        <w:t>identified</w:t>
      </w:r>
      <w:r w:rsidR="00703C1C">
        <w:t>)</w:t>
      </w:r>
      <w:r w:rsidR="00DA39F2">
        <w:t xml:space="preserve">. </w:t>
      </w:r>
      <w:r w:rsidR="00703C1C">
        <w:t xml:space="preserve">Second, </w:t>
      </w:r>
      <w:r w:rsidR="00C80924">
        <w:t>intermediate</w:t>
      </w:r>
      <w:r w:rsidR="00DA39F2">
        <w:t xml:space="preserve"> </w:t>
      </w:r>
      <w:r w:rsidR="00D94D86">
        <w:rPr>
          <w:b/>
          <w:bCs/>
        </w:rPr>
        <w:t>10</w:t>
      </w:r>
      <w:r w:rsidR="00C0789B" w:rsidRPr="00054B7C">
        <w:t xml:space="preserve"> is the lowest energy intermediate found on </w:t>
      </w:r>
      <w:r w:rsidR="00DA39F2">
        <w:t>the entire reaction</w:t>
      </w:r>
      <w:r w:rsidR="00DA39F2" w:rsidRPr="00054B7C">
        <w:t xml:space="preserve"> </w:t>
      </w:r>
      <w:r w:rsidR="00C0789B" w:rsidRPr="00054B7C">
        <w:t>pathway</w:t>
      </w:r>
      <w:r w:rsidR="00904851">
        <w:t xml:space="preserve"> (with an open coordination site </w:t>
      </w:r>
      <w:r w:rsidR="00904851">
        <w:rPr>
          <w:i/>
          <w:iCs/>
        </w:rPr>
        <w:t>trans</w:t>
      </w:r>
      <w:r w:rsidR="00904851">
        <w:t xml:space="preserve"> to the acyl)</w:t>
      </w:r>
      <w:r w:rsidR="00D21BCC">
        <w:t>, despite there being no alkene coordinated.</w:t>
      </w:r>
    </w:p>
    <w:p w14:paraId="36A11C1E" w14:textId="77777777" w:rsidR="00CB156B" w:rsidRDefault="00CB156B" w:rsidP="00D71425">
      <w:pPr>
        <w:pStyle w:val="TAMainText"/>
        <w:sectPr w:rsidR="00CB156B" w:rsidSect="007861C5">
          <w:footnotePr>
            <w:pos w:val="beneathText"/>
          </w:footnotePr>
          <w:endnotePr>
            <w:numFmt w:val="decimal"/>
          </w:endnotePr>
          <w:type w:val="continuous"/>
          <w:pgSz w:w="12240" w:h="15840"/>
          <w:pgMar w:top="720" w:right="1094" w:bottom="950" w:left="1094" w:header="720" w:footer="720" w:gutter="0"/>
          <w:cols w:num="2" w:space="461"/>
        </w:sectPr>
      </w:pPr>
    </w:p>
    <w:p w14:paraId="6A20E534" w14:textId="5033E42C" w:rsidR="001E4FE8" w:rsidRDefault="001E4FE8">
      <w:pPr>
        <w:spacing w:after="0"/>
        <w:jc w:val="left"/>
        <w:rPr>
          <w:rFonts w:ascii="Arno Pro" w:hAnsi="Arno Pro"/>
          <w:kern w:val="21"/>
          <w:sz w:val="21"/>
        </w:rPr>
      </w:pPr>
    </w:p>
    <w:p w14:paraId="3C82CECB" w14:textId="2E8CC9A7" w:rsidR="00C80BF2" w:rsidRDefault="008139B2" w:rsidP="008E40E5">
      <w:pPr>
        <w:pStyle w:val="TAMainText"/>
      </w:pPr>
      <w:r>
        <w:rPr>
          <w:noProof/>
          <w:lang w:eastAsia="zh-CN"/>
        </w:rPr>
        <mc:AlternateContent>
          <mc:Choice Requires="wps">
            <w:drawing>
              <wp:anchor distT="0" distB="0" distL="114300" distR="114300" simplePos="0" relativeHeight="251688960" behindDoc="0" locked="0" layoutInCell="1" allowOverlap="1" wp14:anchorId="3DBF2E36" wp14:editId="02DBBE3E">
                <wp:simplePos x="0" y="0"/>
                <wp:positionH relativeFrom="column">
                  <wp:posOffset>-8890</wp:posOffset>
                </wp:positionH>
                <wp:positionV relativeFrom="paragraph">
                  <wp:posOffset>122555</wp:posOffset>
                </wp:positionV>
                <wp:extent cx="6400800" cy="8467"/>
                <wp:effectExtent l="50800" t="25400" r="76200" b="93345"/>
                <wp:wrapNone/>
                <wp:docPr id="24" name="Straight Connector 24"/>
                <wp:cNvGraphicFramePr/>
                <a:graphic xmlns:a="http://schemas.openxmlformats.org/drawingml/2006/main">
                  <a:graphicData uri="http://schemas.microsoft.com/office/word/2010/wordprocessingShape">
                    <wps:wsp>
                      <wps:cNvCnPr/>
                      <wps:spPr>
                        <a:xfrm flipV="1">
                          <a:off x="0" y="0"/>
                          <a:ext cx="6400800" cy="846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6CE7FA9A">
              <v:line id="Straight Connector 24"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2pt" from="-.7pt,9.65pt" to="503.3pt,10.3pt" w14:anchorId="07CBF2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">
                <v:shadow on="t" color="black" opacity="24903f" offset="0,.55556mm" origin=",.5"/>
              </v:line>
            </w:pict>
          </mc:Fallback>
        </mc:AlternateContent>
      </w:r>
    </w:p>
    <w:p w14:paraId="014420FC" w14:textId="09154050" w:rsidR="00C80BF2" w:rsidRPr="00987962" w:rsidRDefault="0030471A" w:rsidP="00C309AB">
      <w:pPr>
        <w:pStyle w:val="VCSchemeTitle"/>
        <w:rPr>
          <w:vertAlign w:val="superscript"/>
        </w:rPr>
      </w:pPr>
      <w:r>
        <w:t xml:space="preserve">Scheme </w:t>
      </w:r>
      <w:r w:rsidR="00AA422C">
        <w:t>2</w:t>
      </w:r>
      <w:r>
        <w:t xml:space="preserve">: </w:t>
      </w:r>
      <w:r w:rsidR="003B3E38">
        <w:t xml:space="preserve">The </w:t>
      </w:r>
      <w:r w:rsidR="003B3E38" w:rsidRPr="005C572F">
        <w:t xml:space="preserve">catalytic cycle </w:t>
      </w:r>
      <w:r w:rsidR="003B3E38">
        <w:t xml:space="preserve">for </w:t>
      </w:r>
      <w:r w:rsidR="003B3E38" w:rsidRPr="005C572F">
        <w:rPr>
          <w:color w:val="0000FF"/>
        </w:rPr>
        <w:t>hydroacylation</w:t>
      </w:r>
      <w:r w:rsidR="003B3E38">
        <w:t xml:space="preserve"> with complex </w:t>
      </w:r>
      <w:r w:rsidR="004412B9">
        <w:t>3</w:t>
      </w:r>
      <w:r w:rsidR="00AC5B0F">
        <w:t xml:space="preserve"> and </w:t>
      </w:r>
      <w:r w:rsidR="00AC5B0F" w:rsidRPr="00AC5B0F">
        <w:rPr>
          <w:color w:val="FF0000"/>
        </w:rPr>
        <w:t>decarbonylation</w:t>
      </w:r>
      <w:r w:rsidR="00AC5B0F">
        <w:t xml:space="preserve"> leading to catalyst </w:t>
      </w:r>
      <w:proofErr w:type="spellStart"/>
      <w:r w:rsidR="008A6BB3">
        <w:t>deactiviation</w:t>
      </w:r>
      <w:proofErr w:type="spellEnd"/>
    </w:p>
    <w:p w14:paraId="5E67F11D" w14:textId="7D91FDFB" w:rsidR="004D2CEE" w:rsidRDefault="005C29D5" w:rsidP="0063496C">
      <w:pPr>
        <w:pStyle w:val="FDSchemeFootnote"/>
      </w:pPr>
      <w:r w:rsidRPr="005C29D5">
        <w:rPr>
          <w:noProof/>
        </w:rPr>
        <w:drawing>
          <wp:inline distT="0" distB="0" distL="0" distR="0" wp14:anchorId="6282D348" wp14:editId="4FC55CB4">
            <wp:extent cx="6383020" cy="4651375"/>
            <wp:effectExtent l="0" t="0" r="0" b="0"/>
            <wp:docPr id="713448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48818" name=""/>
                    <pic:cNvPicPr/>
                  </pic:nvPicPr>
                  <pic:blipFill>
                    <a:blip r:embed="rId19"/>
                    <a:stretch>
                      <a:fillRect/>
                    </a:stretch>
                  </pic:blipFill>
                  <pic:spPr>
                    <a:xfrm>
                      <a:off x="0" y="0"/>
                      <a:ext cx="6383020" cy="4651375"/>
                    </a:xfrm>
                    <a:prstGeom prst="rect">
                      <a:avLst/>
                    </a:prstGeom>
                  </pic:spPr>
                </pic:pic>
              </a:graphicData>
            </a:graphic>
          </wp:inline>
        </w:drawing>
      </w:r>
    </w:p>
    <w:p w14:paraId="68AADE33" w14:textId="1A4337D7" w:rsidR="000506D5" w:rsidRDefault="00523EFA" w:rsidP="008E40E5">
      <w:pPr>
        <w:pStyle w:val="TAMainText"/>
        <w:sectPr w:rsidR="000506D5" w:rsidSect="00D30160">
          <w:footnotePr>
            <w:pos w:val="beneathText"/>
          </w:footnotePr>
          <w:endnotePr>
            <w:numFmt w:val="decimal"/>
          </w:endnotePr>
          <w:type w:val="continuous"/>
          <w:pgSz w:w="12240" w:h="15840"/>
          <w:pgMar w:top="720" w:right="1094" w:bottom="950" w:left="1094" w:header="720" w:footer="720" w:gutter="0"/>
          <w:cols w:space="461"/>
        </w:sectPr>
      </w:pPr>
      <w:r>
        <w:rPr>
          <w:noProof/>
          <w:lang w:eastAsia="zh-CN"/>
        </w:rPr>
        <mc:AlternateContent>
          <mc:Choice Requires="wps">
            <w:drawing>
              <wp:anchor distT="0" distB="0" distL="114300" distR="114300" simplePos="0" relativeHeight="251697152" behindDoc="0" locked="0" layoutInCell="1" allowOverlap="1" wp14:anchorId="640E1B93" wp14:editId="0C44CEE4">
                <wp:simplePos x="0" y="0"/>
                <wp:positionH relativeFrom="column">
                  <wp:posOffset>-8890</wp:posOffset>
                </wp:positionH>
                <wp:positionV relativeFrom="paragraph">
                  <wp:posOffset>122555</wp:posOffset>
                </wp:positionV>
                <wp:extent cx="6400800" cy="8467"/>
                <wp:effectExtent l="50800" t="25400" r="76200" b="93345"/>
                <wp:wrapNone/>
                <wp:docPr id="13" name="Straight Connector 13"/>
                <wp:cNvGraphicFramePr/>
                <a:graphic xmlns:a="http://schemas.openxmlformats.org/drawingml/2006/main">
                  <a:graphicData uri="http://schemas.microsoft.com/office/word/2010/wordprocessingShape">
                    <wps:wsp>
                      <wps:cNvCnPr/>
                      <wps:spPr>
                        <a:xfrm flipV="1">
                          <a:off x="0" y="0"/>
                          <a:ext cx="6400800" cy="846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4C7E6231">
              <v:line id="Straight Connector 13" style="position:absolute;flip:y;z-index:251697152;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2pt" from="-.7pt,9.65pt" to="503.3pt,10.3pt" w14:anchorId="7E4933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">
                <v:shadow on="t" color="black" opacity="24903f" offset="0,.55556mm" origin=",.5"/>
              </v:line>
            </w:pict>
          </mc:Fallback>
        </mc:AlternateContent>
      </w:r>
    </w:p>
    <w:p w14:paraId="277F8944" w14:textId="77777777" w:rsidR="0004672C" w:rsidRDefault="0004672C" w:rsidP="008E40E5">
      <w:pPr>
        <w:pStyle w:val="TAMainText"/>
      </w:pPr>
      <w:r>
        <w:lastRenderedPageBreak/>
        <w:t xml:space="preserve">To proceed, a rearrangement/rotation that places the hydride apical and the acyl </w:t>
      </w:r>
      <w:r w:rsidRPr="00033E14">
        <w:rPr>
          <w:i/>
          <w:iCs/>
        </w:rPr>
        <w:t>trans</w:t>
      </w:r>
      <w:r>
        <w:t xml:space="preserve"> to one of the phosphines occurs, resulting in higher-energy intermediate </w:t>
      </w:r>
      <w:r>
        <w:rPr>
          <w:b/>
          <w:bCs/>
        </w:rPr>
        <w:t>11</w:t>
      </w:r>
      <w:r>
        <w:t xml:space="preserve">. This is the branch point between the two pathways: </w:t>
      </w:r>
      <w:proofErr w:type="spellStart"/>
      <w:r>
        <w:t>thiomethyl</w:t>
      </w:r>
      <w:proofErr w:type="spellEnd"/>
      <w:r>
        <w:t xml:space="preserve"> inversion (giving </w:t>
      </w:r>
      <w:r>
        <w:rPr>
          <w:b/>
          <w:bCs/>
        </w:rPr>
        <w:t>18</w:t>
      </w:r>
      <w:r>
        <w:t xml:space="preserve">) leads to decarbonylation (red path, Schemes 2 and 3), while a barrierless rotation to generate </w:t>
      </w:r>
      <w:r w:rsidRPr="00275DF9">
        <w:rPr>
          <w:b/>
          <w:bCs/>
        </w:rPr>
        <w:t>1</w:t>
      </w:r>
      <w:r>
        <w:rPr>
          <w:b/>
          <w:bCs/>
        </w:rPr>
        <w:t>2</w:t>
      </w:r>
      <w:r>
        <w:t xml:space="preserve"> and association of the alkene gives </w:t>
      </w:r>
      <w:r w:rsidRPr="00275DF9">
        <w:rPr>
          <w:b/>
          <w:bCs/>
        </w:rPr>
        <w:t>1</w:t>
      </w:r>
      <w:r>
        <w:rPr>
          <w:b/>
          <w:bCs/>
        </w:rPr>
        <w:t>3</w:t>
      </w:r>
      <w:r>
        <w:t xml:space="preserve"> on the path to HA (blue path). Conventional alkene insertion into the Rh-H bond of </w:t>
      </w:r>
      <w:r>
        <w:rPr>
          <w:b/>
          <w:bCs/>
        </w:rPr>
        <w:t>13</w:t>
      </w:r>
      <w:r>
        <w:t xml:space="preserve"> results in </w:t>
      </w:r>
      <w:r w:rsidRPr="00275DF9">
        <w:rPr>
          <w:b/>
          <w:bCs/>
        </w:rPr>
        <w:t>1</w:t>
      </w:r>
      <w:r>
        <w:rPr>
          <w:b/>
          <w:bCs/>
        </w:rPr>
        <w:t>4</w:t>
      </w:r>
      <w:r>
        <w:t xml:space="preserve">, followed by rapid rearrangement to </w:t>
      </w:r>
      <w:r w:rsidRPr="00275DF9">
        <w:rPr>
          <w:b/>
          <w:bCs/>
        </w:rPr>
        <w:t>1</w:t>
      </w:r>
      <w:r>
        <w:rPr>
          <w:b/>
          <w:bCs/>
        </w:rPr>
        <w:t>5</w:t>
      </w:r>
      <w:r>
        <w:t xml:space="preserve"> (which, as before, has the acyl </w:t>
      </w:r>
      <w:r w:rsidRPr="00953E96">
        <w:rPr>
          <w:i/>
          <w:iCs/>
        </w:rPr>
        <w:t>trans</w:t>
      </w:r>
      <w:r>
        <w:t xml:space="preserve"> to an open coordination site).</w:t>
      </w:r>
    </w:p>
    <w:p w14:paraId="51D822A0" w14:textId="2F1A857B" w:rsidR="000506D5" w:rsidRPr="006735CB" w:rsidRDefault="000506D5" w:rsidP="008E40E5">
      <w:pPr>
        <w:pStyle w:val="TAMainText"/>
      </w:pPr>
      <w:r w:rsidRPr="006735CB">
        <w:t>Reductive elimination is relatively straightforward</w:t>
      </w:r>
      <w:r w:rsidR="003821A6">
        <w:t xml:space="preserve"> (∆G</w:t>
      </w:r>
      <w:r w:rsidR="003821A6" w:rsidRPr="008A693F">
        <w:rPr>
          <w:rFonts w:ascii="Arial" w:hAnsi="Arial" w:cs="Arial"/>
          <w:vertAlign w:val="superscript"/>
        </w:rPr>
        <w:t>‡</w:t>
      </w:r>
      <w:r w:rsidR="003821A6">
        <w:t xml:space="preserve"> 20.8 kcal/mol)</w:t>
      </w:r>
      <w:r w:rsidRPr="006735CB">
        <w:t>, although proceed</w:t>
      </w:r>
      <w:r w:rsidR="00F707E7">
        <w:t>ing</w:t>
      </w:r>
      <w:r w:rsidRPr="006735CB">
        <w:t xml:space="preserve"> via the </w:t>
      </w:r>
      <w:r w:rsidR="00603304">
        <w:t>purported</w:t>
      </w:r>
      <w:r w:rsidRPr="006735CB">
        <w:t xml:space="preserve"> agostic complex</w:t>
      </w:r>
      <w:r w:rsidR="00603304">
        <w:rPr>
          <w:rStyle w:val="EndnoteReference"/>
        </w:rPr>
        <w:endnoteReference w:id="26"/>
      </w:r>
      <w:r w:rsidRPr="006735CB">
        <w:t xml:space="preserve"> </w:t>
      </w:r>
      <w:r w:rsidRPr="00976373">
        <w:rPr>
          <w:b/>
          <w:bCs/>
        </w:rPr>
        <w:t>1</w:t>
      </w:r>
      <w:r w:rsidR="00C6773A">
        <w:rPr>
          <w:b/>
          <w:bCs/>
        </w:rPr>
        <w:t>6</w:t>
      </w:r>
      <w:r w:rsidR="008A693F">
        <w:t xml:space="preserve"> </w:t>
      </w:r>
      <w:r w:rsidRPr="006735CB">
        <w:t xml:space="preserve">in preference to direct reductive elimination to </w:t>
      </w:r>
      <w:r w:rsidRPr="00976373">
        <w:rPr>
          <w:b/>
          <w:bCs/>
        </w:rPr>
        <w:t>1</w:t>
      </w:r>
      <w:r w:rsidR="00C6773A">
        <w:rPr>
          <w:b/>
          <w:bCs/>
        </w:rPr>
        <w:t>7</w:t>
      </w:r>
      <w:r w:rsidRPr="006735CB">
        <w:t xml:space="preserve">. Rearrangement from </w:t>
      </w:r>
      <w:r w:rsidRPr="00976373">
        <w:rPr>
          <w:b/>
          <w:bCs/>
        </w:rPr>
        <w:t>1</w:t>
      </w:r>
      <w:r w:rsidR="00C6773A">
        <w:rPr>
          <w:b/>
          <w:bCs/>
        </w:rPr>
        <w:t>6</w:t>
      </w:r>
      <w:r w:rsidRPr="006735CB">
        <w:t xml:space="preserve"> to </w:t>
      </w:r>
      <w:r w:rsidRPr="00976373">
        <w:rPr>
          <w:b/>
          <w:bCs/>
        </w:rPr>
        <w:t>1</w:t>
      </w:r>
      <w:r w:rsidR="00C6773A">
        <w:rPr>
          <w:b/>
          <w:bCs/>
        </w:rPr>
        <w:t>7</w:t>
      </w:r>
      <w:r w:rsidRPr="006735CB">
        <w:t xml:space="preserve"> is facile (with a barrier of only 0.6 kcal/mol) so this additional step does not add to the 13.0 kcal/mol barrier that characterizes the reductive elimination step (</w:t>
      </w:r>
      <w:r w:rsidRPr="00976373">
        <w:rPr>
          <w:b/>
          <w:bCs/>
        </w:rPr>
        <w:t>1</w:t>
      </w:r>
      <w:r w:rsidR="00C6773A">
        <w:rPr>
          <w:b/>
          <w:bCs/>
        </w:rPr>
        <w:t>5</w:t>
      </w:r>
      <w:r w:rsidRPr="006735CB">
        <w:t xml:space="preserve"> </w:t>
      </w:r>
      <w:r w:rsidRPr="006735CB">
        <w:rPr>
          <w:rFonts w:ascii="Wingdings" w:eastAsia="Wingdings" w:hAnsi="Wingdings" w:cs="Wingdings"/>
        </w:rPr>
        <w:t>à</w:t>
      </w:r>
      <w:r w:rsidRPr="006735CB">
        <w:t xml:space="preserve"> </w:t>
      </w:r>
      <w:r w:rsidRPr="00976373">
        <w:rPr>
          <w:b/>
          <w:bCs/>
        </w:rPr>
        <w:t>1</w:t>
      </w:r>
      <w:r w:rsidR="00C6773A">
        <w:rPr>
          <w:b/>
          <w:bCs/>
        </w:rPr>
        <w:t>7</w:t>
      </w:r>
      <w:r w:rsidRPr="006735CB">
        <w:t xml:space="preserve">). It is interesting to note that this barrier is </w:t>
      </w:r>
      <w:r w:rsidR="008A693F">
        <w:t xml:space="preserve">similar but slightly </w:t>
      </w:r>
      <w:r w:rsidRPr="006735CB">
        <w:t xml:space="preserve">smaller than those found in related systems previously reported. For example, the calculated barrier for the Bosnich system </w:t>
      </w:r>
      <w:r w:rsidRPr="00FC05C6">
        <w:rPr>
          <w:b/>
          <w:bCs/>
        </w:rPr>
        <w:t>1</w:t>
      </w:r>
      <w:r w:rsidRPr="006735CB">
        <w:t xml:space="preserve"> for the equivalent reductive elimination step is ca. 21.7 </w:t>
      </w:r>
      <w:r w:rsidR="00117E4B">
        <w:t xml:space="preserve">≈ 20.8 </w:t>
      </w:r>
      <w:r w:rsidRPr="006735CB">
        <w:t>kcal/mol (varying slightly depending on the solvent)</w:t>
      </w:r>
      <w:r w:rsidR="00FE7BF6">
        <w:t>.</w:t>
      </w:r>
      <w:r w:rsidR="005F570A" w:rsidRPr="008854D5">
        <w:rPr>
          <w:vertAlign w:val="superscript"/>
        </w:rPr>
        <w:fldChar w:fldCharType="begin"/>
      </w:r>
      <w:r w:rsidR="005F570A" w:rsidRPr="008854D5">
        <w:rPr>
          <w:vertAlign w:val="superscript"/>
        </w:rPr>
        <w:instrText xml:space="preserve"> NOTEREF _Ref197013122 \h  \* MERGEFORMAT </w:instrText>
      </w:r>
      <w:r w:rsidR="005F570A" w:rsidRPr="008854D5">
        <w:rPr>
          <w:vertAlign w:val="superscript"/>
        </w:rPr>
      </w:r>
      <w:r w:rsidR="005F570A" w:rsidRPr="008854D5">
        <w:rPr>
          <w:vertAlign w:val="superscript"/>
        </w:rPr>
        <w:fldChar w:fldCharType="separate"/>
      </w:r>
      <w:r w:rsidR="00DD4C97" w:rsidRPr="008854D5">
        <w:rPr>
          <w:vertAlign w:val="superscript"/>
        </w:rPr>
        <w:t>6</w:t>
      </w:r>
      <w:r w:rsidR="005F570A" w:rsidRPr="008854D5">
        <w:rPr>
          <w:vertAlign w:val="superscript"/>
        </w:rPr>
        <w:fldChar w:fldCharType="end"/>
      </w:r>
      <w:r w:rsidR="00B61CE1" w:rsidRPr="003B45BF">
        <w:rPr>
          <w:vertAlign w:val="superscript"/>
        </w:rPr>
        <w:t>a</w:t>
      </w:r>
    </w:p>
    <w:p w14:paraId="6BB5227F" w14:textId="5D6E6449" w:rsidR="000506D5" w:rsidRPr="00ED037A" w:rsidRDefault="00FE7BF6" w:rsidP="008E40E5">
      <w:pPr>
        <w:pStyle w:val="TAMainText"/>
      </w:pPr>
      <w:r>
        <w:t>Competitive d</w:t>
      </w:r>
      <w:r w:rsidR="000506D5" w:rsidRPr="00CF512F">
        <w:t xml:space="preserve">ecarbonylation proceeds via a rearrangement/rotation from </w:t>
      </w:r>
      <w:r w:rsidR="008E52D7" w:rsidRPr="00CF512F">
        <w:rPr>
          <w:b/>
          <w:bCs/>
        </w:rPr>
        <w:t>18</w:t>
      </w:r>
      <w:r w:rsidR="000506D5" w:rsidRPr="00CF512F">
        <w:t xml:space="preserve"> to generate </w:t>
      </w:r>
      <w:r w:rsidR="008E52D7" w:rsidRPr="00CF512F">
        <w:rPr>
          <w:b/>
          <w:bCs/>
        </w:rPr>
        <w:t>19</w:t>
      </w:r>
      <w:r w:rsidR="000506D5" w:rsidRPr="00CF512F">
        <w:t xml:space="preserve"> through a slightly higher barrier than the productive HA process (</w:t>
      </w:r>
      <w:r w:rsidR="006A007C">
        <w:t>∆G</w:t>
      </w:r>
      <w:r w:rsidR="006A007C" w:rsidRPr="0091646A">
        <w:rPr>
          <w:rFonts w:ascii="Arial" w:hAnsi="Arial" w:cs="Arial"/>
          <w:vertAlign w:val="superscript"/>
        </w:rPr>
        <w:t>‡</w:t>
      </w:r>
      <w:r w:rsidR="006A007C">
        <w:t xml:space="preserve"> </w:t>
      </w:r>
      <w:r w:rsidR="0091646A">
        <w:t xml:space="preserve">14.0 kcal/mol, </w:t>
      </w:r>
      <w:r w:rsidR="000506D5" w:rsidRPr="00CF512F">
        <w:t>compare</w:t>
      </w:r>
      <w:r w:rsidR="007704E1">
        <w:t>d</w:t>
      </w:r>
      <w:r w:rsidR="000506D5" w:rsidRPr="00CF512F">
        <w:t xml:space="preserve"> with </w:t>
      </w:r>
      <w:r w:rsidR="00C6773A" w:rsidRPr="00CF512F">
        <w:rPr>
          <w:b/>
          <w:bCs/>
        </w:rPr>
        <w:t>11</w:t>
      </w:r>
      <w:r w:rsidR="000506D5" w:rsidRPr="00CF512F">
        <w:t xml:space="preserve"> </w:t>
      </w:r>
      <w:r w:rsidR="000506D5" w:rsidRPr="00CF512F">
        <w:rPr>
          <w:rFonts w:ascii="Wingdings" w:eastAsia="Wingdings" w:hAnsi="Wingdings" w:cs="Wingdings"/>
        </w:rPr>
        <w:t>à</w:t>
      </w:r>
      <w:r w:rsidR="000506D5" w:rsidRPr="00CF512F">
        <w:t xml:space="preserve"> </w:t>
      </w:r>
      <w:r w:rsidR="000506D5" w:rsidRPr="00CF512F">
        <w:rPr>
          <w:b/>
          <w:bCs/>
        </w:rPr>
        <w:t>1</w:t>
      </w:r>
      <w:r w:rsidR="00C6773A" w:rsidRPr="00CF512F">
        <w:rPr>
          <w:b/>
          <w:bCs/>
        </w:rPr>
        <w:t>2</w:t>
      </w:r>
      <w:r w:rsidR="00754C19">
        <w:t>, ∆G</w:t>
      </w:r>
      <w:r w:rsidR="00754C19" w:rsidRPr="00754C19">
        <w:rPr>
          <w:rFonts w:ascii="Arial" w:hAnsi="Arial" w:cs="Arial"/>
          <w:vertAlign w:val="superscript"/>
        </w:rPr>
        <w:t>‡</w:t>
      </w:r>
      <w:r w:rsidR="00754C19">
        <w:t xml:space="preserve"> 13.2 kcal/mol</w:t>
      </w:r>
      <w:r w:rsidR="000506D5" w:rsidRPr="00CF512F">
        <w:t>). Carbonyl deinsertion/migration of the phenyl to the rhodium</w:t>
      </w:r>
      <w:r w:rsidR="00820D06">
        <w:t xml:space="preserve"> from </w:t>
      </w:r>
      <w:r w:rsidR="00820D06">
        <w:rPr>
          <w:b/>
          <w:bCs/>
        </w:rPr>
        <w:t>19</w:t>
      </w:r>
      <w:r w:rsidR="000506D5" w:rsidRPr="00CF512F">
        <w:t xml:space="preserve"> generates </w:t>
      </w:r>
      <w:r w:rsidR="000506D5" w:rsidRPr="00CF512F">
        <w:rPr>
          <w:b/>
          <w:bCs/>
        </w:rPr>
        <w:t>2</w:t>
      </w:r>
      <w:r w:rsidR="008E52D7" w:rsidRPr="00CF512F">
        <w:rPr>
          <w:b/>
          <w:bCs/>
        </w:rPr>
        <w:t>1</w:t>
      </w:r>
      <w:r w:rsidR="00B3170E">
        <w:t xml:space="preserve"> with the </w:t>
      </w:r>
      <w:r w:rsidR="00B3170E">
        <w:t>highest energy barrier along the decarbonylation pathway (∆G</w:t>
      </w:r>
      <w:r w:rsidR="00B3170E" w:rsidRPr="00754C19">
        <w:rPr>
          <w:rFonts w:ascii="Arial" w:hAnsi="Arial" w:cs="Arial"/>
          <w:vertAlign w:val="superscript"/>
        </w:rPr>
        <w:t>‡</w:t>
      </w:r>
      <w:r w:rsidR="00B3170E">
        <w:t xml:space="preserve"> 20.0 kcal/mol</w:t>
      </w:r>
      <w:r w:rsidR="00B3170E" w:rsidRPr="00CF512F">
        <w:t>)</w:t>
      </w:r>
      <w:r w:rsidR="00606549">
        <w:t>.</w:t>
      </w:r>
      <w:r w:rsidR="00B3170E">
        <w:t xml:space="preserve"> </w:t>
      </w:r>
      <w:r w:rsidR="00606549">
        <w:t>S</w:t>
      </w:r>
      <w:r w:rsidR="00B3170E">
        <w:t>ubsequent</w:t>
      </w:r>
      <w:r w:rsidR="000506D5" w:rsidRPr="00CF512F">
        <w:t xml:space="preserve"> reductive elimination generate</w:t>
      </w:r>
      <w:r w:rsidR="00606549">
        <w:t>s a</w:t>
      </w:r>
      <w:r w:rsidR="000506D5" w:rsidRPr="00CF512F">
        <w:t xml:space="preserve"> coordinated</w:t>
      </w:r>
      <w:r w:rsidR="00606549">
        <w:t xml:space="preserve"> complex of</w:t>
      </w:r>
      <w:r w:rsidR="000506D5" w:rsidRPr="00CF512F">
        <w:t xml:space="preserve"> carbon monoxide and </w:t>
      </w:r>
      <w:proofErr w:type="spellStart"/>
      <w:r w:rsidR="000506D5" w:rsidRPr="00CF512F">
        <w:t>thioanisole</w:t>
      </w:r>
      <w:proofErr w:type="spellEnd"/>
      <w:r w:rsidR="00820D06">
        <w:t xml:space="preserve">, </w:t>
      </w:r>
      <w:r w:rsidR="00820D06">
        <w:rPr>
          <w:b/>
          <w:bCs/>
        </w:rPr>
        <w:t>22</w:t>
      </w:r>
      <w:r w:rsidR="00B3170E">
        <w:t xml:space="preserve"> (∆G</w:t>
      </w:r>
      <w:r w:rsidR="00B3170E" w:rsidRPr="00754C19">
        <w:rPr>
          <w:rFonts w:ascii="Arial" w:hAnsi="Arial" w:cs="Arial"/>
          <w:vertAlign w:val="superscript"/>
        </w:rPr>
        <w:t>‡</w:t>
      </w:r>
      <w:r w:rsidR="00B3170E">
        <w:t xml:space="preserve"> 19.3 kcal/mol</w:t>
      </w:r>
      <w:r w:rsidR="00B3170E" w:rsidRPr="00CF512F">
        <w:t>)</w:t>
      </w:r>
      <w:r w:rsidR="000506D5" w:rsidRPr="00CF512F">
        <w:t xml:space="preserve">. </w:t>
      </w:r>
      <w:r w:rsidR="000506D5" w:rsidRPr="007A3484">
        <w:t>The</w:t>
      </w:r>
      <w:r w:rsidR="000506D5" w:rsidRPr="00CF512F">
        <w:t xml:space="preserve"> competing pathway of </w:t>
      </w:r>
      <w:r w:rsidR="00164F49" w:rsidRPr="00CF512F">
        <w:t xml:space="preserve">direct </w:t>
      </w:r>
      <w:r w:rsidR="000506D5" w:rsidRPr="00CF512F">
        <w:t xml:space="preserve">carbonyl deinsertion from </w:t>
      </w:r>
      <w:r w:rsidR="000506D5" w:rsidRPr="00CF512F">
        <w:rPr>
          <w:b/>
          <w:bCs/>
        </w:rPr>
        <w:t>1</w:t>
      </w:r>
      <w:r w:rsidR="00C6773A" w:rsidRPr="00CF512F">
        <w:rPr>
          <w:b/>
          <w:bCs/>
        </w:rPr>
        <w:t>2</w:t>
      </w:r>
      <w:r w:rsidR="000506D5" w:rsidRPr="00CF512F">
        <w:t xml:space="preserve"> to give </w:t>
      </w:r>
      <w:r w:rsidR="000506D5" w:rsidRPr="00CF512F">
        <w:rPr>
          <w:b/>
          <w:bCs/>
        </w:rPr>
        <w:t>2</w:t>
      </w:r>
      <w:r w:rsidR="00CE6F3D" w:rsidRPr="00CF512F">
        <w:rPr>
          <w:b/>
          <w:bCs/>
        </w:rPr>
        <w:t>0</w:t>
      </w:r>
      <w:r w:rsidR="000506D5" w:rsidRPr="00CF512F">
        <w:t xml:space="preserve"> is significantly higher in energy, with a barrier of 30.8 kcal</w:t>
      </w:r>
      <w:r w:rsidR="00EC219D" w:rsidRPr="00CF512F">
        <w:t>/</w:t>
      </w:r>
      <w:r w:rsidR="000506D5" w:rsidRPr="00CF512F">
        <w:t>mol relative to baseline.</w:t>
      </w:r>
      <w:r w:rsidR="00B21958">
        <w:t xml:space="preserve"> </w:t>
      </w:r>
      <w:r w:rsidR="009D2C76">
        <w:t xml:space="preserve">That </w:t>
      </w:r>
      <w:proofErr w:type="gramStart"/>
      <w:r w:rsidR="009D2C76">
        <w:t>both of these</w:t>
      </w:r>
      <w:proofErr w:type="gramEnd"/>
      <w:r w:rsidR="009D2C76">
        <w:t xml:space="preserve"> barriers</w:t>
      </w:r>
      <w:r w:rsidR="00B3170E">
        <w:t xml:space="preserve">, </w:t>
      </w:r>
      <w:r w:rsidR="00B3170E">
        <w:rPr>
          <w:b/>
          <w:bCs/>
        </w:rPr>
        <w:t xml:space="preserve">12 </w:t>
      </w:r>
      <w:r w:rsidR="00B3170E" w:rsidRPr="00CF512F">
        <w:rPr>
          <w:rFonts w:ascii="Wingdings" w:eastAsia="Wingdings" w:hAnsi="Wingdings" w:cs="Wingdings"/>
        </w:rPr>
        <w:t>à</w:t>
      </w:r>
      <w:r w:rsidR="00B3170E" w:rsidRPr="00CF512F">
        <w:t xml:space="preserve"> </w:t>
      </w:r>
      <w:r w:rsidR="00B3170E">
        <w:rPr>
          <w:b/>
          <w:bCs/>
        </w:rPr>
        <w:t>20</w:t>
      </w:r>
      <w:r w:rsidR="009D2C76">
        <w:t xml:space="preserve"> </w:t>
      </w:r>
      <w:r w:rsidR="00B3170E">
        <w:t xml:space="preserve">and </w:t>
      </w:r>
      <w:r w:rsidR="00B3170E">
        <w:rPr>
          <w:b/>
          <w:bCs/>
        </w:rPr>
        <w:t>19</w:t>
      </w:r>
      <w:r w:rsidR="00B3170E">
        <w:t xml:space="preserve"> </w:t>
      </w:r>
      <w:r w:rsidR="00B3170E" w:rsidRPr="00CF512F">
        <w:rPr>
          <w:rFonts w:ascii="Wingdings" w:eastAsia="Wingdings" w:hAnsi="Wingdings" w:cs="Wingdings"/>
        </w:rPr>
        <w:t>à</w:t>
      </w:r>
      <w:r w:rsidR="00B3170E" w:rsidRPr="00CF512F">
        <w:t xml:space="preserve"> </w:t>
      </w:r>
      <w:r w:rsidR="00AA02D1">
        <w:rPr>
          <w:b/>
          <w:bCs/>
        </w:rPr>
        <w:t>21</w:t>
      </w:r>
      <w:r w:rsidR="00B3170E" w:rsidRPr="00B3170E">
        <w:t>,</w:t>
      </w:r>
      <w:r w:rsidR="00B3170E">
        <w:rPr>
          <w:b/>
          <w:bCs/>
        </w:rPr>
        <w:t xml:space="preserve"> </w:t>
      </w:r>
      <w:r w:rsidR="009D2C76">
        <w:t>are high</w:t>
      </w:r>
      <w:r w:rsidR="00FC3E47">
        <w:t xml:space="preserve"> is consistent with the idea that ring strain </w:t>
      </w:r>
      <w:r w:rsidR="00254CD0">
        <w:t xml:space="preserve">in the decarbonylation disfavors </w:t>
      </w:r>
      <w:r w:rsidR="00DA5939">
        <w:t>that pathway</w:t>
      </w:r>
      <w:r w:rsidR="00DD028B">
        <w:t xml:space="preserve">, although </w:t>
      </w:r>
      <w:r w:rsidR="00AA02D1">
        <w:t>the root cause of the instabilities may be</w:t>
      </w:r>
      <w:r w:rsidR="00DA5939">
        <w:t xml:space="preserve"> the deinsertion</w:t>
      </w:r>
      <w:r w:rsidR="00ED037A">
        <w:t xml:space="preserve"> process</w:t>
      </w:r>
      <w:r w:rsidR="00AA02D1">
        <w:t xml:space="preserve"> itself</w:t>
      </w:r>
      <w:r w:rsidR="00ED037A">
        <w:t>, as the products (</w:t>
      </w:r>
      <w:r w:rsidR="00E23570">
        <w:rPr>
          <w:b/>
          <w:bCs/>
        </w:rPr>
        <w:t>20</w:t>
      </w:r>
      <w:r w:rsidR="00ED037A">
        <w:t xml:space="preserve"> and </w:t>
      </w:r>
      <w:r w:rsidR="00ED037A">
        <w:rPr>
          <w:b/>
          <w:bCs/>
        </w:rPr>
        <w:t>2</w:t>
      </w:r>
      <w:r w:rsidR="00E23570">
        <w:rPr>
          <w:b/>
          <w:bCs/>
        </w:rPr>
        <w:t>1</w:t>
      </w:r>
      <w:r w:rsidR="00ED037A">
        <w:t>)</w:t>
      </w:r>
      <w:r w:rsidR="00C37D97">
        <w:t xml:space="preserve"> of th</w:t>
      </w:r>
      <w:r w:rsidR="00340DF5">
        <w:t>ose</w:t>
      </w:r>
      <w:r w:rsidR="00C37D97">
        <w:t xml:space="preserve"> reaction</w:t>
      </w:r>
      <w:r w:rsidR="00340DF5">
        <w:t>s</w:t>
      </w:r>
      <w:r w:rsidR="00C37D97">
        <w:t xml:space="preserve"> are reasonably stable relative to the other intermediates in the catalytic cycle.</w:t>
      </w:r>
    </w:p>
    <w:p w14:paraId="1EF96231" w14:textId="2CB32C21" w:rsidR="000506D5" w:rsidRPr="006735CB" w:rsidRDefault="000506D5" w:rsidP="008E40E5">
      <w:pPr>
        <w:pStyle w:val="TAMainText"/>
      </w:pPr>
      <w:r w:rsidRPr="006735CB">
        <w:t>Consistent with the findings in our previous study of the Bosnich HA,</w:t>
      </w:r>
      <w:r w:rsidR="00B61CE1" w:rsidRPr="008854D5">
        <w:rPr>
          <w:vertAlign w:val="superscript"/>
        </w:rPr>
        <w:fldChar w:fldCharType="begin"/>
      </w:r>
      <w:r w:rsidR="00B61CE1" w:rsidRPr="008854D5">
        <w:rPr>
          <w:vertAlign w:val="superscript"/>
        </w:rPr>
        <w:instrText xml:space="preserve"> NOTEREF _Ref197013122 \h  \* MERGEFORMAT </w:instrText>
      </w:r>
      <w:r w:rsidR="00B61CE1" w:rsidRPr="008854D5">
        <w:rPr>
          <w:vertAlign w:val="superscript"/>
        </w:rPr>
      </w:r>
      <w:r w:rsidR="00B61CE1" w:rsidRPr="008854D5">
        <w:rPr>
          <w:vertAlign w:val="superscript"/>
        </w:rPr>
        <w:fldChar w:fldCharType="separate"/>
      </w:r>
      <w:r w:rsidR="00DD4C97" w:rsidRPr="008854D5">
        <w:rPr>
          <w:vertAlign w:val="superscript"/>
        </w:rPr>
        <w:t>6</w:t>
      </w:r>
      <w:r w:rsidR="00B61CE1" w:rsidRPr="008854D5">
        <w:rPr>
          <w:vertAlign w:val="superscript"/>
        </w:rPr>
        <w:fldChar w:fldCharType="end"/>
      </w:r>
      <w:r w:rsidR="00B61CE1" w:rsidRPr="003B45BF">
        <w:rPr>
          <w:vertAlign w:val="superscript"/>
        </w:rPr>
        <w:t>a</w:t>
      </w:r>
      <w:r w:rsidRPr="006735CB">
        <w:t xml:space="preserve"> the calculated reaction pathways shown in Scheme </w:t>
      </w:r>
      <w:r w:rsidR="00654E41">
        <w:t>2</w:t>
      </w:r>
      <w:r w:rsidRPr="006735CB">
        <w:t xml:space="preserve"> and their energy profiles (Scheme </w:t>
      </w:r>
      <w:r w:rsidR="00654E41">
        <w:t>3</w:t>
      </w:r>
      <w:r w:rsidRPr="006735CB">
        <w:t>) reveal that decarbonylation is slightly preferred over productive hydroacylation (rate limiting step of 20.0 vs. 20.8 kcal</w:t>
      </w:r>
      <w:r w:rsidR="001D052A">
        <w:t>/mol</w:t>
      </w:r>
      <w:r w:rsidRPr="006735CB">
        <w:t xml:space="preserve"> above baseline respectively). As previously discussed, the small-bite-angle ligand had the intended effect of reducing the barrier to reductive elimination, which has long been accepted as a crucial component favoring HA over decarbonylation. While </w:t>
      </w:r>
      <w:proofErr w:type="gramStart"/>
      <w:r w:rsidRPr="006735CB">
        <w:t>it is clear that the</w:t>
      </w:r>
      <w:proofErr w:type="gramEnd"/>
      <w:r w:rsidRPr="006735CB">
        <w:t xml:space="preserve"> small-bite-angle ligands have sped both oxidative </w:t>
      </w:r>
      <w:r w:rsidR="000449D0">
        <w:t>cleavage</w:t>
      </w:r>
      <w:r w:rsidRPr="006735CB">
        <w:t xml:space="preserve"> and reductive elimination, resulting in the large rate enhancement observed, decarbonylation is still the favored pathway indicating that other factors must play the key role in determining the partition between the two alternatives.</w:t>
      </w:r>
    </w:p>
    <w:p w14:paraId="7E1B4ACD" w14:textId="77777777" w:rsidR="000506D5" w:rsidRDefault="000506D5" w:rsidP="008E40E5">
      <w:pPr>
        <w:pStyle w:val="TAMainText"/>
        <w:sectPr w:rsidR="000506D5" w:rsidSect="00F9249C">
          <w:footnotePr>
            <w:pos w:val="beneathText"/>
          </w:footnotePr>
          <w:endnotePr>
            <w:numFmt w:val="decimal"/>
          </w:endnotePr>
          <w:type w:val="continuous"/>
          <w:pgSz w:w="12240" w:h="15840"/>
          <w:pgMar w:top="720" w:right="1094" w:bottom="950" w:left="1094" w:header="720" w:footer="720" w:gutter="0"/>
          <w:cols w:num="2" w:space="720"/>
        </w:sectPr>
      </w:pPr>
    </w:p>
    <w:p w14:paraId="1DBCCF69" w14:textId="77777777" w:rsidR="0089217E" w:rsidRDefault="0089217E" w:rsidP="008E40E5">
      <w:pPr>
        <w:pStyle w:val="TAMainText"/>
      </w:pPr>
    </w:p>
    <w:p w14:paraId="6726682E" w14:textId="1A5BA7A2" w:rsidR="002E7FEE" w:rsidRDefault="002E7FEE" w:rsidP="00C309AB">
      <w:pPr>
        <w:pStyle w:val="VCSchemeTitle"/>
      </w:pPr>
      <w:r>
        <w:rPr>
          <w:noProof/>
          <w:lang w:eastAsia="zh-CN"/>
        </w:rPr>
        <mc:AlternateContent>
          <mc:Choice Requires="wps">
            <w:drawing>
              <wp:anchor distT="0" distB="0" distL="114300" distR="114300" simplePos="0" relativeHeight="251693056" behindDoc="0" locked="0" layoutInCell="1" allowOverlap="1" wp14:anchorId="11049566" wp14:editId="77E412E3">
                <wp:simplePos x="0" y="0"/>
                <wp:positionH relativeFrom="column">
                  <wp:posOffset>0</wp:posOffset>
                </wp:positionH>
                <wp:positionV relativeFrom="paragraph">
                  <wp:posOffset>25400</wp:posOffset>
                </wp:positionV>
                <wp:extent cx="6400800" cy="8467"/>
                <wp:effectExtent l="50800" t="25400" r="76200" b="93345"/>
                <wp:wrapNone/>
                <wp:docPr id="33" name="Straight Connector 33"/>
                <wp:cNvGraphicFramePr/>
                <a:graphic xmlns:a="http://schemas.openxmlformats.org/drawingml/2006/main">
                  <a:graphicData uri="http://schemas.microsoft.com/office/word/2010/wordprocessingShape">
                    <wps:wsp>
                      <wps:cNvCnPr/>
                      <wps:spPr>
                        <a:xfrm flipV="1">
                          <a:off x="0" y="0"/>
                          <a:ext cx="6400800" cy="846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0D30FB98">
              <v:line id="Straight Connector 33"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2pt" from="0,2pt" to="7in,2.65pt" w14:anchorId="17704A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">
                <v:shadow on="t" color="black" opacity="24903f" offset="0,.55556mm" origin=",.5"/>
              </v:line>
            </w:pict>
          </mc:Fallback>
        </mc:AlternateContent>
      </w:r>
    </w:p>
    <w:p w14:paraId="3491EB37" w14:textId="70B0B52B" w:rsidR="00DF739A" w:rsidRPr="008C6E76" w:rsidRDefault="00DF739A" w:rsidP="00C309AB">
      <w:pPr>
        <w:pStyle w:val="VCSchemeTitle"/>
      </w:pPr>
      <w:r w:rsidRPr="008C6E76">
        <w:t xml:space="preserve">Scheme </w:t>
      </w:r>
      <w:r w:rsidR="00654E41">
        <w:t>3</w:t>
      </w:r>
      <w:r w:rsidRPr="008C6E76">
        <w:t>:</w:t>
      </w:r>
      <w:r w:rsidRPr="009853A9">
        <w:t xml:space="preserve"> Reaction </w:t>
      </w:r>
      <w:r w:rsidR="00E02FEE" w:rsidRPr="009853A9">
        <w:t>e</w:t>
      </w:r>
      <w:r w:rsidRPr="009853A9">
        <w:t xml:space="preserve">nergy </w:t>
      </w:r>
      <w:r w:rsidR="00E02FEE" w:rsidRPr="009853A9">
        <w:t>p</w:t>
      </w:r>
      <w:r w:rsidRPr="009853A9">
        <w:t xml:space="preserve">rofile for the catalytic cycle for hydroacylation with complex </w:t>
      </w:r>
      <w:r w:rsidR="004412B9">
        <w:t>3</w:t>
      </w:r>
      <w:r w:rsidRPr="009853A9">
        <w:t xml:space="preserve"> and decarbonylation leading to catalyst </w:t>
      </w:r>
      <w:r w:rsidR="00EB584C">
        <w:t xml:space="preserve">deactivation </w:t>
      </w:r>
      <w:r w:rsidR="00EB584C" w:rsidRPr="009853A9">
        <w:t xml:space="preserve"> </w:t>
      </w:r>
    </w:p>
    <w:p w14:paraId="3CAC12C5" w14:textId="2154026E" w:rsidR="002A6CDC" w:rsidRDefault="00FD5EB8" w:rsidP="002A6CDC">
      <w:r w:rsidRPr="00FD5EB8">
        <w:rPr>
          <w:noProof/>
        </w:rPr>
        <w:lastRenderedPageBreak/>
        <w:drawing>
          <wp:inline distT="0" distB="0" distL="0" distR="0" wp14:anchorId="6C432FB1" wp14:editId="184CA224">
            <wp:extent cx="6383020" cy="3081020"/>
            <wp:effectExtent l="0" t="0" r="5080" b="5080"/>
            <wp:docPr id="1177204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04003" name=""/>
                    <pic:cNvPicPr/>
                  </pic:nvPicPr>
                  <pic:blipFill>
                    <a:blip r:embed="rId20"/>
                    <a:stretch>
                      <a:fillRect/>
                    </a:stretch>
                  </pic:blipFill>
                  <pic:spPr>
                    <a:xfrm>
                      <a:off x="0" y="0"/>
                      <a:ext cx="6383020" cy="3081020"/>
                    </a:xfrm>
                    <a:prstGeom prst="rect">
                      <a:avLst/>
                    </a:prstGeom>
                  </pic:spPr>
                </pic:pic>
              </a:graphicData>
            </a:graphic>
          </wp:inline>
        </w:drawing>
      </w:r>
    </w:p>
    <w:p w14:paraId="426BE7CC" w14:textId="0C8B4D66" w:rsidR="002A6CDC" w:rsidRDefault="002A6CDC" w:rsidP="00CB156B">
      <w:r>
        <w:rPr>
          <w:noProof/>
          <w:lang w:eastAsia="zh-CN"/>
        </w:rPr>
        <mc:AlternateContent>
          <mc:Choice Requires="wps">
            <w:drawing>
              <wp:anchor distT="0" distB="0" distL="114300" distR="114300" simplePos="0" relativeHeight="251711488" behindDoc="0" locked="0" layoutInCell="1" allowOverlap="1" wp14:anchorId="104E73FC" wp14:editId="2CC43449">
                <wp:simplePos x="0" y="0"/>
                <wp:positionH relativeFrom="column">
                  <wp:posOffset>0</wp:posOffset>
                </wp:positionH>
                <wp:positionV relativeFrom="paragraph">
                  <wp:posOffset>25400</wp:posOffset>
                </wp:positionV>
                <wp:extent cx="6400800" cy="8467"/>
                <wp:effectExtent l="50800" t="25400" r="76200" b="93345"/>
                <wp:wrapNone/>
                <wp:docPr id="23" name="Straight Connector 23"/>
                <wp:cNvGraphicFramePr/>
                <a:graphic xmlns:a="http://schemas.openxmlformats.org/drawingml/2006/main">
                  <a:graphicData uri="http://schemas.microsoft.com/office/word/2010/wordprocessingShape">
                    <wps:wsp>
                      <wps:cNvCnPr/>
                      <wps:spPr>
                        <a:xfrm flipV="1">
                          <a:off x="0" y="0"/>
                          <a:ext cx="6400800" cy="846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1B8DD53C">
              <v:line id="Straight Connector 23" style="position:absolute;flip:y;z-index:251711488;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2pt" from="0,2pt" to="7in,2.65pt" w14:anchorId="00581C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">
                <v:shadow on="t" color="black" opacity="24903f" offset="0,.55556mm" origin=",.5"/>
              </v:line>
            </w:pict>
          </mc:Fallback>
        </mc:AlternateContent>
      </w:r>
    </w:p>
    <w:p w14:paraId="5724E831" w14:textId="77777777" w:rsidR="00CB156B" w:rsidRDefault="00CB156B" w:rsidP="00CB156B">
      <w:pPr>
        <w:sectPr w:rsidR="00CB156B" w:rsidSect="00D30160">
          <w:footnotePr>
            <w:pos w:val="beneathText"/>
          </w:footnotePr>
          <w:endnotePr>
            <w:numFmt w:val="decimal"/>
          </w:endnotePr>
          <w:type w:val="continuous"/>
          <w:pgSz w:w="12240" w:h="15840"/>
          <w:pgMar w:top="720" w:right="1094" w:bottom="950" w:left="1094" w:header="720" w:footer="720" w:gutter="0"/>
          <w:cols w:space="461"/>
        </w:sectPr>
      </w:pPr>
    </w:p>
    <w:p w14:paraId="2A836E7C" w14:textId="4CD7F7A0" w:rsidR="002D195F" w:rsidRPr="006735CB" w:rsidRDefault="002D195F" w:rsidP="002D195F">
      <w:pPr>
        <w:pStyle w:val="TAMainText"/>
      </w:pPr>
      <w:r>
        <w:t xml:space="preserve">The second commonly accepted strategy discussed above is to incorporate a Lewis basic ligand into the reaction mixture, which is postulated to operate by blocking the open coordination sites necessary for decarbonylation. This approach is the key strategy in the design of the </w:t>
      </w:r>
      <w:r w:rsidR="006A7388">
        <w:t xml:space="preserve">hemilabile </w:t>
      </w:r>
      <w:r>
        <w:t>DPEphos</w:t>
      </w:r>
      <w:r w:rsidR="00DC6A2A">
        <w:t>.</w:t>
      </w:r>
      <w:r w:rsidR="00B91D67" w:rsidRPr="008854D5">
        <w:rPr>
          <w:vertAlign w:val="superscript"/>
        </w:rPr>
        <w:t>7</w:t>
      </w:r>
      <w:r>
        <w:t xml:space="preserve"> As will be discussed below, this is a very tempting interpretation, as addition of external Lewis bases does indeed extend catalyst turnover numbers.</w:t>
      </w:r>
    </w:p>
    <w:p w14:paraId="0F32487E" w14:textId="6008BCDB" w:rsidR="002D195F" w:rsidRPr="006735CB" w:rsidRDefault="002319FE" w:rsidP="002D195F">
      <w:pPr>
        <w:pStyle w:val="TAMainText"/>
      </w:pPr>
      <w:r>
        <w:t>Prior</w:t>
      </w:r>
      <w:r w:rsidR="002D195F">
        <w:t xml:space="preserve"> work by two of the co-authors</w:t>
      </w:r>
      <w:r w:rsidR="00DC6A2A">
        <w:t xml:space="preserve"> </w:t>
      </w:r>
      <w:r w:rsidR="002D195F">
        <w:t xml:space="preserve">elucidated a third possibility, demonstrating that for the Bosnich system, coordination of a Lewis base (occupying a fifth coordination site) </w:t>
      </w:r>
      <w:r w:rsidR="006A7388">
        <w:t>accelerated</w:t>
      </w:r>
      <w:r w:rsidR="002D195F">
        <w:t xml:space="preserve"> reductive elimination relative to decarbonylation.</w:t>
      </w:r>
      <w:r w:rsidR="00433ABB" w:rsidRPr="008854D5">
        <w:rPr>
          <w:vertAlign w:val="superscript"/>
        </w:rPr>
        <w:t>6</w:t>
      </w:r>
      <w:r w:rsidR="002D195F" w:rsidRPr="008854D5">
        <w:rPr>
          <w:vertAlign w:val="superscript"/>
        </w:rPr>
        <w:t>a</w:t>
      </w:r>
      <w:r w:rsidR="002D195F">
        <w:t xml:space="preserve"> Note that this does not occur here; intermediate </w:t>
      </w:r>
      <w:r w:rsidR="002D195F" w:rsidRPr="4ABCE378">
        <w:rPr>
          <w:b/>
          <w:bCs/>
        </w:rPr>
        <w:t>15</w:t>
      </w:r>
      <w:r w:rsidR="002D195F">
        <w:t xml:space="preserve"> is already five-coordinate, and the high trans influence of the acyl group favor</w:t>
      </w:r>
      <w:r w:rsidR="00464E70">
        <w:t>s</w:t>
      </w:r>
      <w:r w:rsidR="002D195F">
        <w:t xml:space="preserve"> an orientation that retains a vacant coordination site </w:t>
      </w:r>
      <w:r w:rsidR="002D195F" w:rsidRPr="4ABCE378">
        <w:rPr>
          <w:i/>
          <w:iCs/>
        </w:rPr>
        <w:t>trans</w:t>
      </w:r>
      <w:r w:rsidR="002D195F">
        <w:t xml:space="preserve"> to the acyl. As such, </w:t>
      </w:r>
      <w:r w:rsidR="002D195F" w:rsidRPr="4ABCE378">
        <w:rPr>
          <w:b/>
          <w:bCs/>
        </w:rPr>
        <w:t>15</w:t>
      </w:r>
      <w:r w:rsidR="002D195F">
        <w:t xml:space="preserve"> does not require the presence of an external ligand for relatively facile reductive elimination.</w:t>
      </w:r>
    </w:p>
    <w:p w14:paraId="5DA4CCC7" w14:textId="6D66B72A" w:rsidR="00D97D58" w:rsidRDefault="007F0421" w:rsidP="008E40E5">
      <w:pPr>
        <w:pStyle w:val="TAMainText"/>
      </w:pPr>
      <w:r>
        <w:t xml:space="preserve">As discussed above, the commonly accepted role of an added Lewis base is </w:t>
      </w:r>
      <w:r w:rsidR="00362CCA">
        <w:t xml:space="preserve">to </w:t>
      </w:r>
      <w:r>
        <w:t xml:space="preserve">block the open coordination site required for decarbonylation by </w:t>
      </w:r>
      <w:r w:rsidR="00573D40">
        <w:t xml:space="preserve">reversibly </w:t>
      </w:r>
      <w:r>
        <w:t xml:space="preserve">coordinating in that position. </w:t>
      </w:r>
      <w:r w:rsidR="00D50C25">
        <w:t>The requirement for an</w:t>
      </w:r>
      <w:r w:rsidR="00E86FAC">
        <w:t xml:space="preserve"> open coordination site </w:t>
      </w:r>
      <w:r w:rsidR="00E86FAC">
        <w:rPr>
          <w:i/>
          <w:iCs/>
        </w:rPr>
        <w:t>cis</w:t>
      </w:r>
      <w:r w:rsidR="00E86FAC">
        <w:t xml:space="preserve"> to the acyl </w:t>
      </w:r>
      <w:r w:rsidR="00D50C25">
        <w:t xml:space="preserve">for the deinsertion to proceed </w:t>
      </w:r>
      <w:r w:rsidR="00E86FAC">
        <w:t xml:space="preserve">means that </w:t>
      </w:r>
      <w:r w:rsidR="00F57066">
        <w:rPr>
          <w:b/>
          <w:bCs/>
        </w:rPr>
        <w:t>11</w:t>
      </w:r>
      <w:r w:rsidR="00E86FAC">
        <w:t xml:space="preserve">, </w:t>
      </w:r>
      <w:r w:rsidR="00E86FAC">
        <w:rPr>
          <w:b/>
          <w:bCs/>
        </w:rPr>
        <w:t>1</w:t>
      </w:r>
      <w:r w:rsidR="00F57066">
        <w:rPr>
          <w:b/>
          <w:bCs/>
        </w:rPr>
        <w:t>2</w:t>
      </w:r>
      <w:r w:rsidR="00E86FAC">
        <w:t>,</w:t>
      </w:r>
      <w:r w:rsidR="00D50C25">
        <w:t xml:space="preserve"> </w:t>
      </w:r>
      <w:r w:rsidR="00D50C25">
        <w:rPr>
          <w:b/>
          <w:bCs/>
        </w:rPr>
        <w:t>1</w:t>
      </w:r>
      <w:r w:rsidR="00F57066">
        <w:rPr>
          <w:b/>
          <w:bCs/>
        </w:rPr>
        <w:t>4</w:t>
      </w:r>
      <w:r w:rsidR="00D50C25">
        <w:t>,</w:t>
      </w:r>
      <w:r w:rsidR="00E86FAC">
        <w:t xml:space="preserve"> </w:t>
      </w:r>
      <w:r w:rsidR="00A83D7B">
        <w:rPr>
          <w:b/>
          <w:bCs/>
        </w:rPr>
        <w:t>18</w:t>
      </w:r>
      <w:r w:rsidR="00E86FAC">
        <w:t xml:space="preserve">, and </w:t>
      </w:r>
      <w:r w:rsidR="00A83D7B">
        <w:rPr>
          <w:b/>
          <w:bCs/>
        </w:rPr>
        <w:t>19</w:t>
      </w:r>
      <w:r w:rsidR="00D50C25">
        <w:t xml:space="preserve"> are the </w:t>
      </w:r>
      <w:r w:rsidR="006C72D7">
        <w:t xml:space="preserve">only candidates for decarbonylation. Of those, </w:t>
      </w:r>
      <w:r w:rsidR="002F20EB">
        <w:t xml:space="preserve">we found that </w:t>
      </w:r>
      <w:r w:rsidR="006C72D7">
        <w:t xml:space="preserve">only </w:t>
      </w:r>
      <w:r w:rsidR="00A83D7B">
        <w:rPr>
          <w:b/>
          <w:bCs/>
        </w:rPr>
        <w:t>19</w:t>
      </w:r>
      <w:r w:rsidR="006C72D7">
        <w:t xml:space="preserve"> decarbonylated with a competitive energetic barrier.</w:t>
      </w:r>
      <w:r w:rsidR="00A5771A">
        <w:t xml:space="preserve"> </w:t>
      </w:r>
    </w:p>
    <w:p w14:paraId="3A63D0DD" w14:textId="268CDB03" w:rsidR="00617928" w:rsidRDefault="002E5395" w:rsidP="008E40E5">
      <w:pPr>
        <w:pStyle w:val="TAMainText"/>
      </w:pPr>
      <w:r>
        <w:t xml:space="preserve">Of </w:t>
      </w:r>
      <w:proofErr w:type="gramStart"/>
      <w:r>
        <w:t>particular releva</w:t>
      </w:r>
      <w:r w:rsidR="00077623">
        <w:t>nce</w:t>
      </w:r>
      <w:proofErr w:type="gramEnd"/>
      <w:r w:rsidR="00077623">
        <w:t xml:space="preserve"> to the following discussion is</w:t>
      </w:r>
      <w:r>
        <w:t xml:space="preserve"> </w:t>
      </w:r>
      <w:r w:rsidR="00077623">
        <w:t xml:space="preserve">the question of why </w:t>
      </w:r>
      <w:r w:rsidR="00A83D7B">
        <w:rPr>
          <w:b/>
          <w:bCs/>
        </w:rPr>
        <w:t>19</w:t>
      </w:r>
      <w:r w:rsidR="00077623">
        <w:t xml:space="preserve"> can decarbonylate with a reasonable barrier</w:t>
      </w:r>
      <w:r w:rsidR="00A43C29">
        <w:t xml:space="preserve"> (+20.</w:t>
      </w:r>
      <w:r w:rsidR="00D34093">
        <w:t>0</w:t>
      </w:r>
      <w:r w:rsidR="00A43C29">
        <w:t xml:space="preserve"> kcal/mol)</w:t>
      </w:r>
      <w:r w:rsidR="00077623">
        <w:t xml:space="preserve"> but </w:t>
      </w:r>
      <w:r w:rsidR="00077623" w:rsidRPr="00083217">
        <w:rPr>
          <w:b/>
          <w:bCs/>
        </w:rPr>
        <w:t>1</w:t>
      </w:r>
      <w:r w:rsidR="00F57066">
        <w:rPr>
          <w:b/>
          <w:bCs/>
        </w:rPr>
        <w:t>2</w:t>
      </w:r>
      <w:r w:rsidR="00077623">
        <w:t xml:space="preserve"> </w:t>
      </w:r>
      <w:r w:rsidR="00083217">
        <w:t>cannot</w:t>
      </w:r>
      <w:r w:rsidR="00D34093">
        <w:t xml:space="preserve"> (+30.8 </w:t>
      </w:r>
      <w:r w:rsidR="00D34093">
        <w:t>kcal/mol)</w:t>
      </w:r>
      <w:r w:rsidR="00077623">
        <w:t xml:space="preserve">. The </w:t>
      </w:r>
      <w:r w:rsidR="00083217">
        <w:t>two-dimensional</w:t>
      </w:r>
      <w:r w:rsidR="00077623">
        <w:t xml:space="preserve"> illustrations of the two structures in Scheme </w:t>
      </w:r>
      <w:r w:rsidR="00654E41">
        <w:t>2</w:t>
      </w:r>
      <w:r w:rsidR="00077623">
        <w:t xml:space="preserve"> makes it appear that the structures are identical except </w:t>
      </w:r>
      <w:r w:rsidR="00F93034">
        <w:t xml:space="preserve">for </w:t>
      </w:r>
      <w:r w:rsidR="00077623">
        <w:t xml:space="preserve">the </w:t>
      </w:r>
      <w:r w:rsidR="003D4F9E">
        <w:t xml:space="preserve">relative </w:t>
      </w:r>
      <w:r w:rsidR="00077623">
        <w:t xml:space="preserve">orientation of the S-Me group. In fact, while inversion of the S-Me group </w:t>
      </w:r>
      <w:r w:rsidR="00C5312A">
        <w:t xml:space="preserve">to interconvert </w:t>
      </w:r>
      <w:r w:rsidR="00C5312A" w:rsidRPr="009853A9">
        <w:rPr>
          <w:b/>
          <w:bCs/>
        </w:rPr>
        <w:t>1</w:t>
      </w:r>
      <w:r w:rsidR="00F57066">
        <w:rPr>
          <w:b/>
          <w:bCs/>
        </w:rPr>
        <w:t>2</w:t>
      </w:r>
      <w:r w:rsidR="00C5312A">
        <w:rPr>
          <w:b/>
          <w:bCs/>
        </w:rPr>
        <w:t xml:space="preserve"> </w:t>
      </w:r>
      <w:r w:rsidR="00C5312A" w:rsidRPr="009853A9">
        <w:t>and</w:t>
      </w:r>
      <w:r w:rsidR="00C5312A">
        <w:rPr>
          <w:b/>
          <w:bCs/>
        </w:rPr>
        <w:t xml:space="preserve"> </w:t>
      </w:r>
      <w:r w:rsidR="00690E9A">
        <w:rPr>
          <w:b/>
          <w:bCs/>
        </w:rPr>
        <w:t>19</w:t>
      </w:r>
      <w:r w:rsidR="00C5312A">
        <w:rPr>
          <w:b/>
          <w:bCs/>
        </w:rPr>
        <w:t xml:space="preserve"> </w:t>
      </w:r>
      <w:r w:rsidR="00077623" w:rsidRPr="00C5312A">
        <w:t>is</w:t>
      </w:r>
      <w:r w:rsidR="00077623">
        <w:t xml:space="preserve"> </w:t>
      </w:r>
      <w:r w:rsidR="00181DB4">
        <w:t xml:space="preserve">a </w:t>
      </w:r>
      <w:r w:rsidR="00077623">
        <w:t>relatively low barrier</w:t>
      </w:r>
      <w:r w:rsidR="0063796B">
        <w:t xml:space="preserve"> process (</w:t>
      </w:r>
      <w:r w:rsidR="00182C59">
        <w:t>1.6</w:t>
      </w:r>
      <w:r w:rsidR="0063796B">
        <w:t xml:space="preserve"> kcal/mol</w:t>
      </w:r>
      <w:r w:rsidR="002B4ABE">
        <w:t xml:space="preserve"> above the intermediates</w:t>
      </w:r>
      <w:r w:rsidR="0063796B">
        <w:t>), there are significant structural differences</w:t>
      </w:r>
      <w:r w:rsidR="0036122D">
        <w:t xml:space="preserve"> that are not </w:t>
      </w:r>
      <w:r w:rsidR="00691774">
        <w:t>immediately</w:t>
      </w:r>
      <w:r w:rsidR="0036122D">
        <w:t xml:space="preserve"> apparent</w:t>
      </w:r>
      <w:r w:rsidR="00691774">
        <w:t xml:space="preserve">. </w:t>
      </w:r>
      <w:r w:rsidR="0063796B" w:rsidRPr="004A6753">
        <w:t xml:space="preserve">The </w:t>
      </w:r>
      <w:r w:rsidR="00083217" w:rsidRPr="004A6753">
        <w:t>three-dimensional</w:t>
      </w:r>
      <w:r w:rsidR="0063796B" w:rsidRPr="004A6753">
        <w:t xml:space="preserve"> structures are shown in Scheme </w:t>
      </w:r>
      <w:r w:rsidR="00654E41">
        <w:t>4</w:t>
      </w:r>
      <w:r w:rsidR="0063796B" w:rsidRPr="004A6753">
        <w:t xml:space="preserve">, and one can immediately observe that the aryl ring for </w:t>
      </w:r>
      <w:r w:rsidR="00690E9A" w:rsidRPr="004A6753">
        <w:rPr>
          <w:b/>
          <w:bCs/>
        </w:rPr>
        <w:t>19</w:t>
      </w:r>
      <w:r w:rsidR="0063796B" w:rsidRPr="004A6753">
        <w:t xml:space="preserve"> is tipped significantly towards the metal center</w:t>
      </w:r>
      <w:r w:rsidR="001056CC" w:rsidRPr="004A6753">
        <w:t xml:space="preserve"> to form an eta-2 interaction between the metal and the two carbons to be cleaved</w:t>
      </w:r>
      <w:r w:rsidR="008F67E8" w:rsidRPr="004A6753">
        <w:t>.</w:t>
      </w:r>
      <w:r w:rsidR="00555372">
        <w:t xml:space="preserve"> To </w:t>
      </w:r>
      <w:r w:rsidR="00934E5F">
        <w:t>help</w:t>
      </w:r>
      <w:r w:rsidR="00555372">
        <w:t xml:space="preserve"> </w:t>
      </w:r>
      <w:r w:rsidR="00EA189D">
        <w:t>reinforce the significant differences,</w:t>
      </w:r>
      <w:r w:rsidR="00555372">
        <w:t xml:space="preserve"> the two structures are </w:t>
      </w:r>
      <w:r w:rsidR="00EA189D">
        <w:t xml:space="preserve">also </w:t>
      </w:r>
      <w:r w:rsidR="00555372">
        <w:t xml:space="preserve">overlaid in the upper </w:t>
      </w:r>
      <w:proofErr w:type="gramStart"/>
      <w:r w:rsidR="00555372">
        <w:t>right hand</w:t>
      </w:r>
      <w:proofErr w:type="gramEnd"/>
      <w:r w:rsidR="00555372">
        <w:t xml:space="preserve"> corner</w:t>
      </w:r>
      <w:r w:rsidR="00EA189D">
        <w:t xml:space="preserve"> of Scheme </w:t>
      </w:r>
      <w:r w:rsidR="00654E41">
        <w:t>4</w:t>
      </w:r>
      <w:r w:rsidR="00555372">
        <w:t xml:space="preserve"> with </w:t>
      </w:r>
      <w:r w:rsidR="00555372">
        <w:rPr>
          <w:b/>
          <w:bCs/>
        </w:rPr>
        <w:t>12</w:t>
      </w:r>
      <w:r w:rsidR="00555372">
        <w:t xml:space="preserve"> shown in blue and </w:t>
      </w:r>
      <w:r w:rsidR="00555372">
        <w:rPr>
          <w:b/>
          <w:bCs/>
        </w:rPr>
        <w:t>19</w:t>
      </w:r>
      <w:r w:rsidR="00555372">
        <w:t xml:space="preserve"> shown in red.</w:t>
      </w:r>
      <w:r w:rsidR="008F67E8">
        <w:t xml:space="preserve"> Subsequent</w:t>
      </w:r>
      <w:r w:rsidR="0063796B">
        <w:t xml:space="preserve"> deinsertion</w:t>
      </w:r>
      <w:r w:rsidR="00EA189D">
        <w:t xml:space="preserve"> from </w:t>
      </w:r>
      <w:r w:rsidR="00EA189D">
        <w:rPr>
          <w:b/>
          <w:bCs/>
        </w:rPr>
        <w:t>19</w:t>
      </w:r>
      <w:r w:rsidR="0063796B">
        <w:t xml:space="preserve"> has a barrier of only 6.</w:t>
      </w:r>
      <w:r w:rsidR="00D1430C">
        <w:t>9</w:t>
      </w:r>
      <w:r w:rsidR="0063796B">
        <w:t xml:space="preserve"> kcal</w:t>
      </w:r>
      <w:r w:rsidR="007F47E4">
        <w:t>/mol</w:t>
      </w:r>
      <w:r w:rsidR="00E612AA">
        <w:t xml:space="preserve"> (20.0 kcal</w:t>
      </w:r>
      <w:r w:rsidR="007F47E4">
        <w:t>/mol</w:t>
      </w:r>
      <w:r w:rsidR="00E612AA">
        <w:t xml:space="preserve"> from baseline)</w:t>
      </w:r>
      <w:r w:rsidR="0063796B">
        <w:t xml:space="preserve"> to form </w:t>
      </w:r>
      <w:r w:rsidR="000B32C5">
        <w:rPr>
          <w:b/>
          <w:bCs/>
        </w:rPr>
        <w:t>2</w:t>
      </w:r>
      <w:r w:rsidR="00690E9A">
        <w:rPr>
          <w:b/>
          <w:bCs/>
        </w:rPr>
        <w:t>1</w:t>
      </w:r>
      <w:r w:rsidR="000B32C5">
        <w:rPr>
          <w:b/>
          <w:bCs/>
        </w:rPr>
        <w:t xml:space="preserve"> </w:t>
      </w:r>
      <w:r w:rsidR="0077436F">
        <w:t>as the</w:t>
      </w:r>
      <w:r w:rsidR="0077436F">
        <w:rPr>
          <w:b/>
          <w:bCs/>
        </w:rPr>
        <w:t xml:space="preserve"> </w:t>
      </w:r>
      <w:r w:rsidR="0077436F" w:rsidRPr="0077436F">
        <w:t>aryl ring is pre-oriented into the open coordination site</w:t>
      </w:r>
      <w:r w:rsidR="0063796B" w:rsidRPr="0077436F">
        <w:t>.</w:t>
      </w:r>
      <w:r w:rsidR="0063796B">
        <w:t xml:space="preserve"> </w:t>
      </w:r>
      <w:r w:rsidR="003010F9">
        <w:t>In contrast, t</w:t>
      </w:r>
      <w:r w:rsidR="0063796B">
        <w:t xml:space="preserve">he S-Me of </w:t>
      </w:r>
      <w:r w:rsidR="0063796B">
        <w:rPr>
          <w:b/>
          <w:bCs/>
        </w:rPr>
        <w:t>1</w:t>
      </w:r>
      <w:r w:rsidR="00F57066">
        <w:rPr>
          <w:b/>
          <w:bCs/>
        </w:rPr>
        <w:t>2</w:t>
      </w:r>
      <w:r w:rsidR="0063796B">
        <w:t xml:space="preserve"> is oriented in the space </w:t>
      </w:r>
      <w:r w:rsidR="003010F9">
        <w:t xml:space="preserve">of </w:t>
      </w:r>
      <w:r w:rsidR="0063796B">
        <w:t xml:space="preserve">the open coordination site, </w:t>
      </w:r>
      <w:r w:rsidR="003010F9">
        <w:t>rendering</w:t>
      </w:r>
      <w:r w:rsidR="0063796B">
        <w:t xml:space="preserve"> rotation of the aryl ring towards th</w:t>
      </w:r>
      <w:r w:rsidR="003010F9">
        <w:t>is</w:t>
      </w:r>
      <w:r w:rsidR="0063796B">
        <w:t xml:space="preserve"> site disfavored by the steric interaction of the S-Me with the ligand </w:t>
      </w:r>
      <w:r w:rsidR="0063796B" w:rsidRPr="004975A6">
        <w:rPr>
          <w:i/>
          <w:iCs/>
        </w:rPr>
        <w:t>t</w:t>
      </w:r>
      <w:r w:rsidR="0063796B">
        <w:t>-Bu groups</w:t>
      </w:r>
      <w:r w:rsidR="00E704B0">
        <w:t xml:space="preserve"> and</w:t>
      </w:r>
      <w:r w:rsidR="003010F9">
        <w:t xml:space="preserve"> thereby precluding </w:t>
      </w:r>
      <w:r w:rsidR="008F67E8">
        <w:t xml:space="preserve">facile </w:t>
      </w:r>
      <w:r w:rsidR="003010F9">
        <w:t>carbonyl</w:t>
      </w:r>
      <w:r w:rsidR="0077436F">
        <w:t xml:space="preserve"> deinsertion</w:t>
      </w:r>
      <w:r w:rsidR="0063796B">
        <w:t>.</w:t>
      </w:r>
      <w:r w:rsidR="0077436F">
        <w:t xml:space="preserve"> The barrier to decarbonylation for </w:t>
      </w:r>
      <w:r w:rsidR="0077436F">
        <w:rPr>
          <w:b/>
          <w:bCs/>
        </w:rPr>
        <w:t>1</w:t>
      </w:r>
      <w:r w:rsidR="00F57066">
        <w:rPr>
          <w:b/>
          <w:bCs/>
        </w:rPr>
        <w:t>2</w:t>
      </w:r>
      <w:r w:rsidR="0077436F">
        <w:t xml:space="preserve"> is</w:t>
      </w:r>
      <w:r w:rsidR="00E612AA">
        <w:t xml:space="preserve"> 17.1 kcal</w:t>
      </w:r>
      <w:r w:rsidR="00690E9A">
        <w:t>/mol</w:t>
      </w:r>
      <w:r w:rsidR="0077436F">
        <w:t xml:space="preserve"> </w:t>
      </w:r>
      <w:r w:rsidR="00E612AA">
        <w:t>(</w:t>
      </w:r>
      <w:r w:rsidR="00B301DE">
        <w:t>30.8</w:t>
      </w:r>
      <w:r w:rsidR="0077436F">
        <w:t xml:space="preserve"> kcal</w:t>
      </w:r>
      <w:r w:rsidR="00690E9A">
        <w:t>/mol</w:t>
      </w:r>
      <w:r w:rsidR="00E612AA">
        <w:t xml:space="preserve"> from baseline)</w:t>
      </w:r>
      <w:r w:rsidR="0077436F">
        <w:t xml:space="preserve"> </w:t>
      </w:r>
      <w:r w:rsidR="003010F9">
        <w:t xml:space="preserve">and is </w:t>
      </w:r>
      <w:r w:rsidR="0077436F">
        <w:t>non-competitive with</w:t>
      </w:r>
      <w:r w:rsidR="00004FDD">
        <w:t xml:space="preserve"> either</w:t>
      </w:r>
      <w:r w:rsidR="0077436F">
        <w:t xml:space="preserve"> productive hydroacylation or decarbonylation from </w:t>
      </w:r>
      <w:r w:rsidR="00690E9A">
        <w:rPr>
          <w:b/>
          <w:bCs/>
        </w:rPr>
        <w:t>19</w:t>
      </w:r>
      <w:r w:rsidR="0077436F">
        <w:t xml:space="preserve">. </w:t>
      </w:r>
    </w:p>
    <w:p w14:paraId="690DEDF1" w14:textId="1DFE4C67" w:rsidR="00975A28" w:rsidRPr="00F153C4" w:rsidRDefault="00D9327A" w:rsidP="008E40E5">
      <w:pPr>
        <w:pStyle w:val="TAMainText"/>
      </w:pPr>
      <w:r>
        <w:t>Th</w:t>
      </w:r>
      <w:r w:rsidR="00281DD5">
        <w:t xml:space="preserve">is </w:t>
      </w:r>
      <w:r w:rsidR="004E6E53">
        <w:t>return</w:t>
      </w:r>
      <w:r w:rsidR="00281DD5">
        <w:t xml:space="preserve">s us to a discussion of the branch point(s). </w:t>
      </w:r>
      <w:r w:rsidR="000F4FD2">
        <w:t>I</w:t>
      </w:r>
      <w:r w:rsidR="00DC727C">
        <w:t xml:space="preserve">ntermediate </w:t>
      </w:r>
      <w:r w:rsidR="00F57066">
        <w:rPr>
          <w:b/>
          <w:bCs/>
        </w:rPr>
        <w:t>11</w:t>
      </w:r>
      <w:r w:rsidR="00DC727C">
        <w:t xml:space="preserve"> is </w:t>
      </w:r>
      <w:r w:rsidR="005079F4">
        <w:t>a</w:t>
      </w:r>
      <w:r w:rsidR="00105C9E">
        <w:t xml:space="preserve"> clear</w:t>
      </w:r>
      <w:r w:rsidR="00DC727C">
        <w:t xml:space="preserve"> branch point</w:t>
      </w:r>
      <w:r w:rsidR="000C3BE9">
        <w:t xml:space="preserve"> </w:t>
      </w:r>
      <w:r w:rsidR="00DC727C">
        <w:t xml:space="preserve">where the reaction </w:t>
      </w:r>
      <w:r w:rsidR="00E95191">
        <w:t xml:space="preserve">pathway </w:t>
      </w:r>
      <w:r w:rsidR="00F64FEF">
        <w:t>diverge</w:t>
      </w:r>
      <w:r w:rsidR="00DC727C">
        <w:t>s</w:t>
      </w:r>
      <w:r w:rsidR="00E95191">
        <w:t xml:space="preserve"> </w:t>
      </w:r>
      <w:r w:rsidR="00DC727C">
        <w:t>to either decarbonylation and catalyst death or productive HA</w:t>
      </w:r>
      <w:r w:rsidR="000F4FD2">
        <w:t>.</w:t>
      </w:r>
      <w:r w:rsidR="00434B95">
        <w:t xml:space="preserve"> I</w:t>
      </w:r>
      <w:r w:rsidR="00E95191">
        <w:t xml:space="preserve">ntermediate </w:t>
      </w:r>
      <w:r w:rsidR="00F57066">
        <w:rPr>
          <w:b/>
          <w:bCs/>
        </w:rPr>
        <w:t>11</w:t>
      </w:r>
      <w:r w:rsidR="00E95191">
        <w:t xml:space="preserve"> can proceed to decarbonylation </w:t>
      </w:r>
      <w:r w:rsidR="00E95191">
        <w:rPr>
          <w:i/>
          <w:iCs/>
        </w:rPr>
        <w:t>via</w:t>
      </w:r>
      <w:r w:rsidR="00E95191">
        <w:t xml:space="preserve"> </w:t>
      </w:r>
      <w:r w:rsidR="003C7E53">
        <w:rPr>
          <w:b/>
          <w:bCs/>
        </w:rPr>
        <w:t>18</w:t>
      </w:r>
      <w:r w:rsidR="00E95191">
        <w:t xml:space="preserve"> or</w:t>
      </w:r>
      <w:r w:rsidR="00F00A29">
        <w:t xml:space="preserve"> to productive HA </w:t>
      </w:r>
      <w:r w:rsidR="00F00A29">
        <w:rPr>
          <w:i/>
          <w:iCs/>
        </w:rPr>
        <w:t>via</w:t>
      </w:r>
      <w:r w:rsidR="00F00A29">
        <w:t xml:space="preserve"> </w:t>
      </w:r>
      <w:r w:rsidR="00E95191">
        <w:rPr>
          <w:b/>
          <w:bCs/>
        </w:rPr>
        <w:t>1</w:t>
      </w:r>
      <w:r w:rsidR="00F57066">
        <w:rPr>
          <w:b/>
          <w:bCs/>
        </w:rPr>
        <w:t>2</w:t>
      </w:r>
      <w:r w:rsidR="00F00A29">
        <w:t xml:space="preserve">. </w:t>
      </w:r>
      <w:r w:rsidR="00AA65A9">
        <w:t xml:space="preserve">Intermediate </w:t>
      </w:r>
      <w:r w:rsidR="00AA65A9" w:rsidRPr="00853D4C">
        <w:rPr>
          <w:b/>
          <w:bCs/>
        </w:rPr>
        <w:t>1</w:t>
      </w:r>
      <w:r w:rsidR="00F57066">
        <w:rPr>
          <w:b/>
          <w:bCs/>
        </w:rPr>
        <w:t>2</w:t>
      </w:r>
      <w:r w:rsidR="00AA65A9">
        <w:t xml:space="preserve"> is formed more rapidly </w:t>
      </w:r>
      <w:r w:rsidR="00AA65A9">
        <w:lastRenderedPageBreak/>
        <w:t xml:space="preserve">than </w:t>
      </w:r>
      <w:r w:rsidR="003C7E53">
        <w:rPr>
          <w:b/>
          <w:bCs/>
        </w:rPr>
        <w:t>18</w:t>
      </w:r>
      <w:r w:rsidR="00AA65A9">
        <w:t>, yet</w:t>
      </w:r>
      <w:r w:rsidR="00C05CAF">
        <w:t xml:space="preserve"> </w:t>
      </w:r>
      <w:r w:rsidR="00AA65A9">
        <w:t xml:space="preserve">the latter is significantly more stable. Alkene </w:t>
      </w:r>
      <w:r w:rsidR="0056039E">
        <w:t>association</w:t>
      </w:r>
      <w:r w:rsidR="00AA65A9">
        <w:t xml:space="preserve"> to the former to </w:t>
      </w:r>
      <w:r w:rsidR="0056039E">
        <w:t>generate</w:t>
      </w:r>
      <w:r w:rsidR="00AA65A9">
        <w:t xml:space="preserve"> </w:t>
      </w:r>
      <w:r w:rsidR="00AA65A9">
        <w:rPr>
          <w:b/>
          <w:bCs/>
        </w:rPr>
        <w:t>1</w:t>
      </w:r>
      <w:r w:rsidR="00F57066">
        <w:rPr>
          <w:b/>
          <w:bCs/>
        </w:rPr>
        <w:t>3</w:t>
      </w:r>
      <w:r w:rsidR="00AA65A9">
        <w:t xml:space="preserve"> </w:t>
      </w:r>
      <w:r w:rsidR="0056039E">
        <w:t xml:space="preserve">is not as rapid as </w:t>
      </w:r>
      <w:proofErr w:type="spellStart"/>
      <w:r w:rsidR="0047394C">
        <w:t>thiomethyl</w:t>
      </w:r>
      <w:proofErr w:type="spellEnd"/>
      <w:r w:rsidR="00AA65A9">
        <w:t xml:space="preserve"> inver</w:t>
      </w:r>
      <w:r w:rsidR="0047394C">
        <w:t>s</w:t>
      </w:r>
      <w:r w:rsidR="0056039E">
        <w:t>ion</w:t>
      </w:r>
      <w:r w:rsidR="0047394C">
        <w:t xml:space="preserve"> </w:t>
      </w:r>
      <w:r w:rsidR="00AA65A9">
        <w:t xml:space="preserve">to form </w:t>
      </w:r>
      <w:r w:rsidR="003C7E53">
        <w:rPr>
          <w:b/>
          <w:bCs/>
        </w:rPr>
        <w:t>19</w:t>
      </w:r>
      <w:r w:rsidR="00BD4497">
        <w:t xml:space="preserve"> (the </w:t>
      </w:r>
      <w:r w:rsidR="00BD4497">
        <w:rPr>
          <w:b/>
          <w:bCs/>
        </w:rPr>
        <w:t>1</w:t>
      </w:r>
      <w:r w:rsidR="00F57066">
        <w:rPr>
          <w:b/>
          <w:bCs/>
        </w:rPr>
        <w:t>2</w:t>
      </w:r>
      <w:r w:rsidR="00BD4497">
        <w:rPr>
          <w:b/>
          <w:bCs/>
        </w:rPr>
        <w:t xml:space="preserve"> </w:t>
      </w:r>
      <w:r w:rsidR="00BD4497">
        <w:rPr>
          <w:rFonts w:ascii="Wingdings" w:eastAsia="Wingdings" w:hAnsi="Wingdings" w:cs="Wingdings"/>
        </w:rPr>
        <w:t>à</w:t>
      </w:r>
      <w:r w:rsidR="00BD4497">
        <w:t xml:space="preserve"> </w:t>
      </w:r>
      <w:r w:rsidR="003C7E53">
        <w:rPr>
          <w:b/>
          <w:bCs/>
        </w:rPr>
        <w:t>19</w:t>
      </w:r>
      <w:r w:rsidR="00BD4497">
        <w:t xml:space="preserve"> barrier is lower than capture of alkene</w:t>
      </w:r>
      <w:r w:rsidR="002F716C">
        <w:t>,</w:t>
      </w:r>
      <w:r w:rsidR="00BD4497">
        <w:t xml:space="preserve"> </w:t>
      </w:r>
      <w:r w:rsidR="00BD4497" w:rsidRPr="009853A9">
        <w:rPr>
          <w:b/>
          <w:bCs/>
        </w:rPr>
        <w:t>1</w:t>
      </w:r>
      <w:r w:rsidR="00F57066">
        <w:rPr>
          <w:b/>
          <w:bCs/>
        </w:rPr>
        <w:t>2</w:t>
      </w:r>
      <w:r w:rsidR="00BD4497">
        <w:rPr>
          <w:b/>
          <w:bCs/>
        </w:rPr>
        <w:t xml:space="preserve"> </w:t>
      </w:r>
      <w:r w:rsidR="00BD4497">
        <w:rPr>
          <w:rFonts w:ascii="Wingdings" w:eastAsia="Wingdings" w:hAnsi="Wingdings" w:cs="Wingdings"/>
        </w:rPr>
        <w:t>à</w:t>
      </w:r>
      <w:r w:rsidR="00BD4497">
        <w:t xml:space="preserve"> </w:t>
      </w:r>
      <w:r w:rsidR="00BD4497" w:rsidRPr="009853A9">
        <w:rPr>
          <w:b/>
          <w:bCs/>
        </w:rPr>
        <w:t>1</w:t>
      </w:r>
      <w:r w:rsidR="00F57066">
        <w:rPr>
          <w:b/>
          <w:bCs/>
        </w:rPr>
        <w:t>3</w:t>
      </w:r>
      <w:r w:rsidR="002F716C">
        <w:rPr>
          <w:b/>
          <w:bCs/>
        </w:rPr>
        <w:t>,</w:t>
      </w:r>
      <w:r w:rsidR="00BD4497">
        <w:rPr>
          <w:b/>
          <w:bCs/>
        </w:rPr>
        <w:t xml:space="preserve"> </w:t>
      </w:r>
      <w:r w:rsidR="00BD4497">
        <w:t>by 1.6 kcal</w:t>
      </w:r>
      <w:r w:rsidR="003C7E53">
        <w:t>/mol</w:t>
      </w:r>
      <w:r w:rsidR="00BD4497">
        <w:t>).</w:t>
      </w:r>
      <w:r w:rsidR="00AA65A9">
        <w:t xml:space="preserve"> </w:t>
      </w:r>
      <w:r w:rsidR="008626A3">
        <w:t xml:space="preserve">Partitioning between </w:t>
      </w:r>
      <w:r w:rsidR="008626A3" w:rsidRPr="00E05309">
        <w:rPr>
          <w:b/>
          <w:bCs/>
        </w:rPr>
        <w:t>1</w:t>
      </w:r>
      <w:r w:rsidR="00F57066">
        <w:rPr>
          <w:b/>
          <w:bCs/>
        </w:rPr>
        <w:t>2</w:t>
      </w:r>
      <w:r w:rsidR="008626A3">
        <w:t xml:space="preserve">, </w:t>
      </w:r>
      <w:r w:rsidR="008626A3" w:rsidRPr="00E05309">
        <w:rPr>
          <w:b/>
          <w:bCs/>
        </w:rPr>
        <w:t>1</w:t>
      </w:r>
      <w:r w:rsidR="00F57066">
        <w:rPr>
          <w:b/>
          <w:bCs/>
        </w:rPr>
        <w:t>3</w:t>
      </w:r>
      <w:r w:rsidR="004C177A">
        <w:t xml:space="preserve"> (which proceeds to </w:t>
      </w:r>
      <w:r w:rsidR="004C177A">
        <w:rPr>
          <w:b/>
          <w:bCs/>
        </w:rPr>
        <w:t>15</w:t>
      </w:r>
      <w:r w:rsidR="004C177A">
        <w:t xml:space="preserve"> with low barriers)</w:t>
      </w:r>
      <w:r w:rsidR="008626A3">
        <w:t xml:space="preserve">, </w:t>
      </w:r>
      <w:r w:rsidR="003A6D0F">
        <w:rPr>
          <w:b/>
          <w:bCs/>
        </w:rPr>
        <w:t>19</w:t>
      </w:r>
      <w:r w:rsidR="008626A3">
        <w:t xml:space="preserve"> and </w:t>
      </w:r>
      <w:r w:rsidR="008626A3">
        <w:rPr>
          <w:b/>
          <w:bCs/>
        </w:rPr>
        <w:t>2</w:t>
      </w:r>
      <w:r w:rsidR="003A6D0F">
        <w:rPr>
          <w:b/>
          <w:bCs/>
        </w:rPr>
        <w:t>1</w:t>
      </w:r>
      <w:r w:rsidR="008626A3">
        <w:t xml:space="preserve"> therefore determines the outcome of the reaction. </w:t>
      </w:r>
      <w:r w:rsidR="0009673E">
        <w:t xml:space="preserve">Importantly, the energetics involved in the formation and interconversion of </w:t>
      </w:r>
      <w:r w:rsidR="0009673E">
        <w:rPr>
          <w:b/>
          <w:bCs/>
        </w:rPr>
        <w:t>1</w:t>
      </w:r>
      <w:r w:rsidR="00F57066">
        <w:rPr>
          <w:b/>
          <w:bCs/>
        </w:rPr>
        <w:t>2</w:t>
      </w:r>
      <w:r w:rsidR="0009673E">
        <w:t xml:space="preserve">, </w:t>
      </w:r>
      <w:r w:rsidR="00081BFC">
        <w:rPr>
          <w:b/>
          <w:bCs/>
        </w:rPr>
        <w:t>18</w:t>
      </w:r>
      <w:r w:rsidR="0009673E">
        <w:t xml:space="preserve"> and </w:t>
      </w:r>
      <w:r w:rsidR="00081BFC">
        <w:rPr>
          <w:b/>
          <w:bCs/>
        </w:rPr>
        <w:t>19</w:t>
      </w:r>
      <w:r w:rsidR="0009673E">
        <w:t xml:space="preserve"> are remarkably competitive (+15.2 kcal</w:t>
      </w:r>
      <w:r w:rsidR="00081BFC">
        <w:t>/mol</w:t>
      </w:r>
      <w:r w:rsidR="0009673E">
        <w:t xml:space="preserve"> for </w:t>
      </w:r>
      <w:r w:rsidR="00F57066">
        <w:rPr>
          <w:b/>
          <w:bCs/>
        </w:rPr>
        <w:t>11</w:t>
      </w:r>
      <w:r w:rsidR="0009673E">
        <w:t xml:space="preserve"> </w:t>
      </w:r>
      <w:r w:rsidR="0009673E">
        <w:rPr>
          <w:rFonts w:ascii="Wingdings" w:eastAsia="Wingdings" w:hAnsi="Wingdings" w:cs="Wingdings"/>
        </w:rPr>
        <w:t>à</w:t>
      </w:r>
      <w:r w:rsidR="0009673E">
        <w:t xml:space="preserve"> </w:t>
      </w:r>
      <w:r w:rsidR="00081BFC">
        <w:rPr>
          <w:b/>
          <w:bCs/>
        </w:rPr>
        <w:t>18</w:t>
      </w:r>
      <w:r w:rsidR="007839DF">
        <w:t xml:space="preserve"> </w:t>
      </w:r>
      <w:r w:rsidR="007839DF">
        <w:rPr>
          <w:rFonts w:ascii="Wingdings" w:eastAsia="Wingdings" w:hAnsi="Wingdings" w:cs="Wingdings"/>
        </w:rPr>
        <w:t>à</w:t>
      </w:r>
      <w:r w:rsidR="007839DF">
        <w:t xml:space="preserve"> </w:t>
      </w:r>
      <w:r w:rsidR="00081BFC">
        <w:rPr>
          <w:b/>
          <w:bCs/>
        </w:rPr>
        <w:t>19</w:t>
      </w:r>
      <w:r w:rsidR="007839DF">
        <w:t xml:space="preserve"> and</w:t>
      </w:r>
      <w:r w:rsidR="0009673E">
        <w:t xml:space="preserve"> +15.3 for </w:t>
      </w:r>
      <w:r w:rsidR="00F57066">
        <w:rPr>
          <w:b/>
          <w:bCs/>
        </w:rPr>
        <w:t>11</w:t>
      </w:r>
      <w:r w:rsidR="0009673E">
        <w:t xml:space="preserve"> </w:t>
      </w:r>
      <w:r w:rsidR="0009673E">
        <w:rPr>
          <w:rFonts w:ascii="Wingdings" w:eastAsia="Wingdings" w:hAnsi="Wingdings" w:cs="Wingdings"/>
        </w:rPr>
        <w:t>à</w:t>
      </w:r>
      <w:r w:rsidR="0009673E">
        <w:t xml:space="preserve"> </w:t>
      </w:r>
      <w:r w:rsidR="0009673E">
        <w:rPr>
          <w:b/>
          <w:bCs/>
        </w:rPr>
        <w:t>1</w:t>
      </w:r>
      <w:r w:rsidR="00F57066">
        <w:rPr>
          <w:b/>
          <w:bCs/>
        </w:rPr>
        <w:t>2</w:t>
      </w:r>
      <w:r w:rsidR="0009673E">
        <w:t xml:space="preserve"> </w:t>
      </w:r>
      <w:r w:rsidR="0009673E">
        <w:rPr>
          <w:rFonts w:ascii="Wingdings" w:eastAsia="Wingdings" w:hAnsi="Wingdings" w:cs="Wingdings"/>
        </w:rPr>
        <w:t>à</w:t>
      </w:r>
      <w:r w:rsidR="0009673E">
        <w:t xml:space="preserve"> </w:t>
      </w:r>
      <w:r w:rsidR="00081BFC">
        <w:rPr>
          <w:b/>
          <w:bCs/>
        </w:rPr>
        <w:t>19</w:t>
      </w:r>
      <w:r w:rsidR="00215B58">
        <w:t>, all from baseline</w:t>
      </w:r>
      <w:r w:rsidR="007839DF">
        <w:t>)</w:t>
      </w:r>
      <w:r w:rsidR="0009673E">
        <w:t>.</w:t>
      </w:r>
      <w:r w:rsidR="008626A3">
        <w:t xml:space="preserve"> </w:t>
      </w:r>
      <w:r w:rsidR="0038193E">
        <w:t>Likewise,</w:t>
      </w:r>
      <w:r w:rsidR="009C4C05">
        <w:t xml:space="preserve"> rate-determining steps for the </w:t>
      </w:r>
      <w:r w:rsidR="00E92992">
        <w:t xml:space="preserve">decarbonylation </w:t>
      </w:r>
      <w:r w:rsidR="009C4C05">
        <w:t>pathway</w:t>
      </w:r>
      <w:r w:rsidR="0038193E">
        <w:t xml:space="preserve"> </w:t>
      </w:r>
      <w:r w:rsidR="0038193E">
        <w:rPr>
          <w:b/>
          <w:bCs/>
        </w:rPr>
        <w:t xml:space="preserve">19 </w:t>
      </w:r>
      <w:r w:rsidR="0038193E" w:rsidRPr="0038193E">
        <w:rPr>
          <w:rFonts w:ascii="Wingdings" w:eastAsia="Wingdings" w:hAnsi="Wingdings" w:cs="Wingdings"/>
          <w:b/>
          <w:bCs/>
        </w:rPr>
        <w:t>à</w:t>
      </w:r>
      <w:r w:rsidR="0038193E">
        <w:rPr>
          <w:b/>
          <w:bCs/>
        </w:rPr>
        <w:t xml:space="preserve"> 21</w:t>
      </w:r>
      <w:r w:rsidR="0038193E">
        <w:t xml:space="preserve"> (barrier +20</w:t>
      </w:r>
      <w:r w:rsidR="00CD1889">
        <w:t>.0 kcal/mol) and</w:t>
      </w:r>
      <w:r w:rsidR="00E92992">
        <w:t xml:space="preserve"> productive hydroacylation</w:t>
      </w:r>
      <w:r w:rsidR="00CD1889">
        <w:t xml:space="preserve"> </w:t>
      </w:r>
      <w:r w:rsidR="00F153C4">
        <w:rPr>
          <w:b/>
          <w:bCs/>
        </w:rPr>
        <w:t>15</w:t>
      </w:r>
      <w:r w:rsidR="005D7593">
        <w:rPr>
          <w:b/>
          <w:bCs/>
        </w:rPr>
        <w:t xml:space="preserve"> </w:t>
      </w:r>
      <w:r w:rsidR="00F153C4" w:rsidRPr="005D7593">
        <w:rPr>
          <w:rFonts w:ascii="Wingdings" w:eastAsia="Wingdings" w:hAnsi="Wingdings" w:cs="Wingdings"/>
        </w:rPr>
        <w:t>à</w:t>
      </w:r>
      <w:r w:rsidR="00F153C4">
        <w:t xml:space="preserve"> </w:t>
      </w:r>
      <w:r w:rsidR="00F153C4">
        <w:rPr>
          <w:b/>
          <w:bCs/>
        </w:rPr>
        <w:t>16</w:t>
      </w:r>
      <w:r w:rsidR="00F153C4">
        <w:t xml:space="preserve"> </w:t>
      </w:r>
      <w:r w:rsidR="005D7593">
        <w:t>(barrier 20.8</w:t>
      </w:r>
      <w:r w:rsidR="00E92992">
        <w:t xml:space="preserve"> kcal/mol) </w:t>
      </w:r>
      <w:r w:rsidR="009C4C05">
        <w:t>are competitive</w:t>
      </w:r>
      <w:r w:rsidR="00E92992">
        <w:t xml:space="preserve"> but </w:t>
      </w:r>
      <w:r w:rsidR="00717088">
        <w:t xml:space="preserve">slightly </w:t>
      </w:r>
      <w:r w:rsidR="00E92992">
        <w:t xml:space="preserve">favor </w:t>
      </w:r>
      <w:r w:rsidR="00717088">
        <w:t xml:space="preserve">the </w:t>
      </w:r>
      <w:r w:rsidR="001F6096">
        <w:t>decarbonylation</w:t>
      </w:r>
      <w:r w:rsidR="00717088">
        <w:t xml:space="preserve"> pathway</w:t>
      </w:r>
      <w:r w:rsidR="001F6096">
        <w:t xml:space="preserve"> in the absence of </w:t>
      </w:r>
      <w:r w:rsidR="001F6096">
        <w:t xml:space="preserve">added </w:t>
      </w:r>
      <w:proofErr w:type="gramStart"/>
      <w:r w:rsidR="001F6096">
        <w:t>Lewis</w:t>
      </w:r>
      <w:proofErr w:type="gramEnd"/>
      <w:r w:rsidR="001F6096">
        <w:t xml:space="preserve"> base</w:t>
      </w:r>
      <w:r w:rsidR="005025E6">
        <w:t>, consistent with experimental findings</w:t>
      </w:r>
      <w:r w:rsidR="001F6096">
        <w:t>.</w:t>
      </w:r>
    </w:p>
    <w:p w14:paraId="792E15E8" w14:textId="0B415CED" w:rsidR="009D0A1C" w:rsidRDefault="007839DF" w:rsidP="008E40E5">
      <w:pPr>
        <w:pStyle w:val="TAMainText"/>
        <w:sectPr w:rsidR="009D0A1C" w:rsidSect="00D30160">
          <w:footnotePr>
            <w:pos w:val="beneathText"/>
          </w:footnotePr>
          <w:endnotePr>
            <w:numFmt w:val="decimal"/>
          </w:endnotePr>
          <w:type w:val="continuous"/>
          <w:pgSz w:w="12240" w:h="15840"/>
          <w:pgMar w:top="720" w:right="1094" w:bottom="950" w:left="1094" w:header="720" w:footer="720" w:gutter="0"/>
          <w:cols w:num="2" w:space="720"/>
        </w:sectPr>
      </w:pPr>
      <w:r>
        <w:t>Equally important is the fact that a</w:t>
      </w:r>
      <w:r w:rsidR="0009673E">
        <w:t xml:space="preserve">ll </w:t>
      </w:r>
      <w:r>
        <w:t>four</w:t>
      </w:r>
      <w:r w:rsidR="0009673E">
        <w:t xml:space="preserve"> of these intermediates</w:t>
      </w:r>
      <w:r w:rsidR="00165511">
        <w:t xml:space="preserve"> (</w:t>
      </w:r>
      <w:r w:rsidR="00165511">
        <w:rPr>
          <w:b/>
          <w:bCs/>
        </w:rPr>
        <w:t>11</w:t>
      </w:r>
      <w:r w:rsidR="00165511">
        <w:t xml:space="preserve">, </w:t>
      </w:r>
      <w:r w:rsidR="00165511">
        <w:rPr>
          <w:b/>
          <w:bCs/>
        </w:rPr>
        <w:t>12</w:t>
      </w:r>
      <w:r w:rsidR="00165511">
        <w:t xml:space="preserve">, </w:t>
      </w:r>
      <w:r w:rsidR="00165511">
        <w:rPr>
          <w:b/>
          <w:bCs/>
        </w:rPr>
        <w:t>18</w:t>
      </w:r>
      <w:r w:rsidR="00165511">
        <w:t xml:space="preserve">, and </w:t>
      </w:r>
      <w:r w:rsidR="00165511">
        <w:rPr>
          <w:b/>
          <w:bCs/>
        </w:rPr>
        <w:t>19</w:t>
      </w:r>
      <w:r w:rsidR="00165511">
        <w:t>)</w:t>
      </w:r>
      <w:r w:rsidR="0009673E">
        <w:t xml:space="preserve"> are coordinatively unsaturated and can bind an additional Lewis base.</w:t>
      </w:r>
      <w:r w:rsidR="003655D5">
        <w:t xml:space="preserve"> A</w:t>
      </w:r>
      <w:r w:rsidR="00B350F7">
        <w:t>nalysis revealed</w:t>
      </w:r>
      <w:r w:rsidR="0009673E">
        <w:t xml:space="preserve"> </w:t>
      </w:r>
      <w:r w:rsidR="003655D5">
        <w:t xml:space="preserve">that this binding </w:t>
      </w:r>
      <w:r w:rsidR="00135337">
        <w:t xml:space="preserve">is </w:t>
      </w:r>
      <w:r w:rsidR="0009673E">
        <w:t xml:space="preserve">facile </w:t>
      </w:r>
      <w:r w:rsidR="003655D5">
        <w:t>and</w:t>
      </w:r>
      <w:r w:rsidR="00B350F7">
        <w:t xml:space="preserve"> yield</w:t>
      </w:r>
      <w:r w:rsidR="00E25435">
        <w:t>s</w:t>
      </w:r>
      <w:r w:rsidR="0009673E">
        <w:t xml:space="preserve"> six coordinate versions of these intermediates (acetonitrile is used in Scheme </w:t>
      </w:r>
      <w:r w:rsidR="001B4727">
        <w:t>4</w:t>
      </w:r>
      <w:r w:rsidR="0009673E">
        <w:t xml:space="preserve"> to illustrate the location of the coordinated ligand). </w:t>
      </w:r>
      <w:r w:rsidR="00B42906">
        <w:t>Three separate Lewis bases were studied (acetonitrile, acetone, and 2-methylthiobenzaldehyde) and th</w:t>
      </w:r>
      <w:r w:rsidR="00CA160D">
        <w:t>e</w:t>
      </w:r>
      <w:r w:rsidR="00B42906">
        <w:t xml:space="preserve"> energetic impact</w:t>
      </w:r>
      <w:r w:rsidR="00622CE3">
        <w:t xml:space="preserve"> of two of those</w:t>
      </w:r>
      <w:r w:rsidR="00B42906">
        <w:t xml:space="preserve"> on the</w:t>
      </w:r>
      <w:r w:rsidR="00CA160D">
        <w:t xml:space="preserve"> interconversion of these four intermediates is shown in Scheme </w:t>
      </w:r>
      <w:r w:rsidR="001B4727">
        <w:t>5</w:t>
      </w:r>
      <w:r w:rsidR="00622CE3">
        <w:t xml:space="preserve"> (</w:t>
      </w:r>
      <w:r w:rsidR="007D20AE">
        <w:t>2-</w:t>
      </w:r>
      <w:r w:rsidR="00622CE3">
        <w:t>methyl</w:t>
      </w:r>
      <w:r w:rsidR="007D20AE">
        <w:t>thiobenzaldehyde</w:t>
      </w:r>
      <w:r w:rsidR="00622CE3">
        <w:t xml:space="preserve"> had a smaller effect, see </w:t>
      </w:r>
      <w:r w:rsidR="00F57066">
        <w:t>supplemental</w:t>
      </w:r>
      <w:r w:rsidR="00622CE3">
        <w:t xml:space="preserve"> inf</w:t>
      </w:r>
      <w:r w:rsidR="00A470B7">
        <w:t>ormation for structures and energies)</w:t>
      </w:r>
      <w:r w:rsidR="00CA160D">
        <w:t>.</w:t>
      </w:r>
    </w:p>
    <w:p w14:paraId="31209CB0" w14:textId="77777777" w:rsidR="00974E75" w:rsidRDefault="00974E75" w:rsidP="005468B9">
      <w:pPr>
        <w:spacing w:after="0"/>
        <w:jc w:val="left"/>
        <w:sectPr w:rsidR="00974E75" w:rsidSect="00D30160">
          <w:footnotePr>
            <w:pos w:val="beneathText"/>
          </w:footnotePr>
          <w:endnotePr>
            <w:numFmt w:val="decimal"/>
          </w:endnotePr>
          <w:type w:val="continuous"/>
          <w:pgSz w:w="12240" w:h="15840"/>
          <w:pgMar w:top="720" w:right="1094" w:bottom="950" w:left="1094" w:header="720" w:footer="720" w:gutter="0"/>
          <w:cols w:space="720"/>
        </w:sectPr>
      </w:pPr>
    </w:p>
    <w:p w14:paraId="49CD3D44" w14:textId="77777777" w:rsidR="008362F1" w:rsidRDefault="008362F1">
      <w:pPr>
        <w:spacing w:after="0"/>
        <w:jc w:val="left"/>
        <w:rPr>
          <w:rFonts w:ascii="Arno Pro" w:hAnsi="Arno Pro"/>
          <w:b/>
          <w:kern w:val="21"/>
          <w:sz w:val="21"/>
        </w:rPr>
      </w:pPr>
      <w:r>
        <w:br w:type="page"/>
      </w:r>
    </w:p>
    <w:p w14:paraId="79FC890C" w14:textId="6596B0D5" w:rsidR="009D0A1C" w:rsidRPr="00974E75" w:rsidRDefault="009D0A1C" w:rsidP="00974E75">
      <w:pPr>
        <w:pStyle w:val="VCSchemeTitle"/>
      </w:pPr>
      <w:r>
        <w:lastRenderedPageBreak/>
        <w:t xml:space="preserve">Scheme </w:t>
      </w:r>
      <w:r w:rsidR="001B4727">
        <w:t>4</w:t>
      </w:r>
      <w:r>
        <w:t xml:space="preserve">: </w:t>
      </w:r>
      <w:r w:rsidRPr="00695B34">
        <w:t xml:space="preserve">The critical structures in the competition between productive hydroacylation and decarbonylation in the presence of added external ligand (acetonitrile, abbrev. ACN, is shown as </w:t>
      </w:r>
      <w:r>
        <w:t>an</w:t>
      </w:r>
      <w:r w:rsidRPr="00695B34">
        <w:t xml:space="preserve"> example)</w:t>
      </w:r>
    </w:p>
    <w:p w14:paraId="68228ECA" w14:textId="2E40DC40" w:rsidR="009D0A1C" w:rsidRDefault="009D0A1C" w:rsidP="00F007D4">
      <w:pPr>
        <w:pStyle w:val="VDTableTitle"/>
      </w:pPr>
      <w:r w:rsidRPr="003732B6">
        <w:rPr>
          <w:noProof/>
        </w:rPr>
        <w:t xml:space="preserve"> </w:t>
      </w:r>
      <w:r w:rsidR="009E2FB0" w:rsidRPr="009E2FB0">
        <w:rPr>
          <w:noProof/>
        </w:rPr>
        <w:drawing>
          <wp:inline distT="0" distB="0" distL="0" distR="0" wp14:anchorId="094E41F8" wp14:editId="434C6B2B">
            <wp:extent cx="6383020" cy="4919980"/>
            <wp:effectExtent l="0" t="0" r="5080" b="0"/>
            <wp:docPr id="1470676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76277" name=""/>
                    <pic:cNvPicPr/>
                  </pic:nvPicPr>
                  <pic:blipFill>
                    <a:blip r:embed="rId21"/>
                    <a:stretch>
                      <a:fillRect/>
                    </a:stretch>
                  </pic:blipFill>
                  <pic:spPr>
                    <a:xfrm>
                      <a:off x="0" y="0"/>
                      <a:ext cx="6383020" cy="4919980"/>
                    </a:xfrm>
                    <a:prstGeom prst="rect">
                      <a:avLst/>
                    </a:prstGeom>
                  </pic:spPr>
                </pic:pic>
              </a:graphicData>
            </a:graphic>
          </wp:inline>
        </w:drawing>
      </w:r>
    </w:p>
    <w:p w14:paraId="10CCB7C6" w14:textId="77777777" w:rsidR="009D0A1C" w:rsidRPr="006C4388" w:rsidRDefault="009D0A1C" w:rsidP="009D0A1C">
      <w:r>
        <w:rPr>
          <w:noProof/>
          <w:lang w:eastAsia="zh-CN"/>
        </w:rPr>
        <mc:AlternateContent>
          <mc:Choice Requires="wps">
            <w:drawing>
              <wp:anchor distT="0" distB="0" distL="114300" distR="114300" simplePos="0" relativeHeight="251713536" behindDoc="0" locked="0" layoutInCell="1" allowOverlap="1" wp14:anchorId="11DEF49C" wp14:editId="315ACBC8">
                <wp:simplePos x="0" y="0"/>
                <wp:positionH relativeFrom="column">
                  <wp:posOffset>2353</wp:posOffset>
                </wp:positionH>
                <wp:positionV relativeFrom="paragraph">
                  <wp:posOffset>4945</wp:posOffset>
                </wp:positionV>
                <wp:extent cx="6400800" cy="22610"/>
                <wp:effectExtent l="50800" t="25400" r="76200" b="104775"/>
                <wp:wrapNone/>
                <wp:docPr id="2143070815" name="Straight Connector 2143070815"/>
                <wp:cNvGraphicFramePr/>
                <a:graphic xmlns:a="http://schemas.openxmlformats.org/drawingml/2006/main">
                  <a:graphicData uri="http://schemas.microsoft.com/office/word/2010/wordprocessingShape">
                    <wps:wsp>
                      <wps:cNvCnPr/>
                      <wps:spPr>
                        <a:xfrm flipV="1">
                          <a:off x="0" y="0"/>
                          <a:ext cx="6400800" cy="2261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271CC88">
              <v:line id="Straight Connector 2143070815"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2pt,.4pt" to="504.2pt,2.2pt" w14:anchorId="610AC8F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">
                <v:shadow on="t" color="black" opacity="24903f" offset="0,.55556mm" origin=",.5"/>
              </v:line>
            </w:pict>
          </mc:Fallback>
        </mc:AlternateContent>
      </w:r>
    </w:p>
    <w:p w14:paraId="0B22F056" w14:textId="77777777" w:rsidR="00734973" w:rsidRDefault="00734973" w:rsidP="008E40E5">
      <w:pPr>
        <w:pStyle w:val="TAMainText"/>
        <w:sectPr w:rsidR="00734973" w:rsidSect="00D30160">
          <w:footnotePr>
            <w:pos w:val="beneathText"/>
          </w:footnotePr>
          <w:endnotePr>
            <w:numFmt w:val="decimal"/>
          </w:endnotePr>
          <w:type w:val="continuous"/>
          <w:pgSz w:w="12240" w:h="15840"/>
          <w:pgMar w:top="720" w:right="1094" w:bottom="950" w:left="1094" w:header="720" w:footer="720" w:gutter="0"/>
          <w:cols w:space="720"/>
        </w:sectPr>
      </w:pPr>
    </w:p>
    <w:p w14:paraId="7D75BE4E" w14:textId="580F98BE" w:rsidR="00F251DE" w:rsidRDefault="00F251DE" w:rsidP="00C309AB">
      <w:pPr>
        <w:pStyle w:val="VCSchemeTitle"/>
      </w:pPr>
    </w:p>
    <w:p w14:paraId="63A350C1" w14:textId="0B5DF653" w:rsidR="00F251DE" w:rsidRDefault="00F251DE" w:rsidP="00C309AB">
      <w:pPr>
        <w:pStyle w:val="VCSchemeTitle"/>
      </w:pPr>
      <w:r>
        <w:rPr>
          <w:noProof/>
          <w:lang w:eastAsia="zh-CN"/>
        </w:rPr>
        <mc:AlternateContent>
          <mc:Choice Requires="wps">
            <w:drawing>
              <wp:anchor distT="0" distB="0" distL="114300" distR="114300" simplePos="0" relativeHeight="251709440" behindDoc="0" locked="0" layoutInCell="1" allowOverlap="1" wp14:anchorId="2EBF8B72" wp14:editId="05555E39">
                <wp:simplePos x="0" y="0"/>
                <wp:positionH relativeFrom="column">
                  <wp:posOffset>0</wp:posOffset>
                </wp:positionH>
                <wp:positionV relativeFrom="paragraph">
                  <wp:posOffset>25400</wp:posOffset>
                </wp:positionV>
                <wp:extent cx="6400800" cy="8467"/>
                <wp:effectExtent l="50800" t="25400" r="76200" b="93345"/>
                <wp:wrapNone/>
                <wp:docPr id="26" name="Straight Connector 26"/>
                <wp:cNvGraphicFramePr/>
                <a:graphic xmlns:a="http://schemas.openxmlformats.org/drawingml/2006/main">
                  <a:graphicData uri="http://schemas.microsoft.com/office/word/2010/wordprocessingShape">
                    <wps:wsp>
                      <wps:cNvCnPr/>
                      <wps:spPr>
                        <a:xfrm flipV="1">
                          <a:off x="0" y="0"/>
                          <a:ext cx="6400800" cy="846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198645F2">
              <v:line id="Straight Connector 26" style="position:absolute;flip:y;z-index:251709440;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2pt" from="0,2pt" to="7in,2.65pt" w14:anchorId="5F904FA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">
                <v:shadow on="t" color="black" opacity="24903f" offset="0,.55556mm" origin=",.5"/>
              </v:line>
            </w:pict>
          </mc:Fallback>
        </mc:AlternateContent>
      </w:r>
    </w:p>
    <w:p w14:paraId="2912A2D5" w14:textId="610AD92F" w:rsidR="00F251DE" w:rsidRPr="00003718" w:rsidRDefault="00F251DE" w:rsidP="00C309AB">
      <w:pPr>
        <w:pStyle w:val="VCSchemeTitle"/>
      </w:pPr>
      <w:r>
        <w:t xml:space="preserve">Scheme </w:t>
      </w:r>
      <w:r w:rsidR="001B4727">
        <w:t>5</w:t>
      </w:r>
      <w:r>
        <w:t xml:space="preserve">: Reaction </w:t>
      </w:r>
      <w:r w:rsidR="006631DA">
        <w:t xml:space="preserve">Gibbs </w:t>
      </w:r>
      <w:r w:rsidR="00CB4AA9">
        <w:t xml:space="preserve">free </w:t>
      </w:r>
      <w:r w:rsidR="007D52CE">
        <w:t>e</w:t>
      </w:r>
      <w:r>
        <w:t xml:space="preserve">nergy </w:t>
      </w:r>
      <w:r w:rsidR="007D52CE">
        <w:t>p</w:t>
      </w:r>
      <w:r>
        <w:t>rofile</w:t>
      </w:r>
      <w:r w:rsidR="00D87D69">
        <w:t>s</w:t>
      </w:r>
      <w:r>
        <w:t xml:space="preserve"> for the </w:t>
      </w:r>
      <w:r w:rsidR="00D87D69">
        <w:t xml:space="preserve">interconversion of </w:t>
      </w:r>
      <w:r w:rsidR="004412B9">
        <w:rPr>
          <w:bCs/>
        </w:rPr>
        <w:t>11</w:t>
      </w:r>
      <w:r w:rsidR="00D87D69">
        <w:t xml:space="preserve">, </w:t>
      </w:r>
      <w:r w:rsidR="00D87D69">
        <w:rPr>
          <w:bCs/>
        </w:rPr>
        <w:t>1</w:t>
      </w:r>
      <w:r w:rsidR="004412B9">
        <w:rPr>
          <w:bCs/>
        </w:rPr>
        <w:t>2</w:t>
      </w:r>
      <w:r w:rsidR="00D87D69">
        <w:t xml:space="preserve">, </w:t>
      </w:r>
      <w:r w:rsidR="00536C64">
        <w:rPr>
          <w:bCs/>
        </w:rPr>
        <w:t>18</w:t>
      </w:r>
      <w:r w:rsidR="00D87D69">
        <w:t xml:space="preserve">, and </w:t>
      </w:r>
      <w:r w:rsidR="00536C64">
        <w:rPr>
          <w:bCs/>
        </w:rPr>
        <w:t>19</w:t>
      </w:r>
      <w:r w:rsidR="00D87D69">
        <w:t xml:space="preserve"> and the coordinated </w:t>
      </w:r>
      <w:r w:rsidR="00D61236">
        <w:t>variants</w:t>
      </w:r>
      <w:r w:rsidR="00003718">
        <w:t xml:space="preserve">. </w:t>
      </w:r>
      <w:r w:rsidR="00371839">
        <w:t xml:space="preserve">Profile </w:t>
      </w:r>
      <w:r w:rsidR="00003718">
        <w:rPr>
          <w:bCs/>
        </w:rPr>
        <w:t>A</w:t>
      </w:r>
      <w:r w:rsidR="00003718">
        <w:t xml:space="preserve"> shows the intermediates with </w:t>
      </w:r>
      <w:r w:rsidR="00003718" w:rsidRPr="008D545A">
        <w:rPr>
          <w:bCs/>
          <w:color w:val="A020F0"/>
        </w:rPr>
        <w:t>L =</w:t>
      </w:r>
      <w:r w:rsidR="003E6CDD">
        <w:rPr>
          <w:bCs/>
          <w:color w:val="A020F0"/>
        </w:rPr>
        <w:t xml:space="preserve"> </w:t>
      </w:r>
      <w:r w:rsidR="00736BF9" w:rsidRPr="008D545A">
        <w:rPr>
          <w:bCs/>
          <w:color w:val="A020F0"/>
        </w:rPr>
        <w:t>ACN</w:t>
      </w:r>
      <w:r w:rsidR="00D531EC">
        <w:rPr>
          <w:bCs/>
          <w:color w:val="EA8AFF"/>
        </w:rPr>
        <w:t xml:space="preserve"> </w:t>
      </w:r>
      <w:r w:rsidR="00D531EC" w:rsidRPr="008D545A">
        <w:rPr>
          <w:bCs/>
        </w:rPr>
        <w:t>and</w:t>
      </w:r>
      <w:r w:rsidR="00003718" w:rsidRPr="00C57A19">
        <w:t xml:space="preserve"> </w:t>
      </w:r>
      <w:r w:rsidR="00003718">
        <w:rPr>
          <w:bCs/>
        </w:rPr>
        <w:t>B</w:t>
      </w:r>
      <w:r w:rsidR="00003718">
        <w:t xml:space="preserve"> with </w:t>
      </w:r>
      <w:r w:rsidR="00003718" w:rsidRPr="008D545A">
        <w:rPr>
          <w:bCs/>
          <w:color w:val="00B050"/>
        </w:rPr>
        <w:t>L = acetone</w:t>
      </w:r>
      <w:r w:rsidR="00C8170C" w:rsidRPr="008D545A">
        <w:rPr>
          <w:bCs/>
          <w:color w:val="00B050"/>
        </w:rPr>
        <w:t xml:space="preserve"> (ACE)</w:t>
      </w:r>
      <w:r w:rsidR="00736BF9" w:rsidRPr="008D545A">
        <w:rPr>
          <w:color w:val="00B050"/>
        </w:rPr>
        <w:t xml:space="preserve">. </w:t>
      </w:r>
      <w:r w:rsidR="00845FF9">
        <w:t>Note that decarbonylation proceeds with a barrier of +20.0 kcal/mol</w:t>
      </w:r>
    </w:p>
    <w:p w14:paraId="4AFD9FD1" w14:textId="5293E2DD" w:rsidR="00F251DE" w:rsidRDefault="00276D3C" w:rsidP="00F251DE">
      <w:r w:rsidRPr="00276D3C">
        <w:rPr>
          <w:noProof/>
        </w:rPr>
        <w:drawing>
          <wp:inline distT="0" distB="0" distL="0" distR="0" wp14:anchorId="7583E55E" wp14:editId="48A373AA">
            <wp:extent cx="6383020" cy="3439795"/>
            <wp:effectExtent l="0" t="0" r="5080" b="1905"/>
            <wp:docPr id="533480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80543" name=""/>
                    <pic:cNvPicPr/>
                  </pic:nvPicPr>
                  <pic:blipFill>
                    <a:blip r:embed="rId22"/>
                    <a:stretch>
                      <a:fillRect/>
                    </a:stretch>
                  </pic:blipFill>
                  <pic:spPr>
                    <a:xfrm>
                      <a:off x="0" y="0"/>
                      <a:ext cx="6383020" cy="3439795"/>
                    </a:xfrm>
                    <a:prstGeom prst="rect">
                      <a:avLst/>
                    </a:prstGeom>
                  </pic:spPr>
                </pic:pic>
              </a:graphicData>
            </a:graphic>
          </wp:inline>
        </w:drawing>
      </w:r>
    </w:p>
    <w:p w14:paraId="7EE8F7FA" w14:textId="77777777" w:rsidR="00F251DE" w:rsidRPr="002E7FEE" w:rsidRDefault="00F251DE" w:rsidP="00F251DE">
      <w:r>
        <w:rPr>
          <w:noProof/>
          <w:lang w:eastAsia="zh-CN"/>
        </w:rPr>
        <mc:AlternateContent>
          <mc:Choice Requires="wps">
            <w:drawing>
              <wp:anchor distT="0" distB="0" distL="114300" distR="114300" simplePos="0" relativeHeight="251707392" behindDoc="0" locked="0" layoutInCell="1" allowOverlap="1" wp14:anchorId="5C7C6E3D" wp14:editId="2C9DFCFE">
                <wp:simplePos x="0" y="0"/>
                <wp:positionH relativeFrom="column">
                  <wp:posOffset>0</wp:posOffset>
                </wp:positionH>
                <wp:positionV relativeFrom="paragraph">
                  <wp:posOffset>24765</wp:posOffset>
                </wp:positionV>
                <wp:extent cx="6400800" cy="8467"/>
                <wp:effectExtent l="50800" t="25400" r="76200" b="93345"/>
                <wp:wrapNone/>
                <wp:docPr id="12" name="Straight Connector 12"/>
                <wp:cNvGraphicFramePr/>
                <a:graphic xmlns:a="http://schemas.openxmlformats.org/drawingml/2006/main">
                  <a:graphicData uri="http://schemas.microsoft.com/office/word/2010/wordprocessingShape">
                    <wps:wsp>
                      <wps:cNvCnPr/>
                      <wps:spPr>
                        <a:xfrm flipV="1">
                          <a:off x="0" y="0"/>
                          <a:ext cx="6400800" cy="846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43114E86">
              <v:line id="Straight Connector 12" style="position:absolute;flip:y;z-index:251707392;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2pt" from="0,1.95pt" to="7in,2.6pt" w14:anchorId="19D217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">
                <v:shadow on="t" color="black" opacity="24903f" offset="0,.55556mm" origin=",.5"/>
              </v:line>
            </w:pict>
          </mc:Fallback>
        </mc:AlternateContent>
      </w:r>
    </w:p>
    <w:p w14:paraId="09B3DD9F" w14:textId="77777777" w:rsidR="000A2196" w:rsidRDefault="000A2196" w:rsidP="008E40E5">
      <w:pPr>
        <w:pStyle w:val="TAMainText"/>
        <w:sectPr w:rsidR="000A2196" w:rsidSect="00D30160">
          <w:footnotePr>
            <w:pos w:val="beneathText"/>
          </w:footnotePr>
          <w:endnotePr>
            <w:numFmt w:val="decimal"/>
          </w:endnotePr>
          <w:pgSz w:w="12240" w:h="15840"/>
          <w:pgMar w:top="720" w:right="1094" w:bottom="950" w:left="1094" w:header="720" w:footer="720" w:gutter="0"/>
          <w:cols w:space="720"/>
        </w:sectPr>
      </w:pPr>
    </w:p>
    <w:p w14:paraId="1E0F43AC" w14:textId="629EC656" w:rsidR="000A2196" w:rsidRDefault="00B73628" w:rsidP="008E40E5">
      <w:pPr>
        <w:pStyle w:val="TAMainText"/>
      </w:pPr>
      <w:r>
        <w:t>As mentioned previously,</w:t>
      </w:r>
      <w:r w:rsidR="003A18C8">
        <w:t xml:space="preserve"> in the absence or at low concentrations</w:t>
      </w:r>
      <w:r w:rsidR="00330E2F">
        <w:t xml:space="preserve"> </w:t>
      </w:r>
      <w:r w:rsidR="003A18C8">
        <w:t>of alkene</w:t>
      </w:r>
      <w:r w:rsidR="00D03B14">
        <w:t>,</w:t>
      </w:r>
      <w:r w:rsidR="003A18C8">
        <w:t xml:space="preserve"> formation of </w:t>
      </w:r>
      <w:r w:rsidR="008858CD">
        <w:rPr>
          <w:b/>
          <w:bCs/>
        </w:rPr>
        <w:t>19</w:t>
      </w:r>
      <w:r w:rsidR="003A18C8">
        <w:t xml:space="preserve">, whether via </w:t>
      </w:r>
      <w:r w:rsidR="003A18C8" w:rsidRPr="00530F21">
        <w:rPr>
          <w:b/>
          <w:bCs/>
        </w:rPr>
        <w:t>1</w:t>
      </w:r>
      <w:r w:rsidR="00F822A9">
        <w:rPr>
          <w:b/>
          <w:bCs/>
        </w:rPr>
        <w:t>2</w:t>
      </w:r>
      <w:r w:rsidR="003A18C8">
        <w:t xml:space="preserve"> or </w:t>
      </w:r>
      <w:r w:rsidR="008858CD">
        <w:rPr>
          <w:b/>
          <w:bCs/>
        </w:rPr>
        <w:t>18</w:t>
      </w:r>
      <w:r w:rsidR="003A18C8">
        <w:t xml:space="preserve">, will be faster than formation of </w:t>
      </w:r>
      <w:r w:rsidR="003A18C8" w:rsidRPr="003C671E">
        <w:rPr>
          <w:b/>
          <w:bCs/>
        </w:rPr>
        <w:t>1</w:t>
      </w:r>
      <w:r w:rsidR="00F822A9">
        <w:rPr>
          <w:b/>
          <w:bCs/>
        </w:rPr>
        <w:t>3</w:t>
      </w:r>
      <w:r>
        <w:t xml:space="preserve"> (which is bimolecular</w:t>
      </w:r>
      <w:r w:rsidR="00321AC4">
        <w:t xml:space="preserve"> and dependent on the concentration of the alkene</w:t>
      </w:r>
      <w:r>
        <w:t>)</w:t>
      </w:r>
      <w:r w:rsidR="003A18C8">
        <w:rPr>
          <w:b/>
          <w:bCs/>
        </w:rPr>
        <w:t xml:space="preserve"> </w:t>
      </w:r>
      <w:r w:rsidR="003A18C8" w:rsidRPr="003C671E">
        <w:t xml:space="preserve">and ultimately decarbonylation </w:t>
      </w:r>
      <w:r w:rsidR="006C5F2C">
        <w:t>outpaces</w:t>
      </w:r>
      <w:r w:rsidR="003A18C8" w:rsidRPr="003C671E">
        <w:t xml:space="preserve"> productive hydroacylation</w:t>
      </w:r>
      <w:r w:rsidR="003A18C8">
        <w:t xml:space="preserve"> under these conditions. </w:t>
      </w:r>
      <w:r w:rsidR="00CC52FB">
        <w:t>As one woul</w:t>
      </w:r>
      <w:r w:rsidR="000E48C7">
        <w:t>d predict</w:t>
      </w:r>
      <w:r w:rsidR="00CC52FB">
        <w:t>, higher concentrations of the alkene result in significant increases in conversion</w:t>
      </w:r>
      <w:r w:rsidR="00816A1C">
        <w:t xml:space="preserve">, as decarbonylation would </w:t>
      </w:r>
      <w:r w:rsidR="009721EB">
        <w:t xml:space="preserve">be suppressed </w:t>
      </w:r>
      <w:r w:rsidR="00F11989">
        <w:t>(</w:t>
      </w:r>
      <w:r w:rsidR="009721EB">
        <w:t xml:space="preserve">as the concentration of </w:t>
      </w:r>
      <w:r w:rsidR="008858CD">
        <w:rPr>
          <w:b/>
          <w:bCs/>
        </w:rPr>
        <w:t>19</w:t>
      </w:r>
      <w:r w:rsidR="009721EB">
        <w:t xml:space="preserve"> is reduced</w:t>
      </w:r>
      <w:r w:rsidR="00D111F8">
        <w:t xml:space="preserve"> by the capture of</w:t>
      </w:r>
      <w:r w:rsidR="00627F1B">
        <w:t xml:space="preserve"> alkene by</w:t>
      </w:r>
      <w:r w:rsidR="00D111F8">
        <w:t xml:space="preserve"> </w:t>
      </w:r>
      <w:r w:rsidR="00D111F8">
        <w:rPr>
          <w:b/>
          <w:bCs/>
        </w:rPr>
        <w:t>1</w:t>
      </w:r>
      <w:r w:rsidR="00F822A9">
        <w:rPr>
          <w:b/>
          <w:bCs/>
        </w:rPr>
        <w:t>2</w:t>
      </w:r>
      <w:r w:rsidR="00F11989">
        <w:t>)</w:t>
      </w:r>
      <w:r w:rsidR="00816A1C">
        <w:t xml:space="preserve"> and productive hydroacylation would increase</w:t>
      </w:r>
      <w:r w:rsidR="00CC52FB">
        <w:t>.</w:t>
      </w:r>
    </w:p>
    <w:p w14:paraId="414E174C" w14:textId="24E5D151" w:rsidR="004C35D7" w:rsidRDefault="002B1F0D" w:rsidP="008E40E5">
      <w:pPr>
        <w:pStyle w:val="TAMainText"/>
      </w:pPr>
      <w:r>
        <w:t xml:space="preserve">We have previously discussed (and dismissed) the potential role of the added Lewis base in preventing decarbonylation by accelerating reductive elimination relative </w:t>
      </w:r>
      <w:r w:rsidR="008F7AF8">
        <w:t>to the decarbonylation. Therefore</w:t>
      </w:r>
      <w:r>
        <w:t>, the commonly held belief that blocking the open coordination site</w:t>
      </w:r>
      <w:r w:rsidR="008F7AF8">
        <w:t xml:space="preserve"> prevent</w:t>
      </w:r>
      <w:r w:rsidR="001D4992">
        <w:t>s</w:t>
      </w:r>
      <w:r w:rsidR="008F7AF8">
        <w:t xml:space="preserve"> decarbonylation is the </w:t>
      </w:r>
      <w:r w:rsidR="00263402">
        <w:t>entry</w:t>
      </w:r>
      <w:r w:rsidR="008F7AF8">
        <w:t xml:space="preserve"> point for th</w:t>
      </w:r>
      <w:r w:rsidR="00F64F1D">
        <w:t>e following</w:t>
      </w:r>
      <w:r w:rsidR="008F7AF8">
        <w:t xml:space="preserve"> discussion.</w:t>
      </w:r>
    </w:p>
    <w:p w14:paraId="0A68B352" w14:textId="74DD9539" w:rsidR="00D05543" w:rsidRDefault="00D05543" w:rsidP="008E40E5">
      <w:pPr>
        <w:pStyle w:val="TAMainText"/>
      </w:pPr>
      <w:r>
        <w:t xml:space="preserve">To begin with, it is challenging to envision </w:t>
      </w:r>
      <w:r w:rsidR="00CC45DF">
        <w:t xml:space="preserve">how </w:t>
      </w:r>
      <w:r>
        <w:t>such a mechanism</w:t>
      </w:r>
      <w:r w:rsidR="00CC45DF">
        <w:t xml:space="preserve"> operates</w:t>
      </w:r>
      <w:r>
        <w:t xml:space="preserve"> in this case, as </w:t>
      </w:r>
      <w:r w:rsidR="00E10488">
        <w:rPr>
          <w:b/>
          <w:bCs/>
        </w:rPr>
        <w:t>1</w:t>
      </w:r>
      <w:r w:rsidR="00F822A9">
        <w:rPr>
          <w:b/>
          <w:bCs/>
        </w:rPr>
        <w:t>2</w:t>
      </w:r>
      <w:r w:rsidR="00E10488">
        <w:t xml:space="preserve"> can bind either the alkene (leading to productive hydroacylation) or the Lewis base</w:t>
      </w:r>
      <w:r w:rsidR="00163C91">
        <w:t xml:space="preserve">, </w:t>
      </w:r>
      <w:r w:rsidR="009C6812">
        <w:t>constituting</w:t>
      </w:r>
      <w:r w:rsidR="00163C91">
        <w:t xml:space="preserve"> a direct competition </w:t>
      </w:r>
      <w:r w:rsidR="00C20FFD">
        <w:t>for the open coordination site</w:t>
      </w:r>
      <w:r w:rsidR="00CD6C1C">
        <w:t xml:space="preserve"> but precluding </w:t>
      </w:r>
      <w:r w:rsidR="009154A5">
        <w:t>subsequent</w:t>
      </w:r>
      <w:r w:rsidR="00CD6C1C">
        <w:t xml:space="preserve"> </w:t>
      </w:r>
      <w:r w:rsidR="00CD6C1C">
        <w:t>coordination of the alkene</w:t>
      </w:r>
      <w:r w:rsidR="00467144">
        <w:t xml:space="preserve"> if the Lewis base binds initially</w:t>
      </w:r>
      <w:r>
        <w:t>.</w:t>
      </w:r>
      <w:r w:rsidR="00DF2097">
        <w:t xml:space="preserve"> </w:t>
      </w:r>
      <w:r w:rsidR="00CD6C1C">
        <w:t>It is likely that t</w:t>
      </w:r>
      <w:r>
        <w:t>h</w:t>
      </w:r>
      <w:r w:rsidR="00F4056E">
        <w:t>is</w:t>
      </w:r>
      <w:r w:rsidR="00CD6C1C">
        <w:t xml:space="preserve"> competition for the open coordination site</w:t>
      </w:r>
      <w:r w:rsidR="00356C4D">
        <w:t xml:space="preserve"> of </w:t>
      </w:r>
      <w:r w:rsidR="00356C4D" w:rsidRPr="00356C4D">
        <w:rPr>
          <w:b/>
          <w:bCs/>
        </w:rPr>
        <w:t>12</w:t>
      </w:r>
      <w:r w:rsidR="00356C4D">
        <w:t xml:space="preserve"> </w:t>
      </w:r>
      <w:r w:rsidR="008B4D30">
        <w:t xml:space="preserve">is </w:t>
      </w:r>
      <w:r>
        <w:t xml:space="preserve">the </w:t>
      </w:r>
      <w:r w:rsidR="00CC45DF">
        <w:t xml:space="preserve">reason </w:t>
      </w:r>
      <w:r w:rsidR="00667DD3">
        <w:t>that</w:t>
      </w:r>
      <w:r>
        <w:t xml:space="preserve"> adding additional equivalents of acetonitrile</w:t>
      </w:r>
      <w:r w:rsidR="00667DD3">
        <w:t xml:space="preserve"> </w:t>
      </w:r>
      <w:r>
        <w:t>lead</w:t>
      </w:r>
      <w:r w:rsidR="00CC45DF">
        <w:t>s</w:t>
      </w:r>
      <w:r>
        <w:t xml:space="preserve"> to lower conversion.</w:t>
      </w:r>
      <w:r w:rsidR="006B3880">
        <w:t xml:space="preserve"> </w:t>
      </w:r>
      <w:r w:rsidR="002C4544">
        <w:t xml:space="preserve">Consistent with </w:t>
      </w:r>
      <w:r>
        <w:t>that point, of the interm</w:t>
      </w:r>
      <w:r w:rsidR="006B3880">
        <w:t>ediates</w:t>
      </w:r>
      <w:r w:rsidR="002C4544">
        <w:t xml:space="preserve"> with open coordination sites</w:t>
      </w:r>
      <w:r w:rsidR="006B3880">
        <w:t xml:space="preserve"> that are on the pathway</w:t>
      </w:r>
      <w:r>
        <w:t xml:space="preserve"> to productive acylation (</w:t>
      </w:r>
      <w:r w:rsidR="00F4056E">
        <w:t xml:space="preserve">i.e. </w:t>
      </w:r>
      <w:r w:rsidR="00F822A9">
        <w:rPr>
          <w:b/>
          <w:bCs/>
        </w:rPr>
        <w:t>11</w:t>
      </w:r>
      <w:r>
        <w:t xml:space="preserve">, </w:t>
      </w:r>
      <w:r>
        <w:rPr>
          <w:b/>
          <w:bCs/>
        </w:rPr>
        <w:t>1</w:t>
      </w:r>
      <w:r w:rsidR="00F822A9">
        <w:rPr>
          <w:b/>
          <w:bCs/>
        </w:rPr>
        <w:t>2</w:t>
      </w:r>
      <w:r>
        <w:t xml:space="preserve">, </w:t>
      </w:r>
      <w:r>
        <w:rPr>
          <w:b/>
          <w:bCs/>
        </w:rPr>
        <w:t>1</w:t>
      </w:r>
      <w:r w:rsidR="00F822A9">
        <w:rPr>
          <w:b/>
          <w:bCs/>
        </w:rPr>
        <w:t>4</w:t>
      </w:r>
      <w:r>
        <w:t xml:space="preserve">), </w:t>
      </w:r>
      <w:r w:rsidR="009C6E9F">
        <w:t xml:space="preserve">none decarbonylate </w:t>
      </w:r>
      <w:r w:rsidR="009C6E9F" w:rsidRPr="009C6E9F">
        <w:rPr>
          <w:i/>
          <w:iCs/>
        </w:rPr>
        <w:t>via</w:t>
      </w:r>
      <w:r w:rsidR="006B3880">
        <w:t xml:space="preserve"> a competitive barrier</w:t>
      </w:r>
      <w:r w:rsidR="00CC45DF">
        <w:t xml:space="preserve">, meaning that blocking the open coordination site for those intermediates </w:t>
      </w:r>
      <w:r w:rsidR="00F4056E">
        <w:t>will</w:t>
      </w:r>
      <w:r w:rsidR="002C4544">
        <w:t xml:space="preserve"> </w:t>
      </w:r>
      <w:r w:rsidR="00CC45DF">
        <w:t>only slow the reaction but confer no protective effect</w:t>
      </w:r>
      <w:r w:rsidR="006B3880">
        <w:t>.</w:t>
      </w:r>
    </w:p>
    <w:p w14:paraId="1B86D544" w14:textId="26DED55F" w:rsidR="00BE1722" w:rsidRDefault="00BE1722" w:rsidP="008E40E5">
      <w:pPr>
        <w:pStyle w:val="TAMainText"/>
      </w:pPr>
      <w:r>
        <w:t xml:space="preserve">As </w:t>
      </w:r>
      <w:r>
        <w:rPr>
          <w:b/>
          <w:bCs/>
        </w:rPr>
        <w:t>1</w:t>
      </w:r>
      <w:r w:rsidR="00603787">
        <w:rPr>
          <w:b/>
          <w:bCs/>
        </w:rPr>
        <w:t>2</w:t>
      </w:r>
      <w:r>
        <w:t xml:space="preserve"> and </w:t>
      </w:r>
      <w:r w:rsidR="001036D9">
        <w:rPr>
          <w:b/>
          <w:bCs/>
        </w:rPr>
        <w:t>19</w:t>
      </w:r>
      <w:r>
        <w:t xml:space="preserve"> are the complexes that </w:t>
      </w:r>
      <w:r w:rsidR="00E23570">
        <w:t xml:space="preserve">lead </w:t>
      </w:r>
      <w:r>
        <w:t xml:space="preserve">directly to productive hydroacylation and decarbonylation respectively, the equilibrium between those two intermediates and their coordinated congeners is the key to the protective effect of coordinating ligands. The rapid equilibrium between </w:t>
      </w:r>
      <w:r>
        <w:rPr>
          <w:b/>
          <w:bCs/>
        </w:rPr>
        <w:t>1</w:t>
      </w:r>
      <w:r w:rsidR="00603787">
        <w:rPr>
          <w:b/>
          <w:bCs/>
        </w:rPr>
        <w:t>2</w:t>
      </w:r>
      <w:r>
        <w:t xml:space="preserve"> and </w:t>
      </w:r>
      <w:r w:rsidR="001036D9">
        <w:rPr>
          <w:b/>
          <w:bCs/>
        </w:rPr>
        <w:t>19</w:t>
      </w:r>
      <w:r>
        <w:t xml:space="preserve"> (</w:t>
      </w:r>
      <w:r w:rsidR="00E740EB">
        <w:t xml:space="preserve">the </w:t>
      </w:r>
      <w:r>
        <w:t>barrier for interconversion is</w:t>
      </w:r>
      <w:r w:rsidR="00790AB7">
        <w:t xml:space="preserve"> ca.</w:t>
      </w:r>
      <w:r>
        <w:t xml:space="preserve"> </w:t>
      </w:r>
      <w:r w:rsidR="002A613A">
        <w:t>1.</w:t>
      </w:r>
      <w:r w:rsidR="007577E6">
        <w:t xml:space="preserve">6 </w:t>
      </w:r>
      <w:r w:rsidR="00DE1610">
        <w:t>kcal/mol</w:t>
      </w:r>
      <w:r>
        <w:t>) and the near energetic equivalence means that the two intermediates should exist in relatively equal amounts</w:t>
      </w:r>
      <w:r w:rsidR="00612896">
        <w:t xml:space="preserve"> in the absence of </w:t>
      </w:r>
      <w:r w:rsidR="00D75E7B">
        <w:t>coordinated ligands</w:t>
      </w:r>
      <w:r>
        <w:t>.</w:t>
      </w:r>
    </w:p>
    <w:p w14:paraId="557FDAAC" w14:textId="7FD5B95B" w:rsidR="006B3880" w:rsidRDefault="00A524BE" w:rsidP="008E40E5">
      <w:pPr>
        <w:pStyle w:val="TAMainText"/>
      </w:pPr>
      <w:r>
        <w:t>Now, consider the</w:t>
      </w:r>
      <w:r w:rsidR="00EE1783">
        <w:t xml:space="preserve"> effect of acetonitrile </w:t>
      </w:r>
      <w:r w:rsidR="00440F9C">
        <w:t xml:space="preserve">as shown </w:t>
      </w:r>
      <w:r w:rsidR="004D6356">
        <w:t xml:space="preserve">in Scheme </w:t>
      </w:r>
      <w:r w:rsidR="0043086A">
        <w:rPr>
          <w:color w:val="000000" w:themeColor="text1"/>
        </w:rPr>
        <w:t>5</w:t>
      </w:r>
      <w:r w:rsidR="00DA66A1">
        <w:rPr>
          <w:color w:val="000000" w:themeColor="text1"/>
        </w:rPr>
        <w:t xml:space="preserve"> and Scheme </w:t>
      </w:r>
      <w:r w:rsidR="0043086A">
        <w:rPr>
          <w:color w:val="000000" w:themeColor="text1"/>
        </w:rPr>
        <w:t>6</w:t>
      </w:r>
      <w:r w:rsidR="00EE1783">
        <w:t xml:space="preserve">. </w:t>
      </w:r>
      <w:r w:rsidR="003849B5">
        <w:t xml:space="preserve">It </w:t>
      </w:r>
      <w:r w:rsidR="003E12AA">
        <w:t xml:space="preserve">acts through two </w:t>
      </w:r>
      <w:r w:rsidR="00577667">
        <w:t>closely related</w:t>
      </w:r>
      <w:r w:rsidR="003E12AA">
        <w:t xml:space="preserve"> mechanisms</w:t>
      </w:r>
      <w:r w:rsidR="00D37337">
        <w:t xml:space="preserve">, </w:t>
      </w:r>
      <w:r w:rsidR="00577667">
        <w:t>both in</w:t>
      </w:r>
      <w:r w:rsidR="004D4BA7">
        <w:t xml:space="preserve">volving coordination to critical intermediates and </w:t>
      </w:r>
      <w:r w:rsidR="00440F9C">
        <w:t xml:space="preserve">allowing them to </w:t>
      </w:r>
      <w:r w:rsidR="004D4BA7">
        <w:t>cycl</w:t>
      </w:r>
      <w:r w:rsidR="00440F9C">
        <w:t>e</w:t>
      </w:r>
      <w:r w:rsidR="004D4BA7">
        <w:t xml:space="preserve"> back to an </w:t>
      </w:r>
      <w:r w:rsidR="004D4BA7">
        <w:lastRenderedPageBreak/>
        <w:t xml:space="preserve">earlier step in the </w:t>
      </w:r>
      <w:r w:rsidR="003E07C7">
        <w:t>catalytic</w:t>
      </w:r>
      <w:r w:rsidR="004D4BA7">
        <w:t xml:space="preserve"> cycle.</w:t>
      </w:r>
      <w:r w:rsidR="003E07C7">
        <w:t xml:space="preserve"> T</w:t>
      </w:r>
      <w:r w:rsidR="00D37337">
        <w:t>he first involv</w:t>
      </w:r>
      <w:r w:rsidR="003E07C7">
        <w:t>es</w:t>
      </w:r>
      <w:r w:rsidR="00D37337">
        <w:t xml:space="preserve"> the equilibrium between </w:t>
      </w:r>
      <w:r w:rsidR="00F47798" w:rsidRPr="00534F92">
        <w:rPr>
          <w:b/>
          <w:bCs/>
          <w:color w:val="000000" w:themeColor="text1"/>
        </w:rPr>
        <w:t>1</w:t>
      </w:r>
      <w:r w:rsidR="00603787">
        <w:rPr>
          <w:b/>
          <w:bCs/>
          <w:color w:val="000000" w:themeColor="text1"/>
        </w:rPr>
        <w:t>2</w:t>
      </w:r>
      <w:r w:rsidR="00F47798">
        <w:t xml:space="preserve"> and </w:t>
      </w:r>
      <w:r w:rsidR="00D54C09">
        <w:rPr>
          <w:b/>
          <w:bCs/>
          <w:color w:val="000000" w:themeColor="text1"/>
        </w:rPr>
        <w:t>19</w:t>
      </w:r>
      <w:r w:rsidR="00EF1EB3">
        <w:t>. Interception</w:t>
      </w:r>
      <w:r w:rsidR="002212F5">
        <w:t xml:space="preserve"> of </w:t>
      </w:r>
      <w:r w:rsidR="00D54C09">
        <w:rPr>
          <w:b/>
          <w:bCs/>
          <w:color w:val="000000" w:themeColor="text1"/>
        </w:rPr>
        <w:t>19</w:t>
      </w:r>
      <w:r w:rsidR="002212F5">
        <w:t xml:space="preserve"> with </w:t>
      </w:r>
      <w:r w:rsidR="00860053">
        <w:t xml:space="preserve">ACN to form </w:t>
      </w:r>
      <w:r w:rsidR="00D54C09">
        <w:rPr>
          <w:b/>
          <w:bCs/>
          <w:color w:val="000000" w:themeColor="text1"/>
        </w:rPr>
        <w:t>19</w:t>
      </w:r>
      <w:r w:rsidR="006930C8" w:rsidRPr="00534F92">
        <w:rPr>
          <w:b/>
          <w:bCs/>
          <w:color w:val="000000" w:themeColor="text1"/>
        </w:rPr>
        <w:t>•ACN</w:t>
      </w:r>
      <w:r w:rsidR="006930C8">
        <w:t xml:space="preserve"> </w:t>
      </w:r>
      <w:r w:rsidR="001743DF">
        <w:t>proceeds with a negligible barrier (</w:t>
      </w:r>
      <w:r w:rsidR="00CD162E">
        <w:t>calculated barriers for these coordination process</w:t>
      </w:r>
      <w:r w:rsidR="007C47B8">
        <w:t>es</w:t>
      </w:r>
      <w:r w:rsidR="00CD162E">
        <w:t xml:space="preserve"> are all below 2 kcal/mol). Following coordination,</w:t>
      </w:r>
      <w:r w:rsidR="00233742">
        <w:t xml:space="preserve"> the </w:t>
      </w:r>
      <w:proofErr w:type="spellStart"/>
      <w:r w:rsidR="00233742">
        <w:t>thiomethyl</w:t>
      </w:r>
      <w:proofErr w:type="spellEnd"/>
      <w:r w:rsidR="00233742">
        <w:t xml:space="preserve"> inverts with a smaller barrier</w:t>
      </w:r>
      <w:r w:rsidR="00120A2E">
        <w:t xml:space="preserve"> than the </w:t>
      </w:r>
      <w:proofErr w:type="spellStart"/>
      <w:r w:rsidR="00120A2E">
        <w:t>ligandless</w:t>
      </w:r>
      <w:proofErr w:type="spellEnd"/>
      <w:r w:rsidR="00120A2E">
        <w:t xml:space="preserve"> </w:t>
      </w:r>
      <w:r w:rsidR="00D54C09">
        <w:rPr>
          <w:b/>
          <w:bCs/>
          <w:color w:val="000000" w:themeColor="text1"/>
        </w:rPr>
        <w:t>19</w:t>
      </w:r>
      <w:r w:rsidR="00120A2E">
        <w:t xml:space="preserve"> to </w:t>
      </w:r>
      <w:r w:rsidR="00120A2E" w:rsidRPr="00534F92">
        <w:rPr>
          <w:b/>
          <w:bCs/>
          <w:color w:val="000000" w:themeColor="text1"/>
        </w:rPr>
        <w:t>1</w:t>
      </w:r>
      <w:r w:rsidR="00603787">
        <w:rPr>
          <w:b/>
          <w:bCs/>
          <w:color w:val="000000" w:themeColor="text1"/>
        </w:rPr>
        <w:t>2</w:t>
      </w:r>
      <w:r w:rsidR="00120A2E">
        <w:t xml:space="preserve"> interconversion</w:t>
      </w:r>
      <w:r w:rsidR="003077DF">
        <w:t xml:space="preserve"> (∆G</w:t>
      </w:r>
      <w:r w:rsidR="003077DF" w:rsidRPr="00754C19">
        <w:rPr>
          <w:rFonts w:ascii="Arial" w:hAnsi="Arial" w:cs="Arial"/>
          <w:vertAlign w:val="superscript"/>
        </w:rPr>
        <w:t>‡</w:t>
      </w:r>
      <w:r w:rsidR="003077DF">
        <w:t xml:space="preserve"> 14.8 vs. 15.3 kcal/mol, respectively)</w:t>
      </w:r>
      <w:r w:rsidR="00120A2E">
        <w:t xml:space="preserve">, resulting in </w:t>
      </w:r>
      <w:r w:rsidR="00120A2E" w:rsidRPr="00534F92">
        <w:rPr>
          <w:b/>
          <w:bCs/>
          <w:color w:val="000000" w:themeColor="text1"/>
        </w:rPr>
        <w:t>1</w:t>
      </w:r>
      <w:r w:rsidR="00603787">
        <w:rPr>
          <w:b/>
          <w:bCs/>
          <w:color w:val="000000" w:themeColor="text1"/>
        </w:rPr>
        <w:t>2</w:t>
      </w:r>
      <w:r w:rsidR="00120A2E" w:rsidRPr="00534F92">
        <w:rPr>
          <w:b/>
          <w:bCs/>
          <w:color w:val="000000" w:themeColor="text1"/>
        </w:rPr>
        <w:t>•</w:t>
      </w:r>
      <w:r w:rsidR="006C3169" w:rsidRPr="00534F92">
        <w:rPr>
          <w:b/>
          <w:bCs/>
          <w:color w:val="000000" w:themeColor="text1"/>
        </w:rPr>
        <w:t>ACN</w:t>
      </w:r>
      <w:r w:rsidR="006C3169" w:rsidRPr="00577667">
        <w:rPr>
          <w:color w:val="FF40FF"/>
        </w:rPr>
        <w:t xml:space="preserve"> </w:t>
      </w:r>
      <w:r w:rsidR="006C3169">
        <w:t xml:space="preserve">which dissociates the ACN to reform </w:t>
      </w:r>
      <w:r w:rsidR="006C3169" w:rsidRPr="00534F92">
        <w:rPr>
          <w:b/>
          <w:bCs/>
          <w:color w:val="000000" w:themeColor="text1"/>
        </w:rPr>
        <w:t>1</w:t>
      </w:r>
      <w:r w:rsidR="00603787">
        <w:rPr>
          <w:b/>
          <w:bCs/>
          <w:color w:val="000000" w:themeColor="text1"/>
        </w:rPr>
        <w:t>2</w:t>
      </w:r>
      <w:r w:rsidR="00A80EB5">
        <w:t>. That cycle effectively allows multiple opportunities to coordinate an alkene leading on to productive hyd</w:t>
      </w:r>
      <w:r w:rsidR="00FB4B42">
        <w:t>r</w:t>
      </w:r>
      <w:r w:rsidR="00A80EB5">
        <w:t xml:space="preserve">oacylation </w:t>
      </w:r>
      <w:r w:rsidR="003E07C7">
        <w:t>via</w:t>
      </w:r>
      <w:r w:rsidR="00A80EB5">
        <w:t xml:space="preserve"> </w:t>
      </w:r>
      <w:r w:rsidR="00A80EB5" w:rsidRPr="00534F92">
        <w:rPr>
          <w:b/>
          <w:bCs/>
          <w:color w:val="000000" w:themeColor="text1"/>
        </w:rPr>
        <w:t>1</w:t>
      </w:r>
      <w:r w:rsidR="00603787">
        <w:rPr>
          <w:b/>
          <w:bCs/>
          <w:color w:val="000000" w:themeColor="text1"/>
        </w:rPr>
        <w:t>3</w:t>
      </w:r>
      <w:r w:rsidR="00A80EB5">
        <w:t>.</w:t>
      </w:r>
      <w:r w:rsidR="003A3447">
        <w:t xml:space="preserve"> </w:t>
      </w:r>
      <w:r w:rsidR="00E93470">
        <w:t xml:space="preserve">Likewise, since it is facile to return to </w:t>
      </w:r>
      <w:r w:rsidR="00D54C09">
        <w:rPr>
          <w:b/>
          <w:bCs/>
          <w:color w:val="000000" w:themeColor="text1"/>
        </w:rPr>
        <w:t>18</w:t>
      </w:r>
      <w:r w:rsidR="00E93470">
        <w:t xml:space="preserve"> from </w:t>
      </w:r>
      <w:r w:rsidR="00D54C09">
        <w:rPr>
          <w:b/>
          <w:bCs/>
          <w:color w:val="000000" w:themeColor="text1"/>
        </w:rPr>
        <w:t>19</w:t>
      </w:r>
      <w:r w:rsidR="00E93470">
        <w:t xml:space="preserve">, coordination of ACN to </w:t>
      </w:r>
      <w:r w:rsidR="00D54C09">
        <w:rPr>
          <w:b/>
          <w:bCs/>
          <w:color w:val="000000" w:themeColor="text1"/>
        </w:rPr>
        <w:t>18</w:t>
      </w:r>
      <w:r w:rsidR="00626434">
        <w:rPr>
          <w:b/>
          <w:bCs/>
        </w:rPr>
        <w:t xml:space="preserve"> </w:t>
      </w:r>
      <w:r w:rsidR="00626434" w:rsidRPr="00534F92">
        <w:t>to</w:t>
      </w:r>
      <w:r w:rsidR="00626434">
        <w:t xml:space="preserve"> </w:t>
      </w:r>
      <w:r w:rsidR="00E93470">
        <w:t xml:space="preserve">form </w:t>
      </w:r>
      <w:r w:rsidR="00D54C09">
        <w:rPr>
          <w:b/>
          <w:bCs/>
          <w:color w:val="000000" w:themeColor="text1"/>
        </w:rPr>
        <w:t>18</w:t>
      </w:r>
      <w:r w:rsidR="00AA79F7" w:rsidRPr="00534F92">
        <w:rPr>
          <w:b/>
          <w:bCs/>
          <w:color w:val="000000" w:themeColor="text1"/>
        </w:rPr>
        <w:t>•ACN</w:t>
      </w:r>
      <w:r w:rsidR="00AA79F7" w:rsidRPr="00577667">
        <w:rPr>
          <w:color w:val="FF40FF"/>
        </w:rPr>
        <w:t xml:space="preserve"> </w:t>
      </w:r>
      <w:r w:rsidR="003E07C7">
        <w:t>then facilitate</w:t>
      </w:r>
      <w:r w:rsidR="00AA79F7">
        <w:t xml:space="preserve">s a </w:t>
      </w:r>
      <w:r w:rsidR="006D1C9A">
        <w:t xml:space="preserve">low barrier return to </w:t>
      </w:r>
      <w:r w:rsidR="00603787">
        <w:rPr>
          <w:b/>
          <w:bCs/>
          <w:color w:val="000000" w:themeColor="text1"/>
        </w:rPr>
        <w:t>11</w:t>
      </w:r>
      <w:r w:rsidR="006D1C9A" w:rsidRPr="00534F92">
        <w:rPr>
          <w:b/>
          <w:bCs/>
          <w:color w:val="000000" w:themeColor="text1"/>
        </w:rPr>
        <w:t>•</w:t>
      </w:r>
      <w:r w:rsidR="00BB5FD5" w:rsidRPr="00534F92">
        <w:rPr>
          <w:b/>
          <w:bCs/>
          <w:color w:val="000000" w:themeColor="text1"/>
        </w:rPr>
        <w:t>ACN</w:t>
      </w:r>
      <w:r w:rsidR="00BB5FD5" w:rsidRPr="00577667">
        <w:rPr>
          <w:color w:val="FF40FF"/>
        </w:rPr>
        <w:t xml:space="preserve"> </w:t>
      </w:r>
      <w:r w:rsidR="00896403">
        <w:rPr>
          <w:color w:val="000000" w:themeColor="text1"/>
        </w:rPr>
        <w:t>(</w:t>
      </w:r>
      <w:r w:rsidR="00896403">
        <w:t>∆G</w:t>
      </w:r>
      <w:r w:rsidR="00896403" w:rsidRPr="00754C19">
        <w:rPr>
          <w:rFonts w:ascii="Arial" w:hAnsi="Arial" w:cs="Arial"/>
          <w:vertAlign w:val="superscript"/>
        </w:rPr>
        <w:t>‡</w:t>
      </w:r>
      <w:r w:rsidR="00896403">
        <w:t xml:space="preserve"> 12.1 kcal/mol) </w:t>
      </w:r>
      <w:r w:rsidR="00BB5FD5">
        <w:t xml:space="preserve">which dissociates the ACN to restart the cycle at </w:t>
      </w:r>
      <w:r w:rsidR="00603787">
        <w:rPr>
          <w:b/>
          <w:bCs/>
        </w:rPr>
        <w:t>11</w:t>
      </w:r>
      <w:r w:rsidR="00BB5FD5">
        <w:t>.</w:t>
      </w:r>
    </w:p>
    <w:p w14:paraId="72C02C57" w14:textId="4534E719" w:rsidR="00F66329" w:rsidRPr="008D545A" w:rsidRDefault="000A442F" w:rsidP="008E40E5">
      <w:pPr>
        <w:pStyle w:val="TAMainText"/>
        <w:rPr>
          <w:b/>
          <w:bCs/>
        </w:rPr>
      </w:pPr>
      <w:r>
        <w:t xml:space="preserve">It is worth noting that </w:t>
      </w:r>
      <w:r w:rsidR="00F66329">
        <w:t>in</w:t>
      </w:r>
      <w:r w:rsidR="006A4C97">
        <w:t xml:space="preserve"> p</w:t>
      </w:r>
      <w:r w:rsidR="00F66329">
        <w:t>rofile</w:t>
      </w:r>
      <w:r w:rsidR="00BC0D07">
        <w:t xml:space="preserve"> A</w:t>
      </w:r>
      <w:r w:rsidR="00F66329">
        <w:t xml:space="preserve"> of Scheme </w:t>
      </w:r>
      <w:r w:rsidR="00D07086">
        <w:t>5</w:t>
      </w:r>
      <w:r w:rsidR="00F66329">
        <w:t xml:space="preserve"> (CH</w:t>
      </w:r>
      <w:r w:rsidR="00F66329">
        <w:rPr>
          <w:vertAlign w:val="subscript"/>
        </w:rPr>
        <w:t>3</w:t>
      </w:r>
      <w:r w:rsidR="00F66329">
        <w:t xml:space="preserve">CN as the ligand) the ACN coordinated versions of </w:t>
      </w:r>
      <w:r w:rsidR="00613274">
        <w:rPr>
          <w:b/>
          <w:bCs/>
        </w:rPr>
        <w:t>11</w:t>
      </w:r>
      <w:r w:rsidR="00F66329">
        <w:rPr>
          <w:b/>
          <w:bCs/>
        </w:rPr>
        <w:t xml:space="preserve"> </w:t>
      </w:r>
      <w:r w:rsidR="00F66329" w:rsidRPr="00E61D4B">
        <w:t>and</w:t>
      </w:r>
      <w:r w:rsidR="00F66329">
        <w:rPr>
          <w:b/>
          <w:bCs/>
        </w:rPr>
        <w:t xml:space="preserve"> </w:t>
      </w:r>
      <w:r w:rsidR="00BC0D07">
        <w:rPr>
          <w:b/>
          <w:bCs/>
        </w:rPr>
        <w:t>18</w:t>
      </w:r>
      <w:r w:rsidR="00F66329">
        <w:t xml:space="preserve"> </w:t>
      </w:r>
      <w:r w:rsidR="00B334B9">
        <w:t xml:space="preserve">are </w:t>
      </w:r>
      <w:r w:rsidR="00F66329">
        <w:t xml:space="preserve">lower in energy than the non-coordinated complexes, and the barrier to </w:t>
      </w:r>
      <w:r w:rsidR="00416099">
        <w:t xml:space="preserve">form </w:t>
      </w:r>
      <w:r w:rsidR="009C0A62">
        <w:rPr>
          <w:b/>
          <w:bCs/>
        </w:rPr>
        <w:t>18</w:t>
      </w:r>
      <w:r w:rsidR="00416099">
        <w:rPr>
          <w:b/>
          <w:bCs/>
        </w:rPr>
        <w:t>•ACN</w:t>
      </w:r>
      <w:r w:rsidR="00F66329">
        <w:t xml:space="preserve"> </w:t>
      </w:r>
      <w:r w:rsidR="005C5DA3">
        <w:t xml:space="preserve">from </w:t>
      </w:r>
      <w:r w:rsidR="005C5DA3">
        <w:rPr>
          <w:b/>
          <w:bCs/>
        </w:rPr>
        <w:t>11•ACN</w:t>
      </w:r>
      <w:r w:rsidR="005C5DA3">
        <w:t xml:space="preserve"> </w:t>
      </w:r>
      <w:r w:rsidR="00F66329">
        <w:t>is lower</w:t>
      </w:r>
      <w:r w:rsidR="00416099">
        <w:t xml:space="preserve"> than</w:t>
      </w:r>
      <w:r w:rsidR="00B334B9">
        <w:t xml:space="preserve"> </w:t>
      </w:r>
      <w:r w:rsidR="00DA38CE">
        <w:t xml:space="preserve">that </w:t>
      </w:r>
      <w:r w:rsidR="00B334B9">
        <w:t>for</w:t>
      </w:r>
      <w:r w:rsidR="00416099">
        <w:t xml:space="preserve"> </w:t>
      </w:r>
      <w:r w:rsidR="00416099">
        <w:rPr>
          <w:b/>
          <w:bCs/>
        </w:rPr>
        <w:t>11</w:t>
      </w:r>
      <w:r w:rsidR="00416099">
        <w:t xml:space="preserve"> </w:t>
      </w:r>
      <w:r w:rsidR="00B334B9">
        <w:t xml:space="preserve">to convert </w:t>
      </w:r>
      <w:r w:rsidR="00416099">
        <w:t xml:space="preserve">directly to </w:t>
      </w:r>
      <w:r w:rsidR="00B334B9">
        <w:rPr>
          <w:b/>
          <w:bCs/>
        </w:rPr>
        <w:t>12</w:t>
      </w:r>
      <w:r w:rsidR="00B334B9">
        <w:t xml:space="preserve">, </w:t>
      </w:r>
      <w:r w:rsidR="003C22EC">
        <w:t xml:space="preserve">thus </w:t>
      </w:r>
      <w:r w:rsidR="00AD518B">
        <w:t>shifting</w:t>
      </w:r>
      <w:r w:rsidR="00F66329">
        <w:t xml:space="preserve"> the equilibrium to</w:t>
      </w:r>
      <w:r w:rsidR="00AD518B">
        <w:t xml:space="preserve"> </w:t>
      </w:r>
      <w:r w:rsidR="009C0A62">
        <w:rPr>
          <w:b/>
          <w:bCs/>
        </w:rPr>
        <w:t>18</w:t>
      </w:r>
      <w:r w:rsidR="00B334B9">
        <w:rPr>
          <w:b/>
          <w:bCs/>
        </w:rPr>
        <w:t>•ACN</w:t>
      </w:r>
      <w:r w:rsidR="00F66329">
        <w:t xml:space="preserve"> </w:t>
      </w:r>
      <w:r w:rsidR="00F66329" w:rsidRPr="003B38BA">
        <w:t>and eventually</w:t>
      </w:r>
      <w:r w:rsidR="00F66329">
        <w:rPr>
          <w:b/>
          <w:bCs/>
        </w:rPr>
        <w:t xml:space="preserve"> </w:t>
      </w:r>
      <w:r w:rsidR="009C0A62">
        <w:rPr>
          <w:b/>
          <w:bCs/>
        </w:rPr>
        <w:t>19</w:t>
      </w:r>
      <w:r w:rsidR="003C22EC">
        <w:t xml:space="preserve">. </w:t>
      </w:r>
      <w:r w:rsidR="009C0BB0">
        <w:t xml:space="preserve">However, </w:t>
      </w:r>
      <w:r w:rsidR="00CB74B8">
        <w:t xml:space="preserve">the rapid capture of </w:t>
      </w:r>
      <w:r w:rsidR="009C0A62">
        <w:rPr>
          <w:b/>
          <w:bCs/>
        </w:rPr>
        <w:t>19</w:t>
      </w:r>
      <w:r w:rsidR="00CB74B8">
        <w:t xml:space="preserve"> by ACN </w:t>
      </w:r>
      <w:r w:rsidR="009C0BB0">
        <w:t xml:space="preserve">to form </w:t>
      </w:r>
      <w:r w:rsidR="009C0A62">
        <w:rPr>
          <w:b/>
          <w:bCs/>
        </w:rPr>
        <w:t>19</w:t>
      </w:r>
      <w:r w:rsidR="009C0BB0">
        <w:rPr>
          <w:b/>
          <w:bCs/>
        </w:rPr>
        <w:t>•ACN</w:t>
      </w:r>
      <w:r w:rsidR="009C0BB0" w:rsidRPr="008D545A">
        <w:t xml:space="preserve"> </w:t>
      </w:r>
      <w:r w:rsidR="00DA38CE">
        <w:t xml:space="preserve">can </w:t>
      </w:r>
      <w:r w:rsidR="00A541BB" w:rsidRPr="008D545A">
        <w:t xml:space="preserve">divert the pathway back to </w:t>
      </w:r>
      <w:r w:rsidR="00A541BB" w:rsidRPr="009F68AE">
        <w:rPr>
          <w:b/>
          <w:bCs/>
        </w:rPr>
        <w:t>12</w:t>
      </w:r>
      <w:r w:rsidR="00DA38CE">
        <w:t xml:space="preserve">. This is another potential </w:t>
      </w:r>
      <w:r w:rsidR="009F68AE">
        <w:t>mechanism by which excessive ACN can slow the reaction.</w:t>
      </w:r>
    </w:p>
    <w:p w14:paraId="255C77CA" w14:textId="19927A7C" w:rsidR="003E07C7" w:rsidRDefault="00E740EB" w:rsidP="008E40E5">
      <w:pPr>
        <w:pStyle w:val="TAMainText"/>
      </w:pPr>
      <w:r>
        <w:t>Acetone operates</w:t>
      </w:r>
      <w:r w:rsidR="00752979">
        <w:t xml:space="preserve"> in a similar manner for the conversion of </w:t>
      </w:r>
      <w:r w:rsidR="00FB2304">
        <w:rPr>
          <w:b/>
          <w:bCs/>
          <w:color w:val="000000" w:themeColor="text1"/>
        </w:rPr>
        <w:t>19</w:t>
      </w:r>
      <w:r w:rsidR="00752979">
        <w:t xml:space="preserve"> to </w:t>
      </w:r>
      <w:r w:rsidR="00752979" w:rsidRPr="00534F92">
        <w:rPr>
          <w:b/>
          <w:bCs/>
          <w:color w:val="000000" w:themeColor="text1"/>
        </w:rPr>
        <w:t>1</w:t>
      </w:r>
      <w:r w:rsidR="00613274">
        <w:rPr>
          <w:b/>
          <w:bCs/>
          <w:color w:val="000000" w:themeColor="text1"/>
        </w:rPr>
        <w:t>2</w:t>
      </w:r>
      <w:r w:rsidR="00752979">
        <w:t xml:space="preserve">, </w:t>
      </w:r>
      <w:r w:rsidR="009B6686">
        <w:t>despite being</w:t>
      </w:r>
      <w:r w:rsidR="00C0066F">
        <w:t xml:space="preserve"> </w:t>
      </w:r>
      <w:r w:rsidR="00036878">
        <w:t>a weaker ligand</w:t>
      </w:r>
      <w:r w:rsidR="006060BD">
        <w:t xml:space="preserve"> as shown in Scheme </w:t>
      </w:r>
      <w:r w:rsidR="00D07086">
        <w:rPr>
          <w:color w:val="000000" w:themeColor="text1"/>
        </w:rPr>
        <w:t>5</w:t>
      </w:r>
      <w:r w:rsidR="0007180D">
        <w:t>.</w:t>
      </w:r>
      <w:r w:rsidR="00026746">
        <w:t xml:space="preserve"> </w:t>
      </w:r>
      <w:r w:rsidR="00E723D3">
        <w:t xml:space="preserve">As before, coordination of acetone to </w:t>
      </w:r>
      <w:r w:rsidR="00FB2304">
        <w:rPr>
          <w:b/>
          <w:bCs/>
          <w:color w:val="000000" w:themeColor="text1"/>
        </w:rPr>
        <w:t>19</w:t>
      </w:r>
      <w:r w:rsidR="00E723D3">
        <w:t xml:space="preserve"> results in </w:t>
      </w:r>
      <w:r w:rsidR="00FB2304">
        <w:rPr>
          <w:b/>
          <w:bCs/>
          <w:color w:val="000000" w:themeColor="text1"/>
        </w:rPr>
        <w:t>19</w:t>
      </w:r>
      <w:r w:rsidR="005F7325" w:rsidRPr="00534F92">
        <w:rPr>
          <w:b/>
          <w:bCs/>
          <w:color w:val="000000" w:themeColor="text1"/>
        </w:rPr>
        <w:t>•</w:t>
      </w:r>
      <w:r w:rsidR="00E723D3" w:rsidRPr="00534F92">
        <w:rPr>
          <w:b/>
          <w:bCs/>
          <w:color w:val="000000" w:themeColor="text1"/>
        </w:rPr>
        <w:t>A</w:t>
      </w:r>
      <w:r w:rsidR="008F79E4" w:rsidRPr="00534F92">
        <w:rPr>
          <w:b/>
          <w:bCs/>
          <w:color w:val="000000" w:themeColor="text1"/>
        </w:rPr>
        <w:t>CE</w:t>
      </w:r>
      <w:r w:rsidR="005F7325">
        <w:t xml:space="preserve">, although in contrast with the acetonitrile’s </w:t>
      </w:r>
      <w:r w:rsidR="00183D64">
        <w:t xml:space="preserve">stronger </w:t>
      </w:r>
      <w:r w:rsidR="005F7325">
        <w:t xml:space="preserve">binding, </w:t>
      </w:r>
      <w:r w:rsidR="00FB2304">
        <w:rPr>
          <w:b/>
          <w:bCs/>
          <w:color w:val="000000" w:themeColor="text1"/>
        </w:rPr>
        <w:t>19</w:t>
      </w:r>
      <w:r w:rsidR="005F7325" w:rsidRPr="00534F92">
        <w:rPr>
          <w:b/>
          <w:bCs/>
          <w:color w:val="000000" w:themeColor="text1"/>
        </w:rPr>
        <w:t>•</w:t>
      </w:r>
      <w:r w:rsidR="008F79E4" w:rsidRPr="00534F92">
        <w:rPr>
          <w:b/>
          <w:bCs/>
          <w:color w:val="000000" w:themeColor="text1"/>
        </w:rPr>
        <w:t>ACE</w:t>
      </w:r>
      <w:r w:rsidR="005F7325" w:rsidRPr="004D6356">
        <w:rPr>
          <w:color w:val="00B050"/>
        </w:rPr>
        <w:t xml:space="preserve"> </w:t>
      </w:r>
      <w:r w:rsidR="005F7325">
        <w:t>is less stable than</w:t>
      </w:r>
      <w:r w:rsidR="00B24842">
        <w:t xml:space="preserve"> </w:t>
      </w:r>
      <w:r w:rsidR="00FB2304">
        <w:rPr>
          <w:b/>
          <w:bCs/>
          <w:color w:val="000000" w:themeColor="text1"/>
        </w:rPr>
        <w:t>19</w:t>
      </w:r>
      <w:r w:rsidR="00B24842">
        <w:t xml:space="preserve">. </w:t>
      </w:r>
      <w:r w:rsidR="00036878">
        <w:t xml:space="preserve">The weaker binding is compensated by the very high concentration of acetone (ca. 13.5 M for neat acetone) as a solvent. </w:t>
      </w:r>
      <w:r w:rsidR="00B24842">
        <w:t>With a barrier lower than decarbonylation</w:t>
      </w:r>
      <w:r w:rsidR="00FA4BDE">
        <w:t xml:space="preserve"> (which is 20.0 kcal/mol)</w:t>
      </w:r>
      <w:r w:rsidR="00B24842">
        <w:t xml:space="preserve">, that complex can invert the </w:t>
      </w:r>
      <w:proofErr w:type="spellStart"/>
      <w:r w:rsidR="00B24842">
        <w:t>thiomethyl</w:t>
      </w:r>
      <w:proofErr w:type="spellEnd"/>
      <w:r w:rsidR="00B24842">
        <w:t xml:space="preserve"> to return to </w:t>
      </w:r>
      <w:r w:rsidR="0047780B" w:rsidRPr="00985ED5">
        <w:rPr>
          <w:b/>
          <w:bCs/>
          <w:color w:val="000000" w:themeColor="text1"/>
        </w:rPr>
        <w:t>1</w:t>
      </w:r>
      <w:r w:rsidR="00613274">
        <w:rPr>
          <w:b/>
          <w:bCs/>
          <w:color w:val="000000" w:themeColor="text1"/>
        </w:rPr>
        <w:t>2</w:t>
      </w:r>
      <w:r w:rsidR="0047780B" w:rsidRPr="00985ED5">
        <w:rPr>
          <w:b/>
          <w:bCs/>
          <w:color w:val="000000" w:themeColor="text1"/>
        </w:rPr>
        <w:t>•</w:t>
      </w:r>
      <w:r w:rsidR="008F79E4" w:rsidRPr="00985ED5">
        <w:rPr>
          <w:b/>
          <w:bCs/>
          <w:color w:val="000000" w:themeColor="text1"/>
        </w:rPr>
        <w:t>ACE</w:t>
      </w:r>
      <w:r w:rsidR="00D32EFE">
        <w:t xml:space="preserve"> (∆G</w:t>
      </w:r>
      <w:r w:rsidR="00D32EFE" w:rsidRPr="00754C19">
        <w:rPr>
          <w:rFonts w:ascii="Arial" w:hAnsi="Arial" w:cs="Arial"/>
          <w:vertAlign w:val="superscript"/>
        </w:rPr>
        <w:t>‡</w:t>
      </w:r>
      <w:r w:rsidR="00D32EFE">
        <w:t xml:space="preserve"> 19.7 kcal/mol),</w:t>
      </w:r>
      <w:r w:rsidR="0047780B">
        <w:t xml:space="preserve"> which can then dissociate to </w:t>
      </w:r>
      <w:r w:rsidR="0047780B" w:rsidRPr="00985ED5">
        <w:rPr>
          <w:b/>
          <w:bCs/>
          <w:color w:val="000000" w:themeColor="text1"/>
        </w:rPr>
        <w:t>1</w:t>
      </w:r>
      <w:r w:rsidR="00613274">
        <w:rPr>
          <w:b/>
          <w:bCs/>
          <w:color w:val="000000" w:themeColor="text1"/>
        </w:rPr>
        <w:t>2</w:t>
      </w:r>
      <w:r w:rsidR="0047780B">
        <w:t>, rejoining the productive pathway.</w:t>
      </w:r>
      <w:r w:rsidR="00AB5561">
        <w:t xml:space="preserve"> In contrast with acetonitrile</w:t>
      </w:r>
      <w:r w:rsidR="00F53DFD">
        <w:t>, the</w:t>
      </w:r>
      <w:r w:rsidR="004541F1">
        <w:t xml:space="preserve"> </w:t>
      </w:r>
      <w:r w:rsidR="00FB2304">
        <w:rPr>
          <w:b/>
          <w:bCs/>
          <w:color w:val="000000" w:themeColor="text1"/>
        </w:rPr>
        <w:t>18</w:t>
      </w:r>
      <w:r w:rsidR="004D6356">
        <w:rPr>
          <w:b/>
          <w:bCs/>
          <w:color w:val="FF0000"/>
        </w:rPr>
        <w:t xml:space="preserve"> </w:t>
      </w:r>
      <w:r w:rsidR="0021403D">
        <w:rPr>
          <w:rFonts w:ascii="Wingdings" w:eastAsia="Wingdings" w:hAnsi="Wingdings" w:cs="Wingdings"/>
        </w:rPr>
        <w:t>à</w:t>
      </w:r>
      <w:r w:rsidR="004D6356">
        <w:t xml:space="preserve"> </w:t>
      </w:r>
      <w:r w:rsidR="00FB2304">
        <w:rPr>
          <w:b/>
          <w:bCs/>
          <w:color w:val="000000" w:themeColor="text1"/>
        </w:rPr>
        <w:t>18</w:t>
      </w:r>
      <w:r w:rsidR="004541F1" w:rsidRPr="00985ED5">
        <w:rPr>
          <w:b/>
          <w:bCs/>
          <w:color w:val="000000" w:themeColor="text1"/>
        </w:rPr>
        <w:t>•</w:t>
      </w:r>
      <w:r w:rsidR="008F79E4" w:rsidRPr="00985ED5">
        <w:rPr>
          <w:b/>
          <w:bCs/>
          <w:color w:val="000000" w:themeColor="text1"/>
        </w:rPr>
        <w:t xml:space="preserve">ACE </w:t>
      </w:r>
      <w:r w:rsidR="004D6356">
        <w:rPr>
          <w:rFonts w:ascii="Wingdings" w:eastAsia="Wingdings" w:hAnsi="Wingdings" w:cs="Wingdings"/>
        </w:rPr>
        <w:t>à</w:t>
      </w:r>
      <w:r w:rsidR="004D6356">
        <w:t xml:space="preserve"> </w:t>
      </w:r>
      <w:r w:rsidR="00613274">
        <w:rPr>
          <w:b/>
          <w:bCs/>
          <w:color w:val="000000" w:themeColor="text1"/>
        </w:rPr>
        <w:t>11</w:t>
      </w:r>
      <w:r w:rsidR="004541F1" w:rsidRPr="00985ED5">
        <w:rPr>
          <w:b/>
          <w:bCs/>
          <w:color w:val="000000" w:themeColor="text1"/>
        </w:rPr>
        <w:t>•</w:t>
      </w:r>
      <w:r w:rsidR="008F79E4" w:rsidRPr="00985ED5">
        <w:rPr>
          <w:b/>
          <w:bCs/>
          <w:color w:val="000000" w:themeColor="text1"/>
        </w:rPr>
        <w:t>ACE</w:t>
      </w:r>
      <w:r w:rsidR="008F79E4" w:rsidRPr="006060BD">
        <w:rPr>
          <w:b/>
          <w:bCs/>
          <w:color w:val="00B050"/>
        </w:rPr>
        <w:t xml:space="preserve"> </w:t>
      </w:r>
      <w:r w:rsidR="00F623DD">
        <w:rPr>
          <w:rFonts w:ascii="Wingdings" w:eastAsia="Wingdings" w:hAnsi="Wingdings" w:cs="Wingdings"/>
        </w:rPr>
        <w:t>à</w:t>
      </w:r>
      <w:r w:rsidR="004D6356">
        <w:t xml:space="preserve"> </w:t>
      </w:r>
      <w:r w:rsidR="00613274">
        <w:rPr>
          <w:b/>
          <w:bCs/>
        </w:rPr>
        <w:t>11</w:t>
      </w:r>
      <w:r w:rsidR="00F623DD">
        <w:t xml:space="preserve"> </w:t>
      </w:r>
      <w:proofErr w:type="gramStart"/>
      <w:r w:rsidR="00F623DD">
        <w:t>pathway</w:t>
      </w:r>
      <w:proofErr w:type="gramEnd"/>
      <w:r w:rsidR="007D559C">
        <w:t xml:space="preserve"> (∆G</w:t>
      </w:r>
      <w:r w:rsidR="007D559C" w:rsidRPr="00754C19">
        <w:rPr>
          <w:rFonts w:ascii="Arial" w:hAnsi="Arial" w:cs="Arial"/>
          <w:vertAlign w:val="superscript"/>
        </w:rPr>
        <w:t>‡</w:t>
      </w:r>
      <w:r w:rsidR="007D559C">
        <w:t xml:space="preserve"> 16.4 kcal/mol)</w:t>
      </w:r>
      <w:r w:rsidR="00F623DD">
        <w:t xml:space="preserve"> is less energetically favorable than a direct </w:t>
      </w:r>
      <w:r w:rsidR="00FB2304">
        <w:rPr>
          <w:b/>
          <w:bCs/>
          <w:color w:val="000000" w:themeColor="text1"/>
        </w:rPr>
        <w:t>18</w:t>
      </w:r>
      <w:r w:rsidR="004D6356">
        <w:rPr>
          <w:b/>
          <w:bCs/>
          <w:color w:val="FF0000"/>
        </w:rPr>
        <w:t xml:space="preserve"> </w:t>
      </w:r>
      <w:r w:rsidR="00F623DD">
        <w:rPr>
          <w:rFonts w:ascii="Wingdings" w:eastAsia="Wingdings" w:hAnsi="Wingdings" w:cs="Wingdings"/>
        </w:rPr>
        <w:t>à</w:t>
      </w:r>
      <w:r w:rsidR="004D6356">
        <w:t xml:space="preserve"> </w:t>
      </w:r>
      <w:r w:rsidR="00613274">
        <w:rPr>
          <w:b/>
          <w:bCs/>
        </w:rPr>
        <w:t>11</w:t>
      </w:r>
      <w:r w:rsidR="00F623DD">
        <w:t xml:space="preserve"> conversion</w:t>
      </w:r>
      <w:r w:rsidR="007D559C">
        <w:t xml:space="preserve"> (∆G</w:t>
      </w:r>
      <w:r w:rsidR="007D559C" w:rsidRPr="00754C19">
        <w:rPr>
          <w:rFonts w:ascii="Arial" w:hAnsi="Arial" w:cs="Arial"/>
          <w:vertAlign w:val="superscript"/>
        </w:rPr>
        <w:t>‡</w:t>
      </w:r>
      <w:r w:rsidR="007D559C">
        <w:rPr>
          <w:rFonts w:ascii="Arial" w:hAnsi="Arial" w:cs="Arial"/>
          <w:vertAlign w:val="superscript"/>
        </w:rPr>
        <w:t xml:space="preserve"> </w:t>
      </w:r>
      <w:r w:rsidR="007D559C">
        <w:t>15.2 kcal/</w:t>
      </w:r>
      <w:proofErr w:type="gramStart"/>
      <w:r w:rsidR="007D559C">
        <w:t>mol )</w:t>
      </w:r>
      <w:proofErr w:type="gramEnd"/>
      <w:r w:rsidR="00F623DD">
        <w:t>.</w:t>
      </w:r>
    </w:p>
    <w:p w14:paraId="7A60C0B5" w14:textId="237196B4" w:rsidR="00CC36E0" w:rsidRDefault="00482C2A" w:rsidP="00B55723">
      <w:pPr>
        <w:pStyle w:val="TAMainText"/>
        <w:sectPr w:rsidR="00CC36E0" w:rsidSect="00D30160">
          <w:headerReference w:type="even" r:id="rId23"/>
          <w:footerReference w:type="even" r:id="rId24"/>
          <w:footerReference w:type="default" r:id="rId25"/>
          <w:footnotePr>
            <w:pos w:val="beneathText"/>
          </w:footnotePr>
          <w:endnotePr>
            <w:numFmt w:val="decimal"/>
          </w:endnotePr>
          <w:type w:val="continuous"/>
          <w:pgSz w:w="12240" w:h="15840"/>
          <w:pgMar w:top="720" w:right="1094" w:bottom="950" w:left="1094" w:header="720" w:footer="720" w:gutter="0"/>
          <w:cols w:num="2" w:space="461"/>
        </w:sectPr>
      </w:pPr>
      <w:r>
        <w:t xml:space="preserve">Finally, </w:t>
      </w:r>
      <w:r w:rsidR="00FD739F">
        <w:t xml:space="preserve">as </w:t>
      </w:r>
      <w:r w:rsidR="003457FE">
        <w:t xml:space="preserve">previously discussed, coordination of the aldehyde moiety of the </w:t>
      </w:r>
      <w:proofErr w:type="spellStart"/>
      <w:r w:rsidR="0026555C">
        <w:t>thiobenzald</w:t>
      </w:r>
      <w:r w:rsidR="00FF524F">
        <w:t>ehyde</w:t>
      </w:r>
      <w:proofErr w:type="spellEnd"/>
      <w:r w:rsidR="002F4A8D">
        <w:t xml:space="preserve"> (</w:t>
      </w:r>
      <w:r w:rsidR="00DB200F">
        <w:t xml:space="preserve">the </w:t>
      </w:r>
      <w:proofErr w:type="spellStart"/>
      <w:r w:rsidR="00DB200F">
        <w:t>thiomethyl</w:t>
      </w:r>
      <w:proofErr w:type="spellEnd"/>
      <w:r w:rsidR="00DB200F">
        <w:t xml:space="preserve"> is too bulky to effectively serve as a ligand)</w:t>
      </w:r>
      <w:r w:rsidR="00CD5936">
        <w:t xml:space="preserve"> does confer a mild protective effect as discussed above for the better </w:t>
      </w:r>
      <w:proofErr w:type="gramStart"/>
      <w:r w:rsidR="00CD5936">
        <w:t>ligands</w:t>
      </w:r>
      <w:proofErr w:type="gramEnd"/>
      <w:r w:rsidR="00CD5936">
        <w:t xml:space="preserve"> </w:t>
      </w:r>
      <w:r w:rsidR="005935AE">
        <w:t>acetonitrile</w:t>
      </w:r>
      <w:r w:rsidR="00CD5936">
        <w:t xml:space="preserve"> and acetone</w:t>
      </w:r>
      <w:r w:rsidR="00B751C8">
        <w:t xml:space="preserve">. Coordination of the aldehyde to </w:t>
      </w:r>
      <w:r w:rsidR="00A9536A">
        <w:rPr>
          <w:b/>
          <w:bCs/>
          <w:color w:val="000000" w:themeColor="text1"/>
        </w:rPr>
        <w:t>19</w:t>
      </w:r>
      <w:r w:rsidR="0026555C">
        <w:t xml:space="preserve"> is uphill, then isomerization of </w:t>
      </w:r>
      <w:r w:rsidR="00A9536A">
        <w:rPr>
          <w:b/>
          <w:bCs/>
          <w:color w:val="000000" w:themeColor="text1"/>
        </w:rPr>
        <w:t>19</w:t>
      </w:r>
      <w:r w:rsidR="0026555C" w:rsidRPr="00985ED5">
        <w:rPr>
          <w:b/>
          <w:bCs/>
          <w:color w:val="000000" w:themeColor="text1"/>
        </w:rPr>
        <w:t>•tbz</w:t>
      </w:r>
      <w:r w:rsidR="00353204" w:rsidRPr="003F2198">
        <w:rPr>
          <w:color w:val="00B0F0"/>
        </w:rPr>
        <w:t xml:space="preserve"> </w:t>
      </w:r>
      <w:r w:rsidR="00353204">
        <w:rPr>
          <w:rFonts w:ascii="Wingdings" w:eastAsia="Wingdings" w:hAnsi="Wingdings" w:cs="Wingdings"/>
        </w:rPr>
        <w:t>à</w:t>
      </w:r>
      <w:r w:rsidR="00353204">
        <w:t xml:space="preserve"> </w:t>
      </w:r>
      <w:r w:rsidR="003F2198" w:rsidRPr="00985ED5">
        <w:rPr>
          <w:b/>
          <w:bCs/>
          <w:color w:val="000000" w:themeColor="text1"/>
        </w:rPr>
        <w:t>1</w:t>
      </w:r>
      <w:r w:rsidR="00613274">
        <w:rPr>
          <w:b/>
          <w:bCs/>
          <w:color w:val="000000" w:themeColor="text1"/>
        </w:rPr>
        <w:t>2</w:t>
      </w:r>
      <w:r w:rsidR="003F2198" w:rsidRPr="00985ED5">
        <w:rPr>
          <w:b/>
          <w:bCs/>
          <w:color w:val="000000" w:themeColor="text1"/>
        </w:rPr>
        <w:t>•tbz</w:t>
      </w:r>
      <w:r w:rsidR="003F2198" w:rsidRPr="003F2198">
        <w:rPr>
          <w:color w:val="00B0F0"/>
        </w:rPr>
        <w:t xml:space="preserve"> </w:t>
      </w:r>
      <w:r w:rsidR="003F2198">
        <w:rPr>
          <w:rFonts w:ascii="Wingdings" w:eastAsia="Wingdings" w:hAnsi="Wingdings" w:cs="Wingdings"/>
        </w:rPr>
        <w:t>à</w:t>
      </w:r>
      <w:r w:rsidR="003F2198">
        <w:t xml:space="preserve"> </w:t>
      </w:r>
      <w:r w:rsidR="003F2198" w:rsidRPr="00985ED5">
        <w:rPr>
          <w:b/>
          <w:bCs/>
          <w:color w:val="000000" w:themeColor="text1"/>
        </w:rPr>
        <w:t>1</w:t>
      </w:r>
      <w:r w:rsidR="00613274">
        <w:rPr>
          <w:b/>
          <w:bCs/>
          <w:color w:val="000000" w:themeColor="text1"/>
        </w:rPr>
        <w:t>2</w:t>
      </w:r>
      <w:r w:rsidR="003F2198">
        <w:t xml:space="preserve"> works as discussed above</w:t>
      </w:r>
      <w:r w:rsidR="0057452F">
        <w:t xml:space="preserve">, the </w:t>
      </w:r>
      <w:r w:rsidR="00974F6E">
        <w:t xml:space="preserve">equivalent of </w:t>
      </w:r>
      <w:r w:rsidR="00A70437">
        <w:t xml:space="preserve">the </w:t>
      </w:r>
      <w:r w:rsidR="00974F6E">
        <w:t xml:space="preserve">Scheme </w:t>
      </w:r>
      <w:r w:rsidR="00F07316">
        <w:t>5</w:t>
      </w:r>
      <w:r w:rsidR="00974F6E">
        <w:t xml:space="preserve"> profiles may be found in the supplemental files</w:t>
      </w:r>
      <w:r w:rsidR="003F2198">
        <w:t>.</w:t>
      </w:r>
    </w:p>
    <w:p w14:paraId="0C7A9670" w14:textId="77777777" w:rsidR="00A435AE" w:rsidRDefault="00A435AE" w:rsidP="00A435AE">
      <w:pPr>
        <w:pStyle w:val="VCSchemeTitle"/>
      </w:pPr>
    </w:p>
    <w:p w14:paraId="78E6A413" w14:textId="77777777" w:rsidR="00B55723" w:rsidRDefault="00A435AE" w:rsidP="00A435AE">
      <w:pPr>
        <w:pStyle w:val="VCSchemeTitle"/>
      </w:pPr>
      <w:r>
        <w:rPr>
          <w:noProof/>
          <w:lang w:eastAsia="zh-CN"/>
        </w:rPr>
        <mc:AlternateContent>
          <mc:Choice Requires="wps">
            <w:drawing>
              <wp:anchor distT="0" distB="0" distL="114300" distR="114300" simplePos="0" relativeHeight="251716608" behindDoc="0" locked="0" layoutInCell="1" allowOverlap="1" wp14:anchorId="214F85AD" wp14:editId="02C7F719">
                <wp:simplePos x="0" y="0"/>
                <wp:positionH relativeFrom="column">
                  <wp:posOffset>0</wp:posOffset>
                </wp:positionH>
                <wp:positionV relativeFrom="paragraph">
                  <wp:posOffset>25400</wp:posOffset>
                </wp:positionV>
                <wp:extent cx="6400800" cy="8467"/>
                <wp:effectExtent l="50800" t="25400" r="76200" b="93345"/>
                <wp:wrapNone/>
                <wp:docPr id="289241109" name="Straight Connector 289241109"/>
                <wp:cNvGraphicFramePr/>
                <a:graphic xmlns:a="http://schemas.openxmlformats.org/drawingml/2006/main">
                  <a:graphicData uri="http://schemas.microsoft.com/office/word/2010/wordprocessingShape">
                    <wps:wsp>
                      <wps:cNvCnPr/>
                      <wps:spPr>
                        <a:xfrm flipV="1">
                          <a:off x="0" y="0"/>
                          <a:ext cx="6400800" cy="846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0A759F8">
              <v:line id="Straight Connector 289241109" style="position:absolute;flip:y;z-index:251716608;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2pt" from="0,2pt" to="7in,2.65pt" w14:anchorId="04F3EB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">
                <v:shadow on="t" color="black" opacity="24903f" offset="0,.55556mm" origin=",.5"/>
              </v:line>
            </w:pict>
          </mc:Fallback>
        </mc:AlternateContent>
      </w:r>
    </w:p>
    <w:p w14:paraId="0D3D22C7" w14:textId="57AF3EF2" w:rsidR="00A435AE" w:rsidRPr="00B03253" w:rsidRDefault="00A435AE" w:rsidP="00A435AE">
      <w:pPr>
        <w:pStyle w:val="VCSchemeTitle"/>
        <w:rPr>
          <w:b w:val="0"/>
          <w:bCs/>
        </w:rPr>
      </w:pPr>
      <w:r>
        <w:t xml:space="preserve">Scheme </w:t>
      </w:r>
      <w:r w:rsidR="00F07316">
        <w:t>6</w:t>
      </w:r>
      <w:r>
        <w:t xml:space="preserve">: </w:t>
      </w:r>
      <w:r w:rsidR="009C6E57">
        <w:t xml:space="preserve">Interception </w:t>
      </w:r>
      <w:r>
        <w:t xml:space="preserve">of </w:t>
      </w:r>
      <w:r>
        <w:rPr>
          <w:bCs/>
        </w:rPr>
        <w:t>18</w:t>
      </w:r>
      <w:r w:rsidR="00810ABC">
        <w:t xml:space="preserve"> or</w:t>
      </w:r>
      <w:r>
        <w:t xml:space="preserve"> </w:t>
      </w:r>
      <w:r>
        <w:rPr>
          <w:bCs/>
        </w:rPr>
        <w:t>19</w:t>
      </w:r>
      <w:r>
        <w:t xml:space="preserve"> </w:t>
      </w:r>
      <w:r w:rsidR="00810ABC">
        <w:t>by</w:t>
      </w:r>
      <w:r w:rsidR="006C7BCA">
        <w:t xml:space="preserve"> acetonitrile (ACN) </w:t>
      </w:r>
      <w:r w:rsidR="001B0E0E">
        <w:t>demonstrating how this</w:t>
      </w:r>
      <w:r w:rsidR="00052874">
        <w:t xml:space="preserve"> external Lewis base</w:t>
      </w:r>
      <w:r w:rsidR="006C7BCA">
        <w:t xml:space="preserve"> ligand</w:t>
      </w:r>
      <w:r w:rsidR="00FD1F3A">
        <w:t xml:space="preserve"> </w:t>
      </w:r>
      <w:r w:rsidR="00083E4E">
        <w:t>facilitates return to 11 or 12</w:t>
      </w:r>
      <w:r w:rsidR="00936EF8">
        <w:t xml:space="preserve"> and</w:t>
      </w:r>
      <w:r w:rsidR="001B0E0E">
        <w:t>,</w:t>
      </w:r>
      <w:r w:rsidR="00936EF8">
        <w:t xml:space="preserve"> thus</w:t>
      </w:r>
      <w:r w:rsidR="001B0E0E">
        <w:t>, to</w:t>
      </w:r>
      <w:r w:rsidR="00936EF8">
        <w:t xml:space="preserve"> productive hydroacylation</w:t>
      </w:r>
    </w:p>
    <w:p w14:paraId="7D6BDB92" w14:textId="526F20C3" w:rsidR="00A435AE" w:rsidRDefault="00DC6A2A" w:rsidP="00B03253">
      <w:pPr>
        <w:jc w:val="center"/>
      </w:pPr>
      <w:r w:rsidRPr="00DC6A2A">
        <w:rPr>
          <w:noProof/>
        </w:rPr>
        <w:drawing>
          <wp:inline distT="0" distB="0" distL="0" distR="0" wp14:anchorId="1B648BFC" wp14:editId="049EDD29">
            <wp:extent cx="6383020" cy="2731770"/>
            <wp:effectExtent l="0" t="0" r="5080" b="0"/>
            <wp:docPr id="435876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76921" name=""/>
                    <pic:cNvPicPr/>
                  </pic:nvPicPr>
                  <pic:blipFill>
                    <a:blip r:embed="rId26"/>
                    <a:stretch>
                      <a:fillRect/>
                    </a:stretch>
                  </pic:blipFill>
                  <pic:spPr>
                    <a:xfrm>
                      <a:off x="0" y="0"/>
                      <a:ext cx="6383020" cy="2731770"/>
                    </a:xfrm>
                    <a:prstGeom prst="rect">
                      <a:avLst/>
                    </a:prstGeom>
                  </pic:spPr>
                </pic:pic>
              </a:graphicData>
            </a:graphic>
          </wp:inline>
        </w:drawing>
      </w:r>
    </w:p>
    <w:p w14:paraId="2DD3617B" w14:textId="77777777" w:rsidR="00A435AE" w:rsidRPr="002E7FEE" w:rsidRDefault="00A435AE" w:rsidP="00A435AE">
      <w:r>
        <w:rPr>
          <w:noProof/>
          <w:lang w:eastAsia="zh-CN"/>
        </w:rPr>
        <mc:AlternateContent>
          <mc:Choice Requires="wps">
            <w:drawing>
              <wp:anchor distT="0" distB="0" distL="114300" distR="114300" simplePos="0" relativeHeight="251715584" behindDoc="0" locked="0" layoutInCell="1" allowOverlap="1" wp14:anchorId="61FB00D6" wp14:editId="755BF82B">
                <wp:simplePos x="0" y="0"/>
                <wp:positionH relativeFrom="column">
                  <wp:posOffset>0</wp:posOffset>
                </wp:positionH>
                <wp:positionV relativeFrom="paragraph">
                  <wp:posOffset>24765</wp:posOffset>
                </wp:positionV>
                <wp:extent cx="6400800" cy="8467"/>
                <wp:effectExtent l="50800" t="25400" r="76200" b="93345"/>
                <wp:wrapNone/>
                <wp:docPr id="1111676819" name="Straight Connector 1111676819"/>
                <wp:cNvGraphicFramePr/>
                <a:graphic xmlns:a="http://schemas.openxmlformats.org/drawingml/2006/main">
                  <a:graphicData uri="http://schemas.microsoft.com/office/word/2010/wordprocessingShape">
                    <wps:wsp>
                      <wps:cNvCnPr/>
                      <wps:spPr>
                        <a:xfrm flipV="1">
                          <a:off x="0" y="0"/>
                          <a:ext cx="6400800" cy="8467"/>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75EC5811">
              <v:line id="Straight Connector 1111676819" style="position:absolute;flip:y;z-index:251715584;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2pt" from="0,1.95pt" to="7in,2.6pt" w14:anchorId="7F064DF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">
                <v:shadow on="t" color="black" opacity="24903f" offset="0,.55556mm" origin=",.5"/>
              </v:line>
            </w:pict>
          </mc:Fallback>
        </mc:AlternateContent>
      </w:r>
    </w:p>
    <w:p w14:paraId="70577B44" w14:textId="77777777" w:rsidR="00A435AE" w:rsidRDefault="00A435AE" w:rsidP="008E40E5">
      <w:pPr>
        <w:pStyle w:val="TAMainText"/>
        <w:sectPr w:rsidR="00A435AE" w:rsidSect="00B03253">
          <w:footnotePr>
            <w:pos w:val="beneathText"/>
          </w:footnotePr>
          <w:endnotePr>
            <w:numFmt w:val="decimal"/>
          </w:endnotePr>
          <w:type w:val="continuous"/>
          <w:pgSz w:w="12240" w:h="15840"/>
          <w:pgMar w:top="720" w:right="1094" w:bottom="950" w:left="1094" w:header="720" w:footer="720" w:gutter="0"/>
          <w:cols w:space="461"/>
        </w:sectPr>
      </w:pPr>
    </w:p>
    <w:p w14:paraId="4EE102DD" w14:textId="4DAC51F6" w:rsidR="008977B0" w:rsidRPr="003F2198" w:rsidRDefault="008977B0" w:rsidP="008E40E5">
      <w:pPr>
        <w:pStyle w:val="TAMainText"/>
      </w:pPr>
      <w:r>
        <w:t>To our knowledge, this is a unique mechanism of action</w:t>
      </w:r>
      <w:r w:rsidR="0067320F">
        <w:t xml:space="preserve">; </w:t>
      </w:r>
      <w:r w:rsidR="00E571D6">
        <w:t xml:space="preserve">we have seen no other examples of this kind of </w:t>
      </w:r>
      <w:r w:rsidR="00E571D6">
        <w:t>mediated isomerization</w:t>
      </w:r>
      <w:r w:rsidR="00952598">
        <w:t xml:space="preserve"> to convey a protective effect against decarbonylation.</w:t>
      </w:r>
      <w:r w:rsidR="00855B31">
        <w:t xml:space="preserve"> </w:t>
      </w:r>
      <w:r w:rsidR="001A5B47">
        <w:t>Such a</w:t>
      </w:r>
      <w:r w:rsidR="00855B31">
        <w:t xml:space="preserve"> mechanism is a </w:t>
      </w:r>
      <w:r w:rsidR="00855B31">
        <w:lastRenderedPageBreak/>
        <w:t>potentially fruitful addition to</w:t>
      </w:r>
      <w:r w:rsidR="00C83B53">
        <w:t xml:space="preserve"> strategies already utilized to protect hydroacylation catalysts against decarbonylation (internal or external coordination</w:t>
      </w:r>
      <w:r w:rsidR="009962F5">
        <w:t xml:space="preserve"> to block a coordination site and/or facilitate reductive elimination).</w:t>
      </w:r>
    </w:p>
    <w:p w14:paraId="7AAF3577" w14:textId="77777777" w:rsidR="00604973" w:rsidRDefault="00604973" w:rsidP="008E40E5">
      <w:pPr>
        <w:pStyle w:val="TAMainText"/>
      </w:pPr>
    </w:p>
    <w:p w14:paraId="5315A762" w14:textId="2004AC20" w:rsidR="004D68F2" w:rsidRPr="00FB58E2" w:rsidRDefault="004D68F2" w:rsidP="008E40E5">
      <w:pPr>
        <w:pStyle w:val="TAMainText"/>
      </w:pPr>
      <w:r>
        <w:t>Conclusions</w:t>
      </w:r>
    </w:p>
    <w:p w14:paraId="71D6D2FD" w14:textId="5094B86B" w:rsidR="005B5199" w:rsidRPr="001F166E" w:rsidRDefault="004171AB" w:rsidP="008E40E5">
      <w:pPr>
        <w:pStyle w:val="TAMainText"/>
      </w:pPr>
      <w:r w:rsidRPr="001F166E">
        <w:t>We have utilized</w:t>
      </w:r>
      <w:r w:rsidR="00DB6EB2">
        <w:t xml:space="preserve"> </w:t>
      </w:r>
      <w:r w:rsidRPr="001F166E">
        <w:t xml:space="preserve">DFT methods to construct </w:t>
      </w:r>
      <w:r w:rsidR="00AD4D31" w:rsidRPr="001F166E">
        <w:t xml:space="preserve">minimum energy paths for the productive hydroacylation reaction of </w:t>
      </w:r>
      <w:proofErr w:type="spellStart"/>
      <w:r w:rsidR="00AD4D31" w:rsidRPr="001F166E">
        <w:t>thiobenzaldehyde</w:t>
      </w:r>
      <w:proofErr w:type="spellEnd"/>
      <w:r w:rsidR="00AD4D31" w:rsidRPr="001F166E">
        <w:t xml:space="preserve"> with mono-substituted alkenes and for the decarbonylation pathway that results in catalyst death. The </w:t>
      </w:r>
      <w:r w:rsidR="00247933" w:rsidRPr="001F166E">
        <w:t xml:space="preserve">calculated </w:t>
      </w:r>
      <w:r w:rsidR="00AD4D31" w:rsidRPr="001F166E">
        <w:t>hydroacylation pathway is consistent with the experimental observation of increased rates for this new catalyst family</w:t>
      </w:r>
      <w:r w:rsidR="001E68FA" w:rsidRPr="001F166E">
        <w:t xml:space="preserve"> relative to the previous state of the art</w:t>
      </w:r>
      <w:r w:rsidR="00AD4D31" w:rsidRPr="001F166E">
        <w:t xml:space="preserve">, finding that both oxidative </w:t>
      </w:r>
      <w:r w:rsidR="00C064F4">
        <w:t>cleavage</w:t>
      </w:r>
      <w:r w:rsidR="00AD4D31" w:rsidRPr="001F166E">
        <w:t xml:space="preserve"> and reductive elimination steps are faster than for previous syst</w:t>
      </w:r>
      <w:r w:rsidR="001E68FA" w:rsidRPr="001F166E">
        <w:t xml:space="preserve">ems. The unique mechanism by which added Lewis bases protect the complex from the destructive decarbonylation reaction has been elucidated, in which the coordination of the base to an open coordination site allows isomerization of the S-Me of the </w:t>
      </w:r>
      <w:proofErr w:type="spellStart"/>
      <w:r w:rsidR="001E68FA" w:rsidRPr="001F166E">
        <w:t>metallocyclic</w:t>
      </w:r>
      <w:proofErr w:type="spellEnd"/>
      <w:r w:rsidR="001E68FA" w:rsidRPr="001F166E">
        <w:t xml:space="preserve"> acyl complex back to the required orientation for productive hydroacylation </w:t>
      </w:r>
      <w:r w:rsidR="002024E0" w:rsidRPr="001F166E">
        <w:t>while</w:t>
      </w:r>
      <w:r w:rsidR="001E68FA" w:rsidRPr="001F166E">
        <w:t xml:space="preserve"> preventing decarbonylation </w:t>
      </w:r>
      <w:r w:rsidR="001E68FA" w:rsidRPr="001F166E">
        <w:rPr>
          <w:i/>
          <w:iCs/>
        </w:rPr>
        <w:t>via</w:t>
      </w:r>
      <w:r w:rsidR="001E68FA" w:rsidRPr="001F166E">
        <w:t xml:space="preserve"> steric interactions with the ligand. These results should provide critical insight into a new catalyst designs useful for the intermolecular hydroacylation reaction, which has been plagued by low catalyst turnover numbers and limited substrate selections.</w:t>
      </w:r>
    </w:p>
    <w:p w14:paraId="7DFFDD90" w14:textId="5969189D" w:rsidR="00ED1E49" w:rsidRDefault="00ED1E49" w:rsidP="008E40E5">
      <w:pPr>
        <w:pStyle w:val="TAMainText"/>
        <w:rPr>
          <w:kern w:val="20"/>
          <w:sz w:val="20"/>
        </w:rPr>
      </w:pPr>
      <w:r>
        <w:br w:type="page"/>
      </w:r>
    </w:p>
    <w:p w14:paraId="7711335A" w14:textId="77777777" w:rsidR="00693D27" w:rsidRDefault="005B7DD9" w:rsidP="00693D27">
      <w:pPr>
        <w:pStyle w:val="SectionTitle"/>
      </w:pPr>
      <w:r>
        <w:lastRenderedPageBreak/>
        <w:t>ASSOCIATED CONTENT</w:t>
      </w:r>
      <w:r w:rsidRPr="00BE533F">
        <w:t xml:space="preserve"> </w:t>
      </w:r>
    </w:p>
    <w:p w14:paraId="69EBF19D" w14:textId="642C7AD8" w:rsidR="00693D27" w:rsidRDefault="005B7DD9" w:rsidP="00693D27">
      <w:pPr>
        <w:pStyle w:val="SectionContent"/>
      </w:pPr>
      <w:r w:rsidRPr="00157E12">
        <w:rPr>
          <w:b/>
        </w:rPr>
        <w:t>Supporting Information</w:t>
      </w:r>
      <w:r>
        <w:t xml:space="preserve">. </w:t>
      </w:r>
      <w:r w:rsidR="00115D45" w:rsidRPr="00115D45">
        <w:t xml:space="preserve">Cartesian coordinates and total energies (in </w:t>
      </w:r>
      <w:proofErr w:type="spellStart"/>
      <w:r w:rsidR="00115D45" w:rsidRPr="00115D45">
        <w:t>hartrees</w:t>
      </w:r>
      <w:proofErr w:type="spellEnd"/>
      <w:r w:rsidR="00115D45" w:rsidRPr="00115D45">
        <w:t>) of all structures presented herein. This material is available free of charge via the Internet at http://pubs.acs.org.</w:t>
      </w:r>
    </w:p>
    <w:p w14:paraId="1BA0FFDC" w14:textId="77777777" w:rsidR="00693D27" w:rsidRDefault="005B7DD9" w:rsidP="00693D27">
      <w:pPr>
        <w:pStyle w:val="SectionTitle"/>
      </w:pPr>
      <w:r>
        <w:t>AUTHOR INFORMATION</w:t>
      </w:r>
    </w:p>
    <w:p w14:paraId="0A845D03" w14:textId="438168AE" w:rsidR="00693D27" w:rsidRDefault="005B7DD9" w:rsidP="00693D27">
      <w:pPr>
        <w:pStyle w:val="SectionSubtitle"/>
      </w:pPr>
      <w:r>
        <w:t>Corresponding Author</w:t>
      </w:r>
      <w:r w:rsidR="00F0254C">
        <w:t>s</w:t>
      </w:r>
    </w:p>
    <w:p w14:paraId="415411A4" w14:textId="61E8D5BE" w:rsidR="00693D27" w:rsidRDefault="00F0254C" w:rsidP="00F0254C">
      <w:pPr>
        <w:pStyle w:val="SectionContent"/>
      </w:pPr>
      <w:hyperlink r:id="rId27" w:history="1">
        <w:r w:rsidRPr="00EF6C1C">
          <w:rPr>
            <w:rStyle w:val="Hyperlink"/>
          </w:rPr>
          <w:t>moreheada@ecu.edu</w:t>
        </w:r>
      </w:hyperlink>
      <w:r w:rsidR="00935942">
        <w:t xml:space="preserve">; </w:t>
      </w:r>
      <w:hyperlink r:id="rId28" w:history="1">
        <w:r w:rsidR="00935942" w:rsidRPr="00EF6C1C">
          <w:rPr>
            <w:rStyle w:val="Hyperlink"/>
          </w:rPr>
          <w:t>sargenta@ecu.edu</w:t>
        </w:r>
      </w:hyperlink>
    </w:p>
    <w:p w14:paraId="51358B22" w14:textId="77777777" w:rsidR="004F5524" w:rsidRDefault="004F5524" w:rsidP="004F5524">
      <w:pPr>
        <w:pStyle w:val="SectionSubtitle"/>
      </w:pPr>
    </w:p>
    <w:p w14:paraId="139BD9CF" w14:textId="77777777" w:rsidR="00115D45" w:rsidRPr="00115D45" w:rsidRDefault="005B7DD9" w:rsidP="00115D45">
      <w:pPr>
        <w:pStyle w:val="SectionContent"/>
      </w:pPr>
      <w:r>
        <w:br/>
      </w:r>
      <w:r w:rsidRPr="000D2D84">
        <w:rPr>
          <w:rStyle w:val="FAAuthorInfoSubtitleChar"/>
        </w:rPr>
        <w:t>Notes</w:t>
      </w:r>
      <w:r w:rsidRPr="000D2D84">
        <w:rPr>
          <w:rStyle w:val="FAAuthorInfoSubtitleChar"/>
        </w:rPr>
        <w:br/>
      </w:r>
      <w:r w:rsidR="00115D45" w:rsidRPr="00115D45">
        <w:t>The authors declare no competing financial interests.</w:t>
      </w:r>
    </w:p>
    <w:p w14:paraId="0E2766EE" w14:textId="393A7B60" w:rsidR="00693D27" w:rsidRDefault="00693D27" w:rsidP="00693D27">
      <w:pPr>
        <w:pStyle w:val="SectionContent"/>
      </w:pPr>
    </w:p>
    <w:p w14:paraId="18A46831" w14:textId="77777777" w:rsidR="00693D27" w:rsidRDefault="005B7DD9" w:rsidP="00693D27">
      <w:pPr>
        <w:pStyle w:val="SectionTitle"/>
      </w:pPr>
      <w:r w:rsidRPr="00A71C00">
        <w:t>ACKNOWLEDGMENT</w:t>
      </w:r>
      <w:r w:rsidRPr="00BE533F">
        <w:t xml:space="preserve"> </w:t>
      </w:r>
    </w:p>
    <w:p w14:paraId="316F9394" w14:textId="77777777" w:rsidR="00AC1BB8" w:rsidRPr="00AC1BB8" w:rsidRDefault="00AC1BB8" w:rsidP="00AC1BB8">
      <w:pPr>
        <w:pStyle w:val="SectionContent"/>
      </w:pPr>
      <w:r w:rsidRPr="00AC1BB8">
        <w:t xml:space="preserve">East Carolina University and the National Science Foundation (CHE-0415484 – ATM, CNS-0619285 – ALS) supported this work. </w:t>
      </w:r>
    </w:p>
    <w:p w14:paraId="40ECCDC7" w14:textId="77777777" w:rsidR="00693D27" w:rsidRDefault="00693D27" w:rsidP="00693D27">
      <w:pPr>
        <w:pStyle w:val="SectionContent"/>
      </w:pPr>
    </w:p>
    <w:p w14:paraId="710D3D02" w14:textId="77777777" w:rsidR="001D2C9C" w:rsidRDefault="001D2C9C">
      <w:pPr>
        <w:spacing w:after="0"/>
        <w:jc w:val="left"/>
        <w:rPr>
          <w:rFonts w:ascii="Myriad Pro Light" w:hAnsi="Myriad Pro Light"/>
          <w:b/>
          <w:kern w:val="20"/>
          <w:sz w:val="21"/>
          <w:szCs w:val="18"/>
        </w:rPr>
      </w:pPr>
      <w:r>
        <w:br w:type="page"/>
      </w:r>
    </w:p>
    <w:p w14:paraId="579F2D39" w14:textId="1FC20381" w:rsidR="00693D27" w:rsidRPr="00101D1F" w:rsidRDefault="005B7DD9" w:rsidP="00693D27">
      <w:pPr>
        <w:pStyle w:val="SectionTitle"/>
      </w:pPr>
      <w:r>
        <w:lastRenderedPageBreak/>
        <w:t>REFERENCES</w:t>
      </w:r>
    </w:p>
    <w:p w14:paraId="789CC739" w14:textId="46F1FF06" w:rsidR="00693D27" w:rsidRPr="00C45E7B" w:rsidRDefault="00693D27" w:rsidP="0072122C">
      <w:pPr>
        <w:pStyle w:val="SNSynopsisTOC"/>
      </w:pPr>
    </w:p>
    <w:sectPr w:rsidR="00693D27" w:rsidRPr="00C45E7B" w:rsidSect="00D30160">
      <w:footnotePr>
        <w:pos w:val="beneathText"/>
      </w:footnotePr>
      <w:endnotePr>
        <w:numFmt w:val="decimal"/>
      </w:endnotePr>
      <w:type w:val="continuous"/>
      <w:pgSz w:w="12240" w:h="15840"/>
      <w:pgMar w:top="720" w:right="1094" w:bottom="950" w:left="1094" w:header="720" w:footer="720" w:gutter="0"/>
      <w:cols w:num="2" w:space="46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786984" w14:textId="77777777" w:rsidR="00F35914" w:rsidRDefault="00F35914">
      <w:r>
        <w:separator/>
      </w:r>
    </w:p>
    <w:p w14:paraId="2474AD9E" w14:textId="77777777" w:rsidR="00F35914" w:rsidRDefault="00F35914"/>
  </w:endnote>
  <w:endnote w:type="continuationSeparator" w:id="0">
    <w:p w14:paraId="38528600" w14:textId="77777777" w:rsidR="00F35914" w:rsidRDefault="00F35914">
      <w:r>
        <w:continuationSeparator/>
      </w:r>
    </w:p>
    <w:p w14:paraId="50EB716F" w14:textId="77777777" w:rsidR="00F35914" w:rsidRDefault="00F35914"/>
  </w:endnote>
  <w:endnote w:id="1">
    <w:p w14:paraId="2BF77ABB" w14:textId="3BB9F6B4" w:rsidR="00281A63" w:rsidRPr="00723BC6" w:rsidRDefault="00281A63" w:rsidP="006953EA">
      <w:pPr>
        <w:pStyle w:val="TFReferencesSection"/>
      </w:pPr>
      <w:r w:rsidRPr="00723BC6">
        <w:rPr>
          <w:rStyle w:val="EndnoteReference"/>
          <w:rFonts w:ascii="Arno Pro" w:hAnsi="Arno Pro"/>
          <w:sz w:val="17"/>
          <w:vertAlign w:val="baseline"/>
        </w:rPr>
        <w:endnoteRef/>
      </w:r>
      <w:r w:rsidRPr="006953EA">
        <w:rPr>
          <w:rStyle w:val="EndnoteReference"/>
          <w:rFonts w:ascii="Arno Pro" w:hAnsi="Arno Pro"/>
          <w:sz w:val="17"/>
          <w:vertAlign w:val="baseline"/>
        </w:rPr>
        <w:t xml:space="preserve"> </w:t>
      </w:r>
      <w:r w:rsidR="005C0C66" w:rsidRPr="006953EA">
        <w:rPr>
          <w:rStyle w:val="EndnoteReference"/>
          <w:rFonts w:ascii="Arno Pro" w:hAnsi="Arno Pro"/>
          <w:sz w:val="17"/>
          <w:vertAlign w:val="baseline"/>
        </w:rPr>
        <w:t>a</w:t>
      </w:r>
      <w:r w:rsidR="006A4E67">
        <w:t>)</w:t>
      </w:r>
      <w:r w:rsidR="005C0C66" w:rsidRPr="006953EA">
        <w:rPr>
          <w:rStyle w:val="EndnoteReference"/>
          <w:rFonts w:ascii="Arno Pro" w:hAnsi="Arno Pro"/>
          <w:sz w:val="17"/>
          <w:vertAlign w:val="baseline"/>
        </w:rPr>
        <w:t xml:space="preserve"> Willis</w:t>
      </w:r>
      <w:r w:rsidR="00D20D0A" w:rsidRPr="006953EA">
        <w:rPr>
          <w:rStyle w:val="EndnoteReference"/>
          <w:rFonts w:ascii="Arno Pro" w:hAnsi="Arno Pro"/>
          <w:sz w:val="17"/>
          <w:vertAlign w:val="baseline"/>
        </w:rPr>
        <w:t>, M. C. Transition Metal Catalyzed Alkene and Alkyne</w:t>
      </w:r>
      <w:r w:rsidR="00D20D0A" w:rsidRPr="00723BC6">
        <w:t xml:space="preserve"> Hydroacylation</w:t>
      </w:r>
      <w:r w:rsidR="00E4651E">
        <w:t xml:space="preserve"> </w:t>
      </w:r>
      <w:r w:rsidR="005C0C66" w:rsidRPr="006953EA">
        <w:rPr>
          <w:i/>
          <w:iCs/>
        </w:rPr>
        <w:t>Chem</w:t>
      </w:r>
      <w:r w:rsidR="002C7E83">
        <w:rPr>
          <w:i/>
          <w:iCs/>
        </w:rPr>
        <w:t>.</w:t>
      </w:r>
      <w:r w:rsidR="005C0C66" w:rsidRPr="006953EA">
        <w:rPr>
          <w:i/>
          <w:iCs/>
        </w:rPr>
        <w:t xml:space="preserve"> Rev</w:t>
      </w:r>
      <w:r w:rsidR="002C7E83">
        <w:rPr>
          <w:i/>
          <w:iCs/>
        </w:rPr>
        <w:t>.</w:t>
      </w:r>
      <w:r w:rsidR="005C0C66" w:rsidRPr="00723BC6">
        <w:t xml:space="preserve"> </w:t>
      </w:r>
      <w:r w:rsidR="005C0C66" w:rsidRPr="006953EA">
        <w:rPr>
          <w:b/>
          <w:bCs/>
        </w:rPr>
        <w:t>2010</w:t>
      </w:r>
      <w:r w:rsidR="00922964" w:rsidRPr="00723BC6">
        <w:t>,</w:t>
      </w:r>
      <w:r w:rsidR="005C0C66" w:rsidRPr="00723BC6">
        <w:t xml:space="preserve"> </w:t>
      </w:r>
      <w:r w:rsidR="005C0C66" w:rsidRPr="006953EA">
        <w:rPr>
          <w:i/>
          <w:iCs/>
        </w:rPr>
        <w:t>110</w:t>
      </w:r>
      <w:r w:rsidR="005C0C66" w:rsidRPr="006953EA">
        <w:t xml:space="preserve"> (2),</w:t>
      </w:r>
      <w:r w:rsidR="005C0C66" w:rsidRPr="00723BC6">
        <w:t xml:space="preserve"> 725-748</w:t>
      </w:r>
      <w:r w:rsidR="00922964" w:rsidRPr="00723BC6">
        <w:t xml:space="preserve">. </w:t>
      </w:r>
      <w:r w:rsidR="005C0C66" w:rsidRPr="00723BC6">
        <w:t>DOI: 10.1021/cr900096x</w:t>
      </w:r>
      <w:r w:rsidR="00F97B23" w:rsidRPr="00723BC6">
        <w:t xml:space="preserve"> </w:t>
      </w:r>
      <w:r w:rsidR="00F97B23" w:rsidRPr="006953EA">
        <w:t>b)</w:t>
      </w:r>
      <w:r w:rsidR="00F97B23" w:rsidRPr="00723BC6">
        <w:t xml:space="preserve"> Ghosh, A.; Johnson, K. F.; Vickerman, K. L.; Walker, J. A. Jr.; Stanley, L. M. Recent Advances in Transition Metal-Catalyzed Hydroacylation of Alkenes and Alkynes. </w:t>
      </w:r>
      <w:r w:rsidR="00F97B23" w:rsidRPr="005B34EB">
        <w:rPr>
          <w:i/>
          <w:iCs/>
        </w:rPr>
        <w:t>Org. Chem. Front.</w:t>
      </w:r>
      <w:r w:rsidR="00F97B23" w:rsidRPr="00723BC6">
        <w:t xml:space="preserve"> </w:t>
      </w:r>
      <w:r w:rsidR="00F97B23" w:rsidRPr="005B34EB">
        <w:rPr>
          <w:b/>
          <w:bCs/>
        </w:rPr>
        <w:t>2016</w:t>
      </w:r>
      <w:r w:rsidR="00F97B23" w:rsidRPr="00723BC6">
        <w:t xml:space="preserve">, </w:t>
      </w:r>
      <w:r w:rsidR="00F97B23" w:rsidRPr="005B34EB">
        <w:rPr>
          <w:i/>
          <w:iCs/>
        </w:rPr>
        <w:t>3</w:t>
      </w:r>
      <w:r w:rsidR="00F97B23" w:rsidRPr="00723BC6">
        <w:t>, 639-644. DOI: 10.1039/C6QO00023A c</w:t>
      </w:r>
      <w:r w:rsidR="00F97B23" w:rsidRPr="006953EA">
        <w:t>)</w:t>
      </w:r>
      <w:r w:rsidR="00F97B23" w:rsidRPr="00723BC6">
        <w:t xml:space="preserve"> Willis, M. C. Hydroacylation of Alkenes, Alkynes, and Allenes. In </w:t>
      </w:r>
      <w:r w:rsidR="00F97B23" w:rsidRPr="005B34EB">
        <w:rPr>
          <w:i/>
          <w:iCs/>
        </w:rPr>
        <w:t>Comprehensive Organic Synthesis</w:t>
      </w:r>
      <w:r w:rsidR="00F97B23" w:rsidRPr="00723BC6">
        <w:t>, 2</w:t>
      </w:r>
      <w:r w:rsidR="00F97B23" w:rsidRPr="006953EA">
        <w:t>nd</w:t>
      </w:r>
      <w:r w:rsidR="00F97B23" w:rsidRPr="00723BC6">
        <w:t xml:space="preserve"> ed.; Elsevier, Volume 4, </w:t>
      </w:r>
      <w:r w:rsidR="00F97B23" w:rsidRPr="006953EA">
        <w:rPr>
          <w:b/>
        </w:rPr>
        <w:t>2014</w:t>
      </w:r>
      <w:r w:rsidR="00F97B23" w:rsidRPr="00723BC6">
        <w:t>, Pages 961-994. DOI: 10.1016/B978-0-08-097742-3.00423-7 ch35 d</w:t>
      </w:r>
      <w:r w:rsidR="00F97B23" w:rsidRPr="006953EA">
        <w:t>)</w:t>
      </w:r>
      <w:r w:rsidR="00F97B23" w:rsidRPr="00723BC6">
        <w:t xml:space="preserve"> Leung, J. C.; Krische, M. J. Catalytic Intermolecular Hydroacylation of C-C </w:t>
      </w:r>
      <w:r w:rsidR="00F97B23" w:rsidRPr="001C436C">
        <w:rPr>
          <w:rFonts w:ascii="Symbol" w:hAnsi="Symbol"/>
        </w:rPr>
        <w:t>p</w:t>
      </w:r>
      <w:r w:rsidR="00F97B23" w:rsidRPr="00723BC6">
        <w:t xml:space="preserve"> Bonds in the Absence of Chelation Assistance. </w:t>
      </w:r>
      <w:r w:rsidR="00F97B23" w:rsidRPr="003003C3">
        <w:rPr>
          <w:i/>
          <w:iCs/>
        </w:rPr>
        <w:t>Chem. Sci.</w:t>
      </w:r>
      <w:r w:rsidR="00F97B23" w:rsidRPr="00723BC6">
        <w:t xml:space="preserve"> </w:t>
      </w:r>
      <w:r w:rsidR="00F97B23" w:rsidRPr="003003C3">
        <w:rPr>
          <w:b/>
          <w:bCs/>
        </w:rPr>
        <w:t>2012</w:t>
      </w:r>
      <w:r w:rsidR="00F97B23" w:rsidRPr="00723BC6">
        <w:t xml:space="preserve">, </w:t>
      </w:r>
      <w:r w:rsidR="00F97B23" w:rsidRPr="003003C3">
        <w:rPr>
          <w:i/>
          <w:iCs/>
        </w:rPr>
        <w:t>3</w:t>
      </w:r>
      <w:r w:rsidR="00F97B23" w:rsidRPr="00723BC6">
        <w:t>, 2202-2209. DOI: 10.1039/C2SC20350B e</w:t>
      </w:r>
      <w:r w:rsidR="00F97B23" w:rsidRPr="006953EA">
        <w:t>)</w:t>
      </w:r>
      <w:r w:rsidR="00F97B23" w:rsidRPr="00723BC6">
        <w:t xml:space="preserve"> Jun, C.-H.; Park, Y. J.; Zhang, X.; </w:t>
      </w:r>
      <w:proofErr w:type="spellStart"/>
      <w:r w:rsidR="00F97B23" w:rsidRPr="00723BC6">
        <w:t>Larock</w:t>
      </w:r>
      <w:proofErr w:type="spellEnd"/>
      <w:r w:rsidR="00F97B23" w:rsidRPr="00723BC6">
        <w:t xml:space="preserve">, R. C. C-H Transformations at Aldehydes and Imines. In </w:t>
      </w:r>
      <w:r w:rsidR="00F97B23" w:rsidRPr="003003C3">
        <w:rPr>
          <w:i/>
          <w:iCs/>
        </w:rPr>
        <w:t>Handbook of C-H Transformations: Applications in Organic Synthesis</w:t>
      </w:r>
      <w:r w:rsidR="00F97B23" w:rsidRPr="00723BC6">
        <w:t xml:space="preserve">, Dyker, G. Ed.; Wiley and Sons, </w:t>
      </w:r>
      <w:r w:rsidR="00F97B23" w:rsidRPr="006953EA">
        <w:rPr>
          <w:b/>
        </w:rPr>
        <w:t>2005</w:t>
      </w:r>
      <w:r w:rsidR="00F97B23" w:rsidRPr="00723BC6">
        <w:t>, Chapter 3, p. 303-316. DOI: 10.1002/9783527619450.ch7</w:t>
      </w:r>
    </w:p>
  </w:endnote>
  <w:endnote w:id="2">
    <w:p w14:paraId="7FB83F7C" w14:textId="23B8FFB6" w:rsidR="005E294B" w:rsidRPr="00723BC6" w:rsidRDefault="005E294B" w:rsidP="006953EA">
      <w:pPr>
        <w:pStyle w:val="TFReferencesSection"/>
      </w:pPr>
      <w:r w:rsidRPr="00723BC6">
        <w:rPr>
          <w:rStyle w:val="EndnoteReference"/>
          <w:rFonts w:ascii="Arno Pro" w:hAnsi="Arno Pro"/>
          <w:sz w:val="17"/>
          <w:vertAlign w:val="baseline"/>
        </w:rPr>
        <w:endnoteRef/>
      </w:r>
      <w:r w:rsidRPr="00723BC6">
        <w:t xml:space="preserve"> </w:t>
      </w:r>
      <w:r w:rsidR="00E52714" w:rsidRPr="00723BC6">
        <w:t xml:space="preserve">a) Guo, R.; Zhang, G. </w:t>
      </w:r>
      <w:r w:rsidR="00523900" w:rsidRPr="00723BC6">
        <w:t xml:space="preserve">Recent Advances in Intermolecular Hydroacylation of Alkenes with Aldehydes through Rhodium Catalysis </w:t>
      </w:r>
      <w:proofErr w:type="spellStart"/>
      <w:r w:rsidR="00523900" w:rsidRPr="003003C3">
        <w:rPr>
          <w:i/>
          <w:iCs/>
        </w:rPr>
        <w:t>Synlett</w:t>
      </w:r>
      <w:proofErr w:type="spellEnd"/>
      <w:r w:rsidR="00523900" w:rsidRPr="006953EA">
        <w:rPr>
          <w:i/>
          <w:iCs/>
        </w:rPr>
        <w:t>,</w:t>
      </w:r>
      <w:r w:rsidR="00523900" w:rsidRPr="00723BC6">
        <w:t xml:space="preserve"> </w:t>
      </w:r>
      <w:r w:rsidR="008945CF" w:rsidRPr="003003C3">
        <w:rPr>
          <w:b/>
          <w:bCs/>
        </w:rPr>
        <w:t>2018</w:t>
      </w:r>
      <w:r w:rsidR="008945CF" w:rsidRPr="00723BC6">
        <w:t xml:space="preserve">, </w:t>
      </w:r>
      <w:r w:rsidR="008945CF" w:rsidRPr="003003C3">
        <w:rPr>
          <w:i/>
          <w:iCs/>
        </w:rPr>
        <w:t>29</w:t>
      </w:r>
      <w:r w:rsidR="008945CF" w:rsidRPr="00723BC6">
        <w:t xml:space="preserve">, 1801-1806. </w:t>
      </w:r>
      <w:r w:rsidR="00F3693E" w:rsidRPr="00723BC6">
        <w:t>DOI: 10.1055/s-0037-1610141; Art ID: st-2018-p0129-sp b) Ghosh, A.; Johnson, K. F.; Vickerman, K. L.; Walker, J. A. Jr.</w:t>
      </w:r>
      <w:r w:rsidR="001F4737" w:rsidRPr="00723BC6">
        <w:t>;</w:t>
      </w:r>
      <w:r w:rsidR="00F3693E" w:rsidRPr="00723BC6">
        <w:t xml:space="preserve"> Stanley</w:t>
      </w:r>
      <w:r w:rsidR="001F4737" w:rsidRPr="00723BC6">
        <w:t>, L. M. Recent advances in transition metal-</w:t>
      </w:r>
      <w:proofErr w:type="spellStart"/>
      <w:r w:rsidR="001F4737" w:rsidRPr="00723BC6">
        <w:t>catalysed</w:t>
      </w:r>
      <w:proofErr w:type="spellEnd"/>
      <w:r w:rsidR="001F4737" w:rsidRPr="00723BC6">
        <w:t xml:space="preserve"> hydroacylation of alkenes and alkynes </w:t>
      </w:r>
      <w:r w:rsidR="00137D10" w:rsidRPr="006953EA">
        <w:rPr>
          <w:i/>
          <w:iCs/>
        </w:rPr>
        <w:t>Org. Chem. Front</w:t>
      </w:r>
      <w:r w:rsidR="00137D10" w:rsidRPr="00723BC6">
        <w:t xml:space="preserve">., </w:t>
      </w:r>
      <w:r w:rsidR="00137D10" w:rsidRPr="006953EA">
        <w:rPr>
          <w:b/>
          <w:bCs/>
        </w:rPr>
        <w:t>2016</w:t>
      </w:r>
      <w:r w:rsidR="00137D10" w:rsidRPr="00723BC6">
        <w:t xml:space="preserve">, </w:t>
      </w:r>
      <w:r w:rsidR="00137D10" w:rsidRPr="006953EA">
        <w:rPr>
          <w:i/>
          <w:iCs/>
        </w:rPr>
        <w:t>3</w:t>
      </w:r>
      <w:r w:rsidR="00137D10" w:rsidRPr="00723BC6">
        <w:t>, 639-</w:t>
      </w:r>
      <w:r w:rsidR="00552C7B" w:rsidRPr="00723BC6">
        <w:t>644. DOI: 10.1039/c6qo00023a c) Leung, J. C.; Krische, M. J. Catalytic intermolecular hydroacylation of C–C p-bonds in the absence of chelation assistance</w:t>
      </w:r>
      <w:r w:rsidR="00185D37" w:rsidRPr="00723BC6">
        <w:t xml:space="preserve"> </w:t>
      </w:r>
      <w:r w:rsidR="00185D37" w:rsidRPr="006953EA">
        <w:rPr>
          <w:i/>
          <w:iCs/>
        </w:rPr>
        <w:t>Chem. Sci.,</w:t>
      </w:r>
      <w:r w:rsidR="00185D37" w:rsidRPr="006953EA">
        <w:t xml:space="preserve"> </w:t>
      </w:r>
      <w:r w:rsidR="00185D37" w:rsidRPr="006953EA">
        <w:rPr>
          <w:b/>
          <w:bCs/>
        </w:rPr>
        <w:t>2012</w:t>
      </w:r>
      <w:r w:rsidR="00185D37" w:rsidRPr="006953EA">
        <w:t xml:space="preserve">, </w:t>
      </w:r>
      <w:r w:rsidR="00185D37" w:rsidRPr="006953EA">
        <w:rPr>
          <w:i/>
          <w:iCs/>
        </w:rPr>
        <w:t>3</w:t>
      </w:r>
      <w:r w:rsidR="00185D37" w:rsidRPr="006953EA">
        <w:t>, 2202-</w:t>
      </w:r>
      <w:r w:rsidR="00750440" w:rsidRPr="006953EA">
        <w:t>2209. DOI: 10.1039/c2sc20350b</w:t>
      </w:r>
      <w:r w:rsidR="0081080B" w:rsidRPr="006953EA">
        <w:t xml:space="preserve"> d)</w:t>
      </w:r>
      <w:r w:rsidR="002F4411" w:rsidRPr="006953EA">
        <w:t xml:space="preserve"> Murphy, </w:t>
      </w:r>
      <w:r w:rsidR="00375274" w:rsidRPr="006953EA">
        <w:t xml:space="preserve">S. K.; Bruch, A.; Dong, V. M. Mechanistic insights into hydroacylation with non-chelating aldehydes </w:t>
      </w:r>
      <w:r w:rsidR="00375274" w:rsidRPr="006953EA">
        <w:rPr>
          <w:i/>
          <w:iCs/>
        </w:rPr>
        <w:t>Chem. Sci.,</w:t>
      </w:r>
      <w:r w:rsidR="00375274" w:rsidRPr="006953EA">
        <w:t xml:space="preserve"> </w:t>
      </w:r>
      <w:r w:rsidR="00375274" w:rsidRPr="006953EA">
        <w:rPr>
          <w:b/>
          <w:bCs/>
        </w:rPr>
        <w:t>2015</w:t>
      </w:r>
      <w:r w:rsidR="00375274" w:rsidRPr="006953EA">
        <w:t xml:space="preserve">, </w:t>
      </w:r>
      <w:r w:rsidR="00375274" w:rsidRPr="006953EA">
        <w:rPr>
          <w:i/>
          <w:iCs/>
        </w:rPr>
        <w:t>6</w:t>
      </w:r>
      <w:r w:rsidR="00375274" w:rsidRPr="006953EA">
        <w:t>, 174</w:t>
      </w:r>
      <w:r w:rsidR="001B799D" w:rsidRPr="006953EA">
        <w:t>-180. DOI: 10.1039/c4sc02026j</w:t>
      </w:r>
      <w:r w:rsidR="00533887" w:rsidRPr="006953EA">
        <w:t xml:space="preserve"> e) Xu,</w:t>
      </w:r>
      <w:r w:rsidR="006B3F97" w:rsidRPr="006953EA">
        <w:t xml:space="preserve"> M.;</w:t>
      </w:r>
      <w:r w:rsidR="00533887" w:rsidRPr="006953EA">
        <w:t xml:space="preserve"> Corio,</w:t>
      </w:r>
      <w:r w:rsidR="006B3F97" w:rsidRPr="006953EA">
        <w:t xml:space="preserve"> S. A.;</w:t>
      </w:r>
      <w:r w:rsidR="00533887" w:rsidRPr="006953EA">
        <w:t xml:space="preserve"> </w:t>
      </w:r>
      <w:proofErr w:type="spellStart"/>
      <w:r w:rsidR="00533887" w:rsidRPr="006953EA">
        <w:t>Warnica</w:t>
      </w:r>
      <w:proofErr w:type="spellEnd"/>
      <w:r w:rsidR="00533887" w:rsidRPr="006953EA">
        <w:t>,</w:t>
      </w:r>
      <w:r w:rsidR="006B3F97" w:rsidRPr="006953EA">
        <w:t xml:space="preserve"> J. M.;</w:t>
      </w:r>
      <w:r w:rsidR="00533887" w:rsidRPr="006953EA">
        <w:t xml:space="preserve"> Kuker,</w:t>
      </w:r>
      <w:r w:rsidR="006B3F97" w:rsidRPr="006953EA">
        <w:t xml:space="preserve"> E. L.;</w:t>
      </w:r>
      <w:r w:rsidR="00533887" w:rsidRPr="006953EA">
        <w:t xml:space="preserve"> Lu, </w:t>
      </w:r>
      <w:r w:rsidR="006B3F97" w:rsidRPr="006953EA">
        <w:t xml:space="preserve">A.; </w:t>
      </w:r>
      <w:r w:rsidR="00533887" w:rsidRPr="006953EA">
        <w:t xml:space="preserve">Hirschi, </w:t>
      </w:r>
      <w:r w:rsidR="006B3F97" w:rsidRPr="006953EA">
        <w:t>J. S.;</w:t>
      </w:r>
      <w:r w:rsidR="00533887" w:rsidRPr="006953EA">
        <w:t xml:space="preserve"> Dong</w:t>
      </w:r>
      <w:r w:rsidR="006B3F97" w:rsidRPr="006953EA">
        <w:t xml:space="preserve"> V. M.</w:t>
      </w:r>
      <w:r w:rsidR="00533887" w:rsidRPr="006953EA">
        <w:t xml:space="preserve"> Dynamic Kinetic Asymmetric Hydroacylation: Racemization by Soft Enolization</w:t>
      </w:r>
      <w:r w:rsidR="00AE6B2E" w:rsidRPr="006953EA">
        <w:t xml:space="preserve"> </w:t>
      </w:r>
      <w:r w:rsidR="00AE6B2E" w:rsidRPr="003003C3">
        <w:rPr>
          <w:i/>
          <w:iCs/>
        </w:rPr>
        <w:t>J. Am. Chem. Soc</w:t>
      </w:r>
      <w:r w:rsidR="00AE6B2E" w:rsidRPr="006953EA">
        <w:t xml:space="preserve">, </w:t>
      </w:r>
      <w:r w:rsidR="00533887" w:rsidRPr="006953EA">
        <w:rPr>
          <w:b/>
          <w:bCs/>
        </w:rPr>
        <w:t>2025</w:t>
      </w:r>
      <w:r w:rsidR="00AE6B2E" w:rsidRPr="006953EA">
        <w:t>,</w:t>
      </w:r>
      <w:r w:rsidR="00533887" w:rsidRPr="006953EA">
        <w:t xml:space="preserve"> </w:t>
      </w:r>
      <w:r w:rsidR="00533887" w:rsidRPr="006953EA">
        <w:rPr>
          <w:i/>
          <w:iCs/>
        </w:rPr>
        <w:t>147</w:t>
      </w:r>
      <w:r w:rsidR="00533887" w:rsidRPr="006953EA">
        <w:t>, 16270-16281</w:t>
      </w:r>
      <w:r w:rsidR="00AE6B2E" w:rsidRPr="006953EA">
        <w:t xml:space="preserve">. </w:t>
      </w:r>
      <w:r w:rsidR="00533887" w:rsidRPr="006953EA">
        <w:t>DOI: 10.1021/jacs.5c01753</w:t>
      </w:r>
      <w:r w:rsidR="00F4131C" w:rsidRPr="006953EA">
        <w:t xml:space="preserve"> f) </w:t>
      </w:r>
      <w:r w:rsidR="009B14AC" w:rsidRPr="006953EA">
        <w:t>Tian,</w:t>
      </w:r>
      <w:r w:rsidR="00B41529" w:rsidRPr="006953EA">
        <w:t xml:space="preserve"> K.-Q.;</w:t>
      </w:r>
      <w:r w:rsidR="009B14AC" w:rsidRPr="006953EA">
        <w:t xml:space="preserve"> Zhang, </w:t>
      </w:r>
      <w:r w:rsidR="00B41529" w:rsidRPr="006953EA">
        <w:t xml:space="preserve">S.-J.; </w:t>
      </w:r>
      <w:r w:rsidR="009B14AC" w:rsidRPr="006953EA">
        <w:t xml:space="preserve">Zhao, </w:t>
      </w:r>
      <w:r w:rsidR="00B41529" w:rsidRPr="006953EA">
        <w:t xml:space="preserve">J.; </w:t>
      </w:r>
      <w:r w:rsidR="009B14AC" w:rsidRPr="006953EA">
        <w:t xml:space="preserve">Duan, </w:t>
      </w:r>
      <w:r w:rsidR="00B41529" w:rsidRPr="006953EA">
        <w:t xml:space="preserve">G.-Y.; </w:t>
      </w:r>
      <w:r w:rsidR="009B14AC" w:rsidRPr="006953EA">
        <w:t xml:space="preserve">Wang, </w:t>
      </w:r>
      <w:r w:rsidR="00B41529" w:rsidRPr="006953EA">
        <w:t xml:space="preserve">Q.-L.; </w:t>
      </w:r>
      <w:r w:rsidR="009B14AC" w:rsidRPr="006953EA">
        <w:t xml:space="preserve">Cui, </w:t>
      </w:r>
      <w:r w:rsidR="00B41529" w:rsidRPr="006953EA">
        <w:t xml:space="preserve">G.-H.; </w:t>
      </w:r>
      <w:r w:rsidR="009B14AC" w:rsidRPr="006953EA">
        <w:t xml:space="preserve">Guo, </w:t>
      </w:r>
      <w:r w:rsidR="00B41529" w:rsidRPr="006953EA">
        <w:t xml:space="preserve">R.; </w:t>
      </w:r>
      <w:r w:rsidR="009B14AC" w:rsidRPr="006953EA">
        <w:t>Li</w:t>
      </w:r>
      <w:r w:rsidR="00B41529" w:rsidRPr="006953EA">
        <w:t xml:space="preserve">, H.-S. </w:t>
      </w:r>
      <w:r w:rsidR="00B15413" w:rsidRPr="006953EA">
        <w:t xml:space="preserve">Regio- and Diastereoselective Highly Strained </w:t>
      </w:r>
      <w:proofErr w:type="spellStart"/>
      <w:r w:rsidR="00B15413" w:rsidRPr="006953EA">
        <w:t>Alkylidenecyclobutane</w:t>
      </w:r>
      <w:proofErr w:type="spellEnd"/>
      <w:r w:rsidR="00B15413" w:rsidRPr="006953EA">
        <w:t xml:space="preserve"> Isomerization/Hydroacylation: Synthesis of </w:t>
      </w:r>
      <w:proofErr w:type="spellStart"/>
      <w:r w:rsidR="00B15413" w:rsidRPr="006953EA">
        <w:t>Multisubstituted</w:t>
      </w:r>
      <w:proofErr w:type="spellEnd"/>
      <w:r w:rsidR="00B15413" w:rsidRPr="006953EA">
        <w:t xml:space="preserve"> </w:t>
      </w:r>
      <w:proofErr w:type="spellStart"/>
      <w:r w:rsidR="00B15413" w:rsidRPr="006953EA">
        <w:t>Cyclobutanes</w:t>
      </w:r>
      <w:proofErr w:type="spellEnd"/>
      <w:r w:rsidR="00B15413" w:rsidRPr="006953EA">
        <w:t xml:space="preserve"> with Consecutive Stereocenters</w:t>
      </w:r>
      <w:r w:rsidR="009B14AC" w:rsidRPr="006953EA">
        <w:t xml:space="preserve"> </w:t>
      </w:r>
      <w:r w:rsidR="009B14AC" w:rsidRPr="006953EA">
        <w:rPr>
          <w:i/>
          <w:iCs/>
        </w:rPr>
        <w:t>ACS Catalysis</w:t>
      </w:r>
      <w:r w:rsidR="009B14AC" w:rsidRPr="006953EA">
        <w:t xml:space="preserve"> </w:t>
      </w:r>
      <w:r w:rsidR="009B14AC" w:rsidRPr="006953EA">
        <w:rPr>
          <w:b/>
          <w:bCs/>
        </w:rPr>
        <w:t>2024</w:t>
      </w:r>
      <w:r w:rsidR="00B41529" w:rsidRPr="006953EA">
        <w:t>,</w:t>
      </w:r>
      <w:r w:rsidR="009B14AC" w:rsidRPr="006953EA">
        <w:t xml:space="preserve"> </w:t>
      </w:r>
      <w:r w:rsidR="009B14AC" w:rsidRPr="006953EA">
        <w:rPr>
          <w:i/>
          <w:iCs/>
        </w:rPr>
        <w:t>14</w:t>
      </w:r>
      <w:r w:rsidR="009B14AC" w:rsidRPr="006953EA">
        <w:t>, 1505-1513. DOI: 10.1021/acscatal.3c05616</w:t>
      </w:r>
      <w:r w:rsidR="00113B98" w:rsidRPr="006953EA">
        <w:t xml:space="preserve"> g) Sun,</w:t>
      </w:r>
      <w:r w:rsidR="00D2302C" w:rsidRPr="006953EA">
        <w:t xml:space="preserve"> X.;</w:t>
      </w:r>
      <w:r w:rsidR="00113B98" w:rsidRPr="006953EA">
        <w:t xml:space="preserve"> Gao, </w:t>
      </w:r>
      <w:r w:rsidR="00D2302C" w:rsidRPr="006953EA">
        <w:t xml:space="preserve">P.-C.; </w:t>
      </w:r>
      <w:r w:rsidR="00113B98" w:rsidRPr="006953EA">
        <w:t xml:space="preserve">Sun, </w:t>
      </w:r>
      <w:r w:rsidR="00D2302C" w:rsidRPr="006953EA">
        <w:t>Y.-W.;</w:t>
      </w:r>
      <w:r w:rsidR="00113B98" w:rsidRPr="006953EA">
        <w:t xml:space="preserve"> Li</w:t>
      </w:r>
      <w:r w:rsidR="00D2302C" w:rsidRPr="006953EA">
        <w:t>, B.-J.</w:t>
      </w:r>
      <w:r w:rsidR="0031660E" w:rsidRPr="006953EA">
        <w:t xml:space="preserve"> Amide-Directed, Rhodium-Catalyzed Regio- and Enantioselective Hydroacylation of Internal Alkenes with Unfunctionalized Aldehydes </w:t>
      </w:r>
      <w:r w:rsidR="0031660E" w:rsidRPr="002C7E83">
        <w:rPr>
          <w:i/>
          <w:iCs/>
        </w:rPr>
        <w:t>J. Am. Chem. Soc</w:t>
      </w:r>
      <w:r w:rsidR="0031660E" w:rsidRPr="006953EA">
        <w:t xml:space="preserve">, </w:t>
      </w:r>
      <w:r w:rsidR="00113B98" w:rsidRPr="006953EA">
        <w:rPr>
          <w:b/>
          <w:bCs/>
        </w:rPr>
        <w:t>2024</w:t>
      </w:r>
      <w:r w:rsidR="004D1829" w:rsidRPr="006953EA">
        <w:t>,</w:t>
      </w:r>
      <w:r w:rsidR="00113B98" w:rsidRPr="006953EA">
        <w:t xml:space="preserve"> </w:t>
      </w:r>
      <w:r w:rsidR="00113B98" w:rsidRPr="006953EA">
        <w:rPr>
          <w:i/>
          <w:iCs/>
        </w:rPr>
        <w:t>146</w:t>
      </w:r>
      <w:r w:rsidR="00113B98" w:rsidRPr="006953EA">
        <w:t>, 723-732</w:t>
      </w:r>
      <w:r w:rsidR="004D1829" w:rsidRPr="006953EA">
        <w:t xml:space="preserve">. </w:t>
      </w:r>
      <w:r w:rsidR="00113B98" w:rsidRPr="006953EA">
        <w:t>DOI: 10.1021/jacs.3c10609</w:t>
      </w:r>
      <w:r w:rsidR="000203EE" w:rsidRPr="006953EA">
        <w:t xml:space="preserve"> h) </w:t>
      </w:r>
      <w:r w:rsidR="0029789A" w:rsidRPr="006953EA">
        <w:t xml:space="preserve">Moseley, D. F.; </w:t>
      </w:r>
      <w:proofErr w:type="spellStart"/>
      <w:r w:rsidR="00157272" w:rsidRPr="006953EA">
        <w:t>K</w:t>
      </w:r>
      <w:r w:rsidR="0029789A" w:rsidRPr="006953EA">
        <w:t>alepu</w:t>
      </w:r>
      <w:proofErr w:type="spellEnd"/>
      <w:r w:rsidR="0029789A" w:rsidRPr="006953EA">
        <w:t>, J.; Willis, M. C.</w:t>
      </w:r>
      <w:r w:rsidR="00157272" w:rsidRPr="006953EA">
        <w:t xml:space="preserve"> Azine-N-oxides as effective controlling groups for Rh-</w:t>
      </w:r>
      <w:proofErr w:type="spellStart"/>
      <w:r w:rsidR="00157272" w:rsidRPr="006953EA">
        <w:t>catalysed</w:t>
      </w:r>
      <w:proofErr w:type="spellEnd"/>
      <w:r w:rsidR="00157272" w:rsidRPr="006953EA">
        <w:t xml:space="preserve"> intermolecular alkyne hydroacylation </w:t>
      </w:r>
      <w:r w:rsidR="00157272" w:rsidRPr="006953EA">
        <w:rPr>
          <w:i/>
          <w:iCs/>
        </w:rPr>
        <w:t>Chem. Sci.</w:t>
      </w:r>
      <w:r w:rsidR="00157272" w:rsidRPr="006953EA">
        <w:t xml:space="preserve">, </w:t>
      </w:r>
      <w:r w:rsidR="00157272" w:rsidRPr="006953EA">
        <w:rPr>
          <w:b/>
          <w:bCs/>
        </w:rPr>
        <w:t>2021</w:t>
      </w:r>
      <w:r w:rsidR="00157272" w:rsidRPr="006953EA">
        <w:t xml:space="preserve">, </w:t>
      </w:r>
      <w:r w:rsidR="00157272" w:rsidRPr="006953EA">
        <w:rPr>
          <w:i/>
          <w:iCs/>
        </w:rPr>
        <w:t>12</w:t>
      </w:r>
      <w:r w:rsidR="00157272" w:rsidRPr="006953EA">
        <w:t>, 13068</w:t>
      </w:r>
      <w:r w:rsidR="00B41E5A" w:rsidRPr="006953EA">
        <w:t xml:space="preserve">-13073. DOI: 10.1039/d1sc03915f </w:t>
      </w:r>
      <w:proofErr w:type="spellStart"/>
      <w:r w:rsidR="00B41E5A" w:rsidRPr="006953EA">
        <w:t>i</w:t>
      </w:r>
      <w:proofErr w:type="spellEnd"/>
      <w:r w:rsidR="00B41E5A" w:rsidRPr="006953EA">
        <w:t xml:space="preserve">) </w:t>
      </w:r>
      <w:r w:rsidR="002066C3" w:rsidRPr="006953EA">
        <w:t xml:space="preserve">You, G.; Chang, Z.-X.; Yan, J.; Xia, C.; </w:t>
      </w:r>
      <w:r w:rsidR="003C201C" w:rsidRPr="006953EA">
        <w:t xml:space="preserve">Li, F.-R.; Li, H.-S. Rhodium-catalyzed sequential intermolecular hydroacylation and </w:t>
      </w:r>
      <w:proofErr w:type="spellStart"/>
      <w:r w:rsidR="003C201C" w:rsidRPr="006953EA">
        <w:t>deconjugative</w:t>
      </w:r>
      <w:proofErr w:type="spellEnd"/>
      <w:r w:rsidR="003C201C" w:rsidRPr="006953EA">
        <w:t xml:space="preserve"> isomerization toward diversified diketones </w:t>
      </w:r>
      <w:r w:rsidR="00D05A1A" w:rsidRPr="006953EA">
        <w:rPr>
          <w:i/>
          <w:iCs/>
        </w:rPr>
        <w:t>Org. Chem. Front.,</w:t>
      </w:r>
      <w:r w:rsidR="00D05A1A" w:rsidRPr="006953EA">
        <w:t xml:space="preserve"> </w:t>
      </w:r>
      <w:r w:rsidR="00D05A1A" w:rsidRPr="006953EA">
        <w:rPr>
          <w:b/>
          <w:bCs/>
        </w:rPr>
        <w:t>202</w:t>
      </w:r>
      <w:r w:rsidR="00D05A1A" w:rsidRPr="006953EA">
        <w:t xml:space="preserve">1, </w:t>
      </w:r>
      <w:r w:rsidR="00D05A1A" w:rsidRPr="006953EA">
        <w:rPr>
          <w:i/>
          <w:iCs/>
        </w:rPr>
        <w:t>8</w:t>
      </w:r>
      <w:r w:rsidR="00D05A1A" w:rsidRPr="006953EA">
        <w:t>,</w:t>
      </w:r>
      <w:r w:rsidR="00DA2889" w:rsidRPr="006953EA">
        <w:t xml:space="preserve"> </w:t>
      </w:r>
      <w:r w:rsidR="00D05A1A" w:rsidRPr="006953EA">
        <w:t>39</w:t>
      </w:r>
      <w:r w:rsidR="00DA2889" w:rsidRPr="006953EA">
        <w:t>-45. DOI: 10.1039/d0qo01174f</w:t>
      </w:r>
      <w:r w:rsidR="00B120D8" w:rsidRPr="006953EA">
        <w:t xml:space="preserve"> j) </w:t>
      </w:r>
      <w:r w:rsidR="00EF0B50" w:rsidRPr="006953EA">
        <w:t xml:space="preserve">Guo, R.; Zhang, G. Expedient Synthesis of 1,5-Diketones by Rhodium-Catalyzed Hydroacylation Enabled by C−C Bond Cleavage, </w:t>
      </w:r>
      <w:r w:rsidR="007B510E" w:rsidRPr="006953EA">
        <w:rPr>
          <w:i/>
          <w:iCs/>
        </w:rPr>
        <w:t>J. Am. Chem. Soc</w:t>
      </w:r>
      <w:r w:rsidR="007B510E" w:rsidRPr="006953EA">
        <w:t xml:space="preserve">. </w:t>
      </w:r>
      <w:r w:rsidR="007B510E" w:rsidRPr="006953EA">
        <w:rPr>
          <w:b/>
          <w:bCs/>
        </w:rPr>
        <w:t>2017</w:t>
      </w:r>
      <w:r w:rsidR="007B510E" w:rsidRPr="006953EA">
        <w:t xml:space="preserve">, </w:t>
      </w:r>
      <w:r w:rsidR="007B510E" w:rsidRPr="006953EA">
        <w:rPr>
          <w:i/>
          <w:iCs/>
        </w:rPr>
        <w:t>139</w:t>
      </w:r>
      <w:r w:rsidR="007B510E" w:rsidRPr="006953EA">
        <w:t>, 12891−12894. DOI: 10.1021/jacs.7b05427</w:t>
      </w:r>
      <w:r w:rsidR="00830B3D" w:rsidRPr="006953EA">
        <w:t xml:space="preserve"> k) </w:t>
      </w:r>
      <w:r w:rsidR="004007CE" w:rsidRPr="006953EA">
        <w:t xml:space="preserve">Pal, R.; O’Brien, S. C.; Willis, M. C. </w:t>
      </w:r>
      <w:r w:rsidR="004007CE" w:rsidRPr="006953EA">
        <w:rPr>
          <w:rFonts w:ascii="Symbol" w:hAnsi="Symbol"/>
        </w:rPr>
        <w:t>a</w:t>
      </w:r>
      <w:r w:rsidR="004007CE" w:rsidRPr="006953EA">
        <w:t>-</w:t>
      </w:r>
      <w:proofErr w:type="spellStart"/>
      <w:r w:rsidR="004007CE" w:rsidRPr="006953EA">
        <w:t>Amidoaldehydes</w:t>
      </w:r>
      <w:proofErr w:type="spellEnd"/>
      <w:r w:rsidR="004007CE" w:rsidRPr="006953EA">
        <w:t xml:space="preserve"> as Substrates in Rhodium-Catalyzed Intermolecular Alkyne Hydroacylation: The Synthesis of </w:t>
      </w:r>
      <w:r w:rsidR="004007CE" w:rsidRPr="006953EA">
        <w:rPr>
          <w:rFonts w:ascii="Symbol" w:hAnsi="Symbol"/>
        </w:rPr>
        <w:t>a</w:t>
      </w:r>
      <w:r w:rsidR="004007CE" w:rsidRPr="006953EA">
        <w:t>-</w:t>
      </w:r>
      <w:proofErr w:type="spellStart"/>
      <w:r w:rsidR="004007CE" w:rsidRPr="006953EA">
        <w:t>Amidoketones</w:t>
      </w:r>
      <w:proofErr w:type="spellEnd"/>
      <w:r w:rsidR="004007CE" w:rsidRPr="006953EA">
        <w:t xml:space="preserve"> </w:t>
      </w:r>
      <w:r w:rsidR="002149C6" w:rsidRPr="006953EA">
        <w:rPr>
          <w:i/>
          <w:iCs/>
        </w:rPr>
        <w:t>Chem. Eur. J.</w:t>
      </w:r>
      <w:r w:rsidR="002149C6" w:rsidRPr="006953EA">
        <w:t xml:space="preserve"> </w:t>
      </w:r>
      <w:r w:rsidR="002149C6" w:rsidRPr="006953EA">
        <w:rPr>
          <w:b/>
          <w:bCs/>
        </w:rPr>
        <w:t>2020</w:t>
      </w:r>
      <w:r w:rsidR="002149C6" w:rsidRPr="006953EA">
        <w:t xml:space="preserve">, </w:t>
      </w:r>
      <w:r w:rsidR="002149C6" w:rsidRPr="006953EA">
        <w:rPr>
          <w:i/>
          <w:iCs/>
        </w:rPr>
        <w:t>26,</w:t>
      </w:r>
      <w:r w:rsidR="002149C6" w:rsidRPr="006953EA">
        <w:t xml:space="preserve"> 11710 – 11714. doi.org/10.1002/chem.202002478</w:t>
      </w:r>
      <w:r w:rsidR="00127DE0" w:rsidRPr="006953EA">
        <w:t xml:space="preserve"> l) </w:t>
      </w:r>
      <w:r w:rsidR="00251630" w:rsidRPr="006953EA">
        <w:t xml:space="preserve">Fernandez, M.; Castaing, M.; Willis, M. C. Sequential catalysis: exploiting a single rhodium(I) catalyst to promote an alkyne hydroacylation–aryl boronic acid conjugate addition sequence </w:t>
      </w:r>
      <w:r w:rsidR="00251630" w:rsidRPr="006953EA">
        <w:rPr>
          <w:i/>
          <w:iCs/>
        </w:rPr>
        <w:t>Chem. Sci.,</w:t>
      </w:r>
      <w:r w:rsidR="00251630" w:rsidRPr="006953EA">
        <w:t xml:space="preserve"> </w:t>
      </w:r>
      <w:r w:rsidR="00251630" w:rsidRPr="006953EA">
        <w:rPr>
          <w:b/>
          <w:bCs/>
        </w:rPr>
        <w:t>2017</w:t>
      </w:r>
      <w:r w:rsidR="00251630" w:rsidRPr="006953EA">
        <w:t xml:space="preserve">, </w:t>
      </w:r>
      <w:r w:rsidR="00251630" w:rsidRPr="006953EA">
        <w:rPr>
          <w:i/>
          <w:iCs/>
        </w:rPr>
        <w:t>8</w:t>
      </w:r>
      <w:r w:rsidR="00251630" w:rsidRPr="006953EA">
        <w:t>, 536-</w:t>
      </w:r>
      <w:r w:rsidR="006510F5" w:rsidRPr="006953EA">
        <w:t>540. DOI: 10.1039/c6sc03066a</w:t>
      </w:r>
    </w:p>
  </w:endnote>
  <w:endnote w:id="3">
    <w:p w14:paraId="1F9C203A" w14:textId="61695FF6" w:rsidR="006C51C7" w:rsidRPr="002E3220" w:rsidRDefault="006C51C7" w:rsidP="00723BC6">
      <w:pPr>
        <w:pStyle w:val="TFReferencesSection"/>
      </w:pPr>
      <w:r w:rsidRPr="00723BC6">
        <w:rPr>
          <w:rStyle w:val="EndnoteReference"/>
          <w:rFonts w:ascii="Arno Pro" w:hAnsi="Arno Pro"/>
          <w:sz w:val="17"/>
          <w:vertAlign w:val="baseline"/>
        </w:rPr>
        <w:endnoteRef/>
      </w:r>
      <w:r w:rsidRPr="00723BC6">
        <w:t xml:space="preserve"> </w:t>
      </w:r>
      <w:r w:rsidR="007E14B6" w:rsidRPr="00723BC6">
        <w:t>a) Ferna</w:t>
      </w:r>
      <w:r w:rsidR="00923285" w:rsidRPr="00723BC6">
        <w:t>ndez, M.; Willis, M. C.</w:t>
      </w:r>
      <w:r w:rsidR="000A0AC0" w:rsidRPr="00723BC6">
        <w:t xml:space="preserve"> Rhodium(I)-Catalyzed </w:t>
      </w:r>
      <w:proofErr w:type="spellStart"/>
      <w:r w:rsidR="000A0AC0" w:rsidRPr="00723BC6">
        <w:t>Hydroacyclation</w:t>
      </w:r>
      <w:proofErr w:type="spellEnd"/>
      <w:r w:rsidR="000A0AC0" w:rsidRPr="00723BC6">
        <w:t>.</w:t>
      </w:r>
      <w:r w:rsidR="00D108A5" w:rsidRPr="00723BC6">
        <w:t xml:space="preserve"> </w:t>
      </w:r>
      <w:r w:rsidR="000A0AC0" w:rsidRPr="00723BC6">
        <w:t>I</w:t>
      </w:r>
      <w:r w:rsidR="00D108A5" w:rsidRPr="00723BC6">
        <w:t>n</w:t>
      </w:r>
      <w:r w:rsidR="000E1428" w:rsidRPr="00723BC6">
        <w:t xml:space="preserve"> </w:t>
      </w:r>
      <w:r w:rsidR="000E1428" w:rsidRPr="002C7E83">
        <w:rPr>
          <w:i/>
          <w:iCs/>
        </w:rPr>
        <w:t>Rhodium Catal</w:t>
      </w:r>
      <w:r w:rsidR="000A0AC0" w:rsidRPr="002C7E83">
        <w:rPr>
          <w:i/>
          <w:iCs/>
        </w:rPr>
        <w:t>ysis in</w:t>
      </w:r>
      <w:r w:rsidR="000E1428" w:rsidRPr="002C7E83">
        <w:rPr>
          <w:i/>
          <w:iCs/>
        </w:rPr>
        <w:t xml:space="preserve"> Org</w:t>
      </w:r>
      <w:r w:rsidR="000A0AC0" w:rsidRPr="002C7E83">
        <w:rPr>
          <w:i/>
          <w:iCs/>
        </w:rPr>
        <w:t>anic</w:t>
      </w:r>
      <w:r w:rsidR="000E1428" w:rsidRPr="002C7E83">
        <w:rPr>
          <w:i/>
          <w:iCs/>
        </w:rPr>
        <w:t xml:space="preserve"> Synth</w:t>
      </w:r>
      <w:r w:rsidR="000A0AC0" w:rsidRPr="002C7E83">
        <w:rPr>
          <w:i/>
          <w:iCs/>
        </w:rPr>
        <w:t>esis: Methods and Reactions</w:t>
      </w:r>
      <w:r w:rsidR="00F243A3" w:rsidRPr="00723BC6">
        <w:t xml:space="preserve">, </w:t>
      </w:r>
      <w:r w:rsidR="00AC0066" w:rsidRPr="00723BC6">
        <w:t xml:space="preserve">Tanaka, K. Ed., </w:t>
      </w:r>
      <w:r w:rsidR="00DE4110" w:rsidRPr="00723BC6">
        <w:t xml:space="preserve">Wiley and Sons, Inc., </w:t>
      </w:r>
      <w:r w:rsidR="00F243A3" w:rsidRPr="00723BC6">
        <w:t xml:space="preserve">Chapter 4, </w:t>
      </w:r>
      <w:r w:rsidR="002C4E4C" w:rsidRPr="006953EA">
        <w:rPr>
          <w:b/>
        </w:rPr>
        <w:t>2019</w:t>
      </w:r>
      <w:r w:rsidR="002C4E4C" w:rsidRPr="00723BC6">
        <w:t xml:space="preserve">, p. </w:t>
      </w:r>
      <w:r w:rsidR="00AD637F" w:rsidRPr="00723BC6">
        <w:t>63-84.</w:t>
      </w:r>
      <w:r w:rsidR="009F2010" w:rsidRPr="00723BC6">
        <w:t xml:space="preserve"> DOI: 10.1002/9783527811908.ch4 </w:t>
      </w:r>
      <w:r w:rsidR="00F97B23" w:rsidRPr="00723BC6">
        <w:t>b</w:t>
      </w:r>
      <w:r w:rsidR="00777636" w:rsidRPr="00723BC6">
        <w:t xml:space="preserve">) </w:t>
      </w:r>
      <w:r w:rsidR="0079682A" w:rsidRPr="00723BC6">
        <w:t xml:space="preserve">Neuhaus, J. D.; </w:t>
      </w:r>
      <w:r w:rsidR="007F2037" w:rsidRPr="00723BC6">
        <w:t>W</w:t>
      </w:r>
      <w:r w:rsidR="0079682A" w:rsidRPr="00723BC6">
        <w:t xml:space="preserve">illis, M. C. </w:t>
      </w:r>
      <w:r w:rsidR="00CD2FB2" w:rsidRPr="00723BC6">
        <w:t xml:space="preserve">Homogenous Rhodium(I)-Catalysis in </w:t>
      </w:r>
      <w:r w:rsidR="00CD2FB2" w:rsidRPr="006953EA">
        <w:t>de novo</w:t>
      </w:r>
      <w:r w:rsidR="00CD2FB2" w:rsidRPr="00723BC6">
        <w:t xml:space="preserve"> Heterocycle Synthesis.</w:t>
      </w:r>
      <w:r w:rsidR="000E1428" w:rsidRPr="00723BC6">
        <w:t xml:space="preserve"> </w:t>
      </w:r>
      <w:r w:rsidR="000E1428" w:rsidRPr="002C7E83">
        <w:rPr>
          <w:i/>
          <w:iCs/>
        </w:rPr>
        <w:t xml:space="preserve">Org. </w:t>
      </w:r>
      <w:proofErr w:type="spellStart"/>
      <w:r w:rsidR="000E1428" w:rsidRPr="002C7E83">
        <w:rPr>
          <w:i/>
          <w:iCs/>
        </w:rPr>
        <w:t>Biomol</w:t>
      </w:r>
      <w:proofErr w:type="spellEnd"/>
      <w:r w:rsidR="000E1428" w:rsidRPr="002C7E83">
        <w:rPr>
          <w:i/>
          <w:iCs/>
        </w:rPr>
        <w:t>. Chem</w:t>
      </w:r>
      <w:r w:rsidR="000E1428" w:rsidRPr="006953EA">
        <w:rPr>
          <w:b/>
          <w:i/>
        </w:rPr>
        <w:t>.</w:t>
      </w:r>
      <w:r w:rsidR="0079682A" w:rsidRPr="006953EA">
        <w:rPr>
          <w:b/>
        </w:rPr>
        <w:t xml:space="preserve"> </w:t>
      </w:r>
      <w:r w:rsidR="00E71313" w:rsidRPr="002C7E83">
        <w:rPr>
          <w:b/>
          <w:bCs/>
        </w:rPr>
        <w:t>2016</w:t>
      </w:r>
      <w:r w:rsidR="00E71313" w:rsidRPr="00723BC6">
        <w:t xml:space="preserve">, </w:t>
      </w:r>
      <w:r w:rsidR="00E71313" w:rsidRPr="002C7E83">
        <w:rPr>
          <w:i/>
          <w:iCs/>
        </w:rPr>
        <w:t>14</w:t>
      </w:r>
      <w:r w:rsidR="00E71313" w:rsidRPr="00723BC6">
        <w:t>, 4986-5000. DOI: 10.1039/C6OB00835F</w:t>
      </w:r>
      <w:r w:rsidR="0036582E" w:rsidRPr="00723BC6">
        <w:t xml:space="preserve"> </w:t>
      </w:r>
      <w:r w:rsidR="00F97B23" w:rsidRPr="00723BC6">
        <w:t>c</w:t>
      </w:r>
      <w:r w:rsidR="0036582E" w:rsidRPr="00723BC6">
        <w:t xml:space="preserve">) </w:t>
      </w:r>
      <w:r w:rsidR="00515AB1" w:rsidRPr="00723BC6">
        <w:t>Oonishi, Y.</w:t>
      </w:r>
      <w:r w:rsidR="00563B07" w:rsidRPr="00723BC6">
        <w:t xml:space="preserve"> Development of Novel </w:t>
      </w:r>
      <w:proofErr w:type="spellStart"/>
      <w:r w:rsidR="00563B07" w:rsidRPr="00723BC6">
        <w:t>Cyclizations</w:t>
      </w:r>
      <w:proofErr w:type="spellEnd"/>
      <w:r w:rsidR="00563B07" w:rsidRPr="00723BC6">
        <w:t xml:space="preserve"> </w:t>
      </w:r>
      <w:r w:rsidR="00563B07" w:rsidRPr="006953EA">
        <w:t>via</w:t>
      </w:r>
      <w:r w:rsidR="00563B07" w:rsidRPr="00723BC6">
        <w:t xml:space="preserve"> </w:t>
      </w:r>
      <w:proofErr w:type="spellStart"/>
      <w:r w:rsidR="00563B07" w:rsidRPr="00723BC6">
        <w:t>Rhodacycle</w:t>
      </w:r>
      <w:proofErr w:type="spellEnd"/>
      <w:r w:rsidR="00563B07" w:rsidRPr="00723BC6">
        <w:t xml:space="preserve"> Intermediate and Its Application to Synthetic Organic Chemistry.</w:t>
      </w:r>
      <w:r w:rsidR="00515AB1" w:rsidRPr="00723BC6">
        <w:t xml:space="preserve"> </w:t>
      </w:r>
      <w:r w:rsidR="000E1428" w:rsidRPr="002C7E83">
        <w:rPr>
          <w:i/>
          <w:iCs/>
        </w:rPr>
        <w:t>Chem. Pharm. Bull</w:t>
      </w:r>
      <w:r w:rsidR="000E1428" w:rsidRPr="006953EA">
        <w:rPr>
          <w:b/>
          <w:i/>
        </w:rPr>
        <w:t>.</w:t>
      </w:r>
      <w:r w:rsidR="00515AB1" w:rsidRPr="006953EA">
        <w:rPr>
          <w:b/>
          <w:i/>
        </w:rPr>
        <w:t xml:space="preserve"> </w:t>
      </w:r>
      <w:r w:rsidR="0011027D" w:rsidRPr="002C7E83">
        <w:rPr>
          <w:b/>
          <w:bCs/>
        </w:rPr>
        <w:t>2015</w:t>
      </w:r>
      <w:r w:rsidR="0011027D" w:rsidRPr="00723BC6">
        <w:t xml:space="preserve">, </w:t>
      </w:r>
      <w:r w:rsidR="0011027D" w:rsidRPr="002C7E83">
        <w:rPr>
          <w:i/>
          <w:iCs/>
        </w:rPr>
        <w:t>63</w:t>
      </w:r>
      <w:r w:rsidR="0011027D" w:rsidRPr="00723BC6">
        <w:t xml:space="preserve">, 396-407. DOI: 10.1248/cpb.c15-00135 </w:t>
      </w:r>
      <w:r w:rsidR="00F97B23" w:rsidRPr="00723BC6">
        <w:t>d</w:t>
      </w:r>
      <w:r w:rsidR="0011027D" w:rsidRPr="00723BC6">
        <w:t>)</w:t>
      </w:r>
      <w:r w:rsidR="001B1CF9" w:rsidRPr="00723BC6">
        <w:t xml:space="preserve"> Xu, Q.-L.; You, S.-L.</w:t>
      </w:r>
      <w:r w:rsidR="00045FD3" w:rsidRPr="00723BC6">
        <w:t xml:space="preserve"> Asymmetric Hydroacylation Reactions.</w:t>
      </w:r>
      <w:r w:rsidR="001B1CF9" w:rsidRPr="00723BC6">
        <w:t xml:space="preserve"> </w:t>
      </w:r>
      <w:r w:rsidR="00045FD3" w:rsidRPr="00723BC6">
        <w:t>I</w:t>
      </w:r>
      <w:r w:rsidR="001B1CF9" w:rsidRPr="00723BC6">
        <w:t xml:space="preserve">n </w:t>
      </w:r>
      <w:r w:rsidR="003810B9" w:rsidRPr="002C7E83">
        <w:rPr>
          <w:i/>
          <w:iCs/>
        </w:rPr>
        <w:t xml:space="preserve">Asymmetric </w:t>
      </w:r>
      <w:r w:rsidR="002D418A" w:rsidRPr="002C7E83">
        <w:rPr>
          <w:i/>
          <w:iCs/>
        </w:rPr>
        <w:t>Functionalization</w:t>
      </w:r>
      <w:r w:rsidR="003810B9" w:rsidRPr="002C7E83">
        <w:rPr>
          <w:i/>
          <w:iCs/>
        </w:rPr>
        <w:t xml:space="preserve"> of C-H Bonds</w:t>
      </w:r>
      <w:r w:rsidR="003810B9" w:rsidRPr="00723BC6">
        <w:t xml:space="preserve">, You, S.-L. Ed., </w:t>
      </w:r>
      <w:r w:rsidR="00E57C56" w:rsidRPr="00723BC6">
        <w:t xml:space="preserve">Royal Society of Chemistry, </w:t>
      </w:r>
      <w:r w:rsidR="009B4C67" w:rsidRPr="00723BC6">
        <w:t xml:space="preserve">Chapter 8, </w:t>
      </w:r>
      <w:r w:rsidR="00C66029" w:rsidRPr="00723BC6">
        <w:t>p. 358-383. DOI: 10.1039/9781782621966-00358</w:t>
      </w:r>
      <w:r w:rsidR="007A706D" w:rsidRPr="00723BC6">
        <w:t xml:space="preserve"> </w:t>
      </w:r>
      <w:r w:rsidR="00F97B23" w:rsidRPr="00723BC6">
        <w:t>e</w:t>
      </w:r>
      <w:r w:rsidR="00A067D7" w:rsidRPr="00723BC6">
        <w:t xml:space="preserve">) </w:t>
      </w:r>
      <w:r w:rsidR="002F123A" w:rsidRPr="00723BC6">
        <w:t>Tanaka, K.</w:t>
      </w:r>
      <w:r w:rsidR="007A0D50" w:rsidRPr="00723BC6">
        <w:t xml:space="preserve"> Rhodium- Catalyzed Annulation Reactions of 2─-</w:t>
      </w:r>
      <w:proofErr w:type="spellStart"/>
      <w:r w:rsidR="007A0D50" w:rsidRPr="00723BC6">
        <w:t>Alkynylbenzaldehydes</w:t>
      </w:r>
      <w:proofErr w:type="spellEnd"/>
      <w:r w:rsidR="007A0D50" w:rsidRPr="00723BC6">
        <w:t xml:space="preserve"> and 2-Vinylbenzaldehyde with Unsaturated Compounds </w:t>
      </w:r>
      <w:r w:rsidR="003E7AC6" w:rsidRPr="006953EA">
        <w:t xml:space="preserve">J. Synth. </w:t>
      </w:r>
      <w:r w:rsidR="003E7AC6" w:rsidRPr="002C7E83">
        <w:rPr>
          <w:i/>
          <w:iCs/>
        </w:rPr>
        <w:t xml:space="preserve">Org. Chem., </w:t>
      </w:r>
      <w:proofErr w:type="spellStart"/>
      <w:r w:rsidR="003E7AC6" w:rsidRPr="002C7E83">
        <w:rPr>
          <w:i/>
          <w:iCs/>
        </w:rPr>
        <w:t>Jpn</w:t>
      </w:r>
      <w:proofErr w:type="spellEnd"/>
      <w:r w:rsidR="003E7AC6" w:rsidRPr="006953EA">
        <w:t>.</w:t>
      </w:r>
      <w:r w:rsidR="009B5F82" w:rsidRPr="00723BC6">
        <w:t xml:space="preserve">, </w:t>
      </w:r>
      <w:r w:rsidR="009B5F82" w:rsidRPr="002C7E83">
        <w:rPr>
          <w:b/>
          <w:bCs/>
        </w:rPr>
        <w:t>2012</w:t>
      </w:r>
      <w:r w:rsidR="009B5F82" w:rsidRPr="00723BC6">
        <w:t xml:space="preserve">, </w:t>
      </w:r>
      <w:r w:rsidR="009B5F82" w:rsidRPr="002C7E83">
        <w:rPr>
          <w:i/>
          <w:iCs/>
        </w:rPr>
        <w:t>70</w:t>
      </w:r>
      <w:r w:rsidR="009B5F82" w:rsidRPr="00723BC6">
        <w:t xml:space="preserve">, </w:t>
      </w:r>
      <w:r w:rsidR="00152341" w:rsidRPr="00723BC6">
        <w:t>1134-1144.</w:t>
      </w:r>
      <w:r w:rsidR="009B5F82" w:rsidRPr="00723BC6">
        <w:t xml:space="preserve"> </w:t>
      </w:r>
      <w:r w:rsidR="00152341" w:rsidRPr="00723BC6">
        <w:t xml:space="preserve">f) </w:t>
      </w:r>
      <w:r w:rsidR="00A067D7" w:rsidRPr="00723BC6">
        <w:t>Coulter, M. M.; Dong, V. M.</w:t>
      </w:r>
      <w:r w:rsidR="001843D0" w:rsidRPr="00723BC6">
        <w:t xml:space="preserve"> Enantioselective Synthesis of Lactones </w:t>
      </w:r>
      <w:r w:rsidR="001843D0" w:rsidRPr="006953EA">
        <w:t>via</w:t>
      </w:r>
      <w:r w:rsidR="001843D0" w:rsidRPr="00723BC6">
        <w:t xml:space="preserve"> Rh-</w:t>
      </w:r>
      <w:r w:rsidR="001843D0">
        <w:t>Catalyzed Ketone Hydroacylation.</w:t>
      </w:r>
      <w:r w:rsidR="00A067D7" w:rsidRPr="009853A9">
        <w:t xml:space="preserve"> </w:t>
      </w:r>
      <w:r w:rsidR="001843D0">
        <w:t>I</w:t>
      </w:r>
      <w:r w:rsidR="00375AEC" w:rsidRPr="009853A9">
        <w:t xml:space="preserve">n </w:t>
      </w:r>
      <w:r w:rsidR="000E1428" w:rsidRPr="001843D0">
        <w:rPr>
          <w:i/>
          <w:iCs/>
        </w:rPr>
        <w:t>Asymmetric Synt</w:t>
      </w:r>
      <w:r w:rsidR="001843D0">
        <w:rPr>
          <w:i/>
          <w:iCs/>
        </w:rPr>
        <w:t>hesis II: More Methods and Applications</w:t>
      </w:r>
      <w:r w:rsidR="001843D0">
        <w:t>,</w:t>
      </w:r>
      <w:r w:rsidR="00375AEC" w:rsidRPr="009853A9">
        <w:t xml:space="preserve"> </w:t>
      </w:r>
      <w:r w:rsidR="00E71D67" w:rsidRPr="009853A9">
        <w:t>Christmann, M. and Brase, S. Eds.</w:t>
      </w:r>
      <w:r w:rsidR="001843D0">
        <w:t>;</w:t>
      </w:r>
      <w:r w:rsidR="00E71D67" w:rsidRPr="009853A9">
        <w:t xml:space="preserve"> </w:t>
      </w:r>
      <w:r w:rsidR="00D578FA" w:rsidRPr="009853A9">
        <w:t xml:space="preserve">Wiley and Sons, </w:t>
      </w:r>
      <w:r w:rsidR="001733A3" w:rsidRPr="006953EA">
        <w:rPr>
          <w:b/>
        </w:rPr>
        <w:t>2012</w:t>
      </w:r>
      <w:r w:rsidR="001733A3" w:rsidRPr="009853A9">
        <w:t xml:space="preserve">, </w:t>
      </w:r>
      <w:r w:rsidR="00E71D67" w:rsidRPr="009853A9">
        <w:t xml:space="preserve">Chapter 35, </w:t>
      </w:r>
      <w:r w:rsidR="001733A3" w:rsidRPr="009853A9">
        <w:t xml:space="preserve">p. </w:t>
      </w:r>
      <w:r w:rsidR="008F7617" w:rsidRPr="009853A9">
        <w:t>279-284</w:t>
      </w:r>
      <w:r w:rsidR="001733A3" w:rsidRPr="009853A9">
        <w:t>. DOI: 10.1002/9783527652235.</w:t>
      </w:r>
      <w:r w:rsidR="00515988" w:rsidRPr="009853A9">
        <w:t xml:space="preserve"> </w:t>
      </w:r>
      <w:proofErr w:type="spellStart"/>
      <w:r w:rsidR="00F97B23">
        <w:t>f</w:t>
      </w:r>
      <w:r w:rsidR="00152341">
        <w:t>g</w:t>
      </w:r>
      <w:proofErr w:type="spellEnd"/>
      <w:r w:rsidR="00515988" w:rsidRPr="009853A9">
        <w:t>) Fu, G. C.</w:t>
      </w:r>
      <w:r w:rsidR="00736DC1">
        <w:t xml:space="preserve"> Recent Advances in Rhodium(I)-Catalyzed Asymmetric Olefin Isomerization and Hydroacylation Reactions.</w:t>
      </w:r>
      <w:r w:rsidR="00515988" w:rsidRPr="009853A9">
        <w:t xml:space="preserve"> </w:t>
      </w:r>
      <w:r w:rsidR="00736DC1">
        <w:t>I</w:t>
      </w:r>
      <w:r w:rsidR="00515988" w:rsidRPr="009853A9">
        <w:t xml:space="preserve">n </w:t>
      </w:r>
      <w:r w:rsidR="000E1428" w:rsidRPr="00736DC1">
        <w:rPr>
          <w:i/>
          <w:iCs/>
        </w:rPr>
        <w:t>Mod</w:t>
      </w:r>
      <w:r w:rsidR="00736DC1" w:rsidRPr="00736DC1">
        <w:rPr>
          <w:i/>
          <w:iCs/>
        </w:rPr>
        <w:t>ern</w:t>
      </w:r>
      <w:r w:rsidR="000E1428" w:rsidRPr="00736DC1">
        <w:rPr>
          <w:i/>
          <w:iCs/>
        </w:rPr>
        <w:t xml:space="preserve"> Rhodium-Catal</w:t>
      </w:r>
      <w:r w:rsidR="00736DC1" w:rsidRPr="00736DC1">
        <w:rPr>
          <w:i/>
          <w:iCs/>
        </w:rPr>
        <w:t>yzed</w:t>
      </w:r>
      <w:r w:rsidR="000E1428" w:rsidRPr="00736DC1">
        <w:rPr>
          <w:i/>
          <w:iCs/>
        </w:rPr>
        <w:t xml:space="preserve"> Org</w:t>
      </w:r>
      <w:r w:rsidR="00736DC1" w:rsidRPr="00736DC1">
        <w:rPr>
          <w:i/>
          <w:iCs/>
        </w:rPr>
        <w:t>anic</w:t>
      </w:r>
      <w:r w:rsidR="000E1428" w:rsidRPr="00736DC1">
        <w:rPr>
          <w:i/>
          <w:iCs/>
        </w:rPr>
        <w:t xml:space="preserve"> React</w:t>
      </w:r>
      <w:r w:rsidR="00736DC1" w:rsidRPr="00736DC1">
        <w:rPr>
          <w:i/>
          <w:iCs/>
        </w:rPr>
        <w:t>ions</w:t>
      </w:r>
      <w:r w:rsidR="00115AD9" w:rsidRPr="009853A9">
        <w:t>, Evans, P. A. Ed.</w:t>
      </w:r>
      <w:r w:rsidR="00736DC1">
        <w:t>;</w:t>
      </w:r>
      <w:r w:rsidR="00115AD9" w:rsidRPr="009853A9">
        <w:t xml:space="preserve"> Wiley and Sons, 2005</w:t>
      </w:r>
      <w:r w:rsidR="006B4AF8" w:rsidRPr="009853A9">
        <w:t xml:space="preserve">, Chapter 4, p. </w:t>
      </w:r>
      <w:r w:rsidR="00D869D1" w:rsidRPr="009853A9">
        <w:t>79-91. DOI: 10.1002/3527604693.ch4</w:t>
      </w:r>
      <w:r w:rsidR="00C12BF5" w:rsidRPr="009853A9">
        <w:t xml:space="preserve"> </w:t>
      </w:r>
    </w:p>
  </w:endnote>
  <w:endnote w:id="4">
    <w:p w14:paraId="6ACB6A3A" w14:textId="26D23FD1" w:rsidR="00B7611E" w:rsidRPr="002E3220" w:rsidRDefault="00B7611E" w:rsidP="00985ED5">
      <w:pPr>
        <w:pStyle w:val="TFReferencesSection"/>
      </w:pPr>
      <w:r w:rsidRPr="009853A9">
        <w:rPr>
          <w:rStyle w:val="EndnoteReference"/>
          <w:rFonts w:ascii="Arno Pro" w:hAnsi="Arno Pro"/>
          <w:sz w:val="17"/>
          <w:vertAlign w:val="baseline"/>
        </w:rPr>
        <w:endnoteRef/>
      </w:r>
      <w:r w:rsidRPr="002E3220">
        <w:t xml:space="preserve"> </w:t>
      </w:r>
      <w:r w:rsidR="00DA5EFE" w:rsidRPr="002E3220">
        <w:t>Fairlie, D. P.; Bosnich, B.</w:t>
      </w:r>
      <w:r w:rsidR="00CE3B37">
        <w:t xml:space="preserve"> Homogeneous Catalysis. Conversion of 4-Pentenals to Cyclopentanones by Efficient Rhodium-Catalyzed Hydroacylation.</w:t>
      </w:r>
      <w:r w:rsidR="00DA5EFE" w:rsidRPr="002E3220">
        <w:t xml:space="preserve"> </w:t>
      </w:r>
      <w:r w:rsidR="00DA5EFE" w:rsidRPr="00985ED5">
        <w:rPr>
          <w:i/>
          <w:iCs/>
        </w:rPr>
        <w:t>Organometallics</w:t>
      </w:r>
      <w:r w:rsidR="00DA5EFE" w:rsidRPr="002E3220">
        <w:t xml:space="preserve"> </w:t>
      </w:r>
      <w:r w:rsidR="00DA5EFE" w:rsidRPr="00985ED5">
        <w:rPr>
          <w:b/>
          <w:bCs/>
        </w:rPr>
        <w:t>1988</w:t>
      </w:r>
      <w:r w:rsidR="00DA5EFE" w:rsidRPr="002E3220">
        <w:t xml:space="preserve">, </w:t>
      </w:r>
      <w:r w:rsidR="00DA5EFE" w:rsidRPr="00985ED5">
        <w:rPr>
          <w:i/>
          <w:iCs/>
        </w:rPr>
        <w:t>7</w:t>
      </w:r>
      <w:r w:rsidR="00DA5EFE" w:rsidRPr="002E3220">
        <w:t>, 936-</w:t>
      </w:r>
      <w:r w:rsidR="00CE3B37">
        <w:t>9</w:t>
      </w:r>
      <w:r w:rsidR="00DA5EFE" w:rsidRPr="002E3220">
        <w:t>45.</w:t>
      </w:r>
      <w:r w:rsidR="00977DB5" w:rsidRPr="002E3220">
        <w:t xml:space="preserve"> DOI: </w:t>
      </w:r>
      <w:r w:rsidR="00EF31D1" w:rsidRPr="009853A9">
        <w:t>10.1021/om00094a025</w:t>
      </w:r>
    </w:p>
  </w:endnote>
  <w:endnote w:id="5">
    <w:p w14:paraId="151C61AF" w14:textId="7F324A4D" w:rsidR="00CC7844" w:rsidRPr="002E3220" w:rsidRDefault="00CC7844" w:rsidP="00985ED5">
      <w:pPr>
        <w:pStyle w:val="TFReferencesSection"/>
      </w:pPr>
      <w:r w:rsidRPr="009853A9">
        <w:rPr>
          <w:rStyle w:val="EndnoteReference"/>
          <w:rFonts w:ascii="Arno Pro" w:hAnsi="Arno Pro"/>
          <w:sz w:val="17"/>
          <w:vertAlign w:val="baseline"/>
        </w:rPr>
        <w:endnoteRef/>
      </w:r>
      <w:r w:rsidRPr="002E3220">
        <w:t xml:space="preserve"> Fairlie, D. P.; Bosnich, B.</w:t>
      </w:r>
      <w:r w:rsidR="008468B9">
        <w:t xml:space="preserve"> Homogenous Catalysis. Mechanism of Catalytic Hydroacylation: The Conversion of 4-Pentenals to Cyclopentanones.</w:t>
      </w:r>
      <w:r w:rsidRPr="002E3220">
        <w:t xml:space="preserve"> </w:t>
      </w:r>
      <w:r w:rsidRPr="00985ED5">
        <w:rPr>
          <w:i/>
          <w:iCs/>
        </w:rPr>
        <w:t>Organometallics</w:t>
      </w:r>
      <w:r w:rsidRPr="002E3220">
        <w:t xml:space="preserve"> </w:t>
      </w:r>
      <w:r w:rsidRPr="00985ED5">
        <w:rPr>
          <w:b/>
          <w:bCs/>
        </w:rPr>
        <w:t>1988</w:t>
      </w:r>
      <w:r w:rsidRPr="002E3220">
        <w:t xml:space="preserve">, </w:t>
      </w:r>
      <w:r w:rsidRPr="00985ED5">
        <w:rPr>
          <w:i/>
          <w:iCs/>
        </w:rPr>
        <w:t>7</w:t>
      </w:r>
      <w:r w:rsidRPr="002E3220">
        <w:t>, 946-</w:t>
      </w:r>
      <w:r w:rsidR="00CE3B37">
        <w:t>9</w:t>
      </w:r>
      <w:r w:rsidRPr="002E3220">
        <w:t>54.</w:t>
      </w:r>
      <w:r w:rsidR="002D75A1" w:rsidRPr="002E3220">
        <w:t xml:space="preserve"> DOI: </w:t>
      </w:r>
      <w:r w:rsidR="00EF31D1" w:rsidRPr="009853A9">
        <w:t>10.1021/om00094a026</w:t>
      </w:r>
    </w:p>
  </w:endnote>
  <w:endnote w:id="6">
    <w:p w14:paraId="0A9D3371" w14:textId="04890C26" w:rsidR="00A70120" w:rsidRPr="002E3220" w:rsidRDefault="00A70120" w:rsidP="00985ED5">
      <w:pPr>
        <w:pStyle w:val="TFReferencesSection"/>
      </w:pPr>
      <w:r w:rsidRPr="009853A9">
        <w:rPr>
          <w:rStyle w:val="EndnoteReference"/>
          <w:rFonts w:ascii="Arno Pro" w:hAnsi="Arno Pro"/>
          <w:sz w:val="17"/>
          <w:vertAlign w:val="baseline"/>
        </w:rPr>
        <w:endnoteRef/>
      </w:r>
      <w:r w:rsidRPr="002E3220">
        <w:t xml:space="preserve"> </w:t>
      </w:r>
      <w:r w:rsidR="00433F1E" w:rsidRPr="002E3220">
        <w:t>a) Hyatt, I. F. D.; Anderson, H. K.; Morehead, A. T. Jr; Sargent, A. L.</w:t>
      </w:r>
      <w:r w:rsidR="00345A7A">
        <w:t xml:space="preserve"> Mechanism of Rhodium-Catalyzed Intramolecular Hydroacylation: A Computational Study.</w:t>
      </w:r>
      <w:r w:rsidR="00433F1E" w:rsidRPr="002E3220">
        <w:t xml:space="preserve"> </w:t>
      </w:r>
      <w:r w:rsidR="00433F1E" w:rsidRPr="00985ED5">
        <w:rPr>
          <w:i/>
          <w:iCs/>
        </w:rPr>
        <w:t>Organometallics</w:t>
      </w:r>
      <w:r w:rsidR="00506096" w:rsidRPr="009853A9">
        <w:t xml:space="preserve"> </w:t>
      </w:r>
      <w:r w:rsidR="00506096" w:rsidRPr="00985ED5">
        <w:rPr>
          <w:b/>
          <w:bCs/>
        </w:rPr>
        <w:t>2008</w:t>
      </w:r>
      <w:r w:rsidR="00506096" w:rsidRPr="009853A9">
        <w:t>,</w:t>
      </w:r>
      <w:r w:rsidR="000C22E2">
        <w:t xml:space="preserve"> </w:t>
      </w:r>
      <w:r w:rsidR="00506096" w:rsidRPr="00985ED5">
        <w:rPr>
          <w:i/>
          <w:iCs/>
        </w:rPr>
        <w:t>27</w:t>
      </w:r>
      <w:r w:rsidR="00506096" w:rsidRPr="002E3220">
        <w:t>, 135-147. DOI</w:t>
      </w:r>
      <w:r w:rsidR="00A93C92" w:rsidRPr="002E3220">
        <w:t>:</w:t>
      </w:r>
      <w:r w:rsidR="00A93C92" w:rsidRPr="009853A9">
        <w:t xml:space="preserve"> 10.1021/om700842d b) </w:t>
      </w:r>
      <w:r w:rsidR="001B1EA3" w:rsidRPr="009853A9">
        <w:t xml:space="preserve">McPherson, K. E.; </w:t>
      </w:r>
      <w:r w:rsidR="00384025" w:rsidRPr="009853A9">
        <w:t>Bartolotti, L. J.; Morehead, A. T. Jr; Sargent, A. L.</w:t>
      </w:r>
      <w:r w:rsidR="0013169C">
        <w:t xml:space="preserve"> Utility of the Nudged Elastic Band Method in Identifying the Minimum Energy Path of an Elementary Organometallic Reaction Step.</w:t>
      </w:r>
      <w:r w:rsidR="00384025" w:rsidRPr="009853A9">
        <w:t xml:space="preserve"> </w:t>
      </w:r>
      <w:r w:rsidR="00384025" w:rsidRPr="00985ED5">
        <w:rPr>
          <w:i/>
          <w:iCs/>
        </w:rPr>
        <w:t>Organometallics</w:t>
      </w:r>
      <w:r w:rsidR="00384025" w:rsidRPr="009853A9">
        <w:t xml:space="preserve"> </w:t>
      </w:r>
      <w:r w:rsidR="00384025" w:rsidRPr="00985ED5">
        <w:rPr>
          <w:b/>
          <w:bCs/>
        </w:rPr>
        <w:t>2016</w:t>
      </w:r>
      <w:r w:rsidR="00384025" w:rsidRPr="009853A9">
        <w:t xml:space="preserve">, </w:t>
      </w:r>
      <w:r w:rsidR="0095108F" w:rsidRPr="00985ED5">
        <w:rPr>
          <w:i/>
          <w:iCs/>
        </w:rPr>
        <w:t>35</w:t>
      </w:r>
      <w:r w:rsidR="0095108F" w:rsidRPr="009853A9">
        <w:t>, 1861-1865. DOI: 10.1021/acs.organomet.6b00236</w:t>
      </w:r>
    </w:p>
  </w:endnote>
  <w:endnote w:id="7">
    <w:p w14:paraId="17FD8B7E" w14:textId="42EE7F50" w:rsidR="00F03D8C" w:rsidRPr="002E3220" w:rsidRDefault="00F03D8C" w:rsidP="00985ED5">
      <w:pPr>
        <w:pStyle w:val="TFReferencesSection"/>
      </w:pPr>
      <w:r w:rsidRPr="009853A9">
        <w:rPr>
          <w:rStyle w:val="EndnoteReference"/>
          <w:rFonts w:ascii="Arno Pro" w:hAnsi="Arno Pro"/>
          <w:sz w:val="17"/>
          <w:vertAlign w:val="baseline"/>
        </w:rPr>
        <w:endnoteRef/>
      </w:r>
      <w:r w:rsidRPr="002E3220">
        <w:t xml:space="preserve"> </w:t>
      </w:r>
      <w:r w:rsidR="00C54551" w:rsidRPr="002E3220">
        <w:t>Moxham, G. L.; Randell-Sly, H.; Brayshaw, S. K., Weller, A. S.;</w:t>
      </w:r>
      <w:r w:rsidR="000D660F" w:rsidRPr="002E3220">
        <w:t xml:space="preserve"> Willis, M. C.</w:t>
      </w:r>
      <w:r w:rsidR="004267DA">
        <w:t xml:space="preserve"> Intermolecular Alkene and Alkyne Hydroacylation with </w:t>
      </w:r>
      <w:r w:rsidR="004267DA">
        <w:rPr>
          <w:rFonts w:ascii="Symbol" w:hAnsi="Symbol"/>
        </w:rPr>
        <w:t>b</w:t>
      </w:r>
      <w:r w:rsidR="004267DA">
        <w:t>-S-Substituted Aldehydes: Mechanistic Insight into the Role of a Hemilabile P-O-P Ligand.</w:t>
      </w:r>
      <w:r w:rsidR="000D660F" w:rsidRPr="002E3220">
        <w:t xml:space="preserve"> </w:t>
      </w:r>
      <w:r w:rsidR="000E1428" w:rsidRPr="000E1428">
        <w:rPr>
          <w:i/>
          <w:iCs/>
        </w:rPr>
        <w:t>Chem. - Eur. J.</w:t>
      </w:r>
      <w:r w:rsidR="000D660F" w:rsidRPr="009853A9">
        <w:t xml:space="preserve"> </w:t>
      </w:r>
      <w:r w:rsidR="000D660F" w:rsidRPr="009853A9">
        <w:rPr>
          <w:b/>
          <w:bCs/>
        </w:rPr>
        <w:t>2008</w:t>
      </w:r>
      <w:r w:rsidR="000D660F" w:rsidRPr="009853A9">
        <w:t xml:space="preserve">, </w:t>
      </w:r>
      <w:r w:rsidR="00474A90" w:rsidRPr="008873E5">
        <w:rPr>
          <w:i/>
          <w:iCs/>
        </w:rPr>
        <w:t>14</w:t>
      </w:r>
      <w:r w:rsidR="00474A90" w:rsidRPr="002E3220">
        <w:t xml:space="preserve">, 8383-8397.  </w:t>
      </w:r>
      <w:r w:rsidR="00474A90" w:rsidRPr="009853A9">
        <w:t>DOI: 10.1002/chem.200800738</w:t>
      </w:r>
    </w:p>
  </w:endnote>
  <w:endnote w:id="8">
    <w:p w14:paraId="6944E9D1" w14:textId="79A4D0E3" w:rsidR="001E5CF6" w:rsidRPr="00F53FB9" w:rsidRDefault="001E5CF6" w:rsidP="00985ED5">
      <w:pPr>
        <w:pStyle w:val="TFReferencesSection"/>
      </w:pPr>
      <w:r w:rsidRPr="008B03B0">
        <w:rPr>
          <w:rStyle w:val="EndnoteReference"/>
          <w:vertAlign w:val="baseline"/>
        </w:rPr>
        <w:endnoteRef/>
      </w:r>
      <w:r w:rsidRPr="008B03B0">
        <w:t xml:space="preserve"> </w:t>
      </w:r>
      <w:r w:rsidR="00C734B7">
        <w:t>Chaplin, A. B.</w:t>
      </w:r>
      <w:r w:rsidR="00A7413A">
        <w:t>; Hooper, J. F.; Weller, A. S.; Willis, M. C.</w:t>
      </w:r>
      <w:r w:rsidR="00351599">
        <w:t xml:space="preserve"> Intermolecular Hydroacylation: High Activity Rhodium Catalysts Containing Small-Bite-Angle </w:t>
      </w:r>
      <w:proofErr w:type="spellStart"/>
      <w:r w:rsidR="00351599">
        <w:t>Diphosphine</w:t>
      </w:r>
      <w:proofErr w:type="spellEnd"/>
      <w:r w:rsidR="00351599">
        <w:t xml:space="preserve"> Ligands.</w:t>
      </w:r>
      <w:r w:rsidR="00A7413A">
        <w:t xml:space="preserve"> </w:t>
      </w:r>
      <w:r w:rsidR="00E95E58">
        <w:rPr>
          <w:i/>
          <w:iCs/>
        </w:rPr>
        <w:t>J. Am. Chem. Soc.</w:t>
      </w:r>
      <w:r w:rsidR="00351599">
        <w:t xml:space="preserve"> </w:t>
      </w:r>
      <w:r w:rsidR="00F53FB9">
        <w:rPr>
          <w:b/>
          <w:bCs/>
        </w:rPr>
        <w:t>2012</w:t>
      </w:r>
      <w:r w:rsidR="00F53FB9">
        <w:t xml:space="preserve">, </w:t>
      </w:r>
      <w:r w:rsidR="00F53FB9">
        <w:rPr>
          <w:i/>
          <w:iCs/>
        </w:rPr>
        <w:t>134</w:t>
      </w:r>
      <w:r w:rsidR="00F53FB9">
        <w:t xml:space="preserve">, 4885-4897. DOI: </w:t>
      </w:r>
      <w:r w:rsidR="008B03B0" w:rsidRPr="008B03B0">
        <w:t>10.1021/ja211649a</w:t>
      </w:r>
    </w:p>
  </w:endnote>
  <w:endnote w:id="9">
    <w:p w14:paraId="7FCFDEEC" w14:textId="7D7030AD" w:rsidR="00B75A00" w:rsidRPr="000C22E2" w:rsidRDefault="00B75A00" w:rsidP="00985ED5">
      <w:pPr>
        <w:pStyle w:val="TFReferencesSection"/>
      </w:pPr>
      <w:r w:rsidRPr="00985ED5">
        <w:endnoteRef/>
      </w:r>
      <w:r>
        <w:t xml:space="preserve"> </w:t>
      </w:r>
      <w:r w:rsidR="000C22E2">
        <w:t xml:space="preserve">a) </w:t>
      </w:r>
      <w:r w:rsidRPr="00B75A00">
        <w:t>Delley, B.</w:t>
      </w:r>
      <w:r w:rsidR="0059584F">
        <w:t xml:space="preserve"> An All-Electron Numerical Method for Solving the Local Density Functional for Polyatomic Molecules.</w:t>
      </w:r>
      <w:r w:rsidRPr="00B75A00">
        <w:t xml:space="preserve"> </w:t>
      </w:r>
      <w:r w:rsidR="00E95E58">
        <w:rPr>
          <w:i/>
          <w:iCs/>
        </w:rPr>
        <w:t>J. Chem. Phys.</w:t>
      </w:r>
      <w:r w:rsidR="00851A29">
        <w:t xml:space="preserve"> </w:t>
      </w:r>
      <w:r w:rsidRPr="00B75A00">
        <w:rPr>
          <w:b/>
          <w:bCs/>
        </w:rPr>
        <w:t>1990</w:t>
      </w:r>
      <w:r w:rsidR="000C22E2">
        <w:t>,</w:t>
      </w:r>
      <w:r w:rsidRPr="00B75A00">
        <w:t xml:space="preserve"> </w:t>
      </w:r>
      <w:r w:rsidRPr="00B75A00">
        <w:rPr>
          <w:i/>
          <w:iCs/>
        </w:rPr>
        <w:t>92</w:t>
      </w:r>
      <w:r w:rsidRPr="00B75A00">
        <w:t>, 508-517. DOI: 10.1063/1.458452</w:t>
      </w:r>
      <w:r w:rsidR="000C22E2">
        <w:t xml:space="preserve"> b) Delley, B.</w:t>
      </w:r>
      <w:r w:rsidR="0059584F">
        <w:t xml:space="preserve"> From Molecules to Solids with the DMol</w:t>
      </w:r>
      <w:r w:rsidR="0059584F">
        <w:rPr>
          <w:vertAlign w:val="superscript"/>
        </w:rPr>
        <w:t>3</w:t>
      </w:r>
      <w:r w:rsidR="0059584F">
        <w:t xml:space="preserve"> Approach.</w:t>
      </w:r>
      <w:r w:rsidR="000C22E2">
        <w:t xml:space="preserve"> </w:t>
      </w:r>
      <w:r w:rsidR="00E95E58">
        <w:rPr>
          <w:i/>
          <w:iCs/>
        </w:rPr>
        <w:t>J. Chem. Phys.</w:t>
      </w:r>
      <w:r w:rsidR="00851A29">
        <w:t xml:space="preserve"> </w:t>
      </w:r>
      <w:r w:rsidR="000C22E2">
        <w:rPr>
          <w:b/>
          <w:bCs/>
        </w:rPr>
        <w:t>2000</w:t>
      </w:r>
      <w:r w:rsidR="000C22E2">
        <w:t xml:space="preserve">, </w:t>
      </w:r>
      <w:r w:rsidR="000C22E2">
        <w:rPr>
          <w:i/>
          <w:iCs/>
        </w:rPr>
        <w:t>113</w:t>
      </w:r>
      <w:r w:rsidR="000C22E2">
        <w:t>, 7756-7764. DOI: 10.1063/1.</w:t>
      </w:r>
      <w:r w:rsidR="0059584F">
        <w:t>1</w:t>
      </w:r>
      <w:r w:rsidR="000C22E2">
        <w:t>316015</w:t>
      </w:r>
    </w:p>
  </w:endnote>
  <w:endnote w:id="10">
    <w:p w14:paraId="6EF4FE84" w14:textId="29E9D6B8" w:rsidR="00076927" w:rsidRDefault="00076927" w:rsidP="00985ED5">
      <w:pPr>
        <w:pStyle w:val="TFReferencesSection"/>
      </w:pPr>
      <w:r w:rsidRPr="00985ED5">
        <w:endnoteRef/>
      </w:r>
      <w:r>
        <w:t xml:space="preserve"> a) Becke, A. D.</w:t>
      </w:r>
      <w:r w:rsidR="002E7715">
        <w:t xml:space="preserve"> Correlation Energy of an Inhomogeneous Electron Gas: A Coordinate-Space Model.</w:t>
      </w:r>
      <w:r>
        <w:t xml:space="preserve"> </w:t>
      </w:r>
      <w:r w:rsidR="00E95E58">
        <w:rPr>
          <w:i/>
          <w:iCs/>
        </w:rPr>
        <w:t>J. Chem. Phys.</w:t>
      </w:r>
      <w:r w:rsidR="00851A29">
        <w:t xml:space="preserve"> </w:t>
      </w:r>
      <w:r w:rsidRPr="00076927">
        <w:rPr>
          <w:b/>
          <w:bCs/>
        </w:rPr>
        <w:t>1988</w:t>
      </w:r>
      <w:r>
        <w:t xml:space="preserve">, </w:t>
      </w:r>
      <w:r w:rsidRPr="00076927">
        <w:rPr>
          <w:i/>
          <w:iCs/>
        </w:rPr>
        <w:t>88</w:t>
      </w:r>
      <w:r>
        <w:t xml:space="preserve">, 1053-1062. DOI: 10.1063/1.454274 b) </w:t>
      </w:r>
      <w:proofErr w:type="spellStart"/>
      <w:r>
        <w:t>Tsuneda</w:t>
      </w:r>
      <w:proofErr w:type="spellEnd"/>
      <w:r>
        <w:t>, T.; Hirao, K.</w:t>
      </w:r>
      <w:r w:rsidR="001A0534">
        <w:t xml:space="preserve"> A New Spin-Polarized Colle-Salvetti-Type Correlation Energy Functional.</w:t>
      </w:r>
      <w:r>
        <w:t xml:space="preserve"> </w:t>
      </w:r>
      <w:r w:rsidR="00E95E58">
        <w:rPr>
          <w:i/>
          <w:iCs/>
        </w:rPr>
        <w:t>Chem. Phys. Lett.</w:t>
      </w:r>
      <w:r>
        <w:t xml:space="preserve"> </w:t>
      </w:r>
      <w:r w:rsidRPr="00076927">
        <w:rPr>
          <w:b/>
          <w:bCs/>
        </w:rPr>
        <w:t>1997</w:t>
      </w:r>
      <w:r>
        <w:t xml:space="preserve">, </w:t>
      </w:r>
      <w:r w:rsidRPr="00076927">
        <w:rPr>
          <w:i/>
          <w:iCs/>
        </w:rPr>
        <w:t>268</w:t>
      </w:r>
      <w:r>
        <w:t>, 510-520. DOI: 10.1016/S0009-2614(97)00201-7</w:t>
      </w:r>
    </w:p>
  </w:endnote>
  <w:endnote w:id="11">
    <w:p w14:paraId="3E6C2557" w14:textId="76CEBD80" w:rsidR="00D2650C" w:rsidRDefault="00D2650C" w:rsidP="00985ED5">
      <w:pPr>
        <w:pStyle w:val="TFReferencesSection"/>
      </w:pPr>
      <w:r w:rsidRPr="00985ED5">
        <w:endnoteRef/>
      </w:r>
      <w:r>
        <w:t xml:space="preserve"> Delley, B.</w:t>
      </w:r>
      <w:r w:rsidR="00F80C13">
        <w:t xml:space="preserve"> A Scattering Theoretic Approach to Scalar Relativistic Corrections on Bonding.</w:t>
      </w:r>
      <w:r>
        <w:t xml:space="preserve"> </w:t>
      </w:r>
      <w:r w:rsidR="00E95E58">
        <w:rPr>
          <w:i/>
          <w:iCs/>
        </w:rPr>
        <w:t>Int. J. Quantum Chem.</w:t>
      </w:r>
      <w:r>
        <w:t xml:space="preserve"> </w:t>
      </w:r>
      <w:r w:rsidRPr="00D2650C">
        <w:rPr>
          <w:b/>
          <w:bCs/>
        </w:rPr>
        <w:t>1998</w:t>
      </w:r>
      <w:r>
        <w:t xml:space="preserve">, </w:t>
      </w:r>
      <w:r w:rsidRPr="00D2650C">
        <w:rPr>
          <w:i/>
          <w:iCs/>
        </w:rPr>
        <w:t>69</w:t>
      </w:r>
      <w:r>
        <w:t>, 423-433. DOI: 10.1002/(SICI)1097-461X(1998)69:3&lt;423::AID-QUA19&gt;3.0.CO;2-2</w:t>
      </w:r>
    </w:p>
  </w:endnote>
  <w:endnote w:id="12">
    <w:p w14:paraId="093A62A1" w14:textId="23AC8F7D" w:rsidR="00F74F7C" w:rsidRPr="00985ED5" w:rsidRDefault="00F74F7C" w:rsidP="00985ED5">
      <w:pPr>
        <w:pStyle w:val="TFReferencesSection"/>
        <w:rPr>
          <w:rStyle w:val="EndnoteReference"/>
          <w:rFonts w:ascii="Arno Pro" w:hAnsi="Arno Pro"/>
          <w:sz w:val="17"/>
          <w:vertAlign w:val="baseline"/>
        </w:rPr>
      </w:pPr>
      <w:r w:rsidRPr="00F74F7C">
        <w:rPr>
          <w:rStyle w:val="EndnoteReference"/>
          <w:rFonts w:ascii="Arno Pro" w:hAnsi="Arno Pro"/>
          <w:sz w:val="17"/>
          <w:vertAlign w:val="baseline"/>
        </w:rPr>
        <w:endnoteRef/>
      </w:r>
      <w:r w:rsidRPr="00985ED5">
        <w:rPr>
          <w:rStyle w:val="EndnoteReference"/>
          <w:rFonts w:ascii="Arno Pro" w:hAnsi="Arno Pro"/>
          <w:sz w:val="17"/>
          <w:vertAlign w:val="baseline"/>
        </w:rPr>
        <w:t xml:space="preserve"> Gaussian 16, Revision B.01, Frisch, M.</w:t>
      </w:r>
      <w:r w:rsidR="00D24012">
        <w:t xml:space="preserve"> </w:t>
      </w:r>
      <w:r w:rsidRPr="00985ED5">
        <w:rPr>
          <w:rStyle w:val="EndnoteReference"/>
          <w:rFonts w:ascii="Arno Pro" w:hAnsi="Arno Pro"/>
          <w:sz w:val="17"/>
          <w:vertAlign w:val="baseline"/>
        </w:rPr>
        <w:t>J., Trucks, G.</w:t>
      </w:r>
      <w:r w:rsidR="00D24012">
        <w:t xml:space="preserve"> </w:t>
      </w:r>
      <w:r w:rsidRPr="00985ED5">
        <w:rPr>
          <w:rStyle w:val="EndnoteReference"/>
          <w:rFonts w:ascii="Arno Pro" w:hAnsi="Arno Pro"/>
          <w:sz w:val="17"/>
          <w:vertAlign w:val="baseline"/>
        </w:rPr>
        <w:t>W., Schlegel, H.</w:t>
      </w:r>
      <w:r w:rsidR="00D24012">
        <w:t xml:space="preserve"> </w:t>
      </w:r>
      <w:r w:rsidRPr="00985ED5">
        <w:rPr>
          <w:rStyle w:val="EndnoteReference"/>
          <w:rFonts w:ascii="Arno Pro" w:hAnsi="Arno Pro"/>
          <w:sz w:val="17"/>
          <w:vertAlign w:val="baseline"/>
        </w:rPr>
        <w:t xml:space="preserve">B., </w:t>
      </w:r>
      <w:proofErr w:type="spellStart"/>
      <w:r w:rsidRPr="00985ED5">
        <w:rPr>
          <w:rStyle w:val="EndnoteReference"/>
          <w:rFonts w:ascii="Arno Pro" w:hAnsi="Arno Pro"/>
          <w:sz w:val="17"/>
          <w:vertAlign w:val="baseline"/>
        </w:rPr>
        <w:t>Scuseria</w:t>
      </w:r>
      <w:proofErr w:type="spellEnd"/>
      <w:r w:rsidRPr="00985ED5">
        <w:rPr>
          <w:rStyle w:val="EndnoteReference"/>
          <w:rFonts w:ascii="Arno Pro" w:hAnsi="Arno Pro"/>
          <w:sz w:val="17"/>
          <w:vertAlign w:val="baseline"/>
        </w:rPr>
        <w:t>, G.</w:t>
      </w:r>
      <w:r w:rsidR="00D24012">
        <w:rPr>
          <w:rStyle w:val="EndnoteReference"/>
          <w:rFonts w:ascii="Arno Pro" w:hAnsi="Arno Pro"/>
          <w:sz w:val="17"/>
          <w:vertAlign w:val="baseline"/>
        </w:rPr>
        <w:t xml:space="preserve"> </w:t>
      </w:r>
      <w:r w:rsidRPr="00985ED5">
        <w:rPr>
          <w:rStyle w:val="EndnoteReference"/>
          <w:rFonts w:ascii="Arno Pro" w:hAnsi="Arno Pro"/>
          <w:sz w:val="17"/>
          <w:vertAlign w:val="baseline"/>
        </w:rPr>
        <w:t>E., Robb, M.</w:t>
      </w:r>
      <w:r w:rsidR="00D24012">
        <w:t xml:space="preserve"> </w:t>
      </w:r>
      <w:r w:rsidRPr="00985ED5">
        <w:rPr>
          <w:rStyle w:val="EndnoteReference"/>
          <w:rFonts w:ascii="Arno Pro" w:hAnsi="Arno Pro"/>
          <w:sz w:val="17"/>
          <w:vertAlign w:val="baseline"/>
        </w:rPr>
        <w:t>A., Cheeseman, J.</w:t>
      </w:r>
      <w:r w:rsidR="00D24012">
        <w:t xml:space="preserve"> </w:t>
      </w:r>
      <w:r w:rsidRPr="00985ED5">
        <w:rPr>
          <w:rStyle w:val="EndnoteReference"/>
          <w:rFonts w:ascii="Arno Pro" w:hAnsi="Arno Pro"/>
          <w:sz w:val="17"/>
          <w:vertAlign w:val="baseline"/>
        </w:rPr>
        <w:t xml:space="preserve">R.; </w:t>
      </w:r>
      <w:proofErr w:type="spellStart"/>
      <w:r w:rsidRPr="00985ED5">
        <w:rPr>
          <w:rStyle w:val="EndnoteReference"/>
          <w:rFonts w:ascii="Arno Pro" w:hAnsi="Arno Pro"/>
          <w:sz w:val="17"/>
          <w:vertAlign w:val="baseline"/>
        </w:rPr>
        <w:t>Scalmani</w:t>
      </w:r>
      <w:proofErr w:type="spellEnd"/>
      <w:r w:rsidRPr="00985ED5">
        <w:rPr>
          <w:rStyle w:val="EndnoteReference"/>
          <w:rFonts w:ascii="Arno Pro" w:hAnsi="Arno Pro"/>
          <w:sz w:val="17"/>
          <w:vertAlign w:val="baseline"/>
        </w:rPr>
        <w:t>, G.; Barone, V.; Petersson, G.</w:t>
      </w:r>
      <w:r w:rsidR="00D24012">
        <w:t xml:space="preserve"> </w:t>
      </w:r>
      <w:r w:rsidRPr="00985ED5">
        <w:rPr>
          <w:rStyle w:val="EndnoteReference"/>
          <w:rFonts w:ascii="Arno Pro" w:hAnsi="Arno Pro"/>
          <w:sz w:val="17"/>
          <w:vertAlign w:val="baseline"/>
        </w:rPr>
        <w:t xml:space="preserve">A.; </w:t>
      </w:r>
      <w:proofErr w:type="spellStart"/>
      <w:r w:rsidRPr="00985ED5">
        <w:rPr>
          <w:rStyle w:val="EndnoteReference"/>
          <w:rFonts w:ascii="Arno Pro" w:hAnsi="Arno Pro"/>
          <w:sz w:val="17"/>
          <w:vertAlign w:val="baseline"/>
        </w:rPr>
        <w:t>Nakatsuji</w:t>
      </w:r>
      <w:proofErr w:type="spellEnd"/>
      <w:r w:rsidRPr="00985ED5">
        <w:rPr>
          <w:rStyle w:val="EndnoteReference"/>
          <w:rFonts w:ascii="Arno Pro" w:hAnsi="Arno Pro"/>
          <w:sz w:val="17"/>
          <w:vertAlign w:val="baseline"/>
        </w:rPr>
        <w:t xml:space="preserve">, H.; Li, X.; Caricato, M.; </w:t>
      </w:r>
      <w:proofErr w:type="spellStart"/>
      <w:r w:rsidRPr="00985ED5">
        <w:rPr>
          <w:rStyle w:val="EndnoteReference"/>
          <w:rFonts w:ascii="Arno Pro" w:hAnsi="Arno Pro"/>
          <w:sz w:val="17"/>
          <w:vertAlign w:val="baseline"/>
        </w:rPr>
        <w:t>Marenich</w:t>
      </w:r>
      <w:proofErr w:type="spellEnd"/>
      <w:r w:rsidRPr="00985ED5">
        <w:rPr>
          <w:rStyle w:val="EndnoteReference"/>
          <w:rFonts w:ascii="Arno Pro" w:hAnsi="Arno Pro"/>
          <w:sz w:val="17"/>
          <w:vertAlign w:val="baseline"/>
        </w:rPr>
        <w:t>, A.</w:t>
      </w:r>
      <w:r w:rsidR="00D24012">
        <w:t xml:space="preserve"> </w:t>
      </w:r>
      <w:r w:rsidRPr="00985ED5">
        <w:rPr>
          <w:rStyle w:val="EndnoteReference"/>
          <w:rFonts w:ascii="Arno Pro" w:hAnsi="Arno Pro"/>
          <w:sz w:val="17"/>
          <w:vertAlign w:val="baseline"/>
        </w:rPr>
        <w:t xml:space="preserve">V.; </w:t>
      </w:r>
      <w:proofErr w:type="spellStart"/>
      <w:r w:rsidRPr="00985ED5">
        <w:rPr>
          <w:rStyle w:val="EndnoteReference"/>
          <w:rFonts w:ascii="Arno Pro" w:hAnsi="Arno Pro"/>
          <w:sz w:val="17"/>
          <w:vertAlign w:val="baseline"/>
        </w:rPr>
        <w:t>Bloino</w:t>
      </w:r>
      <w:proofErr w:type="spellEnd"/>
      <w:r w:rsidRPr="00985ED5">
        <w:rPr>
          <w:rStyle w:val="EndnoteReference"/>
          <w:rFonts w:ascii="Arno Pro" w:hAnsi="Arno Pro"/>
          <w:sz w:val="17"/>
          <w:vertAlign w:val="baseline"/>
        </w:rPr>
        <w:t>, J., Janesko, B.</w:t>
      </w:r>
      <w:r w:rsidR="00D24012">
        <w:t xml:space="preserve"> </w:t>
      </w:r>
      <w:r w:rsidRPr="00985ED5">
        <w:rPr>
          <w:rStyle w:val="EndnoteReference"/>
          <w:rFonts w:ascii="Arno Pro" w:hAnsi="Arno Pro"/>
          <w:sz w:val="17"/>
          <w:vertAlign w:val="baseline"/>
        </w:rPr>
        <w:t xml:space="preserve">G., Gomperts, R., </w:t>
      </w:r>
      <w:proofErr w:type="spellStart"/>
      <w:r w:rsidRPr="00985ED5">
        <w:rPr>
          <w:rStyle w:val="EndnoteReference"/>
          <w:rFonts w:ascii="Arno Pro" w:hAnsi="Arno Pro"/>
          <w:sz w:val="17"/>
          <w:vertAlign w:val="baseline"/>
        </w:rPr>
        <w:t>Mennucci</w:t>
      </w:r>
      <w:proofErr w:type="spellEnd"/>
      <w:r w:rsidRPr="00985ED5">
        <w:rPr>
          <w:rStyle w:val="EndnoteReference"/>
          <w:rFonts w:ascii="Arno Pro" w:hAnsi="Arno Pro"/>
          <w:sz w:val="17"/>
          <w:vertAlign w:val="baseline"/>
        </w:rPr>
        <w:t xml:space="preserve">, B., </w:t>
      </w:r>
      <w:proofErr w:type="spellStart"/>
      <w:r w:rsidRPr="00985ED5">
        <w:rPr>
          <w:rStyle w:val="EndnoteReference"/>
          <w:rFonts w:ascii="Arno Pro" w:hAnsi="Arno Pro"/>
          <w:sz w:val="17"/>
          <w:vertAlign w:val="baseline"/>
        </w:rPr>
        <w:t>Hratchian</w:t>
      </w:r>
      <w:proofErr w:type="spellEnd"/>
      <w:r w:rsidRPr="00985ED5">
        <w:rPr>
          <w:rStyle w:val="EndnoteReference"/>
          <w:rFonts w:ascii="Arno Pro" w:hAnsi="Arno Pro"/>
          <w:sz w:val="17"/>
          <w:vertAlign w:val="baseline"/>
        </w:rPr>
        <w:t>, H.</w:t>
      </w:r>
      <w:r w:rsidR="00D24012">
        <w:t xml:space="preserve"> </w:t>
      </w:r>
      <w:r w:rsidRPr="00985ED5">
        <w:rPr>
          <w:rStyle w:val="EndnoteReference"/>
          <w:rFonts w:ascii="Arno Pro" w:hAnsi="Arno Pro"/>
          <w:sz w:val="17"/>
          <w:vertAlign w:val="baseline"/>
        </w:rPr>
        <w:t>P., Ortiz, J.</w:t>
      </w:r>
      <w:r w:rsidR="00D24012">
        <w:t xml:space="preserve"> </w:t>
      </w:r>
      <w:r w:rsidRPr="00985ED5">
        <w:rPr>
          <w:rStyle w:val="EndnoteReference"/>
          <w:rFonts w:ascii="Arno Pro" w:hAnsi="Arno Pro"/>
          <w:sz w:val="17"/>
          <w:vertAlign w:val="baseline"/>
        </w:rPr>
        <w:t>V., Izmaylov, A.</w:t>
      </w:r>
      <w:r w:rsidR="00D24012">
        <w:t xml:space="preserve"> </w:t>
      </w:r>
      <w:r w:rsidRPr="00985ED5">
        <w:rPr>
          <w:rStyle w:val="EndnoteReference"/>
          <w:rFonts w:ascii="Arno Pro" w:hAnsi="Arno Pro"/>
          <w:sz w:val="17"/>
          <w:vertAlign w:val="baseline"/>
        </w:rPr>
        <w:t>F., Sonnenberg, J.</w:t>
      </w:r>
      <w:r w:rsidR="00D24012">
        <w:t xml:space="preserve"> </w:t>
      </w:r>
      <w:r w:rsidRPr="00985ED5">
        <w:rPr>
          <w:rStyle w:val="EndnoteReference"/>
          <w:rFonts w:ascii="Arno Pro" w:hAnsi="Arno Pro"/>
          <w:sz w:val="17"/>
          <w:vertAlign w:val="baseline"/>
        </w:rPr>
        <w:t xml:space="preserve">L., Williams-Young, D., Ding, F., </w:t>
      </w:r>
      <w:proofErr w:type="spellStart"/>
      <w:r w:rsidRPr="00985ED5">
        <w:rPr>
          <w:rStyle w:val="EndnoteReference"/>
          <w:rFonts w:ascii="Arno Pro" w:hAnsi="Arno Pro"/>
          <w:sz w:val="17"/>
          <w:vertAlign w:val="baseline"/>
        </w:rPr>
        <w:t>Lipparini</w:t>
      </w:r>
      <w:proofErr w:type="spellEnd"/>
      <w:r w:rsidRPr="00985ED5">
        <w:rPr>
          <w:rStyle w:val="EndnoteReference"/>
          <w:rFonts w:ascii="Arno Pro" w:hAnsi="Arno Pro"/>
          <w:sz w:val="17"/>
          <w:vertAlign w:val="baseline"/>
        </w:rPr>
        <w:t>, F., Egidi, F., Goings, J., Peng, B., Petrone, A., Henderson, T., Ranasinghe, D., Zakrzewski, V.</w:t>
      </w:r>
      <w:r w:rsidR="00D24012">
        <w:t xml:space="preserve"> </w:t>
      </w:r>
      <w:r w:rsidRPr="00985ED5">
        <w:rPr>
          <w:rStyle w:val="EndnoteReference"/>
          <w:rFonts w:ascii="Arno Pro" w:hAnsi="Arno Pro"/>
          <w:sz w:val="17"/>
          <w:vertAlign w:val="baseline"/>
        </w:rPr>
        <w:t xml:space="preserve">G., Gao, J., Rega, N., Zheng, G., Liang, W., Hada, M., Ehara, M., Toyota, K., Fukuda, R., Hasegawa, J., Ishida, M., Nakajima, T., Honda, Y., Kitao, O., Nakai, H., </w:t>
      </w:r>
      <w:proofErr w:type="spellStart"/>
      <w:r w:rsidRPr="00985ED5">
        <w:rPr>
          <w:rStyle w:val="EndnoteReference"/>
          <w:rFonts w:ascii="Arno Pro" w:hAnsi="Arno Pro"/>
          <w:sz w:val="17"/>
          <w:vertAlign w:val="baseline"/>
        </w:rPr>
        <w:t>Vreven</w:t>
      </w:r>
      <w:proofErr w:type="spellEnd"/>
      <w:r w:rsidRPr="00985ED5">
        <w:rPr>
          <w:rStyle w:val="EndnoteReference"/>
          <w:rFonts w:ascii="Arno Pro" w:hAnsi="Arno Pro"/>
          <w:sz w:val="17"/>
          <w:vertAlign w:val="baseline"/>
        </w:rPr>
        <w:t>, T., Throssell, K., Montgomery Jr., J.</w:t>
      </w:r>
      <w:r w:rsidR="00D24012">
        <w:t xml:space="preserve"> </w:t>
      </w:r>
      <w:r w:rsidRPr="00985ED5">
        <w:rPr>
          <w:rStyle w:val="EndnoteReference"/>
          <w:rFonts w:ascii="Arno Pro" w:hAnsi="Arno Pro"/>
          <w:sz w:val="17"/>
          <w:vertAlign w:val="baseline"/>
        </w:rPr>
        <w:t>A., Peralta, J.</w:t>
      </w:r>
      <w:r w:rsidR="00D24012">
        <w:t xml:space="preserve"> </w:t>
      </w:r>
      <w:r w:rsidRPr="00985ED5">
        <w:rPr>
          <w:rStyle w:val="EndnoteReference"/>
          <w:rFonts w:ascii="Arno Pro" w:hAnsi="Arno Pro"/>
          <w:sz w:val="17"/>
          <w:vertAlign w:val="baseline"/>
        </w:rPr>
        <w:t>E., Ogliaro, F., Bearpark, M.</w:t>
      </w:r>
      <w:r w:rsidR="00D24012">
        <w:t xml:space="preserve"> </w:t>
      </w:r>
      <w:r w:rsidRPr="00985ED5">
        <w:rPr>
          <w:rStyle w:val="EndnoteReference"/>
          <w:rFonts w:ascii="Arno Pro" w:hAnsi="Arno Pro"/>
          <w:sz w:val="17"/>
          <w:vertAlign w:val="baseline"/>
        </w:rPr>
        <w:t>J., Heyd, J.</w:t>
      </w:r>
      <w:r w:rsidR="00D24012">
        <w:t xml:space="preserve"> </w:t>
      </w:r>
      <w:r w:rsidRPr="00985ED5">
        <w:rPr>
          <w:rStyle w:val="EndnoteReference"/>
          <w:rFonts w:ascii="Arno Pro" w:hAnsi="Arno Pro"/>
          <w:sz w:val="17"/>
          <w:vertAlign w:val="baseline"/>
        </w:rPr>
        <w:t>J., Brothers, E.</w:t>
      </w:r>
      <w:r w:rsidR="00D24012">
        <w:t xml:space="preserve"> </w:t>
      </w:r>
      <w:r w:rsidRPr="00985ED5">
        <w:rPr>
          <w:rStyle w:val="EndnoteReference"/>
          <w:rFonts w:ascii="Arno Pro" w:hAnsi="Arno Pro"/>
          <w:sz w:val="17"/>
          <w:vertAlign w:val="baseline"/>
        </w:rPr>
        <w:t>N., Kudin, K.</w:t>
      </w:r>
      <w:r w:rsidR="00D24012">
        <w:t xml:space="preserve"> </w:t>
      </w:r>
      <w:r w:rsidRPr="00985ED5">
        <w:rPr>
          <w:rStyle w:val="EndnoteReference"/>
          <w:rFonts w:ascii="Arno Pro" w:hAnsi="Arno Pro"/>
          <w:sz w:val="17"/>
          <w:vertAlign w:val="baseline"/>
        </w:rPr>
        <w:t>N., Staroverov, V.</w:t>
      </w:r>
      <w:r w:rsidR="00D24012">
        <w:t xml:space="preserve"> </w:t>
      </w:r>
      <w:r w:rsidRPr="00985ED5">
        <w:rPr>
          <w:rStyle w:val="EndnoteReference"/>
          <w:rFonts w:ascii="Arno Pro" w:hAnsi="Arno Pro"/>
          <w:sz w:val="17"/>
          <w:vertAlign w:val="baseline"/>
        </w:rPr>
        <w:t>N., Keith, T.</w:t>
      </w:r>
      <w:r w:rsidR="00D24012">
        <w:t xml:space="preserve"> </w:t>
      </w:r>
      <w:r w:rsidRPr="00985ED5">
        <w:rPr>
          <w:rStyle w:val="EndnoteReference"/>
          <w:rFonts w:ascii="Arno Pro" w:hAnsi="Arno Pro"/>
          <w:sz w:val="17"/>
          <w:vertAlign w:val="baseline"/>
        </w:rPr>
        <w:t>A., Kobayashi, R., Normand, J., Raghavachari, K., Rendell, A.</w:t>
      </w:r>
      <w:r w:rsidR="00D24012">
        <w:t xml:space="preserve"> </w:t>
      </w:r>
      <w:r w:rsidRPr="00985ED5">
        <w:rPr>
          <w:rStyle w:val="EndnoteReference"/>
          <w:rFonts w:ascii="Arno Pro" w:hAnsi="Arno Pro"/>
          <w:sz w:val="17"/>
          <w:vertAlign w:val="baseline"/>
        </w:rPr>
        <w:t>P., Burant, J.</w:t>
      </w:r>
      <w:r w:rsidR="00D24012">
        <w:t xml:space="preserve"> </w:t>
      </w:r>
      <w:r w:rsidRPr="00985ED5">
        <w:rPr>
          <w:rStyle w:val="EndnoteReference"/>
          <w:rFonts w:ascii="Arno Pro" w:hAnsi="Arno Pro"/>
          <w:sz w:val="17"/>
          <w:vertAlign w:val="baseline"/>
        </w:rPr>
        <w:t>C., Iyengar, S.</w:t>
      </w:r>
      <w:r w:rsidR="00D24012">
        <w:t xml:space="preserve"> </w:t>
      </w:r>
      <w:r w:rsidRPr="00985ED5">
        <w:rPr>
          <w:rStyle w:val="EndnoteReference"/>
          <w:rFonts w:ascii="Arno Pro" w:hAnsi="Arno Pro"/>
          <w:sz w:val="17"/>
          <w:vertAlign w:val="baseline"/>
        </w:rPr>
        <w:t>S., Tomasi, J., Cossi, M., Millam, J.</w:t>
      </w:r>
      <w:r w:rsidR="00D24012">
        <w:t xml:space="preserve"> </w:t>
      </w:r>
      <w:r w:rsidRPr="00985ED5">
        <w:rPr>
          <w:rStyle w:val="EndnoteReference"/>
          <w:rFonts w:ascii="Arno Pro" w:hAnsi="Arno Pro"/>
          <w:sz w:val="17"/>
          <w:vertAlign w:val="baseline"/>
        </w:rPr>
        <w:t>M., Klene, M., Adamo, C., Cammi, R., Ochterski, J.</w:t>
      </w:r>
      <w:r w:rsidR="00D24012">
        <w:t xml:space="preserve"> </w:t>
      </w:r>
      <w:r w:rsidRPr="00985ED5">
        <w:rPr>
          <w:rStyle w:val="EndnoteReference"/>
          <w:rFonts w:ascii="Arno Pro" w:hAnsi="Arno Pro"/>
          <w:sz w:val="17"/>
          <w:vertAlign w:val="baseline"/>
        </w:rPr>
        <w:t>W., Martin, R.</w:t>
      </w:r>
      <w:r w:rsidR="00D24012">
        <w:t xml:space="preserve"> </w:t>
      </w:r>
      <w:r w:rsidRPr="00985ED5">
        <w:rPr>
          <w:rStyle w:val="EndnoteReference"/>
          <w:rFonts w:ascii="Arno Pro" w:hAnsi="Arno Pro"/>
          <w:sz w:val="17"/>
          <w:vertAlign w:val="baseline"/>
        </w:rPr>
        <w:t>L., Morokuma, K., Farkas, O., Foresman, J.</w:t>
      </w:r>
      <w:r w:rsidR="00D24012">
        <w:t xml:space="preserve"> </w:t>
      </w:r>
      <w:r w:rsidRPr="00985ED5">
        <w:rPr>
          <w:rStyle w:val="EndnoteReference"/>
          <w:rFonts w:ascii="Arno Pro" w:hAnsi="Arno Pro"/>
          <w:sz w:val="17"/>
          <w:vertAlign w:val="baseline"/>
        </w:rPr>
        <w:t>B., Fox, D.</w:t>
      </w:r>
      <w:r w:rsidR="00D24012">
        <w:t xml:space="preserve"> </w:t>
      </w:r>
      <w:r w:rsidRPr="00985ED5">
        <w:rPr>
          <w:rStyle w:val="EndnoteReference"/>
          <w:rFonts w:ascii="Arno Pro" w:hAnsi="Arno Pro"/>
          <w:sz w:val="17"/>
          <w:vertAlign w:val="baseline"/>
        </w:rPr>
        <w:t>J. Gaussian, Inc., Wallingford CT (2016)</w:t>
      </w:r>
    </w:p>
  </w:endnote>
  <w:endnote w:id="13">
    <w:p w14:paraId="4F2E0CBB" w14:textId="15D9EFA0" w:rsidR="00E23168" w:rsidRDefault="00E23168" w:rsidP="00985ED5">
      <w:pPr>
        <w:pStyle w:val="TFReferencesSection"/>
      </w:pPr>
      <w:r w:rsidRPr="00985ED5">
        <w:endnoteRef/>
      </w:r>
      <w:r>
        <w:t xml:space="preserve"> a) Becke, A. D.</w:t>
      </w:r>
      <w:r w:rsidR="00252847">
        <w:t xml:space="preserve"> Density-Functional Thermochemistry. III. The Role of Exact Exchange.</w:t>
      </w:r>
      <w:r>
        <w:t xml:space="preserve"> </w:t>
      </w:r>
      <w:r w:rsidR="00E95E58">
        <w:rPr>
          <w:i/>
          <w:iCs/>
        </w:rPr>
        <w:t>J. Chem. Phys.</w:t>
      </w:r>
      <w:r w:rsidR="008D6085">
        <w:t xml:space="preserve"> </w:t>
      </w:r>
      <w:r w:rsidRPr="00E23168">
        <w:rPr>
          <w:b/>
          <w:bCs/>
        </w:rPr>
        <w:t>1993</w:t>
      </w:r>
      <w:r>
        <w:t xml:space="preserve">, </w:t>
      </w:r>
      <w:r w:rsidRPr="00E23168">
        <w:rPr>
          <w:i/>
          <w:iCs/>
        </w:rPr>
        <w:t>98</w:t>
      </w:r>
      <w:r>
        <w:t xml:space="preserve">, 5648-5652. DOI: 10.1063/1.464913 b) </w:t>
      </w:r>
      <w:r w:rsidRPr="00985ED5">
        <w:t>Lee, C.; Yang, W.; Parr, R. G.</w:t>
      </w:r>
      <w:r w:rsidR="00CF7FA0">
        <w:t xml:space="preserve"> Development of the Colle-Salvetti Correlation-Energy Formula into a Functional of the Electron Density.</w:t>
      </w:r>
      <w:r w:rsidRPr="00985ED5">
        <w:t xml:space="preserve"> </w:t>
      </w:r>
      <w:r w:rsidR="00E95E58">
        <w:rPr>
          <w:i/>
          <w:iCs/>
        </w:rPr>
        <w:t>Phys. Rev. B</w:t>
      </w:r>
      <w:r w:rsidRPr="00985ED5">
        <w:t xml:space="preserve"> </w:t>
      </w:r>
      <w:r w:rsidRPr="00985ED5">
        <w:rPr>
          <w:b/>
          <w:bCs/>
        </w:rPr>
        <w:t>1988</w:t>
      </w:r>
      <w:r w:rsidRPr="00985ED5">
        <w:t xml:space="preserve">, </w:t>
      </w:r>
      <w:r w:rsidRPr="00985ED5">
        <w:rPr>
          <w:i/>
          <w:iCs/>
        </w:rPr>
        <w:t>37</w:t>
      </w:r>
      <w:r w:rsidRPr="00985ED5">
        <w:t>, 785−789.</w:t>
      </w:r>
      <w:r>
        <w:t xml:space="preserve"> DOI: 10.1103/PhysRevB.37.785</w:t>
      </w:r>
    </w:p>
  </w:endnote>
  <w:endnote w:id="14">
    <w:p w14:paraId="71DD874A" w14:textId="798B9D0B" w:rsidR="00F80647" w:rsidRDefault="00F80647" w:rsidP="00985ED5">
      <w:pPr>
        <w:pStyle w:val="TFReferencesSection"/>
      </w:pPr>
      <w:r w:rsidRPr="00985ED5">
        <w:endnoteRef/>
      </w:r>
      <w:r>
        <w:t xml:space="preserve"> </w:t>
      </w:r>
      <w:r w:rsidRPr="00985ED5">
        <w:t>Andrae, D.; Häeussermann, U.; Dolg, M.; Stoll, H.; Preuss, H.</w:t>
      </w:r>
      <w:r w:rsidR="000B4476">
        <w:t xml:space="preserve"> Energy-Adjusted </w:t>
      </w:r>
      <w:r w:rsidR="000B4476">
        <w:rPr>
          <w:i/>
          <w:iCs/>
        </w:rPr>
        <w:t>ab initio</w:t>
      </w:r>
      <w:r w:rsidR="000B4476">
        <w:t xml:space="preserve"> Pseudopotentials for the Second and Third Row Transition Elements.</w:t>
      </w:r>
      <w:r w:rsidRPr="00985ED5">
        <w:t xml:space="preserve"> </w:t>
      </w:r>
      <w:r w:rsidR="00E95E58">
        <w:rPr>
          <w:i/>
          <w:iCs/>
        </w:rPr>
        <w:t xml:space="preserve">Theor. Chim. </w:t>
      </w:r>
      <w:r w:rsidR="00E95E58" w:rsidRPr="000B4476">
        <w:rPr>
          <w:i/>
          <w:iCs/>
        </w:rPr>
        <w:t>Acta</w:t>
      </w:r>
      <w:r w:rsidR="000B4476">
        <w:t xml:space="preserve"> </w:t>
      </w:r>
      <w:r w:rsidRPr="000B4476">
        <w:rPr>
          <w:b/>
          <w:bCs/>
        </w:rPr>
        <w:t>1990</w:t>
      </w:r>
      <w:r w:rsidRPr="00985ED5">
        <w:t xml:space="preserve">, </w:t>
      </w:r>
      <w:r w:rsidRPr="00985ED5">
        <w:rPr>
          <w:i/>
          <w:iCs/>
        </w:rPr>
        <w:t>77</w:t>
      </w:r>
      <w:r w:rsidRPr="00985ED5">
        <w:t>, 123−141.</w:t>
      </w:r>
      <w:r w:rsidR="00783F9B">
        <w:t xml:space="preserve"> DOI: 10.1007/BF01114537</w:t>
      </w:r>
    </w:p>
  </w:endnote>
  <w:endnote w:id="15">
    <w:p w14:paraId="597BAFF4" w14:textId="49510ED4" w:rsidR="003C7FC7" w:rsidRDefault="003C7FC7" w:rsidP="00985ED5">
      <w:pPr>
        <w:pStyle w:val="TFReferencesSection"/>
      </w:pPr>
      <w:r w:rsidRPr="00985ED5">
        <w:endnoteRef/>
      </w:r>
      <w:r>
        <w:t xml:space="preserve"> Schäfer, A.; Huber, C.; Ahlrichs, R.</w:t>
      </w:r>
      <w:r w:rsidR="00645193">
        <w:t xml:space="preserve"> Fully Optimized Contracted Gaussian Basis Sets of Triple Zeta Valence Quality for Atoms Li to Kr.</w:t>
      </w:r>
      <w:r>
        <w:t xml:space="preserve"> </w:t>
      </w:r>
      <w:r w:rsidRPr="003C7FC7">
        <w:rPr>
          <w:i/>
          <w:iCs/>
        </w:rPr>
        <w:t>J. Chem. Phys.</w:t>
      </w:r>
      <w:r>
        <w:t xml:space="preserve"> </w:t>
      </w:r>
      <w:r w:rsidRPr="003C7FC7">
        <w:rPr>
          <w:b/>
          <w:bCs/>
        </w:rPr>
        <w:t>1994</w:t>
      </w:r>
      <w:r>
        <w:t xml:space="preserve">, </w:t>
      </w:r>
      <w:r w:rsidRPr="003C7FC7">
        <w:rPr>
          <w:i/>
          <w:iCs/>
        </w:rPr>
        <w:t>100</w:t>
      </w:r>
      <w:r>
        <w:t>, 5829-5835. DOI: 10.1063/1.467146</w:t>
      </w:r>
    </w:p>
  </w:endnote>
  <w:endnote w:id="16">
    <w:p w14:paraId="5FDA4D56" w14:textId="57D3E317" w:rsidR="00D24012" w:rsidRDefault="00D24012" w:rsidP="00985ED5">
      <w:pPr>
        <w:pStyle w:val="TFReferencesSection"/>
      </w:pPr>
      <w:r w:rsidRPr="00985ED5">
        <w:endnoteRef/>
      </w:r>
      <w:r>
        <w:t xml:space="preserve"> </w:t>
      </w:r>
      <w:r w:rsidR="00B05FF2">
        <w:t>Alfonso, D. R.; Jordan, K. D.</w:t>
      </w:r>
      <w:r w:rsidR="0031267E">
        <w:t xml:space="preserve"> A Flexible Nudged Elastic Band Program for Optimization of Minimum Energy Pathways Using </w:t>
      </w:r>
      <w:r w:rsidR="0031267E">
        <w:rPr>
          <w:i/>
          <w:iCs/>
        </w:rPr>
        <w:t>ab initio</w:t>
      </w:r>
      <w:r w:rsidR="0031267E">
        <w:t xml:space="preserve"> Electronic Structure Methods.</w:t>
      </w:r>
      <w:r w:rsidR="00B05FF2">
        <w:t xml:space="preserve"> </w:t>
      </w:r>
      <w:r w:rsidR="00B05FF2" w:rsidRPr="00B05FF2">
        <w:rPr>
          <w:i/>
          <w:iCs/>
        </w:rPr>
        <w:t>J. Comput. Chem.</w:t>
      </w:r>
      <w:r w:rsidR="00B05FF2">
        <w:t xml:space="preserve"> </w:t>
      </w:r>
      <w:r w:rsidR="00B05FF2" w:rsidRPr="00B05FF2">
        <w:rPr>
          <w:b/>
          <w:bCs/>
        </w:rPr>
        <w:t>2003</w:t>
      </w:r>
      <w:r w:rsidR="00B05FF2">
        <w:t xml:space="preserve">, </w:t>
      </w:r>
      <w:r w:rsidR="00B05FF2" w:rsidRPr="00B05FF2">
        <w:rPr>
          <w:i/>
          <w:iCs/>
        </w:rPr>
        <w:t>24</w:t>
      </w:r>
      <w:r w:rsidR="00B05FF2">
        <w:t>, 990-996. DOI: 10.1002/jcc.10233</w:t>
      </w:r>
    </w:p>
  </w:endnote>
  <w:endnote w:id="17">
    <w:p w14:paraId="3C3461B2" w14:textId="418FB5FD" w:rsidR="00092000" w:rsidRDefault="00092000" w:rsidP="00985ED5">
      <w:pPr>
        <w:pStyle w:val="TFReferencesSection"/>
      </w:pPr>
      <w:r w:rsidRPr="00985ED5">
        <w:endnoteRef/>
      </w:r>
      <w:r>
        <w:t xml:space="preserve"> a) Henkelman, G.; Jónsson, H.</w:t>
      </w:r>
      <w:r w:rsidR="001F24D8">
        <w:t xml:space="preserve"> A Dimer Method for Finding Saddle Points on High Dimensional Potential Surfaces Using Only First Derivatives.</w:t>
      </w:r>
      <w:r>
        <w:t xml:space="preserve"> </w:t>
      </w:r>
      <w:r w:rsidRPr="00092000">
        <w:rPr>
          <w:i/>
          <w:iCs/>
        </w:rPr>
        <w:t>J. Chem. Phys.</w:t>
      </w:r>
      <w:r>
        <w:t xml:space="preserve"> </w:t>
      </w:r>
      <w:r w:rsidRPr="00092000">
        <w:rPr>
          <w:b/>
          <w:bCs/>
        </w:rPr>
        <w:t>1999</w:t>
      </w:r>
      <w:r>
        <w:t xml:space="preserve">, </w:t>
      </w:r>
      <w:r w:rsidRPr="00092000">
        <w:rPr>
          <w:i/>
          <w:iCs/>
        </w:rPr>
        <w:t>111</w:t>
      </w:r>
      <w:r>
        <w:t>, 7010-7022. DOI: 10.1063/1.480097 b) Heyden, A.; Bell, A. T.; Keil, F. J.</w:t>
      </w:r>
      <w:r w:rsidR="00170708">
        <w:t xml:space="preserve"> Efficient Methods for Finding Transition States in Chemical Reactions: Comparison of Improved Dimer Method and Partitioned Rational Function Optimization Method.</w:t>
      </w:r>
      <w:r>
        <w:t xml:space="preserve"> </w:t>
      </w:r>
      <w:r w:rsidRPr="00092000">
        <w:rPr>
          <w:i/>
          <w:iCs/>
        </w:rPr>
        <w:t>J. Chem. Phys.</w:t>
      </w:r>
      <w:r>
        <w:t xml:space="preserve"> </w:t>
      </w:r>
      <w:r w:rsidRPr="00092000">
        <w:rPr>
          <w:b/>
          <w:bCs/>
        </w:rPr>
        <w:t>2005</w:t>
      </w:r>
      <w:r>
        <w:t xml:space="preserve">, </w:t>
      </w:r>
      <w:r w:rsidRPr="00092000">
        <w:rPr>
          <w:i/>
          <w:iCs/>
        </w:rPr>
        <w:t>123</w:t>
      </w:r>
      <w:r>
        <w:t>, 224101-224114. DOI: 10.1063/1.2104507</w:t>
      </w:r>
    </w:p>
  </w:endnote>
  <w:endnote w:id="18">
    <w:p w14:paraId="458CCEE8" w14:textId="1E71BF20" w:rsidR="001A6B85" w:rsidRDefault="001A6B85" w:rsidP="00985ED5">
      <w:pPr>
        <w:pStyle w:val="TFReferencesSection"/>
      </w:pPr>
      <w:r w:rsidRPr="00985ED5">
        <w:endnoteRef/>
      </w:r>
      <w:r>
        <w:t xml:space="preserve"> Bitzek, E.; Koskinen, P.; Gähler, F.; Moseler, M.; Gumbsch, P.</w:t>
      </w:r>
      <w:r w:rsidR="00FA6640">
        <w:t xml:space="preserve"> Structural Relaxation Made Simple.</w:t>
      </w:r>
      <w:r>
        <w:t xml:space="preserve"> </w:t>
      </w:r>
      <w:r w:rsidRPr="001A6B85">
        <w:rPr>
          <w:i/>
          <w:iCs/>
        </w:rPr>
        <w:t>Phys. Rev. Lett.</w:t>
      </w:r>
      <w:r>
        <w:t xml:space="preserve"> </w:t>
      </w:r>
      <w:r w:rsidRPr="001A6B85">
        <w:rPr>
          <w:b/>
          <w:bCs/>
        </w:rPr>
        <w:t>2006</w:t>
      </w:r>
      <w:r>
        <w:t xml:space="preserve">, </w:t>
      </w:r>
      <w:r w:rsidRPr="001A6B85">
        <w:rPr>
          <w:i/>
          <w:iCs/>
        </w:rPr>
        <w:t>97</w:t>
      </w:r>
      <w:r>
        <w:t>, 170201. DOI: 10.1103/PhysRevLett.97.170201</w:t>
      </w:r>
    </w:p>
  </w:endnote>
  <w:endnote w:id="19">
    <w:p w14:paraId="1DAAE77C" w14:textId="14491E4B" w:rsidR="001A6B85" w:rsidRDefault="001A6B85" w:rsidP="00985ED5">
      <w:pPr>
        <w:pStyle w:val="TFReferencesSection"/>
      </w:pPr>
      <w:r w:rsidRPr="00985ED5">
        <w:endnoteRef/>
      </w:r>
      <w:r>
        <w:t xml:space="preserve"> Henkelman, G.; Uberuaga, B. P.; Jónsson, H.</w:t>
      </w:r>
      <w:r w:rsidR="00E91D8E">
        <w:t xml:space="preserve"> A Climbing Image Nudged Elastic Band Method for Finding Saddle Points and Minimum Energy Paths.</w:t>
      </w:r>
      <w:r>
        <w:t xml:space="preserve"> </w:t>
      </w:r>
      <w:r w:rsidRPr="001A6B85">
        <w:rPr>
          <w:i/>
          <w:iCs/>
        </w:rPr>
        <w:t>J. Chem. Phys.</w:t>
      </w:r>
      <w:r>
        <w:t xml:space="preserve"> </w:t>
      </w:r>
      <w:r w:rsidRPr="001A6B85">
        <w:rPr>
          <w:b/>
          <w:bCs/>
        </w:rPr>
        <w:t>2000</w:t>
      </w:r>
      <w:r>
        <w:t xml:space="preserve">, </w:t>
      </w:r>
      <w:r w:rsidRPr="001A6B85">
        <w:rPr>
          <w:i/>
          <w:iCs/>
        </w:rPr>
        <w:t>113</w:t>
      </w:r>
      <w:r>
        <w:t>, 9901-9904. DOI: 10.1063/1.1329672</w:t>
      </w:r>
    </w:p>
  </w:endnote>
  <w:endnote w:id="20">
    <w:p w14:paraId="7B200E09" w14:textId="5AD16602" w:rsidR="00AA1E64" w:rsidRDefault="00AA1E64" w:rsidP="00985ED5">
      <w:pPr>
        <w:pStyle w:val="TFReferencesSection"/>
      </w:pPr>
      <w:r w:rsidRPr="00985ED5">
        <w:endnoteRef/>
      </w:r>
      <w:r>
        <w:t xml:space="preserve"> Smidstrup, S.; Pedersen, A.; Stokbro, K.; Jónsson, H.</w:t>
      </w:r>
      <w:r w:rsidR="008A7FA9">
        <w:t xml:space="preserve"> Improved Initial Guess for Minimum Energy Path Calculations.</w:t>
      </w:r>
      <w:r>
        <w:t xml:space="preserve"> </w:t>
      </w:r>
      <w:r w:rsidRPr="00AA1E64">
        <w:rPr>
          <w:i/>
          <w:iCs/>
        </w:rPr>
        <w:t>J. Chem. Phys.</w:t>
      </w:r>
      <w:r>
        <w:t xml:space="preserve"> </w:t>
      </w:r>
      <w:r w:rsidRPr="00AA1E64">
        <w:rPr>
          <w:b/>
          <w:bCs/>
        </w:rPr>
        <w:t>2014</w:t>
      </w:r>
      <w:r>
        <w:t xml:space="preserve">, </w:t>
      </w:r>
      <w:r w:rsidRPr="00AA1E64">
        <w:rPr>
          <w:i/>
          <w:iCs/>
        </w:rPr>
        <w:t>140</w:t>
      </w:r>
      <w:r>
        <w:t>, 214106. DOI: 10.1063/1.48786</w:t>
      </w:r>
      <w:r w:rsidR="00DA5CB0">
        <w:t>64</w:t>
      </w:r>
    </w:p>
  </w:endnote>
  <w:endnote w:id="21">
    <w:p w14:paraId="4D12CC1E" w14:textId="0B07C0D2" w:rsidR="00414C54" w:rsidRDefault="00414C54" w:rsidP="00A113BE">
      <w:pPr>
        <w:pStyle w:val="TFReferencesSection"/>
      </w:pPr>
      <w:r w:rsidRPr="00A113BE">
        <w:endnoteRef/>
      </w:r>
      <w:r>
        <w:t xml:space="preserve"> </w:t>
      </w:r>
      <w:r w:rsidRPr="000E7520">
        <w:t xml:space="preserve">Larsen, A. H.; Mortensen, J. J.; Blomqvist, J.; Castelli, I. E.; Christensen, R.; Dułak, M.; Friis, J.; Groves, M. N.; Hammer, B.; Hargus, C.; Hermes, E. D.; Jennings, P. C.; Jensen, P. B.; Kermode, J.; Kitchin, J. R.; Kolsbjerg, E. L.; Kubal, J.; Kaasbjerg, K.; Lysgaard, S.; Maronsson, J. B.; Maxson, T.; Olsen, T.; Pastewka, L.; Peterson, A.; Rostgaard, C.; Schiøtz, J.; Schütt, O.; Strange, M.; Thygesen, K. S.; Vegge, T.; Vilhelmsen, L.; Walter, M.; Zeng, Z.; Jacobsen, K. W. The Atomic Simulation Environment – A Python Library for Working with Atoms </w:t>
      </w:r>
      <w:r w:rsidRPr="00E95E58">
        <w:rPr>
          <w:i/>
          <w:iCs/>
        </w:rPr>
        <w:t>J. Phys.: Condens. Matter</w:t>
      </w:r>
      <w:r w:rsidRPr="000E7520">
        <w:t xml:space="preserve"> </w:t>
      </w:r>
      <w:r w:rsidRPr="00A113BE">
        <w:rPr>
          <w:b/>
          <w:bCs/>
        </w:rPr>
        <w:t>2017</w:t>
      </w:r>
      <w:r w:rsidRPr="000E7520">
        <w:t xml:space="preserve">, </w:t>
      </w:r>
      <w:r w:rsidRPr="00A113BE">
        <w:rPr>
          <w:i/>
          <w:iCs/>
        </w:rPr>
        <w:t>29</w:t>
      </w:r>
      <w:r w:rsidRPr="000E7520">
        <w:t>, 273002. DOI: 10.1088/1361-648X/aa680e</w:t>
      </w:r>
    </w:p>
  </w:endnote>
  <w:endnote w:id="22">
    <w:p w14:paraId="41E28F6B" w14:textId="0F9760ED" w:rsidR="00537120" w:rsidRDefault="00537120" w:rsidP="00A113BE">
      <w:pPr>
        <w:pStyle w:val="TFReferencesSection"/>
      </w:pPr>
      <w:r w:rsidRPr="00A113BE">
        <w:endnoteRef/>
      </w:r>
      <w:r>
        <w:t xml:space="preserve"> </w:t>
      </w:r>
      <w:r w:rsidRPr="00A113BE">
        <w:t>The PyMOL Molecular Graphics System, Version 2.0 Schrödinger, LLC.</w:t>
      </w:r>
    </w:p>
  </w:endnote>
  <w:endnote w:id="23">
    <w:p w14:paraId="4C9FB267" w14:textId="3E2506A9" w:rsidR="005E6FE0" w:rsidRPr="006953EA" w:rsidRDefault="005E6FE0" w:rsidP="4ABCE378">
      <w:pPr>
        <w:pStyle w:val="TFReferencesSection"/>
        <w:rPr>
          <w:rStyle w:val="EndnoteReference"/>
          <w:rFonts w:ascii="Arno Pro" w:hAnsi="Arno Pro"/>
          <w:sz w:val="17"/>
          <w:szCs w:val="17"/>
          <w:vertAlign w:val="baseline"/>
        </w:rPr>
      </w:pPr>
      <w:r w:rsidRPr="4ABCE378">
        <w:rPr>
          <w:rStyle w:val="EndnoteReference"/>
          <w:rFonts w:ascii="Arno Pro" w:hAnsi="Arno Pro"/>
          <w:sz w:val="17"/>
          <w:szCs w:val="17"/>
          <w:vertAlign w:val="baseline"/>
        </w:rPr>
        <w:endnoteRef/>
      </w:r>
      <w:r w:rsidR="4ABCE378" w:rsidRPr="4ABCE378">
        <w:rPr>
          <w:rStyle w:val="EndnoteReference"/>
          <w:rFonts w:ascii="Arno Pro" w:hAnsi="Arno Pro"/>
          <w:sz w:val="17"/>
          <w:szCs w:val="17"/>
          <w:vertAlign w:val="baseline"/>
        </w:rPr>
        <w:t xml:space="preserve"> Boys, S. F.; Bernardi, F. The Calculation of Small Molecular Interactions by the Differences of Separate Total Energies. </w:t>
      </w:r>
      <w:r w:rsidR="4ABCE378" w:rsidRPr="008854D5">
        <w:rPr>
          <w:rStyle w:val="EndnoteReference"/>
          <w:rFonts w:ascii="Arno Pro" w:hAnsi="Arno Pro"/>
          <w:i/>
          <w:iCs/>
          <w:sz w:val="17"/>
          <w:szCs w:val="17"/>
          <w:vertAlign w:val="baseline"/>
        </w:rPr>
        <w:t>Mol. Phys.</w:t>
      </w:r>
      <w:r w:rsidR="4ABCE378" w:rsidRPr="4ABCE378">
        <w:rPr>
          <w:rStyle w:val="EndnoteReference"/>
          <w:rFonts w:ascii="Arno Pro" w:hAnsi="Arno Pro"/>
          <w:sz w:val="17"/>
          <w:szCs w:val="17"/>
          <w:vertAlign w:val="baseline"/>
        </w:rPr>
        <w:t xml:space="preserve"> </w:t>
      </w:r>
      <w:r w:rsidR="4ABCE378" w:rsidRPr="008854D5">
        <w:rPr>
          <w:rStyle w:val="EndnoteReference"/>
          <w:rFonts w:ascii="Arno Pro" w:hAnsi="Arno Pro"/>
          <w:b/>
          <w:bCs/>
          <w:sz w:val="17"/>
          <w:szCs w:val="17"/>
          <w:vertAlign w:val="baseline"/>
        </w:rPr>
        <w:t>1970</w:t>
      </w:r>
      <w:r w:rsidR="4ABCE378" w:rsidRPr="4ABCE378">
        <w:rPr>
          <w:rStyle w:val="EndnoteReference"/>
          <w:rFonts w:ascii="Arno Pro" w:hAnsi="Arno Pro"/>
          <w:sz w:val="17"/>
          <w:szCs w:val="17"/>
          <w:vertAlign w:val="baseline"/>
        </w:rPr>
        <w:t xml:space="preserve">, </w:t>
      </w:r>
      <w:r w:rsidR="4ABCE378" w:rsidRPr="4ABCE378">
        <w:rPr>
          <w:rStyle w:val="EndnoteReference"/>
          <w:rFonts w:ascii="Arno Pro" w:hAnsi="Arno Pro"/>
          <w:i/>
          <w:iCs/>
          <w:sz w:val="17"/>
          <w:szCs w:val="17"/>
          <w:vertAlign w:val="baseline"/>
        </w:rPr>
        <w:t>19</w:t>
      </w:r>
      <w:r w:rsidR="4ABCE378" w:rsidRPr="4ABCE378">
        <w:rPr>
          <w:rStyle w:val="EndnoteReference"/>
          <w:rFonts w:ascii="Arno Pro" w:hAnsi="Arno Pro"/>
          <w:sz w:val="17"/>
          <w:szCs w:val="17"/>
          <w:vertAlign w:val="baseline"/>
        </w:rPr>
        <w:t>, 553-566. DOI: 10.1080/00268977000101561</w:t>
      </w:r>
    </w:p>
  </w:endnote>
  <w:endnote w:id="24">
    <w:p w14:paraId="3F0EA074" w14:textId="47FCCC95" w:rsidR="00F1541B" w:rsidRPr="006953EA" w:rsidRDefault="00F1541B" w:rsidP="006953EA">
      <w:pPr>
        <w:pStyle w:val="TFReferencesSection"/>
        <w:rPr>
          <w:rStyle w:val="EndnoteReference"/>
          <w:rFonts w:ascii="Arno Pro" w:hAnsi="Arno Pro"/>
          <w:sz w:val="17"/>
          <w:vertAlign w:val="baseline"/>
        </w:rPr>
      </w:pPr>
      <w:r w:rsidRPr="001F63CF">
        <w:rPr>
          <w:rStyle w:val="EndnoteReference"/>
          <w:rFonts w:ascii="Arno Pro" w:hAnsi="Arno Pro"/>
          <w:sz w:val="17"/>
          <w:vertAlign w:val="baseline"/>
        </w:rPr>
        <w:endnoteRef/>
      </w:r>
      <w:r w:rsidRPr="006953EA">
        <w:rPr>
          <w:rStyle w:val="EndnoteReference"/>
          <w:rFonts w:ascii="Arno Pro" w:hAnsi="Arno Pro"/>
          <w:sz w:val="17"/>
          <w:vertAlign w:val="baseline"/>
        </w:rPr>
        <w:t xml:space="preserve"> </w:t>
      </w:r>
      <w:r w:rsidR="001F63CF" w:rsidRPr="006953EA">
        <w:rPr>
          <w:rStyle w:val="EndnoteReference"/>
          <w:rFonts w:ascii="Arno Pro" w:hAnsi="Arno Pro"/>
          <w:sz w:val="17"/>
          <w:vertAlign w:val="baseline"/>
        </w:rPr>
        <w:t xml:space="preserve">a) </w:t>
      </w:r>
      <w:r w:rsidRPr="006953EA">
        <w:rPr>
          <w:rStyle w:val="EndnoteReference"/>
          <w:rFonts w:ascii="Arno Pro" w:hAnsi="Arno Pro"/>
          <w:sz w:val="17"/>
          <w:vertAlign w:val="baseline"/>
        </w:rPr>
        <w:t>Inada, Y.; Orita, H. Efficiency of Numerical Basis Sets for Predicting the Binding Energies of Hydrogen Bonded Complexes: Evidence of Small Basis Set Superposition Error Compared to Gaussian Basis Sets</w:t>
      </w:r>
      <w:r w:rsidR="001F63CF">
        <w:t>.</w:t>
      </w:r>
      <w:r w:rsidRPr="006953EA">
        <w:rPr>
          <w:rStyle w:val="EndnoteReference"/>
          <w:rFonts w:ascii="Arno Pro" w:hAnsi="Arno Pro"/>
          <w:sz w:val="17"/>
          <w:vertAlign w:val="baseline"/>
        </w:rPr>
        <w:t xml:space="preserve"> J. Comput. Chem. 2008, </w:t>
      </w:r>
      <w:r w:rsidRPr="006953EA">
        <w:rPr>
          <w:rStyle w:val="EndnoteReference"/>
          <w:rFonts w:ascii="Arno Pro" w:hAnsi="Arno Pro"/>
          <w:i/>
          <w:iCs/>
          <w:sz w:val="17"/>
          <w:vertAlign w:val="baseline"/>
        </w:rPr>
        <w:t>29</w:t>
      </w:r>
      <w:r w:rsidRPr="006953EA">
        <w:rPr>
          <w:rStyle w:val="EndnoteReference"/>
          <w:rFonts w:ascii="Arno Pro" w:hAnsi="Arno Pro"/>
          <w:sz w:val="17"/>
          <w:vertAlign w:val="baseline"/>
        </w:rPr>
        <w:t>, 225-232. DOI: 10.1002/jcc.20782</w:t>
      </w:r>
      <w:r w:rsidR="001F63CF" w:rsidRPr="006953EA">
        <w:rPr>
          <w:rStyle w:val="EndnoteReference"/>
          <w:rFonts w:ascii="Arno Pro" w:hAnsi="Arno Pro"/>
          <w:sz w:val="17"/>
          <w:vertAlign w:val="baseline"/>
        </w:rPr>
        <w:t xml:space="preserve"> b) Freeman, A. J.; Wimmer, E. Density Functional Theory as a Major Tool in Computational Materials Science</w:t>
      </w:r>
      <w:r w:rsidR="001F63CF">
        <w:t>.</w:t>
      </w:r>
      <w:r w:rsidR="001F63CF" w:rsidRPr="006953EA">
        <w:rPr>
          <w:rStyle w:val="EndnoteReference"/>
          <w:rFonts w:ascii="Arno Pro" w:hAnsi="Arno Pro"/>
          <w:sz w:val="17"/>
          <w:vertAlign w:val="baseline"/>
        </w:rPr>
        <w:t xml:space="preserve"> </w:t>
      </w:r>
      <w:r w:rsidR="001F63CF" w:rsidRPr="006953EA">
        <w:rPr>
          <w:rStyle w:val="EndnoteReference"/>
          <w:rFonts w:ascii="Arno Pro" w:hAnsi="Arno Pro"/>
          <w:i/>
          <w:iCs/>
          <w:sz w:val="17"/>
          <w:vertAlign w:val="baseline"/>
        </w:rPr>
        <w:t>Annu. Rev. Mater. Sci.</w:t>
      </w:r>
      <w:r w:rsidR="001F63CF" w:rsidRPr="006953EA">
        <w:rPr>
          <w:rStyle w:val="EndnoteReference"/>
          <w:rFonts w:ascii="Arno Pro" w:hAnsi="Arno Pro"/>
          <w:sz w:val="17"/>
          <w:vertAlign w:val="baseline"/>
        </w:rPr>
        <w:t xml:space="preserve"> </w:t>
      </w:r>
      <w:r w:rsidR="001F63CF" w:rsidRPr="006953EA">
        <w:rPr>
          <w:rStyle w:val="EndnoteReference"/>
          <w:rFonts w:ascii="Arno Pro" w:hAnsi="Arno Pro"/>
          <w:b/>
          <w:bCs/>
          <w:sz w:val="17"/>
          <w:vertAlign w:val="baseline"/>
        </w:rPr>
        <w:t>1995</w:t>
      </w:r>
      <w:r w:rsidR="001F63CF" w:rsidRPr="006953EA">
        <w:rPr>
          <w:rStyle w:val="EndnoteReference"/>
          <w:rFonts w:ascii="Arno Pro" w:hAnsi="Arno Pro"/>
          <w:sz w:val="17"/>
          <w:vertAlign w:val="baseline"/>
        </w:rPr>
        <w:t xml:space="preserve">, </w:t>
      </w:r>
      <w:r w:rsidR="001F63CF" w:rsidRPr="006953EA">
        <w:rPr>
          <w:rStyle w:val="EndnoteReference"/>
          <w:rFonts w:ascii="Arno Pro" w:hAnsi="Arno Pro"/>
          <w:i/>
          <w:iCs/>
          <w:sz w:val="17"/>
          <w:vertAlign w:val="baseline"/>
        </w:rPr>
        <w:t>25</w:t>
      </w:r>
      <w:r w:rsidR="001F63CF" w:rsidRPr="006953EA">
        <w:rPr>
          <w:rStyle w:val="EndnoteReference"/>
          <w:rFonts w:ascii="Arno Pro" w:hAnsi="Arno Pro"/>
          <w:sz w:val="17"/>
          <w:vertAlign w:val="baseline"/>
        </w:rPr>
        <w:t>, 7-36. DOI: 10.1146/annurev.ms.25.080195.000255</w:t>
      </w:r>
    </w:p>
  </w:endnote>
  <w:endnote w:id="25">
    <w:p w14:paraId="302FC88E" w14:textId="2C1A60C9" w:rsidR="003C3037" w:rsidRDefault="003C3037" w:rsidP="00985ED5">
      <w:pPr>
        <w:pStyle w:val="TFReferencesSection"/>
      </w:pPr>
      <w:r w:rsidRPr="009853A9">
        <w:rPr>
          <w:rStyle w:val="EndnoteReference"/>
          <w:rFonts w:ascii="Arno Pro" w:hAnsi="Arno Pro"/>
          <w:sz w:val="17"/>
          <w:vertAlign w:val="baseline"/>
        </w:rPr>
        <w:endnoteRef/>
      </w:r>
      <w:r w:rsidRPr="009853A9">
        <w:rPr>
          <w:vertAlign w:val="superscript"/>
        </w:rPr>
        <w:t xml:space="preserve"> </w:t>
      </w:r>
      <w:r w:rsidRPr="009853A9">
        <w:t>Reid, S. M.; Mague, J. T.; Fink, M. J.</w:t>
      </w:r>
      <w:r w:rsidR="00FE6B58">
        <w:t xml:space="preserve"> Facile Reductive Elimination of Ethane from Strained </w:t>
      </w:r>
      <w:proofErr w:type="gramStart"/>
      <w:r w:rsidR="00FE6B58">
        <w:t>Dimethylpalladium(</w:t>
      </w:r>
      <w:proofErr w:type="gramEnd"/>
      <w:r w:rsidR="00FE6B58">
        <w:t>II) Complexes.</w:t>
      </w:r>
      <w:r w:rsidRPr="009853A9">
        <w:t xml:space="preserve"> </w:t>
      </w:r>
      <w:r w:rsidR="00E95E58">
        <w:rPr>
          <w:i/>
          <w:iCs/>
        </w:rPr>
        <w:t>J. Am. Chem. Soc.</w:t>
      </w:r>
      <w:r w:rsidRPr="009853A9">
        <w:t xml:space="preserve"> </w:t>
      </w:r>
      <w:r w:rsidRPr="009853A9">
        <w:rPr>
          <w:b/>
          <w:bCs/>
        </w:rPr>
        <w:t>2001</w:t>
      </w:r>
      <w:r w:rsidRPr="009853A9">
        <w:t>,</w:t>
      </w:r>
      <w:r w:rsidR="000C22E2">
        <w:rPr>
          <w:i/>
          <w:iCs/>
        </w:rPr>
        <w:t xml:space="preserve"> </w:t>
      </w:r>
      <w:r w:rsidRPr="009853A9">
        <w:rPr>
          <w:i/>
          <w:iCs/>
        </w:rPr>
        <w:t>123</w:t>
      </w:r>
      <w:r w:rsidRPr="009853A9">
        <w:t>, 4081</w:t>
      </w:r>
      <w:r w:rsidR="00C9290A" w:rsidRPr="002E3220">
        <w:t>-4082</w:t>
      </w:r>
      <w:r w:rsidRPr="009853A9">
        <w:t>.</w:t>
      </w:r>
      <w:r w:rsidR="00390F05" w:rsidRPr="002E3220">
        <w:t xml:space="preserve"> DOI: 10.1021/ja0056062</w:t>
      </w:r>
    </w:p>
  </w:endnote>
  <w:endnote w:id="26">
    <w:p w14:paraId="3A4A93C5" w14:textId="4D1B2D17" w:rsidR="00603304" w:rsidRPr="006953EA" w:rsidRDefault="00603304" w:rsidP="006953EA">
      <w:pPr>
        <w:pStyle w:val="EndnoteText"/>
        <w:ind w:firstLine="180"/>
        <w:rPr>
          <w:rStyle w:val="EndnoteReference"/>
          <w:rFonts w:ascii="Arno Pro" w:hAnsi="Arno Pro"/>
          <w:kern w:val="19"/>
          <w:sz w:val="17"/>
          <w:szCs w:val="17"/>
          <w:vertAlign w:val="baseline"/>
        </w:rPr>
      </w:pPr>
      <w:r w:rsidRPr="006953EA">
        <w:rPr>
          <w:rStyle w:val="EndnoteReference"/>
          <w:rFonts w:ascii="Arno Pro" w:hAnsi="Arno Pro"/>
          <w:kern w:val="19"/>
          <w:sz w:val="17"/>
          <w:szCs w:val="17"/>
          <w:vertAlign w:val="baseline"/>
        </w:rPr>
        <w:endnoteRef/>
      </w:r>
      <w:r w:rsidR="4ABCE378" w:rsidRPr="006953EA">
        <w:rPr>
          <w:rStyle w:val="EndnoteReference"/>
          <w:rFonts w:ascii="Arno Pro" w:hAnsi="Arno Pro"/>
          <w:kern w:val="19"/>
          <w:sz w:val="17"/>
          <w:szCs w:val="17"/>
          <w:vertAlign w:val="baseline"/>
        </w:rPr>
        <w:t xml:space="preserve"> Zins, E.-L.; Silvi, B.; Alikhani, M. E. Activation of C-H and B-H Bonds Through Agostic Bonding: an ELF/QTAIM Insight. </w:t>
      </w:r>
      <w:r w:rsidR="4ABCE378" w:rsidRPr="008854D5">
        <w:rPr>
          <w:rStyle w:val="EndnoteReference"/>
          <w:rFonts w:ascii="Arno Pro" w:hAnsi="Arno Pro"/>
          <w:i/>
          <w:iCs/>
          <w:kern w:val="19"/>
          <w:sz w:val="17"/>
          <w:szCs w:val="17"/>
          <w:vertAlign w:val="baseline"/>
        </w:rPr>
        <w:t>Phys. Chem. Chem. Phys.</w:t>
      </w:r>
      <w:r w:rsidR="4ABCE378" w:rsidRPr="006953EA">
        <w:rPr>
          <w:rStyle w:val="EndnoteReference"/>
          <w:rFonts w:ascii="Arno Pro" w:hAnsi="Arno Pro"/>
          <w:kern w:val="19"/>
          <w:sz w:val="17"/>
          <w:szCs w:val="17"/>
          <w:vertAlign w:val="baseline"/>
        </w:rPr>
        <w:t xml:space="preserve"> </w:t>
      </w:r>
      <w:r w:rsidR="4ABCE378" w:rsidRPr="008854D5">
        <w:rPr>
          <w:rStyle w:val="EndnoteReference"/>
          <w:rFonts w:ascii="Arno Pro" w:hAnsi="Arno Pro"/>
          <w:b/>
          <w:bCs/>
          <w:kern w:val="19"/>
          <w:sz w:val="17"/>
          <w:szCs w:val="17"/>
          <w:vertAlign w:val="baseline"/>
        </w:rPr>
        <w:t>2015</w:t>
      </w:r>
      <w:r w:rsidR="4ABCE378" w:rsidRPr="006953EA">
        <w:rPr>
          <w:rStyle w:val="EndnoteReference"/>
          <w:rFonts w:ascii="Arno Pro" w:hAnsi="Arno Pro"/>
          <w:kern w:val="19"/>
          <w:sz w:val="17"/>
          <w:szCs w:val="17"/>
          <w:vertAlign w:val="baseline"/>
        </w:rPr>
        <w:t xml:space="preserve">, </w:t>
      </w:r>
      <w:r w:rsidR="4ABCE378" w:rsidRPr="008854D5">
        <w:rPr>
          <w:rStyle w:val="EndnoteReference"/>
          <w:rFonts w:ascii="Arno Pro" w:hAnsi="Arno Pro"/>
          <w:i/>
          <w:iCs/>
          <w:kern w:val="19"/>
          <w:sz w:val="17"/>
          <w:szCs w:val="17"/>
          <w:vertAlign w:val="baseline"/>
        </w:rPr>
        <w:t>17</w:t>
      </w:r>
      <w:r w:rsidR="4ABCE378" w:rsidRPr="006953EA">
        <w:rPr>
          <w:rStyle w:val="EndnoteReference"/>
          <w:rFonts w:ascii="Arno Pro" w:hAnsi="Arno Pro"/>
          <w:kern w:val="19"/>
          <w:sz w:val="17"/>
          <w:szCs w:val="17"/>
          <w:vertAlign w:val="baseline"/>
        </w:rPr>
        <w:t>, 9258-9281. DOI: 10.1039/c4cp05728g</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Times">
    <w:altName w:val="Times New Roman"/>
    <w:panose1 w:val="00000500000000020000"/>
    <w:charset w:val="00"/>
    <w:family w:val="auto"/>
    <w:pitch w:val="variable"/>
    <w:sig w:usb0="E00002FF" w:usb1="5000205A" w:usb2="00000000" w:usb3="00000000" w:csb0="0000019F" w:csb1="00000000"/>
  </w:font>
  <w:font w:name="Myriad Pro Light">
    <w:altName w:val="Segoe UI Light"/>
    <w:panose1 w:val="020B0604020202020204"/>
    <w:charset w:val="00"/>
    <w:family w:val="swiss"/>
    <w:notTrueType/>
    <w:pitch w:val="variable"/>
    <w:sig w:usb0="A00002AF" w:usb1="5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no Pro">
    <w:altName w:val="Times New Roman"/>
    <w:panose1 w:val="020B0604020202020204"/>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no Pro Bold">
    <w:altName w:val="Helvetica Neue"/>
    <w:panose1 w:val="020B0604020202020204"/>
    <w:charset w:val="00"/>
    <w:family w:val="auto"/>
    <w:pitch w:val="variable"/>
    <w:sig w:usb0="03000000"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6309329"/>
      <w:docPartObj>
        <w:docPartGallery w:val="Page Numbers (Bottom of Page)"/>
        <w:docPartUnique/>
      </w:docPartObj>
    </w:sdtPr>
    <w:sdtEndPr>
      <w:rPr>
        <w:rStyle w:val="PageNumber"/>
      </w:rPr>
    </w:sdtEndPr>
    <w:sdtContent>
      <w:p w14:paraId="4A369162" w14:textId="4565353A" w:rsidR="009A6D96" w:rsidRDefault="009A6D96" w:rsidP="0012676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E9EC14" w14:textId="77777777" w:rsidR="00BF43EF" w:rsidRDefault="00BF43EF" w:rsidP="00A113BE">
    <w:pPr>
      <w:framePr w:wrap="around" w:vAnchor="text" w:hAnchor="margin" w:xAlign="right" w:y="1"/>
      <w:ind w:right="360"/>
      <w:rPr>
        <w:rStyle w:val="PageNumber"/>
      </w:rPr>
    </w:pPr>
    <w:r>
      <w:rPr>
        <w:rStyle w:val="PageNumber"/>
      </w:rPr>
      <w:t xml:space="preserve">PAGE  </w:t>
    </w:r>
    <w:r>
      <w:rPr>
        <w:rStyle w:val="PageNumber"/>
        <w:noProof/>
      </w:rPr>
      <w:t>2</w:t>
    </w:r>
  </w:p>
  <w:p w14:paraId="1612AC1C" w14:textId="77777777" w:rsidR="00BF43EF" w:rsidRDefault="00BF43EF">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44505671"/>
      <w:docPartObj>
        <w:docPartGallery w:val="Page Numbers (Bottom of Page)"/>
        <w:docPartUnique/>
      </w:docPartObj>
    </w:sdtPr>
    <w:sdtEndPr>
      <w:rPr>
        <w:rStyle w:val="PageNumber"/>
      </w:rPr>
    </w:sdtEndPr>
    <w:sdtContent>
      <w:p w14:paraId="4A6C22C9" w14:textId="5403B5A8" w:rsidR="009A6D96" w:rsidRDefault="009A6D96" w:rsidP="0012676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67168A81" w14:textId="77777777" w:rsidR="00BF43EF" w:rsidRDefault="00BF43EF">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2F74E" w14:textId="77777777" w:rsidR="00BF43EF" w:rsidRDefault="00BF43E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9C61D03" w14:textId="77777777" w:rsidR="00BF43EF" w:rsidRDefault="00BF43EF">
    <w:pPr>
      <w:pStyle w:val="Footer"/>
      <w:ind w:right="360"/>
    </w:pPr>
  </w:p>
  <w:p w14:paraId="5053E657" w14:textId="77777777" w:rsidR="00BF43EF" w:rsidRDefault="00BF43E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94917" w14:textId="77777777" w:rsidR="00BF43EF" w:rsidRDefault="00BF43E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2122C">
      <w:rPr>
        <w:rStyle w:val="PageNumber"/>
        <w:noProof/>
      </w:rPr>
      <w:t>5</w:t>
    </w:r>
    <w:r>
      <w:rPr>
        <w:rStyle w:val="PageNumber"/>
      </w:rPr>
      <w:fldChar w:fldCharType="end"/>
    </w:r>
  </w:p>
  <w:p w14:paraId="72D5F216" w14:textId="77777777" w:rsidR="00BF43EF" w:rsidRDefault="00BF43EF">
    <w:pPr>
      <w:pStyle w:val="Footer"/>
      <w:ind w:right="360"/>
    </w:pPr>
  </w:p>
  <w:p w14:paraId="14B52411" w14:textId="77777777" w:rsidR="00BF43EF" w:rsidRDefault="00BF43E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82C582" w14:textId="77777777" w:rsidR="00F35914" w:rsidRDefault="00F35914">
      <w:r>
        <w:separator/>
      </w:r>
    </w:p>
    <w:p w14:paraId="49DFD56E" w14:textId="77777777" w:rsidR="00F35914" w:rsidRDefault="00F35914"/>
  </w:footnote>
  <w:footnote w:type="continuationSeparator" w:id="0">
    <w:p w14:paraId="7E19E97E" w14:textId="77777777" w:rsidR="00F35914" w:rsidRDefault="00F35914">
      <w:r>
        <w:continuationSeparator/>
      </w:r>
    </w:p>
    <w:p w14:paraId="431F74EB" w14:textId="77777777" w:rsidR="00F35914" w:rsidRDefault="00F3591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9378A" w14:textId="77777777" w:rsidR="00DD4C97" w:rsidRDefault="00DD4C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02D06" w14:textId="77777777" w:rsidR="00BF43EF" w:rsidRDefault="00BF43E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2"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4" w15:restartNumberingAfterBreak="0">
    <w:nsid w:val="39BB7A23"/>
    <w:multiLevelType w:val="hybridMultilevel"/>
    <w:tmpl w:val="4B8EE836"/>
    <w:lvl w:ilvl="0" w:tplc="5DBEC1BE">
      <w:start w:val="1"/>
      <w:numFmt w:val="lowerLetter"/>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5"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6"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16cid:durableId="798760592">
    <w:abstractNumId w:val="5"/>
  </w:num>
  <w:num w:numId="2" w16cid:durableId="190148458">
    <w:abstractNumId w:val="2"/>
  </w:num>
  <w:num w:numId="3" w16cid:durableId="1710379165">
    <w:abstractNumId w:val="6"/>
  </w:num>
  <w:num w:numId="4" w16cid:durableId="1902980165">
    <w:abstractNumId w:val="3"/>
  </w:num>
  <w:num w:numId="5" w16cid:durableId="1606502507">
    <w:abstractNumId w:val="1"/>
  </w:num>
  <w:num w:numId="6" w16cid:durableId="2068601667">
    <w:abstractNumId w:val="0"/>
  </w:num>
  <w:num w:numId="7" w16cid:durableId="190220790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autoHyphenation/>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pos w:val="beneathText"/>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MacDisableGlyphATSUI" w:val="0"/>
  </w:docVars>
  <w:rsids>
    <w:rsidRoot w:val="00A31EB5"/>
    <w:rsid w:val="00000C2E"/>
    <w:rsid w:val="00000D68"/>
    <w:rsid w:val="00000FD0"/>
    <w:rsid w:val="000017DF"/>
    <w:rsid w:val="00001A03"/>
    <w:rsid w:val="00003718"/>
    <w:rsid w:val="000039B2"/>
    <w:rsid w:val="00004357"/>
    <w:rsid w:val="00004FDD"/>
    <w:rsid w:val="00006FA9"/>
    <w:rsid w:val="00010AF1"/>
    <w:rsid w:val="0001547A"/>
    <w:rsid w:val="000165AF"/>
    <w:rsid w:val="00016D9E"/>
    <w:rsid w:val="000176A8"/>
    <w:rsid w:val="000203EE"/>
    <w:rsid w:val="00021320"/>
    <w:rsid w:val="000241B6"/>
    <w:rsid w:val="00026746"/>
    <w:rsid w:val="0002775B"/>
    <w:rsid w:val="0002780C"/>
    <w:rsid w:val="00030263"/>
    <w:rsid w:val="00031CDB"/>
    <w:rsid w:val="00031F75"/>
    <w:rsid w:val="00032271"/>
    <w:rsid w:val="0003252F"/>
    <w:rsid w:val="0003302D"/>
    <w:rsid w:val="0003311E"/>
    <w:rsid w:val="00033E14"/>
    <w:rsid w:val="000342E1"/>
    <w:rsid w:val="0003525D"/>
    <w:rsid w:val="00036878"/>
    <w:rsid w:val="0004007C"/>
    <w:rsid w:val="00040F14"/>
    <w:rsid w:val="000440AE"/>
    <w:rsid w:val="000449D0"/>
    <w:rsid w:val="00045FD3"/>
    <w:rsid w:val="0004672C"/>
    <w:rsid w:val="000469E3"/>
    <w:rsid w:val="0004703D"/>
    <w:rsid w:val="00047A23"/>
    <w:rsid w:val="000506D5"/>
    <w:rsid w:val="00050ECD"/>
    <w:rsid w:val="000525B1"/>
    <w:rsid w:val="00052874"/>
    <w:rsid w:val="0005385F"/>
    <w:rsid w:val="00053E63"/>
    <w:rsid w:val="00054AAB"/>
    <w:rsid w:val="00054B7C"/>
    <w:rsid w:val="00054BE3"/>
    <w:rsid w:val="00054FC4"/>
    <w:rsid w:val="00066ED7"/>
    <w:rsid w:val="000700A9"/>
    <w:rsid w:val="0007180D"/>
    <w:rsid w:val="00073D20"/>
    <w:rsid w:val="000746A8"/>
    <w:rsid w:val="00074C20"/>
    <w:rsid w:val="00075255"/>
    <w:rsid w:val="00076927"/>
    <w:rsid w:val="00077623"/>
    <w:rsid w:val="00081170"/>
    <w:rsid w:val="00081494"/>
    <w:rsid w:val="000817F1"/>
    <w:rsid w:val="00081BFC"/>
    <w:rsid w:val="00082145"/>
    <w:rsid w:val="00082BEA"/>
    <w:rsid w:val="00083217"/>
    <w:rsid w:val="00083E4E"/>
    <w:rsid w:val="00085786"/>
    <w:rsid w:val="00086779"/>
    <w:rsid w:val="0009158E"/>
    <w:rsid w:val="0009194C"/>
    <w:rsid w:val="00092000"/>
    <w:rsid w:val="0009208D"/>
    <w:rsid w:val="000940CD"/>
    <w:rsid w:val="0009673E"/>
    <w:rsid w:val="0009743A"/>
    <w:rsid w:val="000A0AC0"/>
    <w:rsid w:val="000A1099"/>
    <w:rsid w:val="000A180A"/>
    <w:rsid w:val="000A2196"/>
    <w:rsid w:val="000A2201"/>
    <w:rsid w:val="000A33D7"/>
    <w:rsid w:val="000A3D22"/>
    <w:rsid w:val="000A442F"/>
    <w:rsid w:val="000A77CA"/>
    <w:rsid w:val="000B0D06"/>
    <w:rsid w:val="000B0EA4"/>
    <w:rsid w:val="000B122C"/>
    <w:rsid w:val="000B2A13"/>
    <w:rsid w:val="000B32C5"/>
    <w:rsid w:val="000B43F7"/>
    <w:rsid w:val="000B4476"/>
    <w:rsid w:val="000B5E8C"/>
    <w:rsid w:val="000B6063"/>
    <w:rsid w:val="000B784C"/>
    <w:rsid w:val="000C0C42"/>
    <w:rsid w:val="000C22E2"/>
    <w:rsid w:val="000C3BE9"/>
    <w:rsid w:val="000C4EBF"/>
    <w:rsid w:val="000C7035"/>
    <w:rsid w:val="000D0404"/>
    <w:rsid w:val="000D244B"/>
    <w:rsid w:val="000D2B33"/>
    <w:rsid w:val="000D660F"/>
    <w:rsid w:val="000D79FB"/>
    <w:rsid w:val="000E0B6E"/>
    <w:rsid w:val="000E117E"/>
    <w:rsid w:val="000E1428"/>
    <w:rsid w:val="000E1505"/>
    <w:rsid w:val="000E380D"/>
    <w:rsid w:val="000E3FD7"/>
    <w:rsid w:val="000E48C7"/>
    <w:rsid w:val="000E5DC1"/>
    <w:rsid w:val="000E740C"/>
    <w:rsid w:val="000E7CC4"/>
    <w:rsid w:val="000F3696"/>
    <w:rsid w:val="000F3B8F"/>
    <w:rsid w:val="000F4F53"/>
    <w:rsid w:val="000F4FD2"/>
    <w:rsid w:val="000F5F4F"/>
    <w:rsid w:val="001036D9"/>
    <w:rsid w:val="001056CC"/>
    <w:rsid w:val="00105C9E"/>
    <w:rsid w:val="00106B14"/>
    <w:rsid w:val="001075A5"/>
    <w:rsid w:val="0011027D"/>
    <w:rsid w:val="00111905"/>
    <w:rsid w:val="001119C0"/>
    <w:rsid w:val="00111BFA"/>
    <w:rsid w:val="0011203D"/>
    <w:rsid w:val="00112534"/>
    <w:rsid w:val="001125E2"/>
    <w:rsid w:val="00113B98"/>
    <w:rsid w:val="00115195"/>
    <w:rsid w:val="00115AD9"/>
    <w:rsid w:val="00115D45"/>
    <w:rsid w:val="00117D91"/>
    <w:rsid w:val="00117E4B"/>
    <w:rsid w:val="00120A2E"/>
    <w:rsid w:val="0012111F"/>
    <w:rsid w:val="001242B5"/>
    <w:rsid w:val="00124D1D"/>
    <w:rsid w:val="00125320"/>
    <w:rsid w:val="00126C85"/>
    <w:rsid w:val="001274E0"/>
    <w:rsid w:val="00127DE0"/>
    <w:rsid w:val="0013169C"/>
    <w:rsid w:val="00131E2C"/>
    <w:rsid w:val="001336E9"/>
    <w:rsid w:val="00134F28"/>
    <w:rsid w:val="00135337"/>
    <w:rsid w:val="00135C3D"/>
    <w:rsid w:val="001367FC"/>
    <w:rsid w:val="001370DB"/>
    <w:rsid w:val="00137D10"/>
    <w:rsid w:val="00140D08"/>
    <w:rsid w:val="0014482B"/>
    <w:rsid w:val="00145597"/>
    <w:rsid w:val="00146361"/>
    <w:rsid w:val="00146D9F"/>
    <w:rsid w:val="0015030C"/>
    <w:rsid w:val="00150FE1"/>
    <w:rsid w:val="001514BA"/>
    <w:rsid w:val="00152341"/>
    <w:rsid w:val="00157272"/>
    <w:rsid w:val="00163C91"/>
    <w:rsid w:val="00163F9C"/>
    <w:rsid w:val="00164F49"/>
    <w:rsid w:val="00165511"/>
    <w:rsid w:val="001657CA"/>
    <w:rsid w:val="00166386"/>
    <w:rsid w:val="00170553"/>
    <w:rsid w:val="00170700"/>
    <w:rsid w:val="00170708"/>
    <w:rsid w:val="00171C76"/>
    <w:rsid w:val="00172943"/>
    <w:rsid w:val="001729ED"/>
    <w:rsid w:val="001733A3"/>
    <w:rsid w:val="001743DF"/>
    <w:rsid w:val="00181743"/>
    <w:rsid w:val="00181DB4"/>
    <w:rsid w:val="001824DD"/>
    <w:rsid w:val="00182C59"/>
    <w:rsid w:val="00183D64"/>
    <w:rsid w:val="001843D0"/>
    <w:rsid w:val="001857B0"/>
    <w:rsid w:val="00185D37"/>
    <w:rsid w:val="00185E36"/>
    <w:rsid w:val="001900F4"/>
    <w:rsid w:val="001906DE"/>
    <w:rsid w:val="001926A3"/>
    <w:rsid w:val="00192C94"/>
    <w:rsid w:val="001943FB"/>
    <w:rsid w:val="001970D2"/>
    <w:rsid w:val="001A0534"/>
    <w:rsid w:val="001A13CB"/>
    <w:rsid w:val="001A18B4"/>
    <w:rsid w:val="001A5B47"/>
    <w:rsid w:val="001A6B85"/>
    <w:rsid w:val="001B0E0E"/>
    <w:rsid w:val="001B1CF9"/>
    <w:rsid w:val="001B1EA3"/>
    <w:rsid w:val="001B4727"/>
    <w:rsid w:val="001B5447"/>
    <w:rsid w:val="001B6CCA"/>
    <w:rsid w:val="001B799D"/>
    <w:rsid w:val="001C025C"/>
    <w:rsid w:val="001C05D1"/>
    <w:rsid w:val="001C1478"/>
    <w:rsid w:val="001C19B5"/>
    <w:rsid w:val="001C1A2F"/>
    <w:rsid w:val="001C2316"/>
    <w:rsid w:val="001C2E45"/>
    <w:rsid w:val="001C3689"/>
    <w:rsid w:val="001C436C"/>
    <w:rsid w:val="001C448C"/>
    <w:rsid w:val="001C519E"/>
    <w:rsid w:val="001D052A"/>
    <w:rsid w:val="001D210E"/>
    <w:rsid w:val="001D25F1"/>
    <w:rsid w:val="001D2A18"/>
    <w:rsid w:val="001D2C9C"/>
    <w:rsid w:val="001D4077"/>
    <w:rsid w:val="001D488B"/>
    <w:rsid w:val="001D4992"/>
    <w:rsid w:val="001D4B11"/>
    <w:rsid w:val="001D5298"/>
    <w:rsid w:val="001D5676"/>
    <w:rsid w:val="001E0EBB"/>
    <w:rsid w:val="001E2C41"/>
    <w:rsid w:val="001E3215"/>
    <w:rsid w:val="001E340B"/>
    <w:rsid w:val="001E4FE8"/>
    <w:rsid w:val="001E5B13"/>
    <w:rsid w:val="001E5CF6"/>
    <w:rsid w:val="001E68FA"/>
    <w:rsid w:val="001E6BFE"/>
    <w:rsid w:val="001F166E"/>
    <w:rsid w:val="001F24D8"/>
    <w:rsid w:val="001F3C4C"/>
    <w:rsid w:val="001F3D3D"/>
    <w:rsid w:val="001F42D9"/>
    <w:rsid w:val="001F4737"/>
    <w:rsid w:val="001F48FC"/>
    <w:rsid w:val="001F6096"/>
    <w:rsid w:val="001F63CF"/>
    <w:rsid w:val="001F7FB5"/>
    <w:rsid w:val="002024E0"/>
    <w:rsid w:val="002066C3"/>
    <w:rsid w:val="00207012"/>
    <w:rsid w:val="0021058B"/>
    <w:rsid w:val="00212B0E"/>
    <w:rsid w:val="00212C42"/>
    <w:rsid w:val="0021403D"/>
    <w:rsid w:val="002140A5"/>
    <w:rsid w:val="00214184"/>
    <w:rsid w:val="002149C6"/>
    <w:rsid w:val="00215B58"/>
    <w:rsid w:val="00216DE3"/>
    <w:rsid w:val="00220511"/>
    <w:rsid w:val="002212F5"/>
    <w:rsid w:val="00223038"/>
    <w:rsid w:val="00224159"/>
    <w:rsid w:val="00224C6B"/>
    <w:rsid w:val="00227058"/>
    <w:rsid w:val="002302B7"/>
    <w:rsid w:val="002309A5"/>
    <w:rsid w:val="00230F4E"/>
    <w:rsid w:val="002319FE"/>
    <w:rsid w:val="00231E73"/>
    <w:rsid w:val="00233742"/>
    <w:rsid w:val="00234569"/>
    <w:rsid w:val="002350D9"/>
    <w:rsid w:val="00235852"/>
    <w:rsid w:val="002377DD"/>
    <w:rsid w:val="002409C9"/>
    <w:rsid w:val="00242D69"/>
    <w:rsid w:val="00243D99"/>
    <w:rsid w:val="00244E1A"/>
    <w:rsid w:val="002469EA"/>
    <w:rsid w:val="00246DD0"/>
    <w:rsid w:val="00247933"/>
    <w:rsid w:val="00247BA3"/>
    <w:rsid w:val="00251247"/>
    <w:rsid w:val="00251588"/>
    <w:rsid w:val="00251630"/>
    <w:rsid w:val="00252847"/>
    <w:rsid w:val="00252962"/>
    <w:rsid w:val="00252AAD"/>
    <w:rsid w:val="00254CD0"/>
    <w:rsid w:val="002569A1"/>
    <w:rsid w:val="002612FF"/>
    <w:rsid w:val="00263402"/>
    <w:rsid w:val="0026555C"/>
    <w:rsid w:val="00265EA0"/>
    <w:rsid w:val="00267225"/>
    <w:rsid w:val="002700FA"/>
    <w:rsid w:val="0027355C"/>
    <w:rsid w:val="00275574"/>
    <w:rsid w:val="00275DF9"/>
    <w:rsid w:val="00276BB5"/>
    <w:rsid w:val="00276D3C"/>
    <w:rsid w:val="00277CF3"/>
    <w:rsid w:val="00281A63"/>
    <w:rsid w:val="00281DD5"/>
    <w:rsid w:val="002831BB"/>
    <w:rsid w:val="00291606"/>
    <w:rsid w:val="002957F9"/>
    <w:rsid w:val="00296DE0"/>
    <w:rsid w:val="0029789A"/>
    <w:rsid w:val="002A126A"/>
    <w:rsid w:val="002A2D80"/>
    <w:rsid w:val="002A3933"/>
    <w:rsid w:val="002A4435"/>
    <w:rsid w:val="002A4C24"/>
    <w:rsid w:val="002A613A"/>
    <w:rsid w:val="002A6B12"/>
    <w:rsid w:val="002A6CDC"/>
    <w:rsid w:val="002A75FC"/>
    <w:rsid w:val="002B1F0D"/>
    <w:rsid w:val="002B3FFF"/>
    <w:rsid w:val="002B4ABE"/>
    <w:rsid w:val="002B66F8"/>
    <w:rsid w:val="002B77FC"/>
    <w:rsid w:val="002B792D"/>
    <w:rsid w:val="002B7F47"/>
    <w:rsid w:val="002C2157"/>
    <w:rsid w:val="002C3341"/>
    <w:rsid w:val="002C4544"/>
    <w:rsid w:val="002C4E4C"/>
    <w:rsid w:val="002C526C"/>
    <w:rsid w:val="002C6247"/>
    <w:rsid w:val="002C6754"/>
    <w:rsid w:val="002C7E83"/>
    <w:rsid w:val="002D1617"/>
    <w:rsid w:val="002D195F"/>
    <w:rsid w:val="002D2787"/>
    <w:rsid w:val="002D3A57"/>
    <w:rsid w:val="002D3F7C"/>
    <w:rsid w:val="002D418A"/>
    <w:rsid w:val="002D75A1"/>
    <w:rsid w:val="002D7D29"/>
    <w:rsid w:val="002D7F2F"/>
    <w:rsid w:val="002E2F33"/>
    <w:rsid w:val="002E3220"/>
    <w:rsid w:val="002E3588"/>
    <w:rsid w:val="002E43E8"/>
    <w:rsid w:val="002E5395"/>
    <w:rsid w:val="002E54D8"/>
    <w:rsid w:val="002E7021"/>
    <w:rsid w:val="002E7372"/>
    <w:rsid w:val="002E7715"/>
    <w:rsid w:val="002E7FEE"/>
    <w:rsid w:val="002F123A"/>
    <w:rsid w:val="002F1C1C"/>
    <w:rsid w:val="002F20EB"/>
    <w:rsid w:val="002F265E"/>
    <w:rsid w:val="002F35E7"/>
    <w:rsid w:val="002F4411"/>
    <w:rsid w:val="002F4581"/>
    <w:rsid w:val="002F4A8D"/>
    <w:rsid w:val="002F4DB4"/>
    <w:rsid w:val="002F716C"/>
    <w:rsid w:val="003003C3"/>
    <w:rsid w:val="00300B61"/>
    <w:rsid w:val="003010F9"/>
    <w:rsid w:val="0030326F"/>
    <w:rsid w:val="003041B3"/>
    <w:rsid w:val="0030467B"/>
    <w:rsid w:val="0030471A"/>
    <w:rsid w:val="003077DF"/>
    <w:rsid w:val="00311755"/>
    <w:rsid w:val="0031267E"/>
    <w:rsid w:val="00313D9C"/>
    <w:rsid w:val="0031553A"/>
    <w:rsid w:val="0031553C"/>
    <w:rsid w:val="00315FE1"/>
    <w:rsid w:val="0031660E"/>
    <w:rsid w:val="00316D01"/>
    <w:rsid w:val="00317935"/>
    <w:rsid w:val="00317E08"/>
    <w:rsid w:val="00321AC4"/>
    <w:rsid w:val="00322180"/>
    <w:rsid w:val="00322C28"/>
    <w:rsid w:val="00323113"/>
    <w:rsid w:val="0032376C"/>
    <w:rsid w:val="00324060"/>
    <w:rsid w:val="003302F9"/>
    <w:rsid w:val="0033038B"/>
    <w:rsid w:val="00330E2F"/>
    <w:rsid w:val="003316CD"/>
    <w:rsid w:val="00332978"/>
    <w:rsid w:val="00334A31"/>
    <w:rsid w:val="00335004"/>
    <w:rsid w:val="00335EFF"/>
    <w:rsid w:val="003364A6"/>
    <w:rsid w:val="00337344"/>
    <w:rsid w:val="003376F6"/>
    <w:rsid w:val="003400A5"/>
    <w:rsid w:val="00340DF5"/>
    <w:rsid w:val="00340E87"/>
    <w:rsid w:val="00343817"/>
    <w:rsid w:val="003457FE"/>
    <w:rsid w:val="00345A7A"/>
    <w:rsid w:val="0034611D"/>
    <w:rsid w:val="0034674D"/>
    <w:rsid w:val="00350E16"/>
    <w:rsid w:val="00351599"/>
    <w:rsid w:val="00353204"/>
    <w:rsid w:val="00353751"/>
    <w:rsid w:val="003541BD"/>
    <w:rsid w:val="00354DA7"/>
    <w:rsid w:val="0035587C"/>
    <w:rsid w:val="00356C4D"/>
    <w:rsid w:val="0035760D"/>
    <w:rsid w:val="0036122D"/>
    <w:rsid w:val="00362CCA"/>
    <w:rsid w:val="00363148"/>
    <w:rsid w:val="00363641"/>
    <w:rsid w:val="00363DC1"/>
    <w:rsid w:val="003655D5"/>
    <w:rsid w:val="0036582E"/>
    <w:rsid w:val="00371839"/>
    <w:rsid w:val="0037295C"/>
    <w:rsid w:val="003732B6"/>
    <w:rsid w:val="0037346F"/>
    <w:rsid w:val="00373562"/>
    <w:rsid w:val="00373ADF"/>
    <w:rsid w:val="00375274"/>
    <w:rsid w:val="00375AEC"/>
    <w:rsid w:val="00380630"/>
    <w:rsid w:val="003810B9"/>
    <w:rsid w:val="0038193E"/>
    <w:rsid w:val="003821A6"/>
    <w:rsid w:val="00384025"/>
    <w:rsid w:val="003849B5"/>
    <w:rsid w:val="00385E4A"/>
    <w:rsid w:val="00387068"/>
    <w:rsid w:val="00387497"/>
    <w:rsid w:val="00390F05"/>
    <w:rsid w:val="003911D3"/>
    <w:rsid w:val="00395D9B"/>
    <w:rsid w:val="00397475"/>
    <w:rsid w:val="003A18C8"/>
    <w:rsid w:val="003A3447"/>
    <w:rsid w:val="003A62B1"/>
    <w:rsid w:val="003A63F6"/>
    <w:rsid w:val="003A6D0F"/>
    <w:rsid w:val="003B11FD"/>
    <w:rsid w:val="003B38BA"/>
    <w:rsid w:val="003B3CA2"/>
    <w:rsid w:val="003B3E38"/>
    <w:rsid w:val="003B45BF"/>
    <w:rsid w:val="003B734A"/>
    <w:rsid w:val="003C0E67"/>
    <w:rsid w:val="003C1971"/>
    <w:rsid w:val="003C201C"/>
    <w:rsid w:val="003C22EC"/>
    <w:rsid w:val="003C3037"/>
    <w:rsid w:val="003C360F"/>
    <w:rsid w:val="003C48B5"/>
    <w:rsid w:val="003C5134"/>
    <w:rsid w:val="003C603E"/>
    <w:rsid w:val="003C6126"/>
    <w:rsid w:val="003C671E"/>
    <w:rsid w:val="003C6FB4"/>
    <w:rsid w:val="003C7E53"/>
    <w:rsid w:val="003C7FC7"/>
    <w:rsid w:val="003D2C84"/>
    <w:rsid w:val="003D314F"/>
    <w:rsid w:val="003D4F9E"/>
    <w:rsid w:val="003D680C"/>
    <w:rsid w:val="003E07C7"/>
    <w:rsid w:val="003E12AA"/>
    <w:rsid w:val="003E53DB"/>
    <w:rsid w:val="003E6CDD"/>
    <w:rsid w:val="003E77DD"/>
    <w:rsid w:val="003E7AC6"/>
    <w:rsid w:val="003F2198"/>
    <w:rsid w:val="003F3CCB"/>
    <w:rsid w:val="003F3FD2"/>
    <w:rsid w:val="003F55EA"/>
    <w:rsid w:val="003F5FB2"/>
    <w:rsid w:val="003F6C1C"/>
    <w:rsid w:val="003F7DCE"/>
    <w:rsid w:val="004007CE"/>
    <w:rsid w:val="00401703"/>
    <w:rsid w:val="004020EE"/>
    <w:rsid w:val="00403147"/>
    <w:rsid w:val="00404FB1"/>
    <w:rsid w:val="004057F0"/>
    <w:rsid w:val="004059EF"/>
    <w:rsid w:val="00414C54"/>
    <w:rsid w:val="004156A4"/>
    <w:rsid w:val="00416099"/>
    <w:rsid w:val="004171AB"/>
    <w:rsid w:val="00422574"/>
    <w:rsid w:val="00422E1A"/>
    <w:rsid w:val="004256E2"/>
    <w:rsid w:val="004267DA"/>
    <w:rsid w:val="00430071"/>
    <w:rsid w:val="0043086A"/>
    <w:rsid w:val="00430C4E"/>
    <w:rsid w:val="0043213C"/>
    <w:rsid w:val="00433ABB"/>
    <w:rsid w:val="00433F1E"/>
    <w:rsid w:val="00434B95"/>
    <w:rsid w:val="00434D9E"/>
    <w:rsid w:val="00434E3B"/>
    <w:rsid w:val="0043738D"/>
    <w:rsid w:val="004375AE"/>
    <w:rsid w:val="00440F9C"/>
    <w:rsid w:val="0044112A"/>
    <w:rsid w:val="004412B9"/>
    <w:rsid w:val="00442004"/>
    <w:rsid w:val="00444118"/>
    <w:rsid w:val="004449C7"/>
    <w:rsid w:val="0044731E"/>
    <w:rsid w:val="004541F1"/>
    <w:rsid w:val="00455B12"/>
    <w:rsid w:val="0046063D"/>
    <w:rsid w:val="00462C1A"/>
    <w:rsid w:val="00463C9A"/>
    <w:rsid w:val="00464E70"/>
    <w:rsid w:val="00465CF2"/>
    <w:rsid w:val="00467144"/>
    <w:rsid w:val="004675DA"/>
    <w:rsid w:val="0047203D"/>
    <w:rsid w:val="00472470"/>
    <w:rsid w:val="00472B91"/>
    <w:rsid w:val="0047394C"/>
    <w:rsid w:val="00473DAB"/>
    <w:rsid w:val="00474A90"/>
    <w:rsid w:val="00475146"/>
    <w:rsid w:val="0047520D"/>
    <w:rsid w:val="0047780B"/>
    <w:rsid w:val="0048021C"/>
    <w:rsid w:val="0048059F"/>
    <w:rsid w:val="00482C2A"/>
    <w:rsid w:val="00485C4C"/>
    <w:rsid w:val="004861A9"/>
    <w:rsid w:val="00486398"/>
    <w:rsid w:val="004869F7"/>
    <w:rsid w:val="00486B07"/>
    <w:rsid w:val="00490444"/>
    <w:rsid w:val="00492701"/>
    <w:rsid w:val="00493619"/>
    <w:rsid w:val="00495315"/>
    <w:rsid w:val="00495C47"/>
    <w:rsid w:val="00496A16"/>
    <w:rsid w:val="004975A6"/>
    <w:rsid w:val="0049767C"/>
    <w:rsid w:val="004A0D77"/>
    <w:rsid w:val="004A18A4"/>
    <w:rsid w:val="004A258D"/>
    <w:rsid w:val="004A4469"/>
    <w:rsid w:val="004A4F68"/>
    <w:rsid w:val="004A5270"/>
    <w:rsid w:val="004A6753"/>
    <w:rsid w:val="004A73A8"/>
    <w:rsid w:val="004A7CAA"/>
    <w:rsid w:val="004B0160"/>
    <w:rsid w:val="004B0168"/>
    <w:rsid w:val="004B0DC9"/>
    <w:rsid w:val="004B150C"/>
    <w:rsid w:val="004B1BBD"/>
    <w:rsid w:val="004B36C3"/>
    <w:rsid w:val="004B3B60"/>
    <w:rsid w:val="004B51CD"/>
    <w:rsid w:val="004C01EF"/>
    <w:rsid w:val="004C177A"/>
    <w:rsid w:val="004C1D31"/>
    <w:rsid w:val="004C3417"/>
    <w:rsid w:val="004C35D7"/>
    <w:rsid w:val="004C4201"/>
    <w:rsid w:val="004C5F1B"/>
    <w:rsid w:val="004D1829"/>
    <w:rsid w:val="004D1B93"/>
    <w:rsid w:val="004D2CEE"/>
    <w:rsid w:val="004D34B1"/>
    <w:rsid w:val="004D4BA7"/>
    <w:rsid w:val="004D4C7D"/>
    <w:rsid w:val="004D52E4"/>
    <w:rsid w:val="004D6356"/>
    <w:rsid w:val="004D68F2"/>
    <w:rsid w:val="004E4E10"/>
    <w:rsid w:val="004E5661"/>
    <w:rsid w:val="004E6E53"/>
    <w:rsid w:val="004F123E"/>
    <w:rsid w:val="004F31C7"/>
    <w:rsid w:val="004F340B"/>
    <w:rsid w:val="004F44E6"/>
    <w:rsid w:val="004F4CA3"/>
    <w:rsid w:val="004F5126"/>
    <w:rsid w:val="004F5524"/>
    <w:rsid w:val="004F6530"/>
    <w:rsid w:val="005025E6"/>
    <w:rsid w:val="00502A36"/>
    <w:rsid w:val="00503077"/>
    <w:rsid w:val="00506096"/>
    <w:rsid w:val="00506F5E"/>
    <w:rsid w:val="005079F4"/>
    <w:rsid w:val="00511F73"/>
    <w:rsid w:val="00513F14"/>
    <w:rsid w:val="00515151"/>
    <w:rsid w:val="00515988"/>
    <w:rsid w:val="00515AB1"/>
    <w:rsid w:val="00515B62"/>
    <w:rsid w:val="00520154"/>
    <w:rsid w:val="00520C36"/>
    <w:rsid w:val="00520DD3"/>
    <w:rsid w:val="00521CF3"/>
    <w:rsid w:val="00522F9C"/>
    <w:rsid w:val="00523900"/>
    <w:rsid w:val="00523EFA"/>
    <w:rsid w:val="00524565"/>
    <w:rsid w:val="005268DA"/>
    <w:rsid w:val="00530F21"/>
    <w:rsid w:val="005310B6"/>
    <w:rsid w:val="0053202B"/>
    <w:rsid w:val="00532F3E"/>
    <w:rsid w:val="00533887"/>
    <w:rsid w:val="00533C88"/>
    <w:rsid w:val="00533F22"/>
    <w:rsid w:val="00534139"/>
    <w:rsid w:val="00534F92"/>
    <w:rsid w:val="0053516D"/>
    <w:rsid w:val="005358B2"/>
    <w:rsid w:val="005369D7"/>
    <w:rsid w:val="00536C64"/>
    <w:rsid w:val="00536F0F"/>
    <w:rsid w:val="00537120"/>
    <w:rsid w:val="005378D8"/>
    <w:rsid w:val="00540839"/>
    <w:rsid w:val="00544651"/>
    <w:rsid w:val="005468B9"/>
    <w:rsid w:val="00552C7B"/>
    <w:rsid w:val="005550C4"/>
    <w:rsid w:val="00555372"/>
    <w:rsid w:val="00555C18"/>
    <w:rsid w:val="00557AEB"/>
    <w:rsid w:val="00557BF9"/>
    <w:rsid w:val="0056039E"/>
    <w:rsid w:val="00560932"/>
    <w:rsid w:val="00561008"/>
    <w:rsid w:val="00561C99"/>
    <w:rsid w:val="00562DB8"/>
    <w:rsid w:val="00563B07"/>
    <w:rsid w:val="00563D21"/>
    <w:rsid w:val="00564AC1"/>
    <w:rsid w:val="00566C23"/>
    <w:rsid w:val="00570559"/>
    <w:rsid w:val="00571E68"/>
    <w:rsid w:val="0057383C"/>
    <w:rsid w:val="00573D40"/>
    <w:rsid w:val="0057452F"/>
    <w:rsid w:val="00576EE7"/>
    <w:rsid w:val="00577667"/>
    <w:rsid w:val="005803A1"/>
    <w:rsid w:val="00580DC3"/>
    <w:rsid w:val="005814BB"/>
    <w:rsid w:val="00582BA8"/>
    <w:rsid w:val="00585351"/>
    <w:rsid w:val="005935AE"/>
    <w:rsid w:val="00593D07"/>
    <w:rsid w:val="0059580F"/>
    <w:rsid w:val="0059584F"/>
    <w:rsid w:val="00596686"/>
    <w:rsid w:val="0059781A"/>
    <w:rsid w:val="005A1256"/>
    <w:rsid w:val="005A128A"/>
    <w:rsid w:val="005A12F7"/>
    <w:rsid w:val="005A15EE"/>
    <w:rsid w:val="005A1875"/>
    <w:rsid w:val="005A210D"/>
    <w:rsid w:val="005A2AAB"/>
    <w:rsid w:val="005A4244"/>
    <w:rsid w:val="005A676C"/>
    <w:rsid w:val="005A6B35"/>
    <w:rsid w:val="005A7D8F"/>
    <w:rsid w:val="005B08FB"/>
    <w:rsid w:val="005B09AB"/>
    <w:rsid w:val="005B0CEA"/>
    <w:rsid w:val="005B0E5A"/>
    <w:rsid w:val="005B34EB"/>
    <w:rsid w:val="005B3FE9"/>
    <w:rsid w:val="005B5199"/>
    <w:rsid w:val="005B70D3"/>
    <w:rsid w:val="005B71D6"/>
    <w:rsid w:val="005B7289"/>
    <w:rsid w:val="005B7DD9"/>
    <w:rsid w:val="005C0C66"/>
    <w:rsid w:val="005C29D5"/>
    <w:rsid w:val="005C52C9"/>
    <w:rsid w:val="005C572F"/>
    <w:rsid w:val="005C5DA3"/>
    <w:rsid w:val="005C6146"/>
    <w:rsid w:val="005D203E"/>
    <w:rsid w:val="005D2FEF"/>
    <w:rsid w:val="005D621D"/>
    <w:rsid w:val="005D6BB0"/>
    <w:rsid w:val="005D7593"/>
    <w:rsid w:val="005E294B"/>
    <w:rsid w:val="005E3EBB"/>
    <w:rsid w:val="005E534D"/>
    <w:rsid w:val="005E6FE0"/>
    <w:rsid w:val="005E7931"/>
    <w:rsid w:val="005F127B"/>
    <w:rsid w:val="005F1318"/>
    <w:rsid w:val="005F19F7"/>
    <w:rsid w:val="005F1F4A"/>
    <w:rsid w:val="005F43F5"/>
    <w:rsid w:val="005F4E10"/>
    <w:rsid w:val="005F570A"/>
    <w:rsid w:val="005F6305"/>
    <w:rsid w:val="005F6569"/>
    <w:rsid w:val="005F7325"/>
    <w:rsid w:val="00600E87"/>
    <w:rsid w:val="00602175"/>
    <w:rsid w:val="00603304"/>
    <w:rsid w:val="00603787"/>
    <w:rsid w:val="00604973"/>
    <w:rsid w:val="006060BD"/>
    <w:rsid w:val="00606549"/>
    <w:rsid w:val="006073E2"/>
    <w:rsid w:val="006116DF"/>
    <w:rsid w:val="006124A2"/>
    <w:rsid w:val="00612896"/>
    <w:rsid w:val="00613274"/>
    <w:rsid w:val="00615CAF"/>
    <w:rsid w:val="00615D33"/>
    <w:rsid w:val="00615D87"/>
    <w:rsid w:val="006171B4"/>
    <w:rsid w:val="00617928"/>
    <w:rsid w:val="00620FF2"/>
    <w:rsid w:val="00621169"/>
    <w:rsid w:val="00621833"/>
    <w:rsid w:val="00622485"/>
    <w:rsid w:val="00622CE3"/>
    <w:rsid w:val="00624103"/>
    <w:rsid w:val="0062460C"/>
    <w:rsid w:val="00626434"/>
    <w:rsid w:val="006275AB"/>
    <w:rsid w:val="00627F1B"/>
    <w:rsid w:val="00631FC6"/>
    <w:rsid w:val="006324F0"/>
    <w:rsid w:val="00633B68"/>
    <w:rsid w:val="00633B80"/>
    <w:rsid w:val="0063496C"/>
    <w:rsid w:val="0063563A"/>
    <w:rsid w:val="006375E9"/>
    <w:rsid w:val="006378AE"/>
    <w:rsid w:val="0063796B"/>
    <w:rsid w:val="006404D0"/>
    <w:rsid w:val="0064472E"/>
    <w:rsid w:val="00644F4F"/>
    <w:rsid w:val="00645193"/>
    <w:rsid w:val="00647667"/>
    <w:rsid w:val="006510F5"/>
    <w:rsid w:val="00651173"/>
    <w:rsid w:val="0065147B"/>
    <w:rsid w:val="00652802"/>
    <w:rsid w:val="00654E41"/>
    <w:rsid w:val="00655A5E"/>
    <w:rsid w:val="00656798"/>
    <w:rsid w:val="006576E1"/>
    <w:rsid w:val="0066146F"/>
    <w:rsid w:val="00662EEF"/>
    <w:rsid w:val="006631DA"/>
    <w:rsid w:val="00663F2E"/>
    <w:rsid w:val="00667DD3"/>
    <w:rsid w:val="00672709"/>
    <w:rsid w:val="00672ED1"/>
    <w:rsid w:val="0067320F"/>
    <w:rsid w:val="006735CB"/>
    <w:rsid w:val="00677127"/>
    <w:rsid w:val="00681F6E"/>
    <w:rsid w:val="006821B2"/>
    <w:rsid w:val="00683C6C"/>
    <w:rsid w:val="00684321"/>
    <w:rsid w:val="0069023B"/>
    <w:rsid w:val="00690E9A"/>
    <w:rsid w:val="00691774"/>
    <w:rsid w:val="006930C8"/>
    <w:rsid w:val="00693147"/>
    <w:rsid w:val="00693D27"/>
    <w:rsid w:val="00693F70"/>
    <w:rsid w:val="006947D6"/>
    <w:rsid w:val="006953EA"/>
    <w:rsid w:val="0069591B"/>
    <w:rsid w:val="00695B34"/>
    <w:rsid w:val="006A007C"/>
    <w:rsid w:val="006A29C2"/>
    <w:rsid w:val="006A4C97"/>
    <w:rsid w:val="006A4E67"/>
    <w:rsid w:val="006A5CF7"/>
    <w:rsid w:val="006A5E67"/>
    <w:rsid w:val="006A6181"/>
    <w:rsid w:val="006A7068"/>
    <w:rsid w:val="006A72FB"/>
    <w:rsid w:val="006A7388"/>
    <w:rsid w:val="006A7DBF"/>
    <w:rsid w:val="006A7F5E"/>
    <w:rsid w:val="006B0B4C"/>
    <w:rsid w:val="006B31F1"/>
    <w:rsid w:val="006B3880"/>
    <w:rsid w:val="006B3F97"/>
    <w:rsid w:val="006B4AF8"/>
    <w:rsid w:val="006B798A"/>
    <w:rsid w:val="006C001B"/>
    <w:rsid w:val="006C0EA5"/>
    <w:rsid w:val="006C2BD4"/>
    <w:rsid w:val="006C3169"/>
    <w:rsid w:val="006C38F1"/>
    <w:rsid w:val="006C4388"/>
    <w:rsid w:val="006C51C7"/>
    <w:rsid w:val="006C570A"/>
    <w:rsid w:val="006C5F2C"/>
    <w:rsid w:val="006C72D7"/>
    <w:rsid w:val="006C7A56"/>
    <w:rsid w:val="006C7BCA"/>
    <w:rsid w:val="006D1C9A"/>
    <w:rsid w:val="006D285A"/>
    <w:rsid w:val="006D43B1"/>
    <w:rsid w:val="006D55C5"/>
    <w:rsid w:val="006D61B7"/>
    <w:rsid w:val="006D7D51"/>
    <w:rsid w:val="006E2983"/>
    <w:rsid w:val="006E3601"/>
    <w:rsid w:val="006E4016"/>
    <w:rsid w:val="006E6902"/>
    <w:rsid w:val="006E74BA"/>
    <w:rsid w:val="006E784E"/>
    <w:rsid w:val="006E7D7A"/>
    <w:rsid w:val="006F287E"/>
    <w:rsid w:val="006F3FEA"/>
    <w:rsid w:val="006F662E"/>
    <w:rsid w:val="00702CCF"/>
    <w:rsid w:val="00702E2E"/>
    <w:rsid w:val="00703C1C"/>
    <w:rsid w:val="00706D6A"/>
    <w:rsid w:val="00706F8B"/>
    <w:rsid w:val="007079CE"/>
    <w:rsid w:val="00707ACD"/>
    <w:rsid w:val="00707EC2"/>
    <w:rsid w:val="007130B7"/>
    <w:rsid w:val="00716896"/>
    <w:rsid w:val="00717088"/>
    <w:rsid w:val="007203BA"/>
    <w:rsid w:val="0072122C"/>
    <w:rsid w:val="007232FC"/>
    <w:rsid w:val="0072392A"/>
    <w:rsid w:val="00723BC6"/>
    <w:rsid w:val="00725637"/>
    <w:rsid w:val="007267CA"/>
    <w:rsid w:val="00726CC1"/>
    <w:rsid w:val="00727AB4"/>
    <w:rsid w:val="007306B7"/>
    <w:rsid w:val="00731611"/>
    <w:rsid w:val="0073299B"/>
    <w:rsid w:val="00732E10"/>
    <w:rsid w:val="00734973"/>
    <w:rsid w:val="0073555E"/>
    <w:rsid w:val="00736BF9"/>
    <w:rsid w:val="00736D6B"/>
    <w:rsid w:val="00736DC1"/>
    <w:rsid w:val="007400D5"/>
    <w:rsid w:val="00740CDC"/>
    <w:rsid w:val="00741C49"/>
    <w:rsid w:val="00744160"/>
    <w:rsid w:val="007462BD"/>
    <w:rsid w:val="00747896"/>
    <w:rsid w:val="00750440"/>
    <w:rsid w:val="00750572"/>
    <w:rsid w:val="007513DD"/>
    <w:rsid w:val="00751883"/>
    <w:rsid w:val="00752979"/>
    <w:rsid w:val="00754C19"/>
    <w:rsid w:val="00755C67"/>
    <w:rsid w:val="007577E6"/>
    <w:rsid w:val="00760A20"/>
    <w:rsid w:val="007616CB"/>
    <w:rsid w:val="007624FC"/>
    <w:rsid w:val="0076381A"/>
    <w:rsid w:val="00763C62"/>
    <w:rsid w:val="00764B19"/>
    <w:rsid w:val="00764CE5"/>
    <w:rsid w:val="007655D9"/>
    <w:rsid w:val="00767FA7"/>
    <w:rsid w:val="007704E1"/>
    <w:rsid w:val="00770683"/>
    <w:rsid w:val="0077436F"/>
    <w:rsid w:val="00775F03"/>
    <w:rsid w:val="00777636"/>
    <w:rsid w:val="00782BA3"/>
    <w:rsid w:val="007839DF"/>
    <w:rsid w:val="00783F9B"/>
    <w:rsid w:val="007861C5"/>
    <w:rsid w:val="00790AB7"/>
    <w:rsid w:val="0079194B"/>
    <w:rsid w:val="00792EC3"/>
    <w:rsid w:val="0079682A"/>
    <w:rsid w:val="007969FA"/>
    <w:rsid w:val="007A0954"/>
    <w:rsid w:val="007A0D50"/>
    <w:rsid w:val="007A1E6C"/>
    <w:rsid w:val="007A21BA"/>
    <w:rsid w:val="007A2763"/>
    <w:rsid w:val="007A3484"/>
    <w:rsid w:val="007A4EBE"/>
    <w:rsid w:val="007A5A4B"/>
    <w:rsid w:val="007A706D"/>
    <w:rsid w:val="007A7BB9"/>
    <w:rsid w:val="007B3A1D"/>
    <w:rsid w:val="007B510E"/>
    <w:rsid w:val="007B7985"/>
    <w:rsid w:val="007C010B"/>
    <w:rsid w:val="007C14ED"/>
    <w:rsid w:val="007C433A"/>
    <w:rsid w:val="007C47B8"/>
    <w:rsid w:val="007C4BB5"/>
    <w:rsid w:val="007C4ECA"/>
    <w:rsid w:val="007C6453"/>
    <w:rsid w:val="007C673A"/>
    <w:rsid w:val="007C79A2"/>
    <w:rsid w:val="007D0D76"/>
    <w:rsid w:val="007D1B4F"/>
    <w:rsid w:val="007D1FF5"/>
    <w:rsid w:val="007D20AE"/>
    <w:rsid w:val="007D52CE"/>
    <w:rsid w:val="007D559C"/>
    <w:rsid w:val="007D67DE"/>
    <w:rsid w:val="007D749B"/>
    <w:rsid w:val="007E14B6"/>
    <w:rsid w:val="007E1E5E"/>
    <w:rsid w:val="007E4187"/>
    <w:rsid w:val="007E491D"/>
    <w:rsid w:val="007E4EA2"/>
    <w:rsid w:val="007E6258"/>
    <w:rsid w:val="007E69A1"/>
    <w:rsid w:val="007E7768"/>
    <w:rsid w:val="007F0247"/>
    <w:rsid w:val="007F03AD"/>
    <w:rsid w:val="007F0421"/>
    <w:rsid w:val="007F2037"/>
    <w:rsid w:val="007F2D98"/>
    <w:rsid w:val="007F41F2"/>
    <w:rsid w:val="007F47E4"/>
    <w:rsid w:val="007F4E4D"/>
    <w:rsid w:val="007F6CEB"/>
    <w:rsid w:val="00801E26"/>
    <w:rsid w:val="00803790"/>
    <w:rsid w:val="00805AA5"/>
    <w:rsid w:val="008063C4"/>
    <w:rsid w:val="0080655B"/>
    <w:rsid w:val="00806915"/>
    <w:rsid w:val="0081080B"/>
    <w:rsid w:val="00810ABC"/>
    <w:rsid w:val="008113FD"/>
    <w:rsid w:val="008114F9"/>
    <w:rsid w:val="00812D93"/>
    <w:rsid w:val="008139B2"/>
    <w:rsid w:val="00816678"/>
    <w:rsid w:val="00816A1C"/>
    <w:rsid w:val="00817B56"/>
    <w:rsid w:val="00820D06"/>
    <w:rsid w:val="008214B3"/>
    <w:rsid w:val="008226BB"/>
    <w:rsid w:val="00824F67"/>
    <w:rsid w:val="00824FF2"/>
    <w:rsid w:val="00827710"/>
    <w:rsid w:val="00827F02"/>
    <w:rsid w:val="00830B3D"/>
    <w:rsid w:val="0083111B"/>
    <w:rsid w:val="008329D6"/>
    <w:rsid w:val="00833835"/>
    <w:rsid w:val="00833B14"/>
    <w:rsid w:val="008348A2"/>
    <w:rsid w:val="00834BDB"/>
    <w:rsid w:val="008362F1"/>
    <w:rsid w:val="008370BC"/>
    <w:rsid w:val="0084081E"/>
    <w:rsid w:val="00842E1B"/>
    <w:rsid w:val="008457C3"/>
    <w:rsid w:val="008459F0"/>
    <w:rsid w:val="00845FF9"/>
    <w:rsid w:val="0084632A"/>
    <w:rsid w:val="008468B9"/>
    <w:rsid w:val="008502FA"/>
    <w:rsid w:val="008518C0"/>
    <w:rsid w:val="00851A29"/>
    <w:rsid w:val="008529C6"/>
    <w:rsid w:val="00852AA1"/>
    <w:rsid w:val="00853D4C"/>
    <w:rsid w:val="00853FAF"/>
    <w:rsid w:val="00854CD3"/>
    <w:rsid w:val="00855A41"/>
    <w:rsid w:val="00855B31"/>
    <w:rsid w:val="00860053"/>
    <w:rsid w:val="0086105A"/>
    <w:rsid w:val="00861E3F"/>
    <w:rsid w:val="008626A3"/>
    <w:rsid w:val="00862D69"/>
    <w:rsid w:val="00867BAF"/>
    <w:rsid w:val="00867C09"/>
    <w:rsid w:val="00870382"/>
    <w:rsid w:val="00871858"/>
    <w:rsid w:val="00871EF7"/>
    <w:rsid w:val="008722FD"/>
    <w:rsid w:val="00876958"/>
    <w:rsid w:val="00880A26"/>
    <w:rsid w:val="008831D5"/>
    <w:rsid w:val="008836C5"/>
    <w:rsid w:val="008854D5"/>
    <w:rsid w:val="008858CD"/>
    <w:rsid w:val="008873E5"/>
    <w:rsid w:val="0088791A"/>
    <w:rsid w:val="008903B8"/>
    <w:rsid w:val="0089217E"/>
    <w:rsid w:val="008929C1"/>
    <w:rsid w:val="0089360C"/>
    <w:rsid w:val="00893813"/>
    <w:rsid w:val="008945CF"/>
    <w:rsid w:val="0089581C"/>
    <w:rsid w:val="00896403"/>
    <w:rsid w:val="008977B0"/>
    <w:rsid w:val="008A2303"/>
    <w:rsid w:val="008A269C"/>
    <w:rsid w:val="008A275A"/>
    <w:rsid w:val="008A2ADF"/>
    <w:rsid w:val="008A41BC"/>
    <w:rsid w:val="008A4311"/>
    <w:rsid w:val="008A6827"/>
    <w:rsid w:val="008A693F"/>
    <w:rsid w:val="008A6BB3"/>
    <w:rsid w:val="008A7FA9"/>
    <w:rsid w:val="008B03B0"/>
    <w:rsid w:val="008B3B55"/>
    <w:rsid w:val="008B471E"/>
    <w:rsid w:val="008B4D30"/>
    <w:rsid w:val="008B604F"/>
    <w:rsid w:val="008B60F3"/>
    <w:rsid w:val="008B7511"/>
    <w:rsid w:val="008C3E55"/>
    <w:rsid w:val="008C52B4"/>
    <w:rsid w:val="008C63BA"/>
    <w:rsid w:val="008C657D"/>
    <w:rsid w:val="008C6E76"/>
    <w:rsid w:val="008C7CE5"/>
    <w:rsid w:val="008D10F1"/>
    <w:rsid w:val="008D4526"/>
    <w:rsid w:val="008D4654"/>
    <w:rsid w:val="008D4A66"/>
    <w:rsid w:val="008D4BDA"/>
    <w:rsid w:val="008D50E2"/>
    <w:rsid w:val="008D545A"/>
    <w:rsid w:val="008D6085"/>
    <w:rsid w:val="008D7380"/>
    <w:rsid w:val="008D7EF9"/>
    <w:rsid w:val="008E3795"/>
    <w:rsid w:val="008E3AC2"/>
    <w:rsid w:val="008E40E5"/>
    <w:rsid w:val="008E52D7"/>
    <w:rsid w:val="008E6331"/>
    <w:rsid w:val="008F1FF8"/>
    <w:rsid w:val="008F5F5B"/>
    <w:rsid w:val="008F67E8"/>
    <w:rsid w:val="008F6E9E"/>
    <w:rsid w:val="008F7617"/>
    <w:rsid w:val="008F79E4"/>
    <w:rsid w:val="008F7AF8"/>
    <w:rsid w:val="00900D76"/>
    <w:rsid w:val="00902BD1"/>
    <w:rsid w:val="00903652"/>
    <w:rsid w:val="009044EC"/>
    <w:rsid w:val="00904851"/>
    <w:rsid w:val="00904871"/>
    <w:rsid w:val="00912383"/>
    <w:rsid w:val="00914088"/>
    <w:rsid w:val="00914506"/>
    <w:rsid w:val="009151A4"/>
    <w:rsid w:val="009154A5"/>
    <w:rsid w:val="0091552A"/>
    <w:rsid w:val="00915DC9"/>
    <w:rsid w:val="0091646A"/>
    <w:rsid w:val="00917C69"/>
    <w:rsid w:val="009206A4"/>
    <w:rsid w:val="009214CC"/>
    <w:rsid w:val="009215E1"/>
    <w:rsid w:val="00922964"/>
    <w:rsid w:val="00923285"/>
    <w:rsid w:val="00924AFF"/>
    <w:rsid w:val="00926ADC"/>
    <w:rsid w:val="00930F7F"/>
    <w:rsid w:val="00931B43"/>
    <w:rsid w:val="0093379D"/>
    <w:rsid w:val="00933E5F"/>
    <w:rsid w:val="00934E5F"/>
    <w:rsid w:val="00935942"/>
    <w:rsid w:val="00935CD4"/>
    <w:rsid w:val="00935DD8"/>
    <w:rsid w:val="00936EF8"/>
    <w:rsid w:val="00943E11"/>
    <w:rsid w:val="00950AFD"/>
    <w:rsid w:val="00950EE3"/>
    <w:rsid w:val="0095108F"/>
    <w:rsid w:val="00952598"/>
    <w:rsid w:val="00953E96"/>
    <w:rsid w:val="00957C00"/>
    <w:rsid w:val="00960E82"/>
    <w:rsid w:val="00964C4E"/>
    <w:rsid w:val="00966BED"/>
    <w:rsid w:val="009679A8"/>
    <w:rsid w:val="009717D4"/>
    <w:rsid w:val="009721EB"/>
    <w:rsid w:val="00972F28"/>
    <w:rsid w:val="00973B04"/>
    <w:rsid w:val="00974E75"/>
    <w:rsid w:val="00974F6E"/>
    <w:rsid w:val="00975A28"/>
    <w:rsid w:val="00976373"/>
    <w:rsid w:val="00976816"/>
    <w:rsid w:val="00977232"/>
    <w:rsid w:val="0097730A"/>
    <w:rsid w:val="00977DB5"/>
    <w:rsid w:val="00981043"/>
    <w:rsid w:val="009811A8"/>
    <w:rsid w:val="00981B44"/>
    <w:rsid w:val="00982062"/>
    <w:rsid w:val="00982315"/>
    <w:rsid w:val="009849EF"/>
    <w:rsid w:val="009853A9"/>
    <w:rsid w:val="00985ED5"/>
    <w:rsid w:val="00987948"/>
    <w:rsid w:val="00987962"/>
    <w:rsid w:val="00990DBD"/>
    <w:rsid w:val="009912F7"/>
    <w:rsid w:val="00994176"/>
    <w:rsid w:val="00994234"/>
    <w:rsid w:val="0099567A"/>
    <w:rsid w:val="009962F5"/>
    <w:rsid w:val="00997BF7"/>
    <w:rsid w:val="009A1720"/>
    <w:rsid w:val="009A2EB1"/>
    <w:rsid w:val="009A6D96"/>
    <w:rsid w:val="009B0ECE"/>
    <w:rsid w:val="009B14AC"/>
    <w:rsid w:val="009B4C67"/>
    <w:rsid w:val="009B5060"/>
    <w:rsid w:val="009B5526"/>
    <w:rsid w:val="009B5F82"/>
    <w:rsid w:val="009B6686"/>
    <w:rsid w:val="009B7BE4"/>
    <w:rsid w:val="009C0A62"/>
    <w:rsid w:val="009C0BB0"/>
    <w:rsid w:val="009C1869"/>
    <w:rsid w:val="009C4C05"/>
    <w:rsid w:val="009C56B5"/>
    <w:rsid w:val="009C6812"/>
    <w:rsid w:val="009C6E57"/>
    <w:rsid w:val="009C6E9F"/>
    <w:rsid w:val="009D0A1C"/>
    <w:rsid w:val="009D2C76"/>
    <w:rsid w:val="009D506C"/>
    <w:rsid w:val="009D5443"/>
    <w:rsid w:val="009D555F"/>
    <w:rsid w:val="009E02D5"/>
    <w:rsid w:val="009E2FB0"/>
    <w:rsid w:val="009E44E2"/>
    <w:rsid w:val="009E4C95"/>
    <w:rsid w:val="009E76D1"/>
    <w:rsid w:val="009F0B80"/>
    <w:rsid w:val="009F1D9C"/>
    <w:rsid w:val="009F2010"/>
    <w:rsid w:val="009F2125"/>
    <w:rsid w:val="009F331B"/>
    <w:rsid w:val="009F6250"/>
    <w:rsid w:val="009F68AE"/>
    <w:rsid w:val="009F6A8E"/>
    <w:rsid w:val="009F72D0"/>
    <w:rsid w:val="009F7549"/>
    <w:rsid w:val="00A01D8C"/>
    <w:rsid w:val="00A02D7F"/>
    <w:rsid w:val="00A03108"/>
    <w:rsid w:val="00A051DA"/>
    <w:rsid w:val="00A063E8"/>
    <w:rsid w:val="00A067D7"/>
    <w:rsid w:val="00A07550"/>
    <w:rsid w:val="00A07558"/>
    <w:rsid w:val="00A07CCA"/>
    <w:rsid w:val="00A10BF4"/>
    <w:rsid w:val="00A113BE"/>
    <w:rsid w:val="00A1461E"/>
    <w:rsid w:val="00A15A44"/>
    <w:rsid w:val="00A161AF"/>
    <w:rsid w:val="00A168CC"/>
    <w:rsid w:val="00A16E64"/>
    <w:rsid w:val="00A220F8"/>
    <w:rsid w:val="00A22B7D"/>
    <w:rsid w:val="00A24197"/>
    <w:rsid w:val="00A246F9"/>
    <w:rsid w:val="00A2722D"/>
    <w:rsid w:val="00A27AF2"/>
    <w:rsid w:val="00A27D4C"/>
    <w:rsid w:val="00A31EB5"/>
    <w:rsid w:val="00A349E0"/>
    <w:rsid w:val="00A36469"/>
    <w:rsid w:val="00A416F6"/>
    <w:rsid w:val="00A429A9"/>
    <w:rsid w:val="00A43005"/>
    <w:rsid w:val="00A432CA"/>
    <w:rsid w:val="00A435AE"/>
    <w:rsid w:val="00A43631"/>
    <w:rsid w:val="00A43C29"/>
    <w:rsid w:val="00A443D5"/>
    <w:rsid w:val="00A45BED"/>
    <w:rsid w:val="00A470B7"/>
    <w:rsid w:val="00A47502"/>
    <w:rsid w:val="00A510DE"/>
    <w:rsid w:val="00A524BE"/>
    <w:rsid w:val="00A52FB0"/>
    <w:rsid w:val="00A54047"/>
    <w:rsid w:val="00A541BB"/>
    <w:rsid w:val="00A569FF"/>
    <w:rsid w:val="00A5771A"/>
    <w:rsid w:val="00A57B9B"/>
    <w:rsid w:val="00A60592"/>
    <w:rsid w:val="00A60991"/>
    <w:rsid w:val="00A63730"/>
    <w:rsid w:val="00A6498A"/>
    <w:rsid w:val="00A67076"/>
    <w:rsid w:val="00A70120"/>
    <w:rsid w:val="00A70437"/>
    <w:rsid w:val="00A70E52"/>
    <w:rsid w:val="00A7413A"/>
    <w:rsid w:val="00A747CD"/>
    <w:rsid w:val="00A74B5D"/>
    <w:rsid w:val="00A7602A"/>
    <w:rsid w:val="00A77CA0"/>
    <w:rsid w:val="00A80EB5"/>
    <w:rsid w:val="00A822A7"/>
    <w:rsid w:val="00A82471"/>
    <w:rsid w:val="00A83D7B"/>
    <w:rsid w:val="00A83F83"/>
    <w:rsid w:val="00A861A1"/>
    <w:rsid w:val="00A8647C"/>
    <w:rsid w:val="00A868E5"/>
    <w:rsid w:val="00A87073"/>
    <w:rsid w:val="00A87FAA"/>
    <w:rsid w:val="00A902D4"/>
    <w:rsid w:val="00A91202"/>
    <w:rsid w:val="00A93C92"/>
    <w:rsid w:val="00A9536A"/>
    <w:rsid w:val="00A96BD7"/>
    <w:rsid w:val="00AA02D1"/>
    <w:rsid w:val="00AA0512"/>
    <w:rsid w:val="00AA1D12"/>
    <w:rsid w:val="00AA1E64"/>
    <w:rsid w:val="00AA2C2B"/>
    <w:rsid w:val="00AA422C"/>
    <w:rsid w:val="00AA45DB"/>
    <w:rsid w:val="00AA65A9"/>
    <w:rsid w:val="00AA79F7"/>
    <w:rsid w:val="00AA7A07"/>
    <w:rsid w:val="00AB1219"/>
    <w:rsid w:val="00AB2FB4"/>
    <w:rsid w:val="00AB3C66"/>
    <w:rsid w:val="00AB52AA"/>
    <w:rsid w:val="00AB5561"/>
    <w:rsid w:val="00AB6C26"/>
    <w:rsid w:val="00AB7F8A"/>
    <w:rsid w:val="00AC0066"/>
    <w:rsid w:val="00AC171B"/>
    <w:rsid w:val="00AC1BB8"/>
    <w:rsid w:val="00AC5100"/>
    <w:rsid w:val="00AC5B0F"/>
    <w:rsid w:val="00AC742F"/>
    <w:rsid w:val="00AD216A"/>
    <w:rsid w:val="00AD3AE1"/>
    <w:rsid w:val="00AD4D31"/>
    <w:rsid w:val="00AD518B"/>
    <w:rsid w:val="00AD637F"/>
    <w:rsid w:val="00AD7FD8"/>
    <w:rsid w:val="00AE03AE"/>
    <w:rsid w:val="00AE1362"/>
    <w:rsid w:val="00AE19FF"/>
    <w:rsid w:val="00AE2F58"/>
    <w:rsid w:val="00AE56E0"/>
    <w:rsid w:val="00AE5C4C"/>
    <w:rsid w:val="00AE5C58"/>
    <w:rsid w:val="00AE6B2E"/>
    <w:rsid w:val="00AE75B3"/>
    <w:rsid w:val="00AE78D4"/>
    <w:rsid w:val="00AF719F"/>
    <w:rsid w:val="00AF7CF9"/>
    <w:rsid w:val="00B00D12"/>
    <w:rsid w:val="00B01DB2"/>
    <w:rsid w:val="00B0251A"/>
    <w:rsid w:val="00B03253"/>
    <w:rsid w:val="00B05FF2"/>
    <w:rsid w:val="00B06CA4"/>
    <w:rsid w:val="00B076D8"/>
    <w:rsid w:val="00B120D8"/>
    <w:rsid w:val="00B15312"/>
    <w:rsid w:val="00B15413"/>
    <w:rsid w:val="00B1744A"/>
    <w:rsid w:val="00B17A93"/>
    <w:rsid w:val="00B21958"/>
    <w:rsid w:val="00B229A5"/>
    <w:rsid w:val="00B23FA8"/>
    <w:rsid w:val="00B24842"/>
    <w:rsid w:val="00B25ABF"/>
    <w:rsid w:val="00B2622B"/>
    <w:rsid w:val="00B269A4"/>
    <w:rsid w:val="00B26A9E"/>
    <w:rsid w:val="00B301DE"/>
    <w:rsid w:val="00B3170E"/>
    <w:rsid w:val="00B31E5F"/>
    <w:rsid w:val="00B31F36"/>
    <w:rsid w:val="00B322F3"/>
    <w:rsid w:val="00B334B9"/>
    <w:rsid w:val="00B33E71"/>
    <w:rsid w:val="00B347DE"/>
    <w:rsid w:val="00B350F7"/>
    <w:rsid w:val="00B35DF2"/>
    <w:rsid w:val="00B41529"/>
    <w:rsid w:val="00B41E5A"/>
    <w:rsid w:val="00B41F9D"/>
    <w:rsid w:val="00B42906"/>
    <w:rsid w:val="00B42C14"/>
    <w:rsid w:val="00B43799"/>
    <w:rsid w:val="00B43F2B"/>
    <w:rsid w:val="00B44C0D"/>
    <w:rsid w:val="00B452D7"/>
    <w:rsid w:val="00B52C56"/>
    <w:rsid w:val="00B55723"/>
    <w:rsid w:val="00B55A87"/>
    <w:rsid w:val="00B6114B"/>
    <w:rsid w:val="00B61CE1"/>
    <w:rsid w:val="00B62697"/>
    <w:rsid w:val="00B62DF4"/>
    <w:rsid w:val="00B64992"/>
    <w:rsid w:val="00B7023D"/>
    <w:rsid w:val="00B73628"/>
    <w:rsid w:val="00B73DBA"/>
    <w:rsid w:val="00B75049"/>
    <w:rsid w:val="00B751C8"/>
    <w:rsid w:val="00B75A00"/>
    <w:rsid w:val="00B7611E"/>
    <w:rsid w:val="00B769AD"/>
    <w:rsid w:val="00B77508"/>
    <w:rsid w:val="00B7758B"/>
    <w:rsid w:val="00B80551"/>
    <w:rsid w:val="00B80FE6"/>
    <w:rsid w:val="00B82A40"/>
    <w:rsid w:val="00B83224"/>
    <w:rsid w:val="00B83CE3"/>
    <w:rsid w:val="00B8621B"/>
    <w:rsid w:val="00B90062"/>
    <w:rsid w:val="00B9036B"/>
    <w:rsid w:val="00B91D67"/>
    <w:rsid w:val="00B93215"/>
    <w:rsid w:val="00B93A6E"/>
    <w:rsid w:val="00B9460A"/>
    <w:rsid w:val="00B950EF"/>
    <w:rsid w:val="00B954C8"/>
    <w:rsid w:val="00B9769E"/>
    <w:rsid w:val="00B97AEE"/>
    <w:rsid w:val="00BA1A5E"/>
    <w:rsid w:val="00BA1F5A"/>
    <w:rsid w:val="00BA6A53"/>
    <w:rsid w:val="00BB12F8"/>
    <w:rsid w:val="00BB1E2F"/>
    <w:rsid w:val="00BB3501"/>
    <w:rsid w:val="00BB538A"/>
    <w:rsid w:val="00BB53AB"/>
    <w:rsid w:val="00BB588A"/>
    <w:rsid w:val="00BB5FD5"/>
    <w:rsid w:val="00BB6B41"/>
    <w:rsid w:val="00BB6F0B"/>
    <w:rsid w:val="00BC086C"/>
    <w:rsid w:val="00BC0CCB"/>
    <w:rsid w:val="00BC0D07"/>
    <w:rsid w:val="00BC1A26"/>
    <w:rsid w:val="00BC6B62"/>
    <w:rsid w:val="00BC6F77"/>
    <w:rsid w:val="00BD0911"/>
    <w:rsid w:val="00BD1F2F"/>
    <w:rsid w:val="00BD316E"/>
    <w:rsid w:val="00BD36DB"/>
    <w:rsid w:val="00BD378B"/>
    <w:rsid w:val="00BD4497"/>
    <w:rsid w:val="00BD4BC8"/>
    <w:rsid w:val="00BD7295"/>
    <w:rsid w:val="00BE0C1E"/>
    <w:rsid w:val="00BE1722"/>
    <w:rsid w:val="00BE384F"/>
    <w:rsid w:val="00BE488C"/>
    <w:rsid w:val="00BE52C2"/>
    <w:rsid w:val="00BE761E"/>
    <w:rsid w:val="00BF1C9C"/>
    <w:rsid w:val="00BF43EF"/>
    <w:rsid w:val="00BF780C"/>
    <w:rsid w:val="00C0066F"/>
    <w:rsid w:val="00C007F5"/>
    <w:rsid w:val="00C02932"/>
    <w:rsid w:val="00C04972"/>
    <w:rsid w:val="00C05CAF"/>
    <w:rsid w:val="00C064F4"/>
    <w:rsid w:val="00C06F6E"/>
    <w:rsid w:val="00C0789B"/>
    <w:rsid w:val="00C1079B"/>
    <w:rsid w:val="00C11788"/>
    <w:rsid w:val="00C118E3"/>
    <w:rsid w:val="00C1266D"/>
    <w:rsid w:val="00C12939"/>
    <w:rsid w:val="00C12BF5"/>
    <w:rsid w:val="00C14452"/>
    <w:rsid w:val="00C15065"/>
    <w:rsid w:val="00C20FFD"/>
    <w:rsid w:val="00C22155"/>
    <w:rsid w:val="00C22B80"/>
    <w:rsid w:val="00C240B2"/>
    <w:rsid w:val="00C2603B"/>
    <w:rsid w:val="00C26FD6"/>
    <w:rsid w:val="00C270F1"/>
    <w:rsid w:val="00C2769A"/>
    <w:rsid w:val="00C309AB"/>
    <w:rsid w:val="00C33511"/>
    <w:rsid w:val="00C35D52"/>
    <w:rsid w:val="00C366BB"/>
    <w:rsid w:val="00C36AE2"/>
    <w:rsid w:val="00C37D97"/>
    <w:rsid w:val="00C40A74"/>
    <w:rsid w:val="00C416FE"/>
    <w:rsid w:val="00C4211F"/>
    <w:rsid w:val="00C435A7"/>
    <w:rsid w:val="00C44BF1"/>
    <w:rsid w:val="00C44FE3"/>
    <w:rsid w:val="00C5050B"/>
    <w:rsid w:val="00C50AB1"/>
    <w:rsid w:val="00C5312A"/>
    <w:rsid w:val="00C54345"/>
    <w:rsid w:val="00C54551"/>
    <w:rsid w:val="00C545B9"/>
    <w:rsid w:val="00C57A19"/>
    <w:rsid w:val="00C60A9F"/>
    <w:rsid w:val="00C6137A"/>
    <w:rsid w:val="00C615A5"/>
    <w:rsid w:val="00C61AAD"/>
    <w:rsid w:val="00C61E83"/>
    <w:rsid w:val="00C6224B"/>
    <w:rsid w:val="00C62BD8"/>
    <w:rsid w:val="00C63C0E"/>
    <w:rsid w:val="00C64238"/>
    <w:rsid w:val="00C643B1"/>
    <w:rsid w:val="00C65BD7"/>
    <w:rsid w:val="00C66029"/>
    <w:rsid w:val="00C6773A"/>
    <w:rsid w:val="00C70557"/>
    <w:rsid w:val="00C70EE9"/>
    <w:rsid w:val="00C734B7"/>
    <w:rsid w:val="00C73C50"/>
    <w:rsid w:val="00C73CEF"/>
    <w:rsid w:val="00C745C0"/>
    <w:rsid w:val="00C74900"/>
    <w:rsid w:val="00C74F0C"/>
    <w:rsid w:val="00C770BA"/>
    <w:rsid w:val="00C7716C"/>
    <w:rsid w:val="00C77D41"/>
    <w:rsid w:val="00C80924"/>
    <w:rsid w:val="00C80BF2"/>
    <w:rsid w:val="00C813D6"/>
    <w:rsid w:val="00C8170C"/>
    <w:rsid w:val="00C82272"/>
    <w:rsid w:val="00C83B53"/>
    <w:rsid w:val="00C84603"/>
    <w:rsid w:val="00C8481C"/>
    <w:rsid w:val="00C84BBB"/>
    <w:rsid w:val="00C869E9"/>
    <w:rsid w:val="00C879F2"/>
    <w:rsid w:val="00C91AF2"/>
    <w:rsid w:val="00C9251F"/>
    <w:rsid w:val="00C9290A"/>
    <w:rsid w:val="00C93330"/>
    <w:rsid w:val="00C93681"/>
    <w:rsid w:val="00C945AF"/>
    <w:rsid w:val="00C95655"/>
    <w:rsid w:val="00C95679"/>
    <w:rsid w:val="00C95E6A"/>
    <w:rsid w:val="00CA025C"/>
    <w:rsid w:val="00CA0B5C"/>
    <w:rsid w:val="00CA1118"/>
    <w:rsid w:val="00CA160D"/>
    <w:rsid w:val="00CA1D26"/>
    <w:rsid w:val="00CA1EFD"/>
    <w:rsid w:val="00CA2A73"/>
    <w:rsid w:val="00CB156B"/>
    <w:rsid w:val="00CB1D41"/>
    <w:rsid w:val="00CB4AA9"/>
    <w:rsid w:val="00CB4B03"/>
    <w:rsid w:val="00CB4EB7"/>
    <w:rsid w:val="00CB6C92"/>
    <w:rsid w:val="00CB74B8"/>
    <w:rsid w:val="00CC13A0"/>
    <w:rsid w:val="00CC1C1B"/>
    <w:rsid w:val="00CC29A2"/>
    <w:rsid w:val="00CC36E0"/>
    <w:rsid w:val="00CC3F68"/>
    <w:rsid w:val="00CC45DF"/>
    <w:rsid w:val="00CC52FB"/>
    <w:rsid w:val="00CC5747"/>
    <w:rsid w:val="00CC5786"/>
    <w:rsid w:val="00CC6517"/>
    <w:rsid w:val="00CC6E5D"/>
    <w:rsid w:val="00CC7844"/>
    <w:rsid w:val="00CD00A5"/>
    <w:rsid w:val="00CD042E"/>
    <w:rsid w:val="00CD162E"/>
    <w:rsid w:val="00CD1889"/>
    <w:rsid w:val="00CD1E45"/>
    <w:rsid w:val="00CD2811"/>
    <w:rsid w:val="00CD2FB2"/>
    <w:rsid w:val="00CD4D7B"/>
    <w:rsid w:val="00CD5936"/>
    <w:rsid w:val="00CD6C1C"/>
    <w:rsid w:val="00CD772B"/>
    <w:rsid w:val="00CE1D6C"/>
    <w:rsid w:val="00CE3B37"/>
    <w:rsid w:val="00CE3F5B"/>
    <w:rsid w:val="00CE5543"/>
    <w:rsid w:val="00CE6F3D"/>
    <w:rsid w:val="00CE7DAB"/>
    <w:rsid w:val="00CF34CA"/>
    <w:rsid w:val="00CF4BEE"/>
    <w:rsid w:val="00CF512F"/>
    <w:rsid w:val="00CF65E6"/>
    <w:rsid w:val="00CF67D6"/>
    <w:rsid w:val="00CF681C"/>
    <w:rsid w:val="00CF7658"/>
    <w:rsid w:val="00CF7FA0"/>
    <w:rsid w:val="00D028CE"/>
    <w:rsid w:val="00D03B14"/>
    <w:rsid w:val="00D05543"/>
    <w:rsid w:val="00D05A1A"/>
    <w:rsid w:val="00D06C91"/>
    <w:rsid w:val="00D07086"/>
    <w:rsid w:val="00D079D5"/>
    <w:rsid w:val="00D108A5"/>
    <w:rsid w:val="00D111F8"/>
    <w:rsid w:val="00D12165"/>
    <w:rsid w:val="00D12612"/>
    <w:rsid w:val="00D1314B"/>
    <w:rsid w:val="00D13524"/>
    <w:rsid w:val="00D1430C"/>
    <w:rsid w:val="00D17155"/>
    <w:rsid w:val="00D200D9"/>
    <w:rsid w:val="00D20D0A"/>
    <w:rsid w:val="00D21BCC"/>
    <w:rsid w:val="00D22BBE"/>
    <w:rsid w:val="00D2302C"/>
    <w:rsid w:val="00D23039"/>
    <w:rsid w:val="00D24012"/>
    <w:rsid w:val="00D24C61"/>
    <w:rsid w:val="00D24ED9"/>
    <w:rsid w:val="00D2650C"/>
    <w:rsid w:val="00D30160"/>
    <w:rsid w:val="00D30302"/>
    <w:rsid w:val="00D32EFE"/>
    <w:rsid w:val="00D34093"/>
    <w:rsid w:val="00D3471F"/>
    <w:rsid w:val="00D34E47"/>
    <w:rsid w:val="00D36253"/>
    <w:rsid w:val="00D364D7"/>
    <w:rsid w:val="00D37337"/>
    <w:rsid w:val="00D37AF6"/>
    <w:rsid w:val="00D40E84"/>
    <w:rsid w:val="00D44F44"/>
    <w:rsid w:val="00D47462"/>
    <w:rsid w:val="00D474FD"/>
    <w:rsid w:val="00D50C25"/>
    <w:rsid w:val="00D531EC"/>
    <w:rsid w:val="00D53A65"/>
    <w:rsid w:val="00D54409"/>
    <w:rsid w:val="00D5448D"/>
    <w:rsid w:val="00D54C09"/>
    <w:rsid w:val="00D5584F"/>
    <w:rsid w:val="00D563D5"/>
    <w:rsid w:val="00D565C4"/>
    <w:rsid w:val="00D578FA"/>
    <w:rsid w:val="00D61236"/>
    <w:rsid w:val="00D61928"/>
    <w:rsid w:val="00D66090"/>
    <w:rsid w:val="00D70936"/>
    <w:rsid w:val="00D71425"/>
    <w:rsid w:val="00D735EE"/>
    <w:rsid w:val="00D75E7B"/>
    <w:rsid w:val="00D766E4"/>
    <w:rsid w:val="00D77559"/>
    <w:rsid w:val="00D8066E"/>
    <w:rsid w:val="00D82790"/>
    <w:rsid w:val="00D82FAF"/>
    <w:rsid w:val="00D83090"/>
    <w:rsid w:val="00D8467A"/>
    <w:rsid w:val="00D864A7"/>
    <w:rsid w:val="00D869D1"/>
    <w:rsid w:val="00D87D69"/>
    <w:rsid w:val="00D87E8A"/>
    <w:rsid w:val="00D91565"/>
    <w:rsid w:val="00D9327A"/>
    <w:rsid w:val="00D9328C"/>
    <w:rsid w:val="00D94D86"/>
    <w:rsid w:val="00D96EA9"/>
    <w:rsid w:val="00D977E7"/>
    <w:rsid w:val="00D97D58"/>
    <w:rsid w:val="00D97E51"/>
    <w:rsid w:val="00DA1178"/>
    <w:rsid w:val="00DA1C34"/>
    <w:rsid w:val="00DA2889"/>
    <w:rsid w:val="00DA38CE"/>
    <w:rsid w:val="00DA39F2"/>
    <w:rsid w:val="00DA5939"/>
    <w:rsid w:val="00DA5CB0"/>
    <w:rsid w:val="00DA5EFE"/>
    <w:rsid w:val="00DA5FB1"/>
    <w:rsid w:val="00DA66A1"/>
    <w:rsid w:val="00DB0EA2"/>
    <w:rsid w:val="00DB1929"/>
    <w:rsid w:val="00DB1B7D"/>
    <w:rsid w:val="00DB1C4E"/>
    <w:rsid w:val="00DB200F"/>
    <w:rsid w:val="00DB23E3"/>
    <w:rsid w:val="00DB6EB2"/>
    <w:rsid w:val="00DC03E0"/>
    <w:rsid w:val="00DC1AAA"/>
    <w:rsid w:val="00DC1C09"/>
    <w:rsid w:val="00DC30A0"/>
    <w:rsid w:val="00DC452E"/>
    <w:rsid w:val="00DC5029"/>
    <w:rsid w:val="00DC5093"/>
    <w:rsid w:val="00DC6A2A"/>
    <w:rsid w:val="00DC6CB2"/>
    <w:rsid w:val="00DC727C"/>
    <w:rsid w:val="00DD028B"/>
    <w:rsid w:val="00DD201E"/>
    <w:rsid w:val="00DD2D37"/>
    <w:rsid w:val="00DD4C97"/>
    <w:rsid w:val="00DD4E0D"/>
    <w:rsid w:val="00DD61C4"/>
    <w:rsid w:val="00DE04E2"/>
    <w:rsid w:val="00DE0886"/>
    <w:rsid w:val="00DE1610"/>
    <w:rsid w:val="00DE21E9"/>
    <w:rsid w:val="00DE270C"/>
    <w:rsid w:val="00DE3102"/>
    <w:rsid w:val="00DE4110"/>
    <w:rsid w:val="00DF018D"/>
    <w:rsid w:val="00DF17A7"/>
    <w:rsid w:val="00DF2097"/>
    <w:rsid w:val="00DF5E9B"/>
    <w:rsid w:val="00DF739A"/>
    <w:rsid w:val="00DF7B0D"/>
    <w:rsid w:val="00E00A3E"/>
    <w:rsid w:val="00E02548"/>
    <w:rsid w:val="00E02FEE"/>
    <w:rsid w:val="00E048A4"/>
    <w:rsid w:val="00E05309"/>
    <w:rsid w:val="00E0553A"/>
    <w:rsid w:val="00E0593E"/>
    <w:rsid w:val="00E06646"/>
    <w:rsid w:val="00E10488"/>
    <w:rsid w:val="00E10802"/>
    <w:rsid w:val="00E126D1"/>
    <w:rsid w:val="00E12898"/>
    <w:rsid w:val="00E15BC0"/>
    <w:rsid w:val="00E164BA"/>
    <w:rsid w:val="00E23168"/>
    <w:rsid w:val="00E2346F"/>
    <w:rsid w:val="00E23570"/>
    <w:rsid w:val="00E25427"/>
    <w:rsid w:val="00E25435"/>
    <w:rsid w:val="00E2579E"/>
    <w:rsid w:val="00E2619B"/>
    <w:rsid w:val="00E273B2"/>
    <w:rsid w:val="00E27F10"/>
    <w:rsid w:val="00E300F4"/>
    <w:rsid w:val="00E31D87"/>
    <w:rsid w:val="00E31DE3"/>
    <w:rsid w:val="00E32F13"/>
    <w:rsid w:val="00E452A1"/>
    <w:rsid w:val="00E46381"/>
    <w:rsid w:val="00E4651E"/>
    <w:rsid w:val="00E5037D"/>
    <w:rsid w:val="00E509B4"/>
    <w:rsid w:val="00E52714"/>
    <w:rsid w:val="00E527F1"/>
    <w:rsid w:val="00E52882"/>
    <w:rsid w:val="00E52B75"/>
    <w:rsid w:val="00E555E0"/>
    <w:rsid w:val="00E55E4E"/>
    <w:rsid w:val="00E56381"/>
    <w:rsid w:val="00E571D6"/>
    <w:rsid w:val="00E57C56"/>
    <w:rsid w:val="00E60F83"/>
    <w:rsid w:val="00E612AA"/>
    <w:rsid w:val="00E6188C"/>
    <w:rsid w:val="00E61AA3"/>
    <w:rsid w:val="00E61D4B"/>
    <w:rsid w:val="00E6231A"/>
    <w:rsid w:val="00E64F2F"/>
    <w:rsid w:val="00E65450"/>
    <w:rsid w:val="00E657EB"/>
    <w:rsid w:val="00E67273"/>
    <w:rsid w:val="00E6788D"/>
    <w:rsid w:val="00E704B0"/>
    <w:rsid w:val="00E71313"/>
    <w:rsid w:val="00E71D67"/>
    <w:rsid w:val="00E723D3"/>
    <w:rsid w:val="00E72C71"/>
    <w:rsid w:val="00E740EB"/>
    <w:rsid w:val="00E77D3C"/>
    <w:rsid w:val="00E80CD3"/>
    <w:rsid w:val="00E81C19"/>
    <w:rsid w:val="00E82D2A"/>
    <w:rsid w:val="00E856D7"/>
    <w:rsid w:val="00E865F0"/>
    <w:rsid w:val="00E86FAC"/>
    <w:rsid w:val="00E872BB"/>
    <w:rsid w:val="00E87799"/>
    <w:rsid w:val="00E9157E"/>
    <w:rsid w:val="00E9167C"/>
    <w:rsid w:val="00E91A4F"/>
    <w:rsid w:val="00E91D8E"/>
    <w:rsid w:val="00E92992"/>
    <w:rsid w:val="00E93470"/>
    <w:rsid w:val="00E93EF6"/>
    <w:rsid w:val="00E94611"/>
    <w:rsid w:val="00E95191"/>
    <w:rsid w:val="00E959FD"/>
    <w:rsid w:val="00E95E58"/>
    <w:rsid w:val="00E961D6"/>
    <w:rsid w:val="00EA189D"/>
    <w:rsid w:val="00EA3CC9"/>
    <w:rsid w:val="00EA4917"/>
    <w:rsid w:val="00EA5BB3"/>
    <w:rsid w:val="00EA643A"/>
    <w:rsid w:val="00EB0149"/>
    <w:rsid w:val="00EB201A"/>
    <w:rsid w:val="00EB367D"/>
    <w:rsid w:val="00EB36AA"/>
    <w:rsid w:val="00EB3877"/>
    <w:rsid w:val="00EB389B"/>
    <w:rsid w:val="00EB52AC"/>
    <w:rsid w:val="00EB584C"/>
    <w:rsid w:val="00EB59E0"/>
    <w:rsid w:val="00EB62C6"/>
    <w:rsid w:val="00EB671F"/>
    <w:rsid w:val="00EB733F"/>
    <w:rsid w:val="00EB7C85"/>
    <w:rsid w:val="00EC0C36"/>
    <w:rsid w:val="00EC0D1A"/>
    <w:rsid w:val="00EC185F"/>
    <w:rsid w:val="00EC219D"/>
    <w:rsid w:val="00EC4627"/>
    <w:rsid w:val="00ED029A"/>
    <w:rsid w:val="00ED02CB"/>
    <w:rsid w:val="00ED037A"/>
    <w:rsid w:val="00ED1ABD"/>
    <w:rsid w:val="00ED1E49"/>
    <w:rsid w:val="00ED250A"/>
    <w:rsid w:val="00ED4FDF"/>
    <w:rsid w:val="00ED574B"/>
    <w:rsid w:val="00ED690D"/>
    <w:rsid w:val="00ED6DF3"/>
    <w:rsid w:val="00EE08AF"/>
    <w:rsid w:val="00EE150D"/>
    <w:rsid w:val="00EE1783"/>
    <w:rsid w:val="00EE2958"/>
    <w:rsid w:val="00EE2F8A"/>
    <w:rsid w:val="00EE3F4B"/>
    <w:rsid w:val="00EE69A6"/>
    <w:rsid w:val="00EF0B50"/>
    <w:rsid w:val="00EF1EB3"/>
    <w:rsid w:val="00EF3033"/>
    <w:rsid w:val="00EF31D1"/>
    <w:rsid w:val="00EF33AD"/>
    <w:rsid w:val="00EF3490"/>
    <w:rsid w:val="00EF7014"/>
    <w:rsid w:val="00EF7075"/>
    <w:rsid w:val="00F007D4"/>
    <w:rsid w:val="00F00A29"/>
    <w:rsid w:val="00F01862"/>
    <w:rsid w:val="00F0254C"/>
    <w:rsid w:val="00F03668"/>
    <w:rsid w:val="00F036AD"/>
    <w:rsid w:val="00F03D8C"/>
    <w:rsid w:val="00F05FCF"/>
    <w:rsid w:val="00F066DC"/>
    <w:rsid w:val="00F06785"/>
    <w:rsid w:val="00F07316"/>
    <w:rsid w:val="00F07A8B"/>
    <w:rsid w:val="00F10E46"/>
    <w:rsid w:val="00F11989"/>
    <w:rsid w:val="00F153C4"/>
    <w:rsid w:val="00F1541B"/>
    <w:rsid w:val="00F1572D"/>
    <w:rsid w:val="00F212E4"/>
    <w:rsid w:val="00F23BF0"/>
    <w:rsid w:val="00F243A3"/>
    <w:rsid w:val="00F251DE"/>
    <w:rsid w:val="00F27CE2"/>
    <w:rsid w:val="00F31A13"/>
    <w:rsid w:val="00F31A69"/>
    <w:rsid w:val="00F3308F"/>
    <w:rsid w:val="00F352A9"/>
    <w:rsid w:val="00F35914"/>
    <w:rsid w:val="00F3693E"/>
    <w:rsid w:val="00F37143"/>
    <w:rsid w:val="00F4056E"/>
    <w:rsid w:val="00F4107F"/>
    <w:rsid w:val="00F4131C"/>
    <w:rsid w:val="00F44A5E"/>
    <w:rsid w:val="00F4651E"/>
    <w:rsid w:val="00F4694C"/>
    <w:rsid w:val="00F469FB"/>
    <w:rsid w:val="00F47798"/>
    <w:rsid w:val="00F51AEB"/>
    <w:rsid w:val="00F5308B"/>
    <w:rsid w:val="00F53DFD"/>
    <w:rsid w:val="00F53FB9"/>
    <w:rsid w:val="00F5672F"/>
    <w:rsid w:val="00F57066"/>
    <w:rsid w:val="00F61B7A"/>
    <w:rsid w:val="00F623DD"/>
    <w:rsid w:val="00F64F1D"/>
    <w:rsid w:val="00F64FC8"/>
    <w:rsid w:val="00F64FEF"/>
    <w:rsid w:val="00F66329"/>
    <w:rsid w:val="00F67062"/>
    <w:rsid w:val="00F676DD"/>
    <w:rsid w:val="00F707E7"/>
    <w:rsid w:val="00F72ED1"/>
    <w:rsid w:val="00F735E8"/>
    <w:rsid w:val="00F74EA9"/>
    <w:rsid w:val="00F74F7C"/>
    <w:rsid w:val="00F750C7"/>
    <w:rsid w:val="00F77DC7"/>
    <w:rsid w:val="00F800DF"/>
    <w:rsid w:val="00F80647"/>
    <w:rsid w:val="00F80C13"/>
    <w:rsid w:val="00F80F53"/>
    <w:rsid w:val="00F822A9"/>
    <w:rsid w:val="00F82B4C"/>
    <w:rsid w:val="00F832E1"/>
    <w:rsid w:val="00F85122"/>
    <w:rsid w:val="00F859B5"/>
    <w:rsid w:val="00F87390"/>
    <w:rsid w:val="00F9249C"/>
    <w:rsid w:val="00F93034"/>
    <w:rsid w:val="00F97B23"/>
    <w:rsid w:val="00F97FC6"/>
    <w:rsid w:val="00FA15F6"/>
    <w:rsid w:val="00FA4BDE"/>
    <w:rsid w:val="00FA5E13"/>
    <w:rsid w:val="00FA6640"/>
    <w:rsid w:val="00FA7960"/>
    <w:rsid w:val="00FA7A52"/>
    <w:rsid w:val="00FB0B0D"/>
    <w:rsid w:val="00FB2304"/>
    <w:rsid w:val="00FB4091"/>
    <w:rsid w:val="00FB4B42"/>
    <w:rsid w:val="00FB51F3"/>
    <w:rsid w:val="00FB5874"/>
    <w:rsid w:val="00FB58E2"/>
    <w:rsid w:val="00FC05C6"/>
    <w:rsid w:val="00FC0C47"/>
    <w:rsid w:val="00FC0F24"/>
    <w:rsid w:val="00FC2113"/>
    <w:rsid w:val="00FC3E47"/>
    <w:rsid w:val="00FC5843"/>
    <w:rsid w:val="00FC6B4E"/>
    <w:rsid w:val="00FC7823"/>
    <w:rsid w:val="00FD0171"/>
    <w:rsid w:val="00FD13A8"/>
    <w:rsid w:val="00FD19F1"/>
    <w:rsid w:val="00FD1F3A"/>
    <w:rsid w:val="00FD3561"/>
    <w:rsid w:val="00FD3F93"/>
    <w:rsid w:val="00FD4D58"/>
    <w:rsid w:val="00FD4DFD"/>
    <w:rsid w:val="00FD5A87"/>
    <w:rsid w:val="00FD5EB8"/>
    <w:rsid w:val="00FD624B"/>
    <w:rsid w:val="00FD6483"/>
    <w:rsid w:val="00FD7338"/>
    <w:rsid w:val="00FD739F"/>
    <w:rsid w:val="00FE0CD3"/>
    <w:rsid w:val="00FE4B8C"/>
    <w:rsid w:val="00FE6A28"/>
    <w:rsid w:val="00FE6B58"/>
    <w:rsid w:val="00FE7338"/>
    <w:rsid w:val="00FE7BF6"/>
    <w:rsid w:val="00FF115E"/>
    <w:rsid w:val="00FF12D3"/>
    <w:rsid w:val="00FF1DEE"/>
    <w:rsid w:val="00FF1E06"/>
    <w:rsid w:val="00FF27AE"/>
    <w:rsid w:val="00FF4265"/>
    <w:rsid w:val="00FF524F"/>
    <w:rsid w:val="00FF618B"/>
    <w:rsid w:val="00FF62E8"/>
    <w:rsid w:val="00FF7F69"/>
    <w:rsid w:val="0E6C5F9E"/>
    <w:rsid w:val="192D6083"/>
    <w:rsid w:val="1FA5BE37"/>
    <w:rsid w:val="20603F5D"/>
    <w:rsid w:val="4ABCE378"/>
    <w:rsid w:val="5B84EA7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F94646D"/>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72ED1"/>
    <w:pPr>
      <w:spacing w:after="200"/>
      <w:jc w:val="both"/>
    </w:pPr>
    <w:rPr>
      <w:rFonts w:ascii="Times" w:hAnsi="Times"/>
      <w:sz w:val="24"/>
    </w:rPr>
  </w:style>
  <w:style w:type="paragraph" w:styleId="Heading1">
    <w:name w:val="heading 1"/>
    <w:basedOn w:val="Normal"/>
    <w:next w:val="Normal"/>
    <w:qFormat/>
    <w:rsid w:val="00865479"/>
    <w:pPr>
      <w:keepNext/>
      <w:spacing w:before="180" w:after="60"/>
      <w:ind w:left="480" w:hanging="240"/>
      <w:outlineLvl w:val="0"/>
    </w:pPr>
    <w:rPr>
      <w:rFonts w:ascii="Myriad Pro Light" w:hAnsi="Myriad Pro Light" w:cs="Arial"/>
      <w:b/>
      <w:bCs/>
      <w:kern w:val="32"/>
      <w:sz w:val="22"/>
      <w:szCs w:val="32"/>
    </w:rPr>
  </w:style>
  <w:style w:type="paragraph" w:styleId="Heading2">
    <w:name w:val="heading 2"/>
    <w:basedOn w:val="Normal"/>
    <w:next w:val="Normal"/>
    <w:qFormat/>
    <w:rsid w:val="00865479"/>
    <w:pPr>
      <w:keepNext/>
      <w:spacing w:before="60" w:after="60"/>
      <w:outlineLvl w:val="1"/>
    </w:pPr>
    <w:rPr>
      <w:rFonts w:ascii="Myriad Pro Light" w:hAnsi="Myriad Pro Light" w:cs="Arial"/>
      <w:b/>
      <w:bCs/>
      <w:iCs/>
      <w:sz w:val="20"/>
      <w:szCs w:val="28"/>
    </w:rPr>
  </w:style>
  <w:style w:type="paragraph" w:styleId="Heading3">
    <w:name w:val="heading 3"/>
    <w:basedOn w:val="Normal"/>
    <w:next w:val="Normal"/>
    <w:qFormat/>
    <w:rsid w:val="00865479"/>
    <w:pPr>
      <w:keepNext/>
      <w:spacing w:before="60" w:after="60"/>
      <w:ind w:left="180"/>
      <w:outlineLvl w:val="2"/>
    </w:pPr>
    <w:rPr>
      <w:rFonts w:ascii="Myriad Pro Light" w:hAnsi="Myriad Pro Light" w:cs="Arial"/>
      <w:b/>
      <w:bCs/>
      <w:sz w:val="20"/>
      <w:szCs w:val="26"/>
    </w:rPr>
  </w:style>
  <w:style w:type="paragraph" w:styleId="Heading4">
    <w:name w:val="heading 4"/>
    <w:basedOn w:val="Normal"/>
    <w:next w:val="Normal"/>
    <w:link w:val="Heading4Char"/>
    <w:uiPriority w:val="9"/>
    <w:semiHidden/>
    <w:unhideWhenUsed/>
    <w:qFormat/>
    <w:rsid w:val="00F007D4"/>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next w:val="Normal"/>
    <w:autoRedefine/>
    <w:rsid w:val="00985ED5"/>
    <w:pPr>
      <w:spacing w:after="0"/>
      <w:ind w:firstLine="187"/>
    </w:pPr>
    <w:rPr>
      <w:rFonts w:ascii="Arno Pro" w:hAnsi="Arno Pro"/>
      <w:kern w:val="19"/>
      <w:sz w:val="17"/>
      <w:szCs w:val="14"/>
    </w:rPr>
  </w:style>
  <w:style w:type="paragraph" w:customStyle="1" w:styleId="TAMainText">
    <w:name w:val="TA_Main_Text"/>
    <w:basedOn w:val="Normal"/>
    <w:autoRedefine/>
    <w:rsid w:val="008E40E5"/>
    <w:pPr>
      <w:spacing w:after="60"/>
      <w:ind w:firstLine="270"/>
      <w:jc w:val="left"/>
    </w:pPr>
    <w:rPr>
      <w:rFonts w:ascii="Arno Pro" w:hAnsi="Arno Pro"/>
      <w:kern w:val="21"/>
      <w:sz w:val="21"/>
    </w:rPr>
  </w:style>
  <w:style w:type="paragraph" w:customStyle="1" w:styleId="BATitle">
    <w:name w:val="BA_Title"/>
    <w:basedOn w:val="Normal"/>
    <w:next w:val="BBAuthorName"/>
    <w:autoRedefine/>
    <w:rsid w:val="008329D6"/>
    <w:pPr>
      <w:spacing w:before="1400" w:after="180"/>
      <w:jc w:val="left"/>
    </w:pPr>
    <w:rPr>
      <w:rFonts w:ascii="Myriad Pro Light" w:hAnsi="Myriad Pro Light"/>
      <w:b/>
      <w:kern w:val="36"/>
      <w:sz w:val="34"/>
    </w:rPr>
  </w:style>
  <w:style w:type="paragraph" w:customStyle="1" w:styleId="BBAuthorName">
    <w:name w:val="BB_Author_Name"/>
    <w:basedOn w:val="Normal"/>
    <w:next w:val="BCAuthorAddress"/>
    <w:autoRedefine/>
    <w:rsid w:val="000E75E3"/>
    <w:pPr>
      <w:spacing w:after="180"/>
      <w:jc w:val="left"/>
    </w:pPr>
    <w:rPr>
      <w:rFonts w:ascii="Arno Pro" w:hAnsi="Arno Pro"/>
      <w:kern w:val="26"/>
    </w:rPr>
  </w:style>
  <w:style w:type="paragraph" w:customStyle="1" w:styleId="BCAuthorAddress">
    <w:name w:val="BC_Author_Address"/>
    <w:basedOn w:val="Normal"/>
    <w:next w:val="BIEmailAddress"/>
    <w:autoRedefine/>
    <w:rsid w:val="008329D6"/>
    <w:pPr>
      <w:spacing w:after="60"/>
      <w:jc w:val="left"/>
    </w:pPr>
    <w:rPr>
      <w:rFonts w:ascii="Arno Pro" w:hAnsi="Arno Pro"/>
      <w:kern w:val="22"/>
      <w:sz w:val="20"/>
    </w:rPr>
  </w:style>
  <w:style w:type="paragraph" w:customStyle="1" w:styleId="BIEmailAddress">
    <w:name w:val="BI_Email_Address"/>
    <w:basedOn w:val="Normal"/>
    <w:next w:val="AIReceivedDate"/>
    <w:autoRedefine/>
    <w:rsid w:val="003A0F5F"/>
    <w:pPr>
      <w:spacing w:after="100"/>
      <w:jc w:val="left"/>
    </w:pPr>
    <w:rPr>
      <w:rFonts w:ascii="Arno Pro" w:hAnsi="Arno Pro"/>
      <w:sz w:val="18"/>
    </w:rPr>
  </w:style>
  <w:style w:type="paragraph" w:customStyle="1" w:styleId="AIReceivedDate">
    <w:name w:val="AI_Received_Date"/>
    <w:basedOn w:val="Normal"/>
    <w:next w:val="Normal"/>
    <w:autoRedefine/>
    <w:rsid w:val="00A444E1"/>
    <w:pPr>
      <w:spacing w:after="100"/>
      <w:jc w:val="left"/>
    </w:pPr>
    <w:rPr>
      <w:rFonts w:ascii="Arno Pro" w:hAnsi="Arno Pro"/>
      <w:sz w:val="18"/>
    </w:rPr>
  </w:style>
  <w:style w:type="paragraph" w:customStyle="1" w:styleId="BDAbstract">
    <w:name w:val="BD_Abstract"/>
    <w:basedOn w:val="Normal"/>
    <w:next w:val="TAMainText"/>
    <w:autoRedefine/>
    <w:rsid w:val="00B42906"/>
    <w:pPr>
      <w:pBdr>
        <w:top w:val="single" w:sz="4" w:space="1" w:color="auto"/>
        <w:bottom w:val="single" w:sz="4" w:space="1" w:color="auto"/>
      </w:pBdr>
      <w:spacing w:before="100" w:after="600"/>
    </w:pPr>
    <w:rPr>
      <w:rFonts w:ascii="Arno Pro" w:hAnsi="Arno Pro"/>
      <w:kern w:val="21"/>
      <w:sz w:val="21"/>
    </w:rPr>
  </w:style>
  <w:style w:type="paragraph" w:customStyle="1" w:styleId="SectionContent">
    <w:name w:val="Section_Content"/>
    <w:basedOn w:val="Normal"/>
    <w:next w:val="Normal"/>
    <w:autoRedefine/>
    <w:rsid w:val="00796B80"/>
    <w:pPr>
      <w:spacing w:after="0"/>
    </w:pPr>
    <w:rPr>
      <w:rFonts w:ascii="Arno Pro" w:hAnsi="Arno Pro"/>
      <w:kern w:val="20"/>
      <w:sz w:val="20"/>
    </w:rPr>
  </w:style>
  <w:style w:type="paragraph" w:customStyle="1" w:styleId="VCSchemeTitle">
    <w:name w:val="VC_Scheme_Title"/>
    <w:basedOn w:val="Normal"/>
    <w:next w:val="Normal"/>
    <w:autoRedefine/>
    <w:rsid w:val="00C309AB"/>
    <w:pPr>
      <w:spacing w:after="180"/>
    </w:pPr>
    <w:rPr>
      <w:rFonts w:ascii="Arno Pro" w:hAnsi="Arno Pro"/>
      <w:b/>
      <w:kern w:val="21"/>
      <w:sz w:val="21"/>
    </w:rPr>
  </w:style>
  <w:style w:type="paragraph" w:customStyle="1" w:styleId="VDTableTitle">
    <w:name w:val="VD_Table_Title"/>
    <w:basedOn w:val="Normal"/>
    <w:next w:val="Normal"/>
    <w:autoRedefine/>
    <w:rsid w:val="00F007D4"/>
    <w:pPr>
      <w:spacing w:after="180"/>
      <w:ind w:right="-487" w:firstLine="180"/>
    </w:pPr>
    <w:rPr>
      <w:rFonts w:ascii="Arno Pro" w:hAnsi="Arno Pro"/>
      <w:b/>
      <w:kern w:val="21"/>
      <w:sz w:val="19"/>
      <w:szCs w:val="19"/>
    </w:rPr>
  </w:style>
  <w:style w:type="paragraph" w:customStyle="1" w:styleId="VAFigureCaption">
    <w:name w:val="VA_Figure_Caption"/>
    <w:basedOn w:val="Normal"/>
    <w:next w:val="Normal"/>
    <w:autoRedefine/>
    <w:rsid w:val="00796B80"/>
    <w:pPr>
      <w:spacing w:before="200" w:after="120"/>
    </w:pPr>
    <w:rPr>
      <w:rFonts w:ascii="Arno Pro" w:hAnsi="Arno Pro"/>
      <w:kern w:val="20"/>
      <w:sz w:val="20"/>
    </w:rPr>
  </w:style>
  <w:style w:type="paragraph" w:customStyle="1" w:styleId="VBChartTitle">
    <w:name w:val="VB_Chart_Title"/>
    <w:basedOn w:val="Normal"/>
    <w:next w:val="Normal"/>
    <w:autoRedefine/>
    <w:rsid w:val="00427112"/>
    <w:pPr>
      <w:spacing w:after="180"/>
    </w:pPr>
    <w:rPr>
      <w:rFonts w:ascii="Arno Pro" w:hAnsi="Arno Pro"/>
      <w:b/>
      <w:kern w:val="21"/>
      <w:sz w:val="19"/>
    </w:rPr>
  </w:style>
  <w:style w:type="paragraph" w:customStyle="1" w:styleId="FETableFootnote">
    <w:name w:val="FE_Table_Footnote"/>
    <w:basedOn w:val="Normal"/>
    <w:next w:val="Normal"/>
    <w:autoRedefine/>
    <w:rsid w:val="00796B80"/>
    <w:pPr>
      <w:spacing w:before="60" w:after="120"/>
      <w:ind w:firstLine="187"/>
    </w:pPr>
    <w:rPr>
      <w:rFonts w:ascii="Arno Pro" w:hAnsi="Arno Pro"/>
      <w:sz w:val="20"/>
    </w:rPr>
  </w:style>
  <w:style w:type="paragraph" w:customStyle="1" w:styleId="FCChartFootnote">
    <w:name w:val="FC_Chart_Footnote"/>
    <w:basedOn w:val="Normal"/>
    <w:next w:val="Normal"/>
    <w:autoRedefine/>
    <w:rsid w:val="00796B80"/>
    <w:pPr>
      <w:spacing w:before="60" w:after="120"/>
      <w:ind w:firstLine="187"/>
    </w:pPr>
    <w:rPr>
      <w:rFonts w:ascii="Arno Pro" w:hAnsi="Arno Pro"/>
      <w:sz w:val="20"/>
    </w:rPr>
  </w:style>
  <w:style w:type="paragraph" w:customStyle="1" w:styleId="FDSchemeFootnote">
    <w:name w:val="FD_Scheme_Footnote"/>
    <w:basedOn w:val="Normal"/>
    <w:next w:val="Normal"/>
    <w:autoRedefine/>
    <w:rsid w:val="0063496C"/>
    <w:pPr>
      <w:spacing w:before="60" w:after="120"/>
    </w:pPr>
    <w:rPr>
      <w:rFonts w:ascii="Arno Pro" w:hAnsi="Arno Pro"/>
      <w:sz w:val="20"/>
    </w:rPr>
  </w:style>
  <w:style w:type="paragraph" w:customStyle="1" w:styleId="TCTableBody">
    <w:name w:val="TC_Table_Body"/>
    <w:basedOn w:val="Normal"/>
    <w:next w:val="Normal"/>
    <w:autoRedefine/>
    <w:rsid w:val="001A18B4"/>
    <w:pPr>
      <w:spacing w:before="20" w:after="60"/>
      <w:ind w:right="-487"/>
      <w:jc w:val="center"/>
    </w:pPr>
    <w:rPr>
      <w:rFonts w:ascii="Arno Pro" w:hAnsi="Arno Pro"/>
      <w:kern w:val="20"/>
      <w:sz w:val="20"/>
    </w:rPr>
  </w:style>
  <w:style w:type="paragraph" w:customStyle="1" w:styleId="BEAuthorBiography">
    <w:name w:val="BE_Author_Biography"/>
    <w:basedOn w:val="Normal"/>
    <w:link w:val="TCTableBodyChar"/>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Normal"/>
    <w:next w:val="Normal"/>
    <w:autoRedefine/>
    <w:rsid w:val="000E75E3"/>
    <w:pPr>
      <w:spacing w:after="60"/>
    </w:pPr>
    <w:rPr>
      <w:rFonts w:ascii="Arno Pro" w:hAnsi="Arno Pro"/>
      <w:kern w:val="22"/>
      <w:sz w:val="20"/>
    </w:r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next w:val="BHBriefs"/>
    <w:autoRedefine/>
    <w:rsid w:val="00AC5F97"/>
    <w:pPr>
      <w:spacing w:after="220"/>
      <w:jc w:val="left"/>
    </w:pPr>
    <w:rPr>
      <w:rFonts w:ascii="Arno Pro" w:hAnsi="Arno Pro"/>
      <w:i/>
      <w:kern w:val="22"/>
      <w:sz w:val="20"/>
    </w:rPr>
  </w:style>
  <w:style w:type="paragraph" w:customStyle="1" w:styleId="BHBriefs">
    <w:name w:val="BH_Briefs"/>
    <w:basedOn w:val="Normal"/>
    <w:next w:val="BDAbstract"/>
    <w:autoRedefine/>
    <w:rsid w:val="000E75E3"/>
    <w:pPr>
      <w:spacing w:before="180" w:after="60"/>
      <w:jc w:val="left"/>
    </w:pPr>
    <w:rPr>
      <w:rFonts w:ascii="Arno Pro" w:hAnsi="Arno Pro"/>
      <w:kern w:val="22"/>
      <w:sz w:val="20"/>
    </w:r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character" w:styleId="EndnoteReference">
    <w:name w:val="endnote reference"/>
    <w:semiHidden/>
    <w:rsid w:val="00A66EDD"/>
    <w:rPr>
      <w:rFonts w:ascii="Times" w:hAnsi="Times"/>
      <w:sz w:val="18"/>
      <w:vertAlign w:val="superscript"/>
    </w:rPr>
  </w:style>
  <w:style w:type="paragraph" w:customStyle="1" w:styleId="StyleTCTableBodyBold">
    <w:name w:val="Style TC_Table_Body + Bold"/>
    <w:basedOn w:val="TCTableBody"/>
    <w:rsid w:val="000E75E3"/>
    <w:rPr>
      <w:b/>
      <w:bCs/>
      <w:kern w:val="22"/>
      <w:sz w:val="15"/>
    </w:rPr>
  </w:style>
  <w:style w:type="paragraph" w:customStyle="1" w:styleId="BDAbstractTitle">
    <w:name w:val="BD_Abstract_Title"/>
    <w:basedOn w:val="BDAbstract"/>
    <w:link w:val="SectionSubtitle"/>
    <w:rsid w:val="006532A9"/>
    <w:rPr>
      <w:b/>
    </w:rPr>
  </w:style>
  <w:style w:type="character" w:customStyle="1" w:styleId="BDAbstractChar">
    <w:name w:val="BD_Abstract Char"/>
    <w:link w:val="StyleTCTableBodyBoldChar"/>
    <w:rsid w:val="000E75E3"/>
    <w:rPr>
      <w:rFonts w:ascii="Arno Pro" w:hAnsi="Arno Pro"/>
      <w:kern w:val="21"/>
      <w:sz w:val="19"/>
      <w:lang w:val="en-US" w:eastAsia="en-US" w:bidi="ar-SA"/>
    </w:rPr>
  </w:style>
  <w:style w:type="character" w:customStyle="1" w:styleId="BDAbstractTitleChar">
    <w:name w:val="BD_Abstract_Title Char"/>
    <w:link w:val="SectionTitle"/>
    <w:rsid w:val="006532A9"/>
    <w:rPr>
      <w:rFonts w:ascii="Arno Pro" w:hAnsi="Arno Pro"/>
      <w:b/>
      <w:kern w:val="21"/>
      <w:sz w:val="19"/>
      <w:lang w:val="en-US" w:eastAsia="en-US" w:bidi="ar-SA"/>
    </w:rPr>
  </w:style>
  <w:style w:type="paragraph" w:customStyle="1" w:styleId="SectionTitle">
    <w:name w:val="Section_Title"/>
    <w:basedOn w:val="SectionContent"/>
    <w:link w:val="BDAbstractTitleChar"/>
    <w:autoRedefine/>
    <w:rsid w:val="006D0601"/>
    <w:pPr>
      <w:spacing w:before="180" w:after="120"/>
    </w:pPr>
    <w:rPr>
      <w:rFonts w:ascii="Myriad Pro Light" w:hAnsi="Myriad Pro Light"/>
      <w:b/>
      <w:sz w:val="21"/>
      <w:szCs w:val="18"/>
    </w:rPr>
  </w:style>
  <w:style w:type="paragraph" w:customStyle="1" w:styleId="AuthorInformationTitle">
    <w:name w:val="Author_Information_Title"/>
    <w:basedOn w:val="Normal"/>
    <w:rsid w:val="006D0601"/>
    <w:pPr>
      <w:spacing w:before="180" w:after="60"/>
    </w:pPr>
    <w:rPr>
      <w:rFonts w:ascii="Myriad Pro Light" w:hAnsi="Myriad Pro Light"/>
      <w:b/>
      <w:kern w:val="23"/>
      <w:sz w:val="21"/>
    </w:rPr>
  </w:style>
  <w:style w:type="paragraph" w:customStyle="1" w:styleId="SectionSubtitle">
    <w:name w:val="Section_Subtitle"/>
    <w:basedOn w:val="Normal"/>
    <w:link w:val="BDAbstractTitle"/>
    <w:autoRedefine/>
    <w:rsid w:val="00DE78D2"/>
    <w:pPr>
      <w:spacing w:before="120" w:after="60"/>
      <w:jc w:val="left"/>
    </w:pPr>
    <w:rPr>
      <w:rFonts w:ascii="Myriad Pro Light" w:hAnsi="Myriad Pro Light"/>
      <w:b/>
      <w:kern w:val="21"/>
      <w:sz w:val="19"/>
      <w:szCs w:val="14"/>
    </w:rPr>
  </w:style>
  <w:style w:type="character" w:customStyle="1" w:styleId="FAAuthorInfoSubtitleChar">
    <w:name w:val="FA_Author_Info_Subtitle Char"/>
    <w:rsid w:val="00DE78D2"/>
    <w:rPr>
      <w:rFonts w:ascii="Myriad Pro Light" w:hAnsi="Myriad Pro Light"/>
      <w:b/>
      <w:kern w:val="21"/>
      <w:sz w:val="19"/>
      <w:szCs w:val="14"/>
      <w:lang w:val="en-US" w:eastAsia="en-US" w:bidi="ar-SA"/>
    </w:rPr>
  </w:style>
  <w:style w:type="character" w:customStyle="1" w:styleId="TCTableBodyChar">
    <w:name w:val="TC_Table_Body Char"/>
    <w:link w:val="BEAuthorBiography"/>
    <w:rsid w:val="000E75E3"/>
    <w:rPr>
      <w:rFonts w:ascii="Arno Pro" w:hAnsi="Arno Pro"/>
      <w:kern w:val="20"/>
      <w:sz w:val="18"/>
      <w:lang w:val="en-US" w:eastAsia="en-US" w:bidi="ar-SA"/>
    </w:rPr>
  </w:style>
  <w:style w:type="character" w:customStyle="1" w:styleId="StyleTCTableBodyBoldChar">
    <w:name w:val="Style TC_Table_Body + Bold Char"/>
    <w:link w:val="BDAbstractChar"/>
    <w:rsid w:val="00BC40FF"/>
    <w:rPr>
      <w:rFonts w:ascii="Arno Pro Bold" w:hAnsi="Arno Pro Bold"/>
      <w:b/>
      <w:bCs/>
      <w:kern w:val="22"/>
      <w:sz w:val="18"/>
      <w:lang w:val="en-US" w:eastAsia="en-US" w:bidi="ar-SA"/>
    </w:rPr>
  </w:style>
  <w:style w:type="paragraph" w:styleId="EndnoteText">
    <w:name w:val="endnote text"/>
    <w:basedOn w:val="Normal"/>
    <w:link w:val="EndnoteTextChar"/>
    <w:uiPriority w:val="99"/>
    <w:unhideWhenUsed/>
    <w:rsid w:val="003C3037"/>
    <w:pPr>
      <w:spacing w:after="0"/>
    </w:pPr>
    <w:rPr>
      <w:szCs w:val="24"/>
    </w:rPr>
  </w:style>
  <w:style w:type="character" w:customStyle="1" w:styleId="EndnoteTextChar">
    <w:name w:val="Endnote Text Char"/>
    <w:basedOn w:val="DefaultParagraphFont"/>
    <w:link w:val="EndnoteText"/>
    <w:uiPriority w:val="99"/>
    <w:rsid w:val="003C3037"/>
    <w:rPr>
      <w:rFonts w:ascii="Times" w:hAnsi="Times"/>
      <w:sz w:val="24"/>
      <w:szCs w:val="24"/>
    </w:rPr>
  </w:style>
  <w:style w:type="character" w:styleId="CommentReference">
    <w:name w:val="annotation reference"/>
    <w:basedOn w:val="DefaultParagraphFont"/>
    <w:uiPriority w:val="99"/>
    <w:semiHidden/>
    <w:unhideWhenUsed/>
    <w:rsid w:val="00B93215"/>
    <w:rPr>
      <w:sz w:val="18"/>
      <w:szCs w:val="18"/>
    </w:rPr>
  </w:style>
  <w:style w:type="paragraph" w:styleId="CommentText">
    <w:name w:val="annotation text"/>
    <w:basedOn w:val="Normal"/>
    <w:link w:val="CommentTextChar"/>
    <w:uiPriority w:val="99"/>
    <w:semiHidden/>
    <w:unhideWhenUsed/>
    <w:rsid w:val="00B93215"/>
    <w:rPr>
      <w:szCs w:val="24"/>
    </w:rPr>
  </w:style>
  <w:style w:type="character" w:customStyle="1" w:styleId="CommentTextChar">
    <w:name w:val="Comment Text Char"/>
    <w:basedOn w:val="DefaultParagraphFont"/>
    <w:link w:val="CommentText"/>
    <w:uiPriority w:val="99"/>
    <w:semiHidden/>
    <w:rsid w:val="00B93215"/>
    <w:rPr>
      <w:rFonts w:ascii="Times" w:hAnsi="Times"/>
      <w:sz w:val="24"/>
      <w:szCs w:val="24"/>
    </w:rPr>
  </w:style>
  <w:style w:type="paragraph" w:styleId="CommentSubject">
    <w:name w:val="annotation subject"/>
    <w:basedOn w:val="CommentText"/>
    <w:next w:val="CommentText"/>
    <w:link w:val="CommentSubjectChar"/>
    <w:uiPriority w:val="99"/>
    <w:semiHidden/>
    <w:unhideWhenUsed/>
    <w:rsid w:val="00B93215"/>
    <w:rPr>
      <w:b/>
      <w:bCs/>
      <w:sz w:val="20"/>
      <w:szCs w:val="20"/>
    </w:rPr>
  </w:style>
  <w:style w:type="character" w:customStyle="1" w:styleId="CommentSubjectChar">
    <w:name w:val="Comment Subject Char"/>
    <w:basedOn w:val="CommentTextChar"/>
    <w:link w:val="CommentSubject"/>
    <w:uiPriority w:val="99"/>
    <w:semiHidden/>
    <w:rsid w:val="00B93215"/>
    <w:rPr>
      <w:rFonts w:ascii="Times" w:hAnsi="Times"/>
      <w:b/>
      <w:bCs/>
      <w:sz w:val="24"/>
      <w:szCs w:val="24"/>
    </w:rPr>
  </w:style>
  <w:style w:type="table" w:styleId="TableGrid">
    <w:name w:val="Table Grid"/>
    <w:basedOn w:val="TableNormal"/>
    <w:uiPriority w:val="59"/>
    <w:rsid w:val="00D135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CTableBodyBold105">
    <w:name w:val="TC_Table_Body+Bold+10.5"/>
    <w:basedOn w:val="TCTableBody"/>
    <w:qFormat/>
    <w:rsid w:val="00496A16"/>
    <w:rPr>
      <w:b/>
      <w:sz w:val="21"/>
    </w:rPr>
  </w:style>
  <w:style w:type="table" w:styleId="ListTable3">
    <w:name w:val="List Table 3"/>
    <w:basedOn w:val="TableNormal"/>
    <w:uiPriority w:val="48"/>
    <w:rsid w:val="00994176"/>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Header">
    <w:name w:val="header"/>
    <w:basedOn w:val="Normal"/>
    <w:link w:val="HeaderChar"/>
    <w:uiPriority w:val="99"/>
    <w:unhideWhenUsed/>
    <w:rsid w:val="00083217"/>
    <w:pPr>
      <w:tabs>
        <w:tab w:val="center" w:pos="4680"/>
        <w:tab w:val="right" w:pos="9360"/>
      </w:tabs>
      <w:spacing w:after="0"/>
    </w:pPr>
  </w:style>
  <w:style w:type="character" w:customStyle="1" w:styleId="HeaderChar">
    <w:name w:val="Header Char"/>
    <w:basedOn w:val="DefaultParagraphFont"/>
    <w:link w:val="Header"/>
    <w:uiPriority w:val="99"/>
    <w:rsid w:val="00083217"/>
    <w:rPr>
      <w:rFonts w:ascii="Times" w:hAnsi="Times"/>
      <w:sz w:val="24"/>
    </w:rPr>
  </w:style>
  <w:style w:type="paragraph" w:styleId="Revision">
    <w:name w:val="Revision"/>
    <w:hidden/>
    <w:uiPriority w:val="99"/>
    <w:semiHidden/>
    <w:rsid w:val="00135C3D"/>
    <w:rPr>
      <w:rFonts w:ascii="Times" w:hAnsi="Times"/>
      <w:sz w:val="24"/>
    </w:rPr>
  </w:style>
  <w:style w:type="character" w:customStyle="1" w:styleId="Heading4Char">
    <w:name w:val="Heading 4 Char"/>
    <w:basedOn w:val="DefaultParagraphFont"/>
    <w:link w:val="Heading4"/>
    <w:uiPriority w:val="9"/>
    <w:semiHidden/>
    <w:rsid w:val="00F007D4"/>
    <w:rPr>
      <w:rFonts w:asciiTheme="majorHAnsi" w:eastAsiaTheme="majorEastAsia" w:hAnsiTheme="majorHAnsi" w:cstheme="majorBidi"/>
      <w:i/>
      <w:iCs/>
      <w:color w:val="365F91"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281426">
      <w:bodyDiv w:val="1"/>
      <w:marLeft w:val="0"/>
      <w:marRight w:val="0"/>
      <w:marTop w:val="0"/>
      <w:marBottom w:val="0"/>
      <w:divBdr>
        <w:top w:val="none" w:sz="0" w:space="0" w:color="auto"/>
        <w:left w:val="none" w:sz="0" w:space="0" w:color="auto"/>
        <w:bottom w:val="none" w:sz="0" w:space="0" w:color="auto"/>
        <w:right w:val="none" w:sz="0" w:space="0" w:color="auto"/>
      </w:divBdr>
    </w:div>
    <w:div w:id="459349472">
      <w:bodyDiv w:val="1"/>
      <w:marLeft w:val="0"/>
      <w:marRight w:val="0"/>
      <w:marTop w:val="0"/>
      <w:marBottom w:val="0"/>
      <w:divBdr>
        <w:top w:val="none" w:sz="0" w:space="0" w:color="auto"/>
        <w:left w:val="none" w:sz="0" w:space="0" w:color="auto"/>
        <w:bottom w:val="none" w:sz="0" w:space="0" w:color="auto"/>
        <w:right w:val="none" w:sz="0" w:space="0" w:color="auto"/>
      </w:divBdr>
    </w:div>
    <w:div w:id="548346843">
      <w:bodyDiv w:val="1"/>
      <w:marLeft w:val="0"/>
      <w:marRight w:val="0"/>
      <w:marTop w:val="0"/>
      <w:marBottom w:val="0"/>
      <w:divBdr>
        <w:top w:val="none" w:sz="0" w:space="0" w:color="auto"/>
        <w:left w:val="none" w:sz="0" w:space="0" w:color="auto"/>
        <w:bottom w:val="none" w:sz="0" w:space="0" w:color="auto"/>
        <w:right w:val="none" w:sz="0" w:space="0" w:color="auto"/>
      </w:divBdr>
    </w:div>
    <w:div w:id="589432205">
      <w:bodyDiv w:val="1"/>
      <w:marLeft w:val="0"/>
      <w:marRight w:val="0"/>
      <w:marTop w:val="0"/>
      <w:marBottom w:val="0"/>
      <w:divBdr>
        <w:top w:val="none" w:sz="0" w:space="0" w:color="auto"/>
        <w:left w:val="none" w:sz="0" w:space="0" w:color="auto"/>
        <w:bottom w:val="none" w:sz="0" w:space="0" w:color="auto"/>
        <w:right w:val="none" w:sz="0" w:space="0" w:color="auto"/>
      </w:divBdr>
    </w:div>
    <w:div w:id="1001666386">
      <w:bodyDiv w:val="1"/>
      <w:marLeft w:val="0"/>
      <w:marRight w:val="0"/>
      <w:marTop w:val="0"/>
      <w:marBottom w:val="0"/>
      <w:divBdr>
        <w:top w:val="none" w:sz="0" w:space="0" w:color="auto"/>
        <w:left w:val="none" w:sz="0" w:space="0" w:color="auto"/>
        <w:bottom w:val="none" w:sz="0" w:space="0" w:color="auto"/>
        <w:right w:val="none" w:sz="0" w:space="0" w:color="auto"/>
      </w:divBdr>
    </w:div>
    <w:div w:id="1023095211">
      <w:bodyDiv w:val="1"/>
      <w:marLeft w:val="0"/>
      <w:marRight w:val="0"/>
      <w:marTop w:val="0"/>
      <w:marBottom w:val="0"/>
      <w:divBdr>
        <w:top w:val="none" w:sz="0" w:space="0" w:color="auto"/>
        <w:left w:val="none" w:sz="0" w:space="0" w:color="auto"/>
        <w:bottom w:val="none" w:sz="0" w:space="0" w:color="auto"/>
        <w:right w:val="none" w:sz="0" w:space="0" w:color="auto"/>
      </w:divBdr>
    </w:div>
    <w:div w:id="1088162686">
      <w:bodyDiv w:val="1"/>
      <w:marLeft w:val="0"/>
      <w:marRight w:val="0"/>
      <w:marTop w:val="0"/>
      <w:marBottom w:val="0"/>
      <w:divBdr>
        <w:top w:val="none" w:sz="0" w:space="0" w:color="auto"/>
        <w:left w:val="none" w:sz="0" w:space="0" w:color="auto"/>
        <w:bottom w:val="none" w:sz="0" w:space="0" w:color="auto"/>
        <w:right w:val="none" w:sz="0" w:space="0" w:color="auto"/>
      </w:divBdr>
      <w:divsChild>
        <w:div w:id="1826236855">
          <w:marLeft w:val="0"/>
          <w:marRight w:val="0"/>
          <w:marTop w:val="0"/>
          <w:marBottom w:val="0"/>
          <w:divBdr>
            <w:top w:val="none" w:sz="0" w:space="0" w:color="auto"/>
            <w:left w:val="none" w:sz="0" w:space="0" w:color="auto"/>
            <w:bottom w:val="none" w:sz="0" w:space="0" w:color="auto"/>
            <w:right w:val="none" w:sz="0" w:space="0" w:color="auto"/>
          </w:divBdr>
        </w:div>
        <w:div w:id="1841847217">
          <w:marLeft w:val="0"/>
          <w:marRight w:val="0"/>
          <w:marTop w:val="0"/>
          <w:marBottom w:val="0"/>
          <w:divBdr>
            <w:top w:val="none" w:sz="0" w:space="0" w:color="auto"/>
            <w:left w:val="none" w:sz="0" w:space="0" w:color="auto"/>
            <w:bottom w:val="none" w:sz="0" w:space="0" w:color="auto"/>
            <w:right w:val="none" w:sz="0" w:space="0" w:color="auto"/>
          </w:divBdr>
        </w:div>
      </w:divsChild>
    </w:div>
    <w:div w:id="1338776741">
      <w:bodyDiv w:val="1"/>
      <w:marLeft w:val="0"/>
      <w:marRight w:val="0"/>
      <w:marTop w:val="0"/>
      <w:marBottom w:val="0"/>
      <w:divBdr>
        <w:top w:val="none" w:sz="0" w:space="0" w:color="auto"/>
        <w:left w:val="none" w:sz="0" w:space="0" w:color="auto"/>
        <w:bottom w:val="none" w:sz="0" w:space="0" w:color="auto"/>
        <w:right w:val="none" w:sz="0" w:space="0" w:color="auto"/>
      </w:divBdr>
    </w:div>
    <w:div w:id="1494222494">
      <w:bodyDiv w:val="1"/>
      <w:marLeft w:val="0"/>
      <w:marRight w:val="0"/>
      <w:marTop w:val="0"/>
      <w:marBottom w:val="0"/>
      <w:divBdr>
        <w:top w:val="none" w:sz="0" w:space="0" w:color="auto"/>
        <w:left w:val="none" w:sz="0" w:space="0" w:color="auto"/>
        <w:bottom w:val="none" w:sz="0" w:space="0" w:color="auto"/>
        <w:right w:val="none" w:sz="0" w:space="0" w:color="auto"/>
      </w:divBdr>
      <w:divsChild>
        <w:div w:id="1500851443">
          <w:marLeft w:val="0"/>
          <w:marRight w:val="0"/>
          <w:marTop w:val="0"/>
          <w:marBottom w:val="0"/>
          <w:divBdr>
            <w:top w:val="none" w:sz="0" w:space="0" w:color="auto"/>
            <w:left w:val="none" w:sz="0" w:space="0" w:color="auto"/>
            <w:bottom w:val="none" w:sz="0" w:space="0" w:color="auto"/>
            <w:right w:val="none" w:sz="0" w:space="0" w:color="auto"/>
          </w:divBdr>
        </w:div>
        <w:div w:id="1995836733">
          <w:marLeft w:val="0"/>
          <w:marRight w:val="0"/>
          <w:marTop w:val="0"/>
          <w:marBottom w:val="0"/>
          <w:divBdr>
            <w:top w:val="none" w:sz="0" w:space="0" w:color="auto"/>
            <w:left w:val="none" w:sz="0" w:space="0" w:color="auto"/>
            <w:bottom w:val="none" w:sz="0" w:space="0" w:color="auto"/>
            <w:right w:val="none" w:sz="0" w:space="0" w:color="auto"/>
          </w:divBdr>
        </w:div>
      </w:divsChild>
    </w:div>
    <w:div w:id="20137928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emf"/><Relationship Id="rId26" Type="http://schemas.openxmlformats.org/officeDocument/2006/relationships/image" Target="media/image10.emf"/><Relationship Id="rId3" Type="http://schemas.openxmlformats.org/officeDocument/2006/relationships/customXml" Target="../customXml/item3.xml"/><Relationship Id="rId21" Type="http://schemas.openxmlformats.org/officeDocument/2006/relationships/image" Target="media/image8.emf"/><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7.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header" Target="header2.xml"/><Relationship Id="rId28" Type="http://schemas.openxmlformats.org/officeDocument/2006/relationships/hyperlink" Target="mailto:sargenta@ecu.edu" TargetMode="Externa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emf"/><Relationship Id="rId22" Type="http://schemas.openxmlformats.org/officeDocument/2006/relationships/image" Target="media/image9.emf"/><Relationship Id="rId27" Type="http://schemas.openxmlformats.org/officeDocument/2006/relationships/hyperlink" Target="mailto:moreheada@ecu.edu" TargetMode="Externa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MoreheadA:Documents:%20Working%20Documents:Papers:Willis/Weller%20PCP:acscolumnwide_msw2011_om_ma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221B0C7CF8EB54DB6C5642BB58C00AD" ma:contentTypeVersion="11" ma:contentTypeDescription="Create a new document." ma:contentTypeScope="" ma:versionID="01bc2f10850b77dc1d32c244542f8990">
  <xsd:schema xmlns:xsd="http://www.w3.org/2001/XMLSchema" xmlns:xs="http://www.w3.org/2001/XMLSchema" xmlns:p="http://schemas.microsoft.com/office/2006/metadata/properties" xmlns:ns2="dd54a9b1-5a60-4200-a104-94995b8cc8ae" xmlns:ns3="cfd6f58d-262a-4881-bf7c-2d95c5edd8ab" targetNamespace="http://schemas.microsoft.com/office/2006/metadata/properties" ma:root="true" ma:fieldsID="969bb073bd55ae28ed5d08af97e05ef1" ns2:_="" ns3:_="">
    <xsd:import namespace="dd54a9b1-5a60-4200-a104-94995b8cc8ae"/>
    <xsd:import namespace="cfd6f58d-262a-4881-bf7c-2d95c5edd8a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54a9b1-5a60-4200-a104-94995b8cc8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da0cd38b-47d1-479b-a863-216ca283e7c1"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d6f58d-262a-4881-bf7c-2d95c5edd8a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4c0c6a07-3d65-466c-81c5-26990b0d03e1}" ma:internalName="TaxCatchAll" ma:showField="CatchAllData" ma:web="cfd6f58d-262a-4881-bf7c-2d95c5edd8a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d54a9b1-5a60-4200-a104-94995b8cc8ae">
      <Terms xmlns="http://schemas.microsoft.com/office/infopath/2007/PartnerControls"/>
    </lcf76f155ced4ddcb4097134ff3c332f>
    <TaxCatchAll xmlns="cfd6f58d-262a-4881-bf7c-2d95c5edd8ab"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D4B3F7D-A817-4D5F-A058-2F5FED7994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54a9b1-5a60-4200-a104-94995b8cc8ae"/>
    <ds:schemaRef ds:uri="cfd6f58d-262a-4881-bf7c-2d95c5edd8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25DF962-5045-664A-A8C5-AC4CBD9545E4}">
  <ds:schemaRefs>
    <ds:schemaRef ds:uri="http://schemas.openxmlformats.org/officeDocument/2006/bibliography"/>
  </ds:schemaRefs>
</ds:datastoreItem>
</file>

<file path=customXml/itemProps3.xml><?xml version="1.0" encoding="utf-8"?>
<ds:datastoreItem xmlns:ds="http://schemas.openxmlformats.org/officeDocument/2006/customXml" ds:itemID="{903A7600-75BB-4C6F-85DE-25DC64AA50EA}">
  <ds:schemaRefs>
    <ds:schemaRef ds:uri="http://schemas.microsoft.com/office/2006/metadata/properties"/>
    <ds:schemaRef ds:uri="http://schemas.microsoft.com/office/infopath/2007/PartnerControls"/>
    <ds:schemaRef ds:uri="dd54a9b1-5a60-4200-a104-94995b8cc8ae"/>
    <ds:schemaRef ds:uri="cfd6f58d-262a-4881-bf7c-2d95c5edd8ab"/>
  </ds:schemaRefs>
</ds:datastoreItem>
</file>

<file path=customXml/itemProps4.xml><?xml version="1.0" encoding="utf-8"?>
<ds:datastoreItem xmlns:ds="http://schemas.openxmlformats.org/officeDocument/2006/customXml" ds:itemID="{782A84B5-6649-475D-B121-375B5555AC5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Weller%20PCP:acscolumnwide_msw2011_om_mac.dotx</Template>
  <TotalTime>3</TotalTime>
  <Pages>15</Pages>
  <Words>4728</Words>
  <Characters>27002</Characters>
  <Application>Microsoft Office Word</Application>
  <DocSecurity>0</DocSecurity>
  <Lines>225</Lines>
  <Paragraphs>63</Paragraphs>
  <ScaleCrop>false</ScaleCrop>
  <Company>ACS</Company>
  <LinksUpToDate>false</LinksUpToDate>
  <CharactersWithSpaces>31667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Andrew Morehead</dc:creator>
  <cp:keywords/>
  <cp:lastModifiedBy>Morehead, Andrew</cp:lastModifiedBy>
  <cp:revision>7</cp:revision>
  <cp:lastPrinted>2025-02-25T12:40:00Z</cp:lastPrinted>
  <dcterms:created xsi:type="dcterms:W3CDTF">2025-07-04T15:02:00Z</dcterms:created>
  <dcterms:modified xsi:type="dcterms:W3CDTF">2025-07-04T16:02:00Z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0x010100D221B0C7CF8EB54DB6C5642BB58C00AD</vt:lpwstr>
  </property>
  <property fmtid="{D5CDD505-2E9C-101B-9397-08002B2CF9AE}" pid="3" name="MediaServiceImageTags">
    <vt:lpwstr/>
  </property>
</Properties>
</file>