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B242F0" w14:textId="77777777" w:rsidR="00741CC1" w:rsidRDefault="00741CC1" w:rsidP="00741CC1">
      <w:pPr>
        <w:pStyle w:val="Title"/>
      </w:pPr>
      <w:r>
        <w:t>Assessing the affordance, equity and wellbeing implications of mobility provision, governance and operation in East African cities</w:t>
      </w:r>
    </w:p>
    <w:p w14:paraId="5DBEDDD5" w14:textId="77777777" w:rsidR="00741CC1" w:rsidRDefault="00741CC1" w:rsidP="00741CC1"/>
    <w:p w14:paraId="7E511CE7" w14:textId="77777777" w:rsidR="00741CC1" w:rsidRDefault="00741CC1" w:rsidP="00741CC1">
      <w:pPr>
        <w:rPr>
          <w:vertAlign w:val="superscript"/>
        </w:rPr>
      </w:pPr>
      <w:r>
        <w:t>Steve Cinderby</w:t>
      </w:r>
      <w:r>
        <w:rPr>
          <w:vertAlign w:val="superscript"/>
        </w:rPr>
        <w:t>1</w:t>
      </w:r>
      <w:r>
        <w:t>, Nancy Abira</w:t>
      </w:r>
      <w:r>
        <w:rPr>
          <w:vertAlign w:val="superscript"/>
        </w:rPr>
        <w:t>2</w:t>
      </w:r>
      <w:r>
        <w:t>, Rachel Pateman</w:t>
      </w:r>
      <w:r>
        <w:rPr>
          <w:vertAlign w:val="superscript"/>
        </w:rPr>
        <w:t>1</w:t>
      </w:r>
      <w:r>
        <w:t>, Romanus Opiyo</w:t>
      </w:r>
      <w:r>
        <w:rPr>
          <w:vertAlign w:val="superscript"/>
        </w:rPr>
        <w:t>3</w:t>
      </w:r>
      <w:r>
        <w:t>, Howard Cambridge</w:t>
      </w:r>
      <w:r>
        <w:rPr>
          <w:vertAlign w:val="superscript"/>
        </w:rPr>
        <w:t>1</w:t>
      </w:r>
      <w:r>
        <w:t>, Cassilde Muhoza</w:t>
      </w:r>
      <w:r>
        <w:rPr>
          <w:vertAlign w:val="superscript"/>
        </w:rPr>
        <w:t>3</w:t>
      </w:r>
      <w:r>
        <w:t>, Constant Cap</w:t>
      </w:r>
      <w:r>
        <w:rPr>
          <w:vertAlign w:val="superscript"/>
        </w:rPr>
        <w:t>4</w:t>
      </w:r>
      <w:r>
        <w:t xml:space="preserve"> and Sherlyne Omangi</w:t>
      </w:r>
      <w:r>
        <w:rPr>
          <w:vertAlign w:val="superscript"/>
        </w:rPr>
        <w:t>5</w:t>
      </w:r>
    </w:p>
    <w:p w14:paraId="08CEB2AC" w14:textId="77777777" w:rsidR="00741CC1" w:rsidRDefault="00741CC1" w:rsidP="00741CC1">
      <w:pPr>
        <w:pStyle w:val="ListParagraph"/>
        <w:numPr>
          <w:ilvl w:val="0"/>
          <w:numId w:val="4"/>
        </w:numPr>
        <w:rPr>
          <w:sz w:val="16"/>
          <w:szCs w:val="16"/>
        </w:rPr>
      </w:pPr>
      <w:r>
        <w:rPr>
          <w:sz w:val="16"/>
          <w:szCs w:val="16"/>
        </w:rPr>
        <w:t>Stockholm Environment Institute – York centre, University of York, York, UK</w:t>
      </w:r>
    </w:p>
    <w:p w14:paraId="7CA9218F" w14:textId="77777777" w:rsidR="00741CC1" w:rsidRDefault="00741CC1" w:rsidP="00741CC1">
      <w:pPr>
        <w:pStyle w:val="ListParagraph"/>
        <w:numPr>
          <w:ilvl w:val="0"/>
          <w:numId w:val="4"/>
        </w:numPr>
        <w:rPr>
          <w:sz w:val="16"/>
          <w:szCs w:val="16"/>
        </w:rPr>
      </w:pPr>
      <w:r>
        <w:rPr>
          <w:sz w:val="16"/>
          <w:szCs w:val="16"/>
        </w:rPr>
        <w:t>Global Road Safety Facility, World Bank, Washington, USA</w:t>
      </w:r>
    </w:p>
    <w:p w14:paraId="7F796A2D" w14:textId="77777777" w:rsidR="00741CC1" w:rsidRDefault="00741CC1" w:rsidP="00741CC1">
      <w:pPr>
        <w:pStyle w:val="ListParagraph"/>
        <w:numPr>
          <w:ilvl w:val="0"/>
          <w:numId w:val="4"/>
        </w:numPr>
        <w:rPr>
          <w:sz w:val="16"/>
          <w:szCs w:val="16"/>
        </w:rPr>
      </w:pPr>
      <w:r>
        <w:rPr>
          <w:sz w:val="16"/>
          <w:szCs w:val="16"/>
        </w:rPr>
        <w:t>Stockholm Environment Institute – Africa centre, World Agroforestry Centre, Nairobi, Kenya</w:t>
      </w:r>
    </w:p>
    <w:p w14:paraId="6FEB2AAB" w14:textId="77777777" w:rsidR="00741CC1" w:rsidRDefault="00741CC1" w:rsidP="00741CC1">
      <w:pPr>
        <w:pStyle w:val="ListParagraph"/>
        <w:numPr>
          <w:ilvl w:val="0"/>
          <w:numId w:val="4"/>
        </w:numPr>
        <w:rPr>
          <w:sz w:val="16"/>
          <w:szCs w:val="16"/>
        </w:rPr>
      </w:pPr>
      <w:r w:rsidRPr="00804040">
        <w:rPr>
          <w:sz w:val="16"/>
          <w:szCs w:val="16"/>
        </w:rPr>
        <w:t>Independent Transport Researcher</w:t>
      </w:r>
      <w:r>
        <w:rPr>
          <w:sz w:val="16"/>
          <w:szCs w:val="16"/>
        </w:rPr>
        <w:t>, Nairobi, Kenya</w:t>
      </w:r>
    </w:p>
    <w:p w14:paraId="2BD0D8BC" w14:textId="77777777" w:rsidR="00741CC1" w:rsidRDefault="00741CC1" w:rsidP="00741CC1">
      <w:pPr>
        <w:pStyle w:val="ListParagraph"/>
        <w:numPr>
          <w:ilvl w:val="0"/>
          <w:numId w:val="4"/>
        </w:numPr>
        <w:rPr>
          <w:sz w:val="16"/>
          <w:szCs w:val="16"/>
        </w:rPr>
      </w:pPr>
      <w:r w:rsidRPr="00804040">
        <w:rPr>
          <w:sz w:val="16"/>
          <w:szCs w:val="16"/>
        </w:rPr>
        <w:t>Independent Transport Researcher</w:t>
      </w:r>
      <w:r>
        <w:rPr>
          <w:sz w:val="16"/>
          <w:szCs w:val="16"/>
        </w:rPr>
        <w:t>, Nairobi, Kenya</w:t>
      </w:r>
    </w:p>
    <w:p w14:paraId="1F23972F" w14:textId="7FEC8038" w:rsidR="00741CC1" w:rsidRDefault="00741CC1" w:rsidP="00741CC1">
      <w:pPr>
        <w:pStyle w:val="Heading1"/>
      </w:pPr>
      <w:r>
        <w:t>Highlights</w:t>
      </w:r>
    </w:p>
    <w:p w14:paraId="3F5C541B" w14:textId="77777777" w:rsidR="00741CC1" w:rsidRPr="00367C05" w:rsidRDefault="00741CC1" w:rsidP="00741CC1">
      <w:pPr>
        <w:pStyle w:val="ListParagraph"/>
        <w:numPr>
          <w:ilvl w:val="0"/>
          <w:numId w:val="5"/>
        </w:numPr>
      </w:pPr>
      <w:r>
        <w:rPr>
          <w:lang w:val="en-US"/>
        </w:rPr>
        <w:t>Mapping of journeys effects upon wellbeing for low-income Kenyan urban residents</w:t>
      </w:r>
    </w:p>
    <w:p w14:paraId="541363E1" w14:textId="77777777" w:rsidR="00741CC1" w:rsidRPr="00BE7C5B" w:rsidRDefault="00741CC1" w:rsidP="00741CC1">
      <w:pPr>
        <w:pStyle w:val="ListParagraph"/>
        <w:numPr>
          <w:ilvl w:val="0"/>
          <w:numId w:val="5"/>
        </w:numPr>
      </w:pPr>
      <w:r>
        <w:rPr>
          <w:lang w:val="en-US"/>
        </w:rPr>
        <w:t>Novel combination use of sensors reveals physiological and environmental mobility impacts</w:t>
      </w:r>
    </w:p>
    <w:p w14:paraId="06EB80F0" w14:textId="77777777" w:rsidR="00741CC1" w:rsidRPr="00BE7C5B" w:rsidRDefault="00741CC1" w:rsidP="00741CC1">
      <w:pPr>
        <w:pStyle w:val="ListParagraph"/>
        <w:numPr>
          <w:ilvl w:val="0"/>
          <w:numId w:val="5"/>
        </w:numPr>
      </w:pPr>
      <w:r>
        <w:rPr>
          <w:lang w:val="en-US"/>
        </w:rPr>
        <w:t>Combining psychological, physiological and environmental data reveals new insights</w:t>
      </w:r>
    </w:p>
    <w:p w14:paraId="13BE34A2" w14:textId="77777777" w:rsidR="00741CC1" w:rsidRDefault="00741CC1" w:rsidP="00741CC1">
      <w:pPr>
        <w:pStyle w:val="ListParagraph"/>
        <w:numPr>
          <w:ilvl w:val="0"/>
          <w:numId w:val="5"/>
        </w:numPr>
      </w:pPr>
      <w:r>
        <w:t>Results compared to new framework combining dimensions of mobility, wellbeing and inclusion</w:t>
      </w:r>
    </w:p>
    <w:p w14:paraId="02F5DC3C" w14:textId="77777777" w:rsidR="00741CC1" w:rsidRDefault="00741CC1" w:rsidP="00741CC1">
      <w:pPr>
        <w:pStyle w:val="ListParagraph"/>
        <w:numPr>
          <w:ilvl w:val="0"/>
          <w:numId w:val="5"/>
        </w:numPr>
      </w:pPr>
      <w:r>
        <w:t>Findings highlight need to look at overall journey experience not just infrastructure provision</w:t>
      </w:r>
    </w:p>
    <w:p w14:paraId="12F879E1" w14:textId="77777777" w:rsidR="00000984" w:rsidRDefault="00000984" w:rsidP="00741CC1">
      <w:pPr>
        <w:pStyle w:val="Heading1"/>
      </w:pPr>
    </w:p>
    <w:p w14:paraId="06176C75" w14:textId="2DD9AE17" w:rsidR="00741CC1" w:rsidRDefault="00741CC1" w:rsidP="00741CC1">
      <w:pPr>
        <w:pStyle w:val="Heading1"/>
      </w:pPr>
      <w:r>
        <w:t>Abstract</w:t>
      </w:r>
    </w:p>
    <w:p w14:paraId="4BA874E8" w14:textId="77777777" w:rsidR="00741CC1" w:rsidRDefault="00741CC1" w:rsidP="00741CC1">
      <w:pPr>
        <w:pStyle w:val="Heading2"/>
      </w:pPr>
      <w:r>
        <w:t>Introduction</w:t>
      </w:r>
    </w:p>
    <w:p w14:paraId="1899CF29" w14:textId="77777777" w:rsidR="00741CC1" w:rsidRDefault="00741CC1" w:rsidP="00741CC1">
      <w:r>
        <w:t>Delivering enhanced inclusive and safe mobility choices addresses many elements of the inclusive city concept. Urban mobility is a key factor supporting health and wellbeing and is linked to infrastructure quality, governance, and individuals’ behaviours particularly in the context of dynamic rapidly changing cities. This paper investigates from a multidisciplinary perspective how the quality of urban environments interacts with mobility, health and wellbeing.</w:t>
      </w:r>
    </w:p>
    <w:p w14:paraId="5FAD1A6E" w14:textId="77777777" w:rsidR="00741CC1" w:rsidRDefault="00741CC1" w:rsidP="00741CC1">
      <w:pPr>
        <w:pStyle w:val="Heading2"/>
      </w:pPr>
      <w:r>
        <w:t>Setting</w:t>
      </w:r>
    </w:p>
    <w:p w14:paraId="0EDBD331" w14:textId="77777777" w:rsidR="00741CC1" w:rsidRDefault="00741CC1" w:rsidP="00741CC1">
      <w:r>
        <w:t xml:space="preserve">Addressing recent calls for African mobility research focussed on socio-economic equity this paper presents mixed methods research from low-income communities in two Kenyan cities. </w:t>
      </w:r>
    </w:p>
    <w:p w14:paraId="2241C17D" w14:textId="77777777" w:rsidR="00741CC1" w:rsidRDefault="00741CC1" w:rsidP="00741CC1">
      <w:pPr>
        <w:pStyle w:val="Heading2"/>
      </w:pPr>
      <w:r>
        <w:t>Methods</w:t>
      </w:r>
    </w:p>
    <w:p w14:paraId="4FA8A536" w14:textId="77777777" w:rsidR="00741CC1" w:rsidRDefault="00741CC1" w:rsidP="00741CC1">
      <w:r>
        <w:t xml:space="preserve">Using combinations of participatory mapping, transect walks, subjective and physiological wellbeing measurements alongside recording of environmental conditions we consider the interactions of mobility on health and wellbeing for vulnerable travellers typically excluded from mobility planning considerations. We assess our findings in relation to a new framework combining dimensions of mobility, wellbeing and inclusion. This framework incorporates elements of physical infrastructure provision; mobility systems and governance; and the influence of other user behaviour. </w:t>
      </w:r>
    </w:p>
    <w:p w14:paraId="13D6E96D" w14:textId="77777777" w:rsidR="00741CC1" w:rsidRDefault="00741CC1" w:rsidP="00741CC1">
      <w:pPr>
        <w:pStyle w:val="Heading2"/>
      </w:pPr>
      <w:r>
        <w:t>Results</w:t>
      </w:r>
    </w:p>
    <w:p w14:paraId="36C5C826" w14:textId="77777777" w:rsidR="00741CC1" w:rsidRDefault="00741CC1" w:rsidP="00741CC1">
      <w:r>
        <w:t>Our findings highlight how f</w:t>
      </w:r>
      <w:r>
        <w:rPr>
          <w:rStyle w:val="normaltextrun"/>
          <w:rFonts w:ascii="Calibri" w:hAnsi="Calibri" w:cs="Calibri"/>
        </w:rPr>
        <w:t xml:space="preserve">ocussing on infrastructure provision and not overall journey experiences could result in investments that do not support healthy mobility choices. Collecting better (spatially explicit) environmental measurements and diverse wellbeing data would enable decision makers to understand existing environments more holistically to identify the most appropriate mobility investments. </w:t>
      </w:r>
      <w:r>
        <w:t xml:space="preserve">Overall, the framework and results forefront how inclusive and equitable mobility solutions that actively support people’s health and wellbeing should go beyond </w:t>
      </w:r>
      <w:r>
        <w:lastRenderedPageBreak/>
        <w:t>provision of adequate and safe infrastructure. They should include user awareness and behaviour changes that are effectively governed ensuring the benefits of any improvements are not undermined thereby risking exposing travellers to more dangerous pollution or hazardous road safety environments.</w:t>
      </w:r>
    </w:p>
    <w:p w14:paraId="3B582973" w14:textId="572E7F62" w:rsidR="00741CC1" w:rsidRDefault="00741CC1">
      <w:pPr>
        <w:spacing w:after="0" w:line="240" w:lineRule="auto"/>
        <w:rPr>
          <w:rFonts w:asciiTheme="majorHAnsi" w:eastAsiaTheme="majorEastAsia" w:hAnsiTheme="majorHAnsi" w:cstheme="majorBidi"/>
          <w:color w:val="2F5496" w:themeColor="accent1" w:themeShade="BF"/>
          <w:sz w:val="32"/>
          <w:szCs w:val="32"/>
        </w:rPr>
      </w:pPr>
    </w:p>
    <w:p w14:paraId="1A1C8E66" w14:textId="23A99224" w:rsidR="007A1DFD" w:rsidRDefault="00000000">
      <w:pPr>
        <w:pStyle w:val="Heading1"/>
      </w:pPr>
      <w:r>
        <w:t>Introduction</w:t>
      </w:r>
    </w:p>
    <w:p w14:paraId="419AA554" w14:textId="7B3FAD84" w:rsidR="00AB1288" w:rsidRDefault="00AB1288" w:rsidP="00AB1288">
      <w:r>
        <w:t xml:space="preserve">Mobility affording environments are a key element of urban spaces that support and underpin wellbeing </w:t>
      </w:r>
      <w:r>
        <w:fldChar w:fldCharType="begin" w:fldLock="1"/>
      </w:r>
      <w:r>
        <w:instrText>ADDIN CSL_CITATION {"citationItems":[{"id":"ITEM-1","itemData":{"DOI":"10.1016/j.trip.2023.100928","ISSN":"25901982","abstract":"Introduction: This systematic review is based on concerns about the rapid urbanization in Sub-Saharan Africa (SSA) that has raised sedentary lifestyles and the need to understand the role of transport-related physical activity (TRPA) in wellness promotion, to explore the association between TRPA and wellness in SSA. Method: The Preferred Reporting Items for Systematic Reviews and Meta-Analyses (PRISMA) guidelines were followed. Transport Research International Documentation (TRID), Scopus, Science Direct, and Web of Science electronic databases for 2009 to 2023 were searched for peer-reviewed English-language studies. The population of focus was TRPA and wellness studies. Two authors independently conducted screening, data extraction, and critical appraisals. Results: 22 studies covering TRPA prevalence, health outcomes, and sociocultural context across eight SSA countries were included in the review. Sample sizes ranged from 32 participants to as many as 14,585 participants. The variation in data collection methods, sample size, and geographical scope provided a comprehensive understanding of TRPA patterns and influences across different contexts. Walking and cycling were prevalent TRPA modes as influenced by cultural and contextual factors. TRPA was positively associated with improved cardiovascular health, prevention of NCDs, and healthier aging. Conclusions: Although there were variations in sample sizes, a consistent body of evidence demonstrated the link between TRPA and wellness in SSA. This review underscores the prevalence of walking and cycling as essential TRPA modes in SSA, influenced by cultural and infrastructural factors. Pedestrian-friendly infrastructure, targeted interventions, and culturally sensitive strategies can potentially promote TRPA and enhance wellness in SSA.","author":[{"dropping-particle":"","family":"Musau","given":"Enock G.","non-dropping-particle":"","parse-names":false,"suffix":""},{"dropping-particle":"","family":"Pisa","given":"Noleen M.","non-dropping-particle":"","parse-names":false,"suffix":""},{"dropping-particle":"","family":"Masoumi","given":"Houshmand E.","non-dropping-particle":"","parse-names":false,"suffix":""}],"container-title":"Transportation Research Interdisciplinary Perspectives","id":"ITEM-1","issue":"October","issued":{"date-parts":[["2023"]]},"page":"100928","publisher":"Elsevier Ltd","title":"Association between transport-related physical activity and wellness in sub-Saharan Africa: A systematic literature review","type":"article-journal","volume":"22"},"uris":["http://www.mendeley.com/documents/?uuid=213e4268-1574-45fb-839f-a0606ee92aa2"]}],"mendeley":{"formattedCitation":"(Musau, Pisa and Masoumi, 2023)","plainTextFormattedCitation":"(Musau, Pisa and Masoumi, 2023)","previouslyFormattedCitation":"(Musau, Pisa and Masoumi, 2023)"},"properties":{"noteIndex":0},"schema":"https://github.com/citation-style-language/schema/raw/master/csl-citation.json"}</w:instrText>
      </w:r>
      <w:r>
        <w:fldChar w:fldCharType="separate"/>
      </w:r>
      <w:r w:rsidRPr="00F91995">
        <w:rPr>
          <w:noProof/>
        </w:rPr>
        <w:t>(Musau, Pisa and Masoumi, 2023)</w:t>
      </w:r>
      <w:r>
        <w:fldChar w:fldCharType="end"/>
      </w:r>
      <w:r>
        <w:t xml:space="preserve">. Supporting wellbeing is critical for urban residents </w:t>
      </w:r>
      <w:r w:rsidR="00F45C81">
        <w:t>-</w:t>
      </w:r>
      <w:r>
        <w:t xml:space="preserve">particularly the </w:t>
      </w:r>
      <w:r w:rsidR="00F45C81">
        <w:t>younger</w:t>
      </w:r>
      <w:r>
        <w:t xml:space="preserve"> populations that typically characterise </w:t>
      </w:r>
      <w:r w:rsidR="00350C9C" w:rsidRPr="00350C9C">
        <w:t>Low and middle-income countries</w:t>
      </w:r>
      <w:r w:rsidR="00350C9C">
        <w:t xml:space="preserve"> (</w:t>
      </w:r>
      <w:r>
        <w:t>LMIC</w:t>
      </w:r>
      <w:r w:rsidR="00350C9C">
        <w:t>)</w:t>
      </w:r>
      <w:r>
        <w:t xml:space="preserve"> cities (Hannon </w:t>
      </w:r>
      <w:r>
        <w:rPr>
          <w:i/>
        </w:rPr>
        <w:t>et al.</w:t>
      </w:r>
      <w:r>
        <w:t>, 2024)</w:t>
      </w:r>
      <w:sdt>
        <w:sdtPr>
          <w:tag w:val="goog_rdk_1"/>
          <w:id w:val="285470993"/>
        </w:sdtPr>
        <w:sdtContent>
          <w:r>
            <w:t xml:space="preserve"> </w:t>
          </w:r>
        </w:sdtContent>
      </w:sdt>
      <w:r w:rsidR="00F45C81">
        <w:t>-</w:t>
      </w:r>
      <w:r>
        <w:t xml:space="preserve">as mental health problems now account for </w:t>
      </w:r>
      <w:r w:rsidR="009F53CB">
        <w:t>more</w:t>
      </w:r>
      <w:r>
        <w:t xml:space="preserve"> than 10% </w:t>
      </w:r>
      <w:r w:rsidR="009F53CB">
        <w:t xml:space="preserve">of the total burden of disease in adolescents, </w:t>
      </w:r>
      <w:r>
        <w:t>with estimates ranging from 12</w:t>
      </w:r>
      <w:r w:rsidR="009F53CB">
        <w:t>%</w:t>
      </w:r>
      <w:r>
        <w:t xml:space="preserve"> to 15% </w:t>
      </w:r>
      <w:r>
        <w:fldChar w:fldCharType="begin" w:fldLock="1"/>
      </w:r>
      <w:r>
        <w:instrText>ADDIN CSL_CITATION {"citationItems":[{"id":"ITEM-1","itemData":{"DOI":"10.1016/S2214-109X(21)00566-0","ISSN":"2214109X","PMID":"35180417","abstract":"Background: Investments in the survival of older children and adolescents (aged 5–19 years) bring triple dividends for now, their future, and the next generation. However, 1·5 million deaths occurred in this age group globally in 2019, nearly all from preventable causes. To better focus the attention of the global community on improving survival of children and adolescents and to guide effective policy and programmes, sound and timely cause of death data are crucial, but often scarce. Methods: In this systematic analysis, we provide updated time-series for 2000–19 of national, regional, and global cause of death estimates for 5–19-year-olds with age-sex disaggregation. We estimated separately for countries with high versus low mortality, by data availability, and for four age-sex groups (5–9-year-olds [both sexes], 10–14-year-olds [both sexes], 15–19-year-old females, and 15–19-year-old males). Only studies reporting at least two causes of death were included in our analysis. We obtained empirical cause of death data through systematic review, known investigator tracing, and acquisition of known national and subnational cause of death studies. We adapted the Bayesian Least Absolute Shrinkage and Selection Operator approach to address data scarcity, enhance covariate selection, produce more robust estimates, offer increased flexibility, allow country random effects, propagate coherent uncertainty, and improve model stability. We harmonised all-cause mortality estimates with the UN Inter-agency Group for Child Mortality Estimation and systematically integrated single cause estimates as needed from WHO and UNAIDS. Findings: In 2019, the global leading specific causes of death were road traffic injuries (115 843 [95% uncertainty interval 110 672–125 054] deaths; 7·8% [7·5–8·1]); neoplasms (95 401 [90 744–104 812]; 6·4% [6·1–6·8]); malaria (81 516 [72 150–94 477]; 5·5% [4·9–6·2]); drowning (77 460 [72 474–85 952]; 5·2% [4·9–5·5]); and diarrhoea (72 679 [66 599–82 002], 4·9% [4·5–5·3]). The leading causes varied substantially across regions. The contribution of communicable, maternal, perinatal, and nutritional conditions declined with age, whereas the number of deaths associated with injuries increased. The leading causes of death were diarrhoea (51 630 [47 206–56 235] deaths; 10·0% [9·5–10·5]) in 5–9-year-olds; malaria (31 587 [23 940–43 116]; 8·6% [6·6–10·4]) in 10–14-year-olds; self-harm (32 646 [29 530–36 416]; 13·4% [12·6–14·3]) in 15–19-year-old female…","author":[{"dropping-particle":"","family":"Liu","given":"Li","non-dropping-particle":"","parse-names":false,"suffix":""},{"dropping-particle":"","family":"Villavicencio","given":"Francisco","non-dropping-particle":"","parse-names":false,"suffix":""},{"dropping-particle":"","family":"Yeung","given":"Diana","non-dropping-particle":"","parse-names":false,"suffix":""},{"dropping-particle":"","family":"Perin","given":"Jamie","non-dropping-particle":"","parse-names":false,"suffix":""},{"dropping-particle":"","family":"Lopez","given":"Gerard","non-dropping-particle":"","parse-names":false,"suffix":""},{"dropping-particle":"","family":"Strong","given":"Kathleen L.","non-dropping-particle":"","parse-names":false,"suffix":""},{"dropping-particle":"","family":"Black","given":"Robert E.","non-dropping-particle":"","parse-names":false,"suffix":""}],"container-title":"The Lancet Global Health","id":"ITEM-1","issue":"3","issued":{"date-parts":[["2022"]]},"page":"e337-e347","publisher":"The Author(s). Published by Elsevier Ltd. This is an Open Access article under the CC BY 4.0 license","title":"National, regional, and global causes of mortality in 5–19-year-olds from 2000 to 2019: a systematic analysis","type":"article-journal","volume":"10"},"uris":["http://www.mendeley.com/documents/?uuid=e7df0280-6852-4a24-8e2e-1b60cb519423"]},{"id":"ITEM-2","itemData":{"URL":"https://www.who.int/news-room/fact-sheets/detail/adolescent-mental-health","abstract":"Key facts Globally, one in seven 10-19-year-olds experiences a mental disorder, accounting for 13% of the global burden of disease in this age group. Depression, anxiety and behavioural disorders are among the leading causes of illness and disability among adolescents. Suicide is the fourth leading cause of death among 15-29 year-olds. The consequences of failing to address adolescent mental health conditions extend to adulthood, impairing both physical and mental health and limiting opportunities to lead fulfilling lives as adults.","accessed":{"date-parts":[["2024","9","26"]]},"author":[{"dropping-particle":"","family":"World Health Organization (WHO)","given":"","non-dropping-particle":"","parse-names":false,"suffix":""}],"id":"ITEM-2","issued":{"date-parts":[["0"]]},"title":"Mental health of adolescents","type":"webpage"},"uris":["http://www.mendeley.com/documents/?uuid=d068c37c-41ea-4cb2-a7ef-1ec190f06ea2"]}],"mendeley":{"formattedCitation":"(World Health Organization (WHO), no date; Liu &lt;i&gt;et al.&lt;/i&gt;, 2022)","plainTextFormattedCitation":"(World Health Organization (WHO), no date; Liu et al., 2022)","previouslyFormattedCitation":"(World Health Organization (WHO), no date; Liu &lt;i&gt;et al.&lt;/i&gt;, 2022)"},"properties":{"noteIndex":0},"schema":"https://github.com/citation-style-language/schema/raw/master/csl-citation.json"}</w:instrText>
      </w:r>
      <w:r>
        <w:fldChar w:fldCharType="separate"/>
      </w:r>
      <w:r>
        <w:rPr>
          <w:noProof/>
        </w:rPr>
        <w:t xml:space="preserve">(World Health Organization (WHO), no date; Liu </w:t>
      </w:r>
      <w:r>
        <w:rPr>
          <w:i/>
          <w:noProof/>
        </w:rPr>
        <w:t>et al.</w:t>
      </w:r>
      <w:r>
        <w:rPr>
          <w:noProof/>
        </w:rPr>
        <w:t>, 2022)</w:t>
      </w:r>
      <w:r>
        <w:fldChar w:fldCharType="end"/>
      </w:r>
      <w:r>
        <w:t xml:space="preserve">. While definitions may vary, environments that support wellbeing are generally characterised by their ability to promote mental health, enable individuals to realise their potential, manage everyday stresses, work productively, and contribute to their community </w:t>
      </w:r>
      <w:r>
        <w:fldChar w:fldCharType="begin" w:fldLock="1"/>
      </w:r>
      <w:r>
        <w:instrText>ADDIN CSL_CITATION {"citationItems":[{"id":"ITEM-1","itemData":{"URL":"https://www.who.int/data/gho/data/major-themes/health-and-well-being#:~:text=Mental health is a state,to his or her community.","accessed":{"date-parts":[["2023","12","20"]]},"author":[{"dropping-particle":"","family":"World Health Organization (WHO)","given":"","non-dropping-particle":"","parse-names":false,"suffix":""}],"container-title":"THE GLOBAL HEALTH OBSERVATORY: Explore a world of health data","id":"ITEM-1","issued":{"date-parts":[["2023"]]},"title":"Health and Well-Being","type":"webpage"},"uris":["http://www.mendeley.com/documents/?uuid=e0d8902d-eb46-4dad-b31f-1147e62646f3"]}],"mendeley":{"formattedCitation":"(World Health Organization (WHO), 2023)","plainTextFormattedCitation":"(World Health Organization (WHO), 2023)","previouslyFormattedCitation":"(World Health Organization (WHO), 2023)"},"properties":{"noteIndex":0},"schema":"https://github.com/citation-style-language/schema/raw/master/csl-citation.json"}</w:instrText>
      </w:r>
      <w:r>
        <w:fldChar w:fldCharType="separate"/>
      </w:r>
      <w:r>
        <w:rPr>
          <w:noProof/>
        </w:rPr>
        <w:t>(WHO, 2023)</w:t>
      </w:r>
      <w:r>
        <w:fldChar w:fldCharType="end"/>
      </w:r>
      <w:r>
        <w:t>. Wellbeing encompasses various dimensions that collectively contribute to overall health outcomes including supporting mental health. The objective dimensions include access to basic needs resources (e.g.</w:t>
      </w:r>
      <w:r w:rsidR="00F45C81">
        <w:t>,</w:t>
      </w:r>
      <w:r>
        <w:t xml:space="preserve"> food, housing, and income) and social attributes (education, health, political voice, social networks) all of which may necessitate urban mobility. The subjective dimension focuses on individuals’ own life satisfaction and level of happiness </w:t>
      </w:r>
      <w:r>
        <w:fldChar w:fldCharType="begin" w:fldLock="1"/>
      </w:r>
      <w:r>
        <w:instrText>ADDIN CSL_CITATION {"citationItems":[{"id":"ITEM-1","itemData":{"DOI":"10.1371/journal.pone.0163345","ISSN":"19326203","abstract":"In recent years policy makers and social scientists have devoted considerable attention to wellbeing, a concept that refers to people's capacity to live healthy, creative and fulfilling lives. Two conceptual approaches dominate wellbeing research. The objective approach examines the objective components of a good life. The subjective approach examines people's subjective evaluations of their lives. In the objective approach how subjective wellbeing relates to objective wellbeing is not a relevant research question. The subjective approach does investigate how objective wellbeing relates to subjective wellbeing, but has focused primarily on one objective wellbeing indicator, income, rather than the comprehensive indicator set implied by the objective approach. This paper attempts to contribute by examining relationships between a comprehensive set of objective wellbeing measures and subjective wellbeing, and by linking wellbeing research to inequality research by also investigating how subjective and objective wellbeing relate to class, gender, age and ethnicity. We use three waves of a representative state-level household panel study from Queensland, Australia, undertaken from 2008 to 2010, to investigate how objective measures of wellbeing are socially distributed by gender, class, age, and ethnicity. We also examine relationships between objective wellbeing and overall life satisfaction, providing one of the first longitudinal analyses linking objective wellbeing with subjective evaluations. Objective aspects of wellbeing are unequally distributed by gender, age, class and ethnicity and are strongly associated with life satisfaction. Moreover, associations between gender, ethnicity, class and life satisfaction persist after controlling for objective wellbeing, suggesting that mechanisms in addition to objective wellbeing link structural dimensions of inequality to life satisfaction.","author":[{"dropping-particle":"","family":"Western","given":"Mark","non-dropping-particle":"","parse-names":false,"suffix":""},{"dropping-particle":"","family":"Tomaszewski","given":"Wojtek","non-dropping-particle":"","parse-names":false,"suffix":""}],"container-title":"PLoS ONE","id":"ITEM-1","issue":"10","issued":{"date-parts":[["2016"]]},"page":"1-20","title":"Subjective wellbeing, objective wellbeing and inequality in Australia","type":"article-journal","volume":"11"},"uris":["http://www.mendeley.com/documents/?uuid=2ce10a38-223d-4d5c-843d-94859e18b0db"]}],"mendeley":{"formattedCitation":"(Western and Tomaszewski, 2016)","plainTextFormattedCitation":"(Western and Tomaszewski, 2016)","previouslyFormattedCitation":"(Western and Tomaszewski, 2016)"},"properties":{"noteIndex":0},"schema":"https://github.com/citation-style-language/schema/raw/master/csl-citation.json"}</w:instrText>
      </w:r>
      <w:r>
        <w:fldChar w:fldCharType="separate"/>
      </w:r>
      <w:r>
        <w:rPr>
          <w:noProof/>
        </w:rPr>
        <w:t>(Western and Tomaszewski, 2016)</w:t>
      </w:r>
      <w:r>
        <w:fldChar w:fldCharType="end"/>
      </w:r>
      <w:r>
        <w:t xml:space="preserve">. Finally, there is overarching physiological wellbeing </w:t>
      </w:r>
      <w:r>
        <w:fldChar w:fldCharType="begin" w:fldLock="1"/>
      </w:r>
      <w:r>
        <w:instrText>ADDIN CSL_CITATION {"citationItems":[{"id":"ITEM-1","itemData":{"DOI":"10.1016/j.ufug.2021.127105","ISSN":"16108167","abstract":"Public urban green spaces provide people with many benefits. Understanding the relationship between public urban green spaces’ characteristics and human well-being components may assist in future planning and design of these spaces. This study performed a systematic bibliographic review to analyse the relationships between green spaces' specific characteristics and human well-being components. The green spaces characteristics found in 153 articles were divided in four groups: structure, biodiversity, naturalness, and others; while dimensions of human well-being were divided into four groups: health, security, good social relations, and freedom of choice and action. The number of green spaces and their percentage of vegetation cover and size (structure category) improved human well-being, in all aspects, especially in health. Structure and biodiversity are the characteristics most highly rated in the literature. These green spaces’ biodiversity and naturalness contribute to human well-being through improvements in health (particularly mental health) and good social relations. The most frequently methods used to assess the relationship of public urban green spaces and human well-being are mainly oriented towards studying perception of the green space's users. This result highlights an opportunity to assess the congruence between methods evaluating perception and objective measurement. Our findings may provide tools for decision-makers to integrate green spaces into planning, identifying specific characteristics of public urban green spaces that promote human well-being and to face climate change.","author":[{"dropping-particle":"","family":"Reyes-Riveros","given":"Rosa","non-dropping-particle":"","parse-names":false,"suffix":""},{"dropping-particle":"","family":"Altamirano","given":"Adison","non-dropping-particle":"","parse-names":false,"suffix":""},{"dropping-particle":"","family":"La Barrera","given":"Francisco","non-dropping-particle":"De","parse-names":false,"suffix":""},{"dropping-particle":"","family":"Rozas-Vásquez","given":"Daniel","non-dropping-particle":"","parse-names":false,"suffix":""},{"dropping-particle":"","family":"Vieli","given":"Lorena","non-dropping-particle":"","parse-names":false,"suffix":""},{"dropping-particle":"","family":"Meli","given":"Paula","non-dropping-particle":"","parse-names":false,"suffix":""}],"container-title":"Urban Forestry and Urban Greening","id":"ITEM-1","issue":"September 2020","issued":{"date-parts":[["2021"]]},"title":"Linking public urban green spaces and human well-being: A systematic review","type":"article-journal","volume":"61"},"uris":["http://www.mendeley.com/documents/?uuid=301d7c15-a4be-4b42-87cb-22380b29ad4b"]}],"mendeley":{"formattedCitation":"(Reyes-Riveros &lt;i&gt;et al.&lt;/i&gt;, 2021)","plainTextFormattedCitation":"(Reyes-Riveros et al., 2021)","previouslyFormattedCitation":"(Reyes-Riveros &lt;i&gt;et al.&lt;/i&gt;, 2021)"},"properties":{"noteIndex":0},"schema":"https://github.com/citation-style-language/schema/raw/master/csl-citation.json"}</w:instrText>
      </w:r>
      <w:r>
        <w:fldChar w:fldCharType="separate"/>
      </w:r>
      <w:r>
        <w:rPr>
          <w:noProof/>
        </w:rPr>
        <w:t xml:space="preserve">(Reyes-Riveros </w:t>
      </w:r>
      <w:r>
        <w:rPr>
          <w:i/>
          <w:noProof/>
        </w:rPr>
        <w:t>et al.</w:t>
      </w:r>
      <w:r>
        <w:rPr>
          <w:noProof/>
        </w:rPr>
        <w:t>, 2021)</w:t>
      </w:r>
      <w:r>
        <w:fldChar w:fldCharType="end"/>
      </w:r>
      <w:r w:rsidR="00F45C81">
        <w:t>,</w:t>
      </w:r>
      <w:r>
        <w:t xml:space="preserve"> which focuses upon ‘external tangible conditions, such as the person’s “physical state” or the quality of their surrounding environment’ (p.2). Wellbeing can be measured through various methods including household surveys and questionnaires, subjective scales (using self-reported validated instruments) and physiological monitoring and neurophysiological recording (i.e.</w:t>
      </w:r>
      <w:r w:rsidR="00F45C81">
        <w:t>,</w:t>
      </w:r>
      <w:r>
        <w:t xml:space="preserve"> heart rate variability </w:t>
      </w:r>
      <w:r>
        <w:fldChar w:fldCharType="begin" w:fldLock="1"/>
      </w:r>
      <w:r>
        <w:instrText>ADDIN CSL_CITATION {"citationItems":[{"id":"ITEM-1","itemData":{"DOI":"10.1080/23748834.2019.1619893","ISSN":"2374-8834","abstract":"ABSTRACTNeurourbanism looks to understand the relationship between urban environments and mental well-being and is well placed to assess the role of these environments on the urbanised and ageing global population. This study builds on research using mobile electroencephalography (EEG) to understand the impact of urban environments (busy, quiet and green urban spaces) on brain activity. Ninety-five older participants aged over 65 years undertook one of six walks in an urban neighbourhood, transitioning between two distinct environmental settings. This study explores changes in alpha (associated with relaxation) and beta (associated with attention) brain activity recorded during walking in differing urban environments. Neural activity significantly varies as participants walk between urban busy and green settings, with reduced levels of low beta activity in the green setting, suggesting attention changes consistent with Attention Restoration Theory. Levels of alpha activity significantly varied between the...","author":[{"dropping-particle":"","family":"Neale","given":"Chris","non-dropping-particle":"","parse-names":false,"suffix":""},{"dropping-particle":"","family":"Aspinall","given":"Peter","non-dropping-particle":"","parse-names":false,"suffix":""</w:instrText>
      </w:r>
      <w:r w:rsidRPr="009E215B">
        <w:rPr>
          <w:lang w:val="fr-FR"/>
        </w:rPr>
        <w:instrText>},{"dropping-particle":"","family":"Roe","given":"Jenny","non-dropping-particle":"","parse-names":false,"suffix":""},{"dropping-particle":"","family":"Tilley","given":"Sara","non-dropping-particle":"","parse-names":false,"suffix":""},{"dropping-particle":"","family":"Mavros","given":"Panagiotis","non-dropping-particle":"","parse-names":false,"suffix":""},{"dropping-particle":"","family":"Cinderby","given":"Steve","non-dropping-particle":"","parse-names":false,"suffix":""},{"dropping-particle":"","family":"Coyne","given":"Richard","non-dropping-particle":"","parse-names":false,"suffix":""},{"dropping-particle":"","family":"Thin","given":"Neil","non-dropping-particle":"","parse-names":false,"suffix":""},{"dropping-particle":"","family":"Ward Thompson","given":"Catharine","non-dropping-particle":"","parse-names":false,"suffix":""}],"container-title":"Cities &amp; Health","id":"ITEM-1","issue":"1","issued":{"date-parts":[["2020"]]},"page":"94-106","publisher":"Routledge","title":"The impact of walking in different urban environments on brain activity in older people","type":"article-journal","volume":"4"},"uris":["http://www.mendeley.com/documents/?uuid=128a44bd-e0fc-43ff-b6cb-65ed132dc3c2"]}],"mendeley":{"formattedCitation":"(Neale &lt;i&gt;et al.&lt;/i&gt;, 2020)","plainTextFormattedCitation":"(Neale et al., 2020)","previouslyFormattedCitation":"(Neale &lt;i&gt;et al.&lt;/i&gt;, 2020)"},"properties":{"noteIndex":0},"schema":"https://github.com/citation-style-language/schema/raw/master/csl-citation.json"}</w:instrText>
      </w:r>
      <w:r>
        <w:fldChar w:fldCharType="separate"/>
      </w:r>
      <w:r w:rsidRPr="009E215B">
        <w:rPr>
          <w:noProof/>
          <w:lang w:val="fr-FR"/>
        </w:rPr>
        <w:t xml:space="preserve">(Neale </w:t>
      </w:r>
      <w:r w:rsidRPr="009E215B">
        <w:rPr>
          <w:i/>
          <w:noProof/>
          <w:lang w:val="fr-FR"/>
        </w:rPr>
        <w:t>et al.</w:t>
      </w:r>
      <w:r w:rsidRPr="009E215B">
        <w:rPr>
          <w:noProof/>
          <w:lang w:val="fr-FR"/>
        </w:rPr>
        <w:t>, 2020)</w:t>
      </w:r>
      <w:r>
        <w:fldChar w:fldCharType="end"/>
      </w:r>
      <w:r w:rsidRPr="009E215B">
        <w:rPr>
          <w:lang w:val="fr-FR"/>
        </w:rPr>
        <w:t xml:space="preserve">, muscle tension, blood volume pulse, skin conductance, cortisol </w:t>
      </w:r>
      <w:r>
        <w:fldChar w:fldCharType="begin" w:fldLock="1"/>
      </w:r>
      <w:r w:rsidRPr="009E215B">
        <w:rPr>
          <w:lang w:val="fr-FR"/>
        </w:rPr>
        <w:instrText>ADDIN CSL_CITATION {"citationItems":[{"id":"ITEM-1","itemData":{"DOI":"10.3390/ijerph10094086","ISBN":"10.3390/ijerph10094086","ISSN":"16617827","PMID":"24002726","abstract":"Contact with green space in the environment has been associated with mental health benefits, but the mechanism underpinning this association is not clear. This study extends an earlier exploratory study showing that more green space in deprived urban neighbourhoods in Scotland is linked to lower levels of perceived stress and improved physiological stress as measured by diurnal patterns of cortisol secretion. Salivary cortisol concentrations were measured at 3, 6 and 9 h post awakening over two consecutive weekdays, together with measures of perceived stress. Participants (n = 106) were men and women not in work aged between 35-55 years, resident in socially disadvantaged districts from the same Scottish, UK, urban context as the earlier study. Results from linear regression analyses showed a significant and negative relationship between higher green space levels and stress levels, indicating living in areas with a higher percentage of green space is associated with lower stress, confirming the earlier study findings. This study further extends the findings by showing significant gender differences in stress patterns by levels of green space, with women in lower green space areas showing higher levels of stress. A sign</w:instrText>
      </w:r>
      <w:r>
        <w:instrText>ificant interaction effect between gender and percentage green space on mean cortisol concentrations showed a positive effect of higher green space in relation to cortisol measures in women, but not in men. Higher levels of neighbourhood green space were associated with healthier mean cortisol levels in women whilst also attenuating higher cortisol levels in men. We conclude that higher levels of green space in residential neighbourhoods, for this deprived urban population of middle-aged men and women not in work, are linked with lower perceived stress and a steeper (healthier) diurnal cortisol decline. However, overall patterns and levels of cortisol secretion in men and women were differentially related to neighbourhood green space and warrant further investigation.","author":[{"dropping-particle":"","family":"Roe","given":"Jenny J.","non-dropping-particle":"","parse-names":false,"suffix":""},{"dropping-particle":"","family":"Ward Thompson","given":"Catharine","non-dropping-particle":"","parse-names":false,"suffix":""},{"dropping-particle":"","family":"Aspinall","given":"Peter A.","non-dropping-particle":"","parse-names":false,"suffix":""},{"dropping-particle":"","family":"Brewer","given":"Mark J.","non-dropping-particle":"","parse-names":false,"suffix":""},{"dropping-particle":"","family":"Duff","given":"Elizabeth I.","non-dropping-particle":"","parse-names":false,"suffix":""},{"dropping-particle":"","family":"Miller","given":"David","non-dropping-particle":"","parse-names":false,"suffix":""},{"dropping-particle":"","family":"Mitchell","given":"Richard","non-dropping-particle":"","parse-names":false,"suffix":""},{"dropping-particle":"","family":"Clow","given":"Angela","non-dropping-particle":"","parse-names":false,"suffix":""}],"container-title":"International Journal of Environmental Research and Public Health","id":"ITEM-1","issue":"9","issued":{"date-parts":[["2013"]]},"page":"4086-4103","title":"Green space and stress: Evidence from cortisol measures in deprived urban communities","type":"article-journal","volume":"10"},"uris":["http://www.mendeley.com/documents/?uuid=9c9dbfed-be87-4b0d-9a20-a5161f111707"]},{"id":"ITEM-2","itemData":{"DOI":"10.1016/j.landurbplan.2011.12.015","ISBN":"0169-2046","ISSN":"01692046","PMID":"73523992","abstract":"Green space has been associated with a wide range of health benefits, including stress reduction, but much pertinent evidence has relied on self-reported health indicators or experiments in artificially controlled environmental conditions. Little research has been reported using ecologically valid objective measures with participants in their everyday, residential settings. This paper describes the results of an exploratory study (n=25) to establish whether salivary cortisol can act as a biomarker for variation in stress levels which may be associated with varying levels of exposure to green spaces, and whether recruitment and adherence to the required, unsupervised, salivary cortisol sampling protocol within the domestic setting could be achieved in a highly deprived urban population. Self-reported measures of stress and general wellbeing were also captured, allowing exploration of relationships between cortisol, wellbeing and exposure to green space close to home. Results indicate significant relationships between self-reported stress (P&lt;0.01), diurnal patterns of cortisol secretion (P&lt;0.05), and quantity of green space in the living environment. Regression analysis indicates percentage of green space in the living environment is a significant (P&lt;0.05) and independent predictor of the circadian cortisol cycle, in addition to self-reported physical activity (P&lt;0.02). Results also show that compliance with the study protocol was good. We conclude that salivary cortisol measurement offers considerable potential for exploring relationships between wellbeing and green space and discuss how this ecologically valid methodology can be developed to confirm and extend findings in deprived city areas to illuminate why provision of green space close to home might enhance health. ?? 2012 Elsevier B.V.","author":[{"dropping-particle":"","family":"Ward Thompson","given":"Catharine","non-dropping-particle":"","parse-names":false,"suffix":""},{"dropping-particle":"","family":"Roe","given":"Jenny","non-dropping-particle":"","parse-names":false,"suffix":""},{"dropping-particle":"","family":"Aspinall","given":"Peter","non-dropping-particle":"","parse-names":false,"suffix":""},{"dropping-particle":"","family":"Mitchell","given":"Richard","non-dropping-particle":"","parse-names":false,"suffix":""},{"dropping-particle":"","family":"Clow","given":"Angela","non-dropping-particle":"","parse-names":false,"suffix":""},{"dropping-particle":"","family":"Miller","given":"David","non-dropping-particle":"","parse-names":false,"suffix":""}],"container-title":"Landscape and Urban Planning","id":"ITEM-2","issue":"3","issued":{"date-parts":[["2012"]]},"page":"221-229","publisher":"Elsevier B.V.","title":"More green space is linked to less stress in deprived communities: Evidence from salivary cortisol patterns","type":"article-journal","volume":"105"},"uris":["http://www.mendeley.com/documents/?uuid=ca39c352-7658-4205-9b05-b8cb232bc881"]}],"mendeley":{"formattedCitation":"(Ward Thompson &lt;i&gt;et al.&lt;/i&gt;, 2012; Roe &lt;i&gt;et al.&lt;/i&gt;, 2013)","plainTextFormattedCitation":"(Ward Thompson et al., 2012; Roe et al., 2013)","previouslyFormattedCitation":"(Ward Thompson &lt;i&gt;et al.&lt;/i&gt;, 2012; Roe &lt;i&gt;et al.&lt;/i&gt;, 2013)"},"properties":{"noteIndex":0},"schema":"https://github.com/citation-style-language/schema/raw/master/csl-citation.json"}</w:instrText>
      </w:r>
      <w:r>
        <w:fldChar w:fldCharType="separate"/>
      </w:r>
      <w:r>
        <w:rPr>
          <w:noProof/>
        </w:rPr>
        <w:t xml:space="preserve">(Ward Thompson </w:t>
      </w:r>
      <w:r>
        <w:rPr>
          <w:i/>
          <w:noProof/>
        </w:rPr>
        <w:t>et al.</w:t>
      </w:r>
      <w:r>
        <w:rPr>
          <w:noProof/>
        </w:rPr>
        <w:t xml:space="preserve">, 2012; Roe </w:t>
      </w:r>
      <w:r>
        <w:rPr>
          <w:i/>
          <w:noProof/>
        </w:rPr>
        <w:t>et al.</w:t>
      </w:r>
      <w:r>
        <w:rPr>
          <w:noProof/>
        </w:rPr>
        <w:t>, 2013)</w:t>
      </w:r>
      <w:r>
        <w:fldChar w:fldCharType="end"/>
      </w:r>
      <w:r>
        <w:t>).</w:t>
      </w:r>
    </w:p>
    <w:p w14:paraId="18291930" w14:textId="1BE340BA" w:rsidR="007A1DFD" w:rsidRDefault="00AB1288">
      <w:r>
        <w:t>Much global research on transport options focuses on a single sector</w:t>
      </w:r>
      <w:r w:rsidR="009F53CB">
        <w:t>,</w:t>
      </w:r>
      <w:r>
        <w:t xml:space="preserve"> such as health or emissions, rather than looking at the intersections of these, including poverty and equity</w:t>
      </w:r>
      <w:bookmarkStart w:id="0" w:name="_Hlk178238263"/>
      <w:r>
        <w:t xml:space="preserve"> </w:t>
      </w:r>
      <w:r>
        <w:fldChar w:fldCharType="begin" w:fldLock="1"/>
      </w:r>
      <w:r>
        <w:instrText>ADDIN CSL_CITATION {"citationItems":[{"id":"ITEM-1","itemData":{"abstract":"The places where we live, work, play and age have an important role in determining our health and wellbeing and enabling communities to thrive. Transport is a key aspect of place and is essential for our health. It is one of the building blocks of good health and wellbeing, and enables access to the other building blocks. These include good-quality education and employment, affordable and good-quality healthy foods, leisure and the natural environment, and social and community connections. Sustainable transport not only provides access to the building blocks of good health but also provides opportunities for physical activity and reduces the harms to health from motorised vehicles. These include pollution, road traffic collisions, community severance and greenhouse gases, which are responsible for global warming and climate change. Not everyone has the same transport options. Transport poverty, the term used to describe the lack of transport options, has important health and social implications because it means not everyone has equal access to the building blocks of good health. Addressing","author":[{"dropping-particle":"","family":"Public Health Scotland","given":"","non-dropping-particle":"","parse-names":false,"suffix":""}],"id":"ITEM-1","issued":{"date-parts":[["2014"]]},"number-of-pages":"11","title":"Transport Poverty: A public health issue (Summary)","type":"report"},"uris":["http://www.mendeley.com/documents/?uuid=d5a4f52b-c80d-4d2b-bc43-15ccc774ab44"]}],"mendeley":{"formattedCitation":"(Public Health Scotland, 2014)","plainTextFormattedCitation":"(Public Health Scotland, 2014)","previouslyFormattedCitation":"(Public Health Scotland, 2014)"},"properties":{"noteIndex":0},"schema":"https://github.com/citation-style-language/schema/raw/master/csl-citation.json"}</w:instrText>
      </w:r>
      <w:r>
        <w:fldChar w:fldCharType="separate"/>
      </w:r>
      <w:r>
        <w:rPr>
          <w:noProof/>
        </w:rPr>
        <w:t>(Public Health Scotland, 2014)</w:t>
      </w:r>
      <w:r>
        <w:fldChar w:fldCharType="end"/>
      </w:r>
      <w:r>
        <w:t>. Recent recommendations highlight that research is needed in African cities that focuses on transport</w:t>
      </w:r>
      <w:r>
        <w:rPr>
          <w:lang w:val="en-US"/>
        </w:rPr>
        <w:t xml:space="preserve"> and wellbeing</w:t>
      </w:r>
      <w:r w:rsidR="00225803">
        <w:rPr>
          <w:lang w:val="en-US"/>
        </w:rPr>
        <w:t xml:space="preserve"> </w:t>
      </w:r>
      <w:r w:rsidR="00225803">
        <w:rPr>
          <w:lang w:val="en-US"/>
        </w:rPr>
        <w:fldChar w:fldCharType="begin" w:fldLock="1"/>
      </w:r>
      <w:r w:rsidR="00225803">
        <w:rPr>
          <w:lang w:val="en-US"/>
        </w:rPr>
        <w:instrText>ADDIN CSL_CITATION {"citationItems":[{"id":"ITEM-1","itemData":{"DOI":"10.1016/j.tranpol.2021.05.017","ISSN":"1879310X","abstract":"There is growing transport policy interest in identifying how governmental interventions may affect wellbeing. However, research on transport-wellbeing connections does not extend to monetization of wellbeing benefits, to enable alignment with economic values used in transport cost-benefit analysis. Such monetization could support improved transport policy and project sustainability analysis, involving economic, social and/or environmental trade-offs. This paper estimates separate monetary values for changes in subjective, affective and meaning centred (eudaimonic) wellbeing and examines their association with social exclusion. It also includes associated monetization of trip making, changes in social capital and in sense of community. The monetary values estimated in the paper all increase as household income declines. They support a transport policy and project appraisal focus that extends benefit/cost valuation beyond what is included in traditional transport economic cost-benefit analysis, helping to close a major gap in current appraisal methodology. Understanding the value of improving wellbeing highlights the opportunities to assist those at most risk of mobility-related social exclusion by taking more integrated approaches to transport planning and policy making.","author":[{"dropping-particle":"","family":"Stanley","given":"John K.","non-dropping-particle":"","parse-names":false,"suffix":""},{"dropping-particle":"","family":"Hensher","given":"David A.","non-dropping-particle":"","parse-names":false,"suffix":""},{"dropping-particle":"","family":"Stanley","given":"Janet R.","non-dropping-particle":"","parse-names":false,"suffix":""},{"dropping-particle":"","family":"Vella-Brodrick","given":"Dianne","non-dropping-particle":"","parse-names":false,"suffix":""}],"container-title":"Transport Policy","id":"ITEM-1","issue":"May","issued":{"date-parts":[["2021"]]},"page":"16-27","publisher":"Elsevier Ltd","title":"Valuing changes in wellbeing and its relevance for transport policy","type":"article-journal","volume":"110"},"uris":["http://www.mendeley.com/documents/?uuid=d9bfefb0-4b7f-4fcf-940a-f8233fba9bd2"]},{"id":"ITEM-2","itemData":{"DOI":"10.1016/j.jth.2020.100966","ISSN":"22141405","abstract":"Introduction: Emerging interest in social issues related to transport in cities facing rapid demographic and socioeconomic transitions has led to increasing interest in the relationships between well-being and transport disadvantage. However, unpacking such links has been elusive at best, and mainstream research has not embraced the particularities and diversities of Global South cities as research settings. Most research has focused on subjective approaches to well-being and ideas of satisfaction with and quality of life. Purpose: We propose a well-being framework tailored to the specific characteristics derived from transport problems faced by low-income urban dwellers. This concept, Transport Well-being, attempts to shed light on how transport may affect components of well-being such as access to key opportunities, ability to enjoy the built environment and security while travelling. We build on the person-centred framework (White, 2010), to examine Transport Well-being in its relational, material and subjective dimensions. Methods: We use a quantitative dataset of a randomly selected sample of 570 adults in low-income informal settlements in the periphery of the cities of Abuja, Kaduna and Ibadan in Nigeria. Data is analysed using a structural equation model (SEM), which seeks to explain the links between second-level latent variable Perceived Transport Advantage/Disadvantage and Transport Well-being. Results: We find a strong correlation between Perceived Transport Advantage/Disadvantage and Transport Well-being (0.652) with a model specification that reflects statistically significant associations, while finding marked differences between the three cities analysed. This suggests that incorporating multiple dimensions of transport and well-being and contextual issues of the Global South can lead to different interpretations of transport-related well-being and its relation with social and transport disadvantage. Conclusions: The structural equation model enabled us to incorporate variables that captured the spirit of conceptualisations of transport disadvantage and transport well-being and to explore their links under context-specific conditions for comparable population. Findings can inform differentiated policy definition and prioritization in contexts with limited resources and structural deficits in access and connectivity. Such a result is useful to de-construct the effects and intensity of urban transport as mediating factor in well-being.","author":[{"dropping-particle":"","family":"Oviedo","given":"Daniel","non-dropping-particle":"","parse-names":false,"suffix":""},{"dropping-particle":"","family":"Sabogal","given":"Orlando","non-dropping-particle":"","parse-names":false,"suffix":""}],"container-title":"Journal of Transport and Health","id":"ITEM-2","issue":"October","issued":{"date-parts":[["2020"]]},"page":"100966","publisher":"Elsevier Ltd","title":"Unpacking the connections between transport and well-being in socially disadvantaged communities: Structural equations approach to low-income neighbourhoods in Nigeria","type":"article-journal","volume":"19"},"uris":["http://www.mendeley.com/documents/?uuid=1fe98c80-7091-4c49-8e39-4919d3c13596"]}],"mendeley":{"formattedCitation":"(Oviedo and Sabogal, 2020; Stanley &lt;i&gt;et al.&lt;/i&gt;, 2021)","plainTextFormattedCitation":"(Oviedo and Sabogal, 2020; Stanley et al., 2021)","previouslyFormattedCitation":"(Oviedo and Sabogal, 2020; Stanley &lt;i&gt;et al.&lt;/i&gt;, 2021)"},"properties":{"noteIndex":0},"schema":"https://github.com/citation-style-language/schema/raw/master/csl-citation.json"}</w:instrText>
      </w:r>
      <w:r w:rsidR="00225803">
        <w:rPr>
          <w:lang w:val="en-US"/>
        </w:rPr>
        <w:fldChar w:fldCharType="separate"/>
      </w:r>
      <w:r w:rsidR="00225803" w:rsidRPr="00225803">
        <w:rPr>
          <w:noProof/>
          <w:lang w:val="en-US"/>
        </w:rPr>
        <w:t xml:space="preserve">(Oviedo and Sabogal, 2020; Stanley </w:t>
      </w:r>
      <w:r w:rsidR="00225803" w:rsidRPr="00225803">
        <w:rPr>
          <w:i/>
          <w:noProof/>
          <w:lang w:val="en-US"/>
        </w:rPr>
        <w:t>et al.</w:t>
      </w:r>
      <w:r w:rsidR="00225803" w:rsidRPr="00225803">
        <w:rPr>
          <w:noProof/>
          <w:lang w:val="en-US"/>
        </w:rPr>
        <w:t>, 2021)</w:t>
      </w:r>
      <w:r w:rsidR="00225803">
        <w:rPr>
          <w:lang w:val="en-US"/>
        </w:rPr>
        <w:fldChar w:fldCharType="end"/>
      </w:r>
      <w:r>
        <w:t xml:space="preserve"> particularly from a socio-economic equity perspective </w:t>
      </w:r>
      <w:r>
        <w:fldChar w:fldCharType="begin" w:fldLock="1"/>
      </w:r>
      <w:r w:rsidR="00225803">
        <w:instrText>ADDIN CSL_CITATION {"citationItems":[{"id":"ITEM-1","itemData":{"DOI":"10.3390/su11226249","ISSN":"20711050","abstract":"Road safety in low-income countries (LICs) remains a major concern. Given the expected increase in traffic exposure due to the relatively rapid motorisation of transport in LICs, it is imperative to better understand the underlying mechanisms of road safety. This in turn will allow for planning cost-effective road safety improvement programs in a timely manner. With the general aim of improving road safety in LICs, this paper discusses the state of knowledge and proposes a number of future research directions developed from literature reviews and expert elicitation. Our study takes a holistic approach based on the Safe Systems framework and the framework for the UN Decade of Action for Road Safety. We focused mostly on examining the problem from traffic engineering and safety policy standpoints, but also touched upon other sectors, including public health and social sciences. We identified ten focus areas relating to (i) under-reporting; (ii) global best practices; (iii) vulnerable groups; (iv) disabilities; (v) road crash costing; (vi) vehicle safety; (vii) proactive approaches; (viii) data challenges; (ix) social/behavioural aspects; and (x) capacity building. Based on our findings, future research ought to focus on improvement of data systems, understanding the impact of and addressing non-fatal injuries, improving estimates on the economic burden, implementation research to scale up programs and transfer learnings, as well as capacity development. Our recommendations, which relate to both empirical and methodological frontiers, would lead to noteworthy improvements in the way road safety data collection and research is conducted in the context of LICs.","author":[{"dropping-particle":"","family":"Heydari","given":"Shahram","non-dropping-particle":"","parse-names":false,"suffix":""},{"dropping-particle":"","family":"Hickford","given":"Adrian","non-dropping-particle":"","parse-names":false,"suffix":""},{"dropping-particle":"","family":"McIlroy","given":"Rich","non-dropping-particle":"","parse-names":false,"suffix":""},{"dropping-particle":"","family":"Turner","given":"Jeff","non-dropping-particle":"","parse-names":false,"suffix":""},{"dropping-particle":"","family":"Bachani","given":"Abdulgafoor M.","non-dropping-particle":"","parse-names":false,"suffix":""}],"container-title":"Sustainability (Switzerland)","id":"ITEM-1","issue":"22","issued":{"date-parts":[["2019"]]},"page":"1-29","title":"Road safety in low-income countries: State of knowledge and future directions","type":"article-journal","volume":"11"},"uris":["http://www.mendeley.com/documents/?uuid=f065fbbb-4b30-4bcc-9189-92ebb5314f47"]},{"id":"ITEM-2","itemData":{"DOI":"10.1016/j.jth.2020.100966","ISSN":"22141405","abstract":"Introduction: Emerging interest in social issues related to transport in cities facing rapid demographic and socioeconomic transitions has led to increasing interest in the relationships between well-being and transport disadvantage. However, unpacking such links has been elusive at best, and mainstream research has not embraced the particularities and diversities of Global South cities as research settings. Most research has focused on subjective approaches to well-being and ideas of satisfaction with and quality of life. Purpose: We propose a well-being framework tailored to the specific characteristics derived from transport problems faced by low-income urban dwellers. This concept, Transport Well-being, attempts to shed light on how transport may affect components of well-being such as access to key opportunities, ability to enjoy the built environment and security while travelling. We build on the person-centred framework (White, 2010), to examine Transport Well-being in its relational, material and subjective dimensions. Methods: We use a quantitative dataset of a randomly selected sample of 570 adults in low-income informal settlements in the periphery of the cities of Abuja, Kaduna and Ibadan in Nigeria. Data is analysed using a structural equation model (SEM), which seeks to explain the links between second-level latent variable Perceived Transport Advantage/Disadvantage and Transport Well-being. Results: We find a strong correlation between Perceived Transport Advantage/Disadvantage and Transport Well-being (0.652) with a model specification that reflects statistically significant associations, while finding marked differences between the three cities analysed. This suggests that incorporating multiple dimensions of transport and well-being and contextual issues of the Global South can lead to different interpretations of transport-related well-being and its relation with social and transport disadvantage. Conclusions: The structural equation model enabled us to incorporate variables that captured the spirit of conceptualisations of transport disadvantage and transport well-being and to explore their links under context-specific conditions for comparable population. Findings can inform differentiated policy definition and prioritization in contexts with limited resources and structural deficits in access and connectivity. Such a result is useful to de-construct the effects and intensity of urban transport as mediating factor in well-being.","author":[{"dropping-particle":"","family":"Oviedo","given":"Daniel","non-dropping-particle":"","parse-names":false,"suffix":""},{"dropping-particle":"","family":"Sabogal","given":"Orlando","non-dropping-particle":"","parse-names":false,"suffix":""}],"container-title":"Journal of Transport and Health","id":"ITEM-2","issue":"October","issued":{"date-parts":[["2020"]]},"page":"100966","publisher":"Elsevier Ltd","title":"Unpacking the connections between transport and well-being in socially disadvantaged communities: Structural equations approach to low-income neighbourhoods in Nigeria","type":"article-journal","volume":"19"},"uris":["http://www.mendeley.com/documents/?uuid=1fe98c80-7091-4c49-8e39-4919d3c13596"]}],"mendeley":{"formattedCitation":"(Heydari &lt;i&gt;et al.&lt;/i&gt;, 2019; Oviedo and Sabogal, 2020)","plainTextFormattedCitation":"(Heydari et al., 2019; Oviedo and Sabogal, 2020)","previouslyFormattedCitation":"(Heydari &lt;i&gt;et al.&lt;/i&gt;, 2019; Oviedo and Sabogal, 2020)"},"properties":{"noteIndex":0},"schema":"https://github.com/citation-style-language/schema/raw/master/csl-citation.json"}</w:instrText>
      </w:r>
      <w:r>
        <w:fldChar w:fldCharType="separate"/>
      </w:r>
      <w:r w:rsidR="00225803" w:rsidRPr="00225803">
        <w:rPr>
          <w:noProof/>
        </w:rPr>
        <w:t xml:space="preserve">(Heydari </w:t>
      </w:r>
      <w:r w:rsidR="00225803" w:rsidRPr="00225803">
        <w:rPr>
          <w:i/>
          <w:noProof/>
        </w:rPr>
        <w:t>et al.</w:t>
      </w:r>
      <w:r w:rsidR="00225803" w:rsidRPr="00225803">
        <w:rPr>
          <w:noProof/>
        </w:rPr>
        <w:t>, 2019; Oviedo and Sabogal, 2020)</w:t>
      </w:r>
      <w:r>
        <w:fldChar w:fldCharType="end"/>
      </w:r>
      <w:r>
        <w:t xml:space="preserve"> and how this is shaped by</w:t>
      </w:r>
      <w:r w:rsidR="009F53CB">
        <w:t>-</w:t>
      </w:r>
      <w:r>
        <w:t xml:space="preserve"> and shapes</w:t>
      </w:r>
      <w:r w:rsidR="009F53CB">
        <w:t>-</w:t>
      </w:r>
      <w:r>
        <w:t xml:space="preserve"> the interaction between, the formal and informal sectors </w:t>
      </w:r>
      <w:r>
        <w:fldChar w:fldCharType="begin" w:fldLock="1"/>
      </w:r>
      <w:r>
        <w:instrText>ADDIN CSL_CITATION {"citationItems":[{"id":"ITEM-1","itemData":{"DOI":"10.16997/ats.1066","abstract":"Promotion of active travel is a fixture in transport policy and planning. Yet, this paper argues, walking and the availability of comprehensive and accessible pedestrian environments have an importance for mobility justice and sustainability which is not currently recognised. The paper investigates how and why walking provision matters for justice, and explores what this means for decision-making affecting mobility systems and the built environment. It begins with an argument that a coherent conception of mobility justice would be simultaneously concerned with environmental and social implications of transport since both affect people’s physical lives, welfare and flourishing. That requirement frames the types of mobility systems which could be compatible with justice, and points to a need for prioritisation of active travel far beyond current policy and practice. Specifically, the need for environmental sustainability coupled with social inclusion creates a case for systematically prioritising provision for walking over other mobility. This means the removal of all forms of barriers to walking so that no one is excluded by severance, impassable surfaces or lack of safety.","author":[{"dropping-particle":"","family":"Mullen","given":"Caroline Anne","non-dropping-particle":"","parse-names":false,"suffix":""}],"container-title":"Active Travel Studies","id":"ITEM-1","issue":"1","issued":{"date-parts":[["2021"]]},"page":"1-9","title":"Why Mobility Justice Means Prioritising Accessible Walking Environments","type":"article-journal","volume":"1"},"uris":["http://www.mendeley.com/documents/?uuid=30eecd2c-8153-41f1-9fdc-1632b52e0fe6"]},{"id":"ITEM-2","itemData":{"DOI":"10.1080/00049182.2023.2271615","ISSN":"14653311","author":[{"dropping-particle":"","family":"Harada","given":"Theresa","non-dropping-particle":"","parse-names":false,"suffix":""}],"container-title":"Australian Geographer","id":"ITEM-2","issued":{"date-parts":[["2023"]]},"title":"Mobility Justice and Sustainable Futures","type":"article-journal"},"uris":["http://www.mendeley.com/documents/?uuid=4e3c2b5f-44ff-4414-95bf-dc726e9cea48"]}],"mendeley":{"formattedCitation":"(Mullen, 2021; Harada, 2023)","plainTextFormattedCitation":"(Mullen, 2021; Harada, 2023)","previouslyFormattedCitation":"(Mullen, 2021; Harada, 2023)"},"properties":{"noteIndex":0},"schema":"https://github.com/citation-style-language/schema/raw/master/csl-citation.json"}</w:instrText>
      </w:r>
      <w:r>
        <w:fldChar w:fldCharType="separate"/>
      </w:r>
      <w:r>
        <w:rPr>
          <w:noProof/>
        </w:rPr>
        <w:t>(Mullen, 2021; Harada, 2023)</w:t>
      </w:r>
      <w:r>
        <w:fldChar w:fldCharType="end"/>
      </w:r>
      <w:r>
        <w:t xml:space="preserve">. </w:t>
      </w:r>
      <w:bookmarkStart w:id="1" w:name="_Hlk178238316"/>
      <w:bookmarkEnd w:id="0"/>
      <w:r w:rsidR="003979B4">
        <w:rPr>
          <w:lang w:val="en-US"/>
        </w:rPr>
        <w:t>It is emerging that t</w:t>
      </w:r>
      <w:r w:rsidR="003979B4" w:rsidRPr="00D86168">
        <w:rPr>
          <w:lang w:val="en-US"/>
        </w:rPr>
        <w:t>ransport policies affect the quality of life and social wellbeing of citizens and communities</w:t>
      </w:r>
      <w:r w:rsidR="003979B4">
        <w:rPr>
          <w:lang w:val="en-US"/>
        </w:rPr>
        <w:t xml:space="preserve"> </w:t>
      </w:r>
      <w:r w:rsidR="003979B4">
        <w:rPr>
          <w:lang w:val="en-US"/>
        </w:rPr>
        <w:fldChar w:fldCharType="begin" w:fldLock="1"/>
      </w:r>
      <w:r w:rsidR="003979B4">
        <w:rPr>
          <w:lang w:val="en-US"/>
        </w:rPr>
        <w:instrText>ADDIN CSL_CITATION {"citationItems":[{"id":"ITEM-1","itemData":{"DOI":"10.1080/01441647.2024.2374818","ISSN":"14645327","abstract":"Transport policies affect the quality of life and social wellbeing of citizens and communities; incorporating such impacts in policy and decision making, however, remains a challenge. This paper aims to: (1) present a systematic literature review that links transport policy to Community Wellbeing using the Capability Approach by Sen and Nussbaum, and (2) using that basis, establish a theoretical framework to systematically address Community Wellbeing impacts of municipal transport policies. This can improve qualitative assessments of policy interventions on multiple dimensions, such as safety, health, the (built) environment and accessibility, and inequalities within those dimensions. Using existing literature on the Capability Approach, Community Wellbeing dimensions can indeed successfully be integrated in transport policies. Additional tools and theories, such as the Theory of Change, are needed to structure relations between the sociotechnical transport system and the policy process. For analyses and assessment of policy interventions, additions from the affordances theory, potential accessibility, activity spaces, and sufficientarianism are needed to finalise the framework. Further development and testing of the framework is recommended. The most prominent research gaps are processes to set thresholds for sufficient accessibility, as well as potential limits to mobility behaviours through collective capabilities.","author":[{"dropping-particle":"","family":"Burgsteden","given":"Marco","non-dropping-particle":"van","parse-names":false,"suffix":""},{"dropping-particle":"","family":"Grigolon","given":"Anna","non-dropping-particle":"","parse-names":false,"suffix":""},{"dropping-particle":"","family":"Geurs","given":"Karst","non-dropping-particle":"","parse-names":false,"suffix":""}],"container-title":"Transport Reviews","id":"ITEM-1","issue":"6","issued":{"date-parts":[["2024"]]},"page":"1161-1186","title":"Improving Community Wellbeing through transport policy: a literature review and theoretical framework, based on the Capability Approach","type":"article-journal","volume":"44"},"uris":["http://www.mendeley.com/documents/?uuid=12699bb3-f587-40da-b12b-9548c08838fa"]},{"id":"ITEM-2","itemData":{"DOI":"10.1016/j.jth.2020.100843","ISSN":"22141405","abstract":"Introduction: Travel behavior research has only started to address how travel affects emotional wellbeing. The development of measurement methods is an important goal of this research. Methods: A review and assessment of methods of measuring travel-related emotional wellbeing is presented guided by a conceptual framework specifying what is measured (cognitive evaluations, emotional responses, or moods), the way it is measured (proactively, instantaneously, or retrospectively), and when it is measured (before, during, or after travel). Anticipated, current, residual and recalled moods are the objects of the measurement. Only studies of commuting or other types of daily travel are addressed. Results: We find that no research has measured anticipated moods, some research has measured current moods before, after and during travel, and most research has measured recalled moods. Conclusions: The most valid and reliable method is to measure current mood instantaneously at several points in time, before, during, and after travel. A measure of emotional wellbeing can then be obtained by objective aggregation. An approximate more feasible method is to retrospectively measure recalled moods for a given specified time period that may not only include travel. The available methods for measuring recalled moods have acceptable psychometric properties but research is needed to validate these methods by comparing the results to an objective aggregation of instantaneous measures of current mood at different points in time.","author":[{"dropping-particle":"","family":"Gärling","given":"Tommy","non-dropping-particle":"","parse-names":false,"suffix":""},{"dropping-particle":"","family":"Ettema","given":"Dick","non-dropping-particle":"","parse-names":false,"suffix":""},{"dropping-particle":"","family":"Connolly","given":"Filip Fors","non-dropping-particle":"","parse-names":false,"suffix":""},{"dropping-particle":"","family":"Friman","given":"Margareta","non-dropping-particle":"","parse-names":false,"suffix":""},{"dropping-particle":"","family":"Olsson","given":"Lars E.","non-dropping-particle":"","parse-names":false,"suffix":""}],"container-title":"Journal of Transport and Health","id":"ITEM-2","issue":"April","issued":{"date-parts":[["2020"]]},"page":"1-10","title":"Review and assessment of self-reports of travel-related emotional wellbeing","type":"article-journal","volume":"17"},"uris":["http://www.mendeley.com/documents/?uuid=82b616c2-de66-49ac-b158-4345178532c0"]}],"mendeley":{"formattedCitation":"(Gärling &lt;i&gt;et al.&lt;/i&gt;, 2020; van Burgsteden, Grigolon and Geurs, 2024)","plainTextFormattedCitation":"(Gärling et al., 2020; van Burgsteden, Grigolon and Geurs, 2024)","previouslyFormattedCitation":"(Gärling &lt;i&gt;et al.&lt;/i&gt;, 2020; van Burgsteden, Grigolon and Geurs, 2024)"},"properties":{"noteIndex":0},"schema":"https://github.com/citation-style-language/schema/raw/master/csl-citation.json"}</w:instrText>
      </w:r>
      <w:r w:rsidR="003979B4">
        <w:rPr>
          <w:lang w:val="en-US"/>
        </w:rPr>
        <w:fldChar w:fldCharType="separate"/>
      </w:r>
      <w:r w:rsidR="003979B4" w:rsidRPr="00371342">
        <w:rPr>
          <w:noProof/>
          <w:lang w:val="en-US"/>
        </w:rPr>
        <w:t xml:space="preserve">(Gärling </w:t>
      </w:r>
      <w:r w:rsidR="003979B4" w:rsidRPr="00371342">
        <w:rPr>
          <w:i/>
          <w:noProof/>
          <w:lang w:val="en-US"/>
        </w:rPr>
        <w:t>et al.</w:t>
      </w:r>
      <w:r w:rsidR="003979B4" w:rsidRPr="00371342">
        <w:rPr>
          <w:noProof/>
          <w:lang w:val="en-US"/>
        </w:rPr>
        <w:t>, 2020; van Burgsteden, Grigolon and Geurs, 2024)</w:t>
      </w:r>
      <w:r w:rsidR="003979B4">
        <w:rPr>
          <w:lang w:val="en-US"/>
        </w:rPr>
        <w:fldChar w:fldCharType="end"/>
      </w:r>
      <w:r w:rsidR="003979B4">
        <w:rPr>
          <w:lang w:val="en-US"/>
        </w:rPr>
        <w:t xml:space="preserve">. </w:t>
      </w:r>
      <w:r>
        <w:t xml:space="preserve">The interaction of mobility with health and wellbeing is linked to infrastructure quality, governance, and individuals’ behaviours particularly in the context of rapidly changing cities </w:t>
      </w:r>
      <w:r>
        <w:fldChar w:fldCharType="begin" w:fldLock="1"/>
      </w:r>
      <w:r w:rsidR="00371342">
        <w:instrText>ADDIN CSL_CITATION {"citationItems":[{"id":"ITEM-1","itemData":{"DOI":"10.1016/j.cities.2021.103229","ISSN":"02642751","abstract":"In light of the rapid global urbanization, providing a better quality of life in cities is becoming an increasingly critical issue for urban planning. However, the links between the built environment and subjective well-being are not sufficiently understood. This paper reviews the evidence on the range of pathways linking the built environment to subjective well-being. Seven potential pathways are identified and reviewed: (1) travel, (2) leisure, (3) work, (4) social relationships, (5) residential well-being, (6) emotional responses, and (7) health. Based on this knowledge, the paper presents an overview of strategies for improving subjective well-being through urban planning. Among others, proposed strategies are to: enhance conditions for active travel; improve public transport while restricting cars; provide easy access to facilities and services; develop or steer technology and emerging mobility options to improve inclusiveness and quality of life for different groups; integrate various forms of urban nature as much as possible; provide accessible, inclusive public spaces and communal spaces; maintain upkeep and order in urban space, vegetation, and transport systems; implement noise reduction strategies; develop aesthetically pleasing buildings and public spaces based on residents' needs and preferences; and reduce socio-spatial inequalities while providing support for housing and transport for vulnerable groups.","author":[{"dropping-particle":"","family":"Mouratidis","given":"Kostas","non-dropping-particle":"","parse-names":false,"suffix":""}],"container-title":"Cities","id":"ITEM-1","issue":"November 2020","issued":{"date-parts":[["2021"]]},"page":"103229","publisher":"Elsevier Ltd","title":"Urban planning and quality of life: A review of pathways linking the built environment to subjective well-being","type":"article-journal","volume":"115"},"uris":["http://www.mendeley.com/documents/?uuid=7c25be66-e9b5-41e6-97c2-e9259ad27c99"]},{"id":"ITEM-2","itemData":{"DOI":"10.1016/j.tra.2017.09.024","ISSN":"09658564","abstract":"Previous research has investigated satisfaction with work commutes. We extend this research by investigating whether satisfaction with all daily travel (including work commutes, school, leisure, and shopping trips) is related to life satisfaction and emotional well-being. A random sample of 367 participants was recruited from three urban areas in Sweden (Karlstad, Göteborg, and Stockholm) varying from a small (appr. 90,000 residents) through a medium (appr. 550,000 residents) to a large population size (appr. 925,000 residents). In a questionnaire the participants reported retrospectively their satisfaction with all daily travel, life satisfaction, and emotional well-being. Direct and indirect effects of travel satisfaction on life satisfaction and emotional well-being were analysed with PLS-SEM. Results showed that satisfaction with daily travel directly influences emotional well-being and both directly and indirectly life satisfaction. It is also found that driving and active modes have more positive effects than public transport.","author":[{"dropping-particle":"","family":"Friman","given":"Margareta","non-dropping-particle":"","parse-names":false,"suffix":""},{"dropping-particle":"","family":"Gärling","given":"Tommy","non-dropping-particle":"","parse-names":false,"suffix":""},{"dropping-particle":"","family":"Ettema","given":"Dick","non-dropping-particle":"","parse-names":false,"suffix":""},{"dropping-particle":"","family":"Olsson","given":"Lars E.","non-dropping-particle":"","parse-names":false,"suffix":""}],"container-title":"Transportation Research Part A: Policy and Practice","id":"ITEM-2","issue":"September","issued":{"date-parts":[["2017"]]},"page":"170-180","publisher":"Elsevier","title":"How does travel affect emotional well-being and life satisfaction?","type":"article-journal","volume":"106"},"uris":["http://www.mendeley.com/documents/?uuid=85db88d5-59f7-4a22-9c82-e0231bfaaa1f"]}],"mendeley":{"formattedCitation":"(Friman &lt;i&gt;et al.&lt;/i&gt;, 2017; Mouratidis, 2021)","plainTextFormattedCitation":"(Friman et al., 2017; Mouratidis, 2021)","previouslyFormattedCitation":"(Friman &lt;i&gt;et al.&lt;/i&gt;, 2017; Mouratidis, 2021)"},"properties":{"noteIndex":0},"schema":"https://github.com/citation-style-language/schema/raw/master/csl-citation.json"}</w:instrText>
      </w:r>
      <w:r>
        <w:fldChar w:fldCharType="separate"/>
      </w:r>
      <w:r w:rsidR="00371342" w:rsidRPr="00371342">
        <w:rPr>
          <w:noProof/>
        </w:rPr>
        <w:t xml:space="preserve">(Friman </w:t>
      </w:r>
      <w:r w:rsidR="00371342" w:rsidRPr="00371342">
        <w:rPr>
          <w:i/>
          <w:noProof/>
        </w:rPr>
        <w:t>et al.</w:t>
      </w:r>
      <w:r w:rsidR="00371342" w:rsidRPr="00371342">
        <w:rPr>
          <w:noProof/>
        </w:rPr>
        <w:t>, 2017; Mouratidis, 2021)</w:t>
      </w:r>
      <w:r>
        <w:fldChar w:fldCharType="end"/>
      </w:r>
      <w:r>
        <w:t>.</w:t>
      </w:r>
      <w:r>
        <w:rPr>
          <w:lang w:val="en-US"/>
        </w:rPr>
        <w:t xml:space="preserve"> </w:t>
      </w:r>
      <w:r w:rsidR="00371342">
        <w:rPr>
          <w:lang w:val="en-US"/>
        </w:rPr>
        <w:t xml:space="preserve">It should be noted </w:t>
      </w:r>
      <w:r w:rsidR="003979B4">
        <w:rPr>
          <w:lang w:val="en-US"/>
        </w:rPr>
        <w:t xml:space="preserve">the </w:t>
      </w:r>
      <w:r w:rsidR="00371342">
        <w:rPr>
          <w:lang w:val="en-US"/>
        </w:rPr>
        <w:t xml:space="preserve">concept of wellbeing </w:t>
      </w:r>
      <w:r w:rsidR="003979B4">
        <w:rPr>
          <w:lang w:val="en-US"/>
        </w:rPr>
        <w:t xml:space="preserve">presented here </w:t>
      </w:r>
      <w:r w:rsidR="00371342">
        <w:rPr>
          <w:lang w:val="en-US"/>
        </w:rPr>
        <w:t xml:space="preserve">focuses upon the subjective and emotional </w:t>
      </w:r>
      <w:r w:rsidR="00371342">
        <w:rPr>
          <w:lang w:val="en-US"/>
        </w:rPr>
        <w:fldChar w:fldCharType="begin" w:fldLock="1"/>
      </w:r>
      <w:r w:rsidR="00371342">
        <w:rPr>
          <w:lang w:val="en-US"/>
        </w:rPr>
        <w:instrText>ADDIN CSL_CITATION {"citationItems":[{"id":"ITEM-1","itemData":{"DOI":"10.3389/fsoc.2021.729453","abstract":"To ensure future sustainability, cities need to consider concepts of livability and resident wellbeing alongside environmental, economic and infrastructure development equity. The current rapid urbanization experienced in many regions is leading to sustainability challenges, but also offers the opportunity to deliver infrastructure supporting the social aspects of cities and the services that underpin them alongside economic growth. Unfortunately, evidence of what is needed to deliver urban wellbeing is largely absent from the global south. This paper contributes to filling this knowledge gap through a novel interdisciplinary mixed methods study undertaken in two rapidly changing cities (one Thai and one Kenyan) using qualitative surveys, subjective wellbeing and stress measurements, and spatial analysis of urban infrastructure distribution. We find the absence of basic infrastructure (including waste removal, water availability and quality) unsurprisingly causes significant stress for city residents. However, once these services are in place, smaller variations (inequalities) in social (crime, tenure) and environmental (noise, air quality) conditions begin to play a greater role in determining differences in subjective wellbeing across a city. Our results indicate that spending time in urban greenspaces can mitigate the stressful impacts of city living even for residents of informal neighborhoods. Our data also highlights the importance of places that enable social interactions supporting wellbeing–whether green or built. These results demonstrate the need for diversity and equity in the provision of public realm spaces to ensure social and spatial justice. These findings strengthen the need to promote long term livability in LMIC urban planning alongside economic growth, environmental sustainability, and resilience.","author":[{"dropping-particle":"","family":"Cinderby","given":"Steve","non-dropping-particle":"","parse-names":false,"suffix":""},{"dropping-particle":"","family":"Archer","given":"Diane","non-dropping-particle":"","parse-names":false,"suffix":""},{"dropping-particle":"","family":"Mehta","given":"Vishal K","non-dropping-particle":"","parse-names":false,"suffix":""},{"dropping-particle":"","family":"Neale","given":"Chris","non-dropping-particle":"","parse-names":false,"suffix":""},{"dropping-particle":"","family":"Opiyo","given":"Romanus","non-dropping-particle":"","parse-names":false,"suffix":""},{"dropping-particle":"","family":"Pateman","given":"Rachel M","non-dropping-particle":"","parse-names":false,"suffix":""},{"dropping-particle":"","family":"Muhoza","given":"Cassilde","non-dropping-particle":"","parse-names":false,"suffix":""},{"dropping-particle":"","family":"Adeline","given":"Charrlotte","non-dropping-particle":"","parse-names":false,"suffix":""},{"dropping-particle":"","family":"Tukhanen","given":"Heidi","non-dropping-particle":"","parse-names":false,"suffix":""}],"container-title":"Frontiers in Sociology","id":"ITEM-1","issue":"November","issued":{"date-parts":[["2021"]]},"page":"1-16","title":"Assessing Inequalities in Wellbeing at a Neighbourhood Scale in Secondary Cities and Their Implications for Long-Term Livability","type":"article-journal","volume":"6"},"uris":["http://www.mendeley.com/documents/?uuid=5dec6160-3752-483f-a803-27261151dd31"]}],"mendeley":{"formattedCitation":"(Cinderby, Archer, &lt;i&gt;et al.&lt;/i&gt;, 2021)","plainTextFormattedCitation":"(Cinderby, Archer, et al., 2021)","previouslyFormattedCitation":"(Cinderby, Archer, &lt;i&gt;et al.&lt;/i&gt;, 2021)"},"properties":{"noteIndex":0},"schema":"https://github.com/citation-style-language/schema/raw/master/csl-citation.json"}</w:instrText>
      </w:r>
      <w:r w:rsidR="00371342">
        <w:rPr>
          <w:lang w:val="en-US"/>
        </w:rPr>
        <w:fldChar w:fldCharType="separate"/>
      </w:r>
      <w:r w:rsidR="00371342" w:rsidRPr="00371342">
        <w:rPr>
          <w:noProof/>
          <w:lang w:val="en-US"/>
        </w:rPr>
        <w:t xml:space="preserve">(Cinderby, Archer, </w:t>
      </w:r>
      <w:r w:rsidR="00371342" w:rsidRPr="00371342">
        <w:rPr>
          <w:i/>
          <w:noProof/>
          <w:lang w:val="en-US"/>
        </w:rPr>
        <w:t>et al.</w:t>
      </w:r>
      <w:r w:rsidR="00371342" w:rsidRPr="00371342">
        <w:rPr>
          <w:noProof/>
          <w:lang w:val="en-US"/>
        </w:rPr>
        <w:t>, 2021)</w:t>
      </w:r>
      <w:r w:rsidR="00371342">
        <w:rPr>
          <w:lang w:val="en-US"/>
        </w:rPr>
        <w:fldChar w:fldCharType="end"/>
      </w:r>
      <w:r w:rsidR="00371342">
        <w:rPr>
          <w:lang w:val="en-US"/>
        </w:rPr>
        <w:t xml:space="preserve"> rather than the relational and material outcomes that have </w:t>
      </w:r>
      <w:r w:rsidR="003979B4">
        <w:rPr>
          <w:lang w:val="en-US"/>
        </w:rPr>
        <w:t xml:space="preserve">similarly </w:t>
      </w:r>
      <w:r w:rsidR="00371342">
        <w:rPr>
          <w:lang w:val="en-US"/>
        </w:rPr>
        <w:t xml:space="preserve">been shown to be strongly correlated with transport availability </w:t>
      </w:r>
      <w:r w:rsidR="00371342">
        <w:rPr>
          <w:lang w:val="en-US"/>
        </w:rPr>
        <w:fldChar w:fldCharType="begin" w:fldLock="1"/>
      </w:r>
      <w:r w:rsidR="00F91995">
        <w:rPr>
          <w:lang w:val="en-US"/>
        </w:rPr>
        <w:instrText>ADDIN CSL_CITATION {"citationItems":[{"id":"ITEM-1","itemData":{"DOI":"10.1016/j.jth.2020.100966","ISSN":"22141405","abstract":"Introduction: Emerging interest in social issues related to transport in cities facing rapid demographic and socioeconomic transitions has led to increasing interest in the relationships between well-being and transport disadvantage. However, unpacking such links has been elusive at best, and mainstream research has not embraced the particularities and diversities of Global South cities as research settings. Most research has focused on subjective approaches to well-being and ideas of satisfaction with and quality of life. Purpose: We propose a well-being framework tailored to the specific characteristics derived from transport problems faced by low-income urban dwellers. This concept, Transport Well-being, attempts to shed light on how transport may affect components of well-being such as access to key opportunities, ability to enjoy the built environment and security while travelling. We build on the person-centred framework (White, 2010), to examine Transport Well-being in its relational, material and subjective dimensions. Methods: We use a quantitative dataset of a randomly selected sample of 570 adults in low-income informal settlements in the periphery of the cities of Abuja, Kaduna and Ibadan in Nigeria. Data is analysed using a structural equation model (SEM), which seeks to explain the links between second-level latent variable Perceived Transport Advantage/Disadvantage and Transport Well-being. Results: We find a strong correlation between Perceived Transport Advantage/Disadvantage and Transport Well-being (0.652) with a model specification that reflects statistically significant associations, while finding marked differences between the three cities analysed. This suggests that incorporating multiple dimensions of transport and well-being and contextual issues of the Global South can lead to different interpretations of transport-related well-being and its relation with social and transport disadvantage. Conclusions: The structural equation model enabled us to incorporate variables that captured the spirit of conceptualisations of transport disadvantage and transport well-being and to explore their links under context-specific conditions for comparable population. Findings can inform differentiated policy definition and prioritization in contexts with limited resources and structural deficits in access and connectivity. Such a result is useful to de-construct the effects and intensity of urban transport as mediating factor in well-being.","author":[{"dropping-particle":"","family":"Oviedo","given":"Daniel","non-dropping-particle":"","parse-names":false,"suffix":""},{"dropping-particle":"","family":"Sabogal","given":"Orlando","non-dropping-particle":"","parse-names":false,"suffix":""}],"container-title":"Journal of Transport and Health","id":"ITEM-1","issue":"October","issued":{"date-parts":[["2020"]]},"page":"100966","publisher":"Elsevier Ltd","title":"Unpacking the connections between transport and well-being in socially disadvantaged communities: Structural equations approach to low-income neighbourhoods in Nigeria","type":"article-journal","volume":"19"},"uris":["http://www.mendeley.com/documents/?uuid=98d422e4-3284-4832-9ce0-f5267909a181"]}],"mendeley":{"formattedCitation":"(Oviedo and Sabogal, 2020)","plainTextFormattedCitation":"(Oviedo and Sabogal, 2020)","previouslyFormattedCitation":"(Oviedo and Sabogal, 2020)"},"properties":{"noteIndex":0},"schema":"https://github.com/citation-style-language/schema/raw/master/csl-citation.json"}</w:instrText>
      </w:r>
      <w:r w:rsidR="00371342">
        <w:rPr>
          <w:lang w:val="en-US"/>
        </w:rPr>
        <w:fldChar w:fldCharType="separate"/>
      </w:r>
      <w:r w:rsidR="00371342" w:rsidRPr="00371342">
        <w:rPr>
          <w:noProof/>
          <w:lang w:val="en-US"/>
        </w:rPr>
        <w:t>(Oviedo and Sabogal, 2020)</w:t>
      </w:r>
      <w:r w:rsidR="00371342">
        <w:rPr>
          <w:lang w:val="en-US"/>
        </w:rPr>
        <w:fldChar w:fldCharType="end"/>
      </w:r>
      <w:r w:rsidR="00371342">
        <w:rPr>
          <w:lang w:val="en-US"/>
        </w:rPr>
        <w:t>.</w:t>
      </w:r>
      <w:r>
        <w:t xml:space="preserve"> This interrelationship of factors entails a consideration of this issue from an interdisciplinary perspective</w:t>
      </w:r>
      <w:r w:rsidR="006E5966">
        <w:t xml:space="preserve"> </w:t>
      </w:r>
      <w:r w:rsidR="006E5966">
        <w:fldChar w:fldCharType="begin" w:fldLock="1"/>
      </w:r>
      <w:r w:rsidR="006E5966">
        <w:instrText>ADDIN CSL_CITATION {"citationItems":[{"id":"ITEM-1","itemData":{"DOI":"10.1080/15568318.2024.2308258","ISSN":"15568334","abstract":"Addressing the need for curbing private motorization and car dependency while reducing inequalities associated with transport requires an in-depth understanding of the individual and collective practices, attitudes, and experiences of urban accessibility and mobility of populations across diverse socio-economic backgrounds. This paper builds on qualitative research methods and a framework of transitions to sustainable mobility to examine the links between travel needs, preferences, attitudes, and structural factors such as urban form, poverty, and informality at different scales. It proposes qualitative methods and evidence for accessibility-centred analysis to enrich policy and practice in cities across Sub-Saharan Africa (SSA), using Sierra Leone’s capital, Freetown, as a case study. While the volume of literature on urban mobility, accessibility, and land-use in SSA is increasing, scholarship on cities in Western Africa remains limited. The study examines four neighborhoods with different levels of access and motorization. It interrogates participants’ perceived accessibility, how they shape differentiated everyday mobility and land-use practices at the individual and collective level, and its implications for urban accessibility and sustainable mobility in the medium to long-term future. We found that perceived accessibility influences everyday mobility and land-use practices and the attitudes of individuals in diverse communities toward sustainable mobility by driving them to trade off immediate needs with long-term risks and exposures, imaginaries of motorized futures, as well as collectively transform the functional and physical configurations of the built environment to address their most critical needs in the absence of suitable top-down transport and land-use interventions.","author":[{"dropping-particle":"","family":"Oviedo","given":"Daniel","non-dropping-particle":"","parse-names":false,"suffix":""},{"dropping-particle":"","family":"Cavoli","given":"Clemence","non-dropping-particle":"","parse-names":false,"suffix":""},{"dropping-particle":"","family":"Yusuf","given":"Yasmina","non-dropping-particle":"","parse-names":false,"suffix":""},{"dropping-particle":"","family":"Koroma","given":"Braima","non-dropping-particle":"","parse-names":false,"suffix":""},{"dropping-particle":"","family":"Chong","given":"Alexandria Z.W.","non-dropping-particle":"","parse-names":false,"suffix":""}],"container-title":"International Journal of Sustainable Transportation","id":"ITEM-1","issue":"4","issued":{"date-parts":[["2024"]]},"page":"328-343","publisher":"Taylor &amp; Francis","title":"Everyday accessibility practices and experiences in a context of transitions to sustainable mobility: Qualitative evidence from Sub-Saharan Africa","type":"article-journal","volume":"18"},"uris":["http://www.mendeley.com/documents/?uuid=3837d6c5-fdc0-4b5b-8327-5e0b872df6bf"]}],"mendeley":{"formattedCitation":"(Oviedo &lt;i&gt;et al.&lt;/i&gt;, 2024)","plainTextFormattedCitation":"(Oviedo et al., 2024)","previouslyFormattedCitation":"(Oviedo &lt;i&gt;et al.&lt;/i&gt;, 2024)"},"properties":{"noteIndex":0},"schema":"https://github.com/citation-style-language/schema/raw/master/csl-citation.json"}</w:instrText>
      </w:r>
      <w:r w:rsidR="006E5966">
        <w:fldChar w:fldCharType="separate"/>
      </w:r>
      <w:r w:rsidR="006E5966" w:rsidRPr="006E5966">
        <w:rPr>
          <w:noProof/>
        </w:rPr>
        <w:t xml:space="preserve">(Oviedo </w:t>
      </w:r>
      <w:r w:rsidR="006E5966" w:rsidRPr="006E5966">
        <w:rPr>
          <w:i/>
          <w:noProof/>
        </w:rPr>
        <w:t>et al.</w:t>
      </w:r>
      <w:r w:rsidR="006E5966" w:rsidRPr="006E5966">
        <w:rPr>
          <w:noProof/>
        </w:rPr>
        <w:t>, 2024)</w:t>
      </w:r>
      <w:r w:rsidR="006E5966">
        <w:fldChar w:fldCharType="end"/>
      </w:r>
      <w:r>
        <w:t xml:space="preserve">. </w:t>
      </w:r>
      <w:bookmarkEnd w:id="1"/>
      <w:r>
        <w:t>Single disciplin</w:t>
      </w:r>
      <w:r w:rsidR="00F75A67">
        <w:t>ary approaches</w:t>
      </w:r>
      <w:r>
        <w:t xml:space="preserve"> risk revealing or privileging a particular facet of the topic (e.g.</w:t>
      </w:r>
      <w:r w:rsidR="009F53CB">
        <w:t>,</w:t>
      </w:r>
      <w:r>
        <w:t xml:space="preserve"> </w:t>
      </w:r>
      <w:r w:rsidR="00642335">
        <w:t xml:space="preserve">using </w:t>
      </w:r>
      <w:r>
        <w:t xml:space="preserve">travel diaries or subjective wellbeing assessments in isolation). </w:t>
      </w:r>
      <w:sdt>
        <w:sdtPr>
          <w:tag w:val="goog_rdk_0"/>
          <w:id w:val="-1673798776"/>
        </w:sdtPr>
        <w:sdtContent/>
      </w:sdt>
      <w:r>
        <w:t>This could lead to inappropriate policy, planning or engineering recommendations due to biases in the data collected or the information considered valuable. Furthermore, the interactions of mobility on other dimensions of health, poverty alleviation through enhanced livelihoods, access to education and equitable urban infrastructure entail</w:t>
      </w:r>
      <w:r>
        <w:rPr>
          <w:lang w:val="en-US"/>
        </w:rPr>
        <w:t>s</w:t>
      </w:r>
      <w:r>
        <w:t xml:space="preserve"> more holistic considerations of the relationships between these intertwined issues of development and inclusion. </w:t>
      </w:r>
    </w:p>
    <w:p w14:paraId="5C6C7606" w14:textId="2ACBA39B" w:rsidR="00AB1288" w:rsidRDefault="00642335" w:rsidP="00AB1288">
      <w:bookmarkStart w:id="2" w:name="_Hlk178238341"/>
      <w:r>
        <w:t>I</w:t>
      </w:r>
      <w:r w:rsidR="00AB1288">
        <w:t>n many regions</w:t>
      </w:r>
      <w:r>
        <w:t>,</w:t>
      </w:r>
      <w:r w:rsidR="00AB1288">
        <w:t xml:space="preserve"> travel around cities is </w:t>
      </w:r>
      <w:r w:rsidR="00AB1288">
        <w:rPr>
          <w:lang w:val="en-US"/>
        </w:rPr>
        <w:t>not inclusive</w:t>
      </w:r>
      <w:r w:rsidR="00AB1288">
        <w:t xml:space="preserve"> due to poor walking and cycling infrastructure, traffic congestion leading to long travel times, and exposure to pollution and road safety hazards </w:t>
      </w:r>
      <w:r w:rsidR="00AB1288">
        <w:fldChar w:fldCharType="begin" w:fldLock="1"/>
      </w:r>
      <w:r w:rsidR="00AB1288">
        <w:instrText>ADDIN CSL_CITATION {"citationItems":[{"id":"ITEM-1","itemData":{"DOI":"10.3390/su11226249","ISSN":"20711050","abstract":"Road safety in low-income countries (LICs) remains a major concern. Given the expected increase in traffic exposure due to the relatively rapid motorisation of transport in LICs, it is imperative to better understand the underlying mechanisms of road safety. This in turn will allow for planning cost-effective road safety improvement programs in a timely manner. With the general aim of improving road safety in LICs, this paper discusses the state of knowledge and proposes a number of future research directions developed from literature reviews and expert elicitation. Our study takes a holistic approach based on the Safe Systems framework and the framework for the UN Decade of Action for Road Safety. We focused mostly on examining the problem from traffic engineering and safety policy standpoints, but also touched upon other sectors, including public health and social sciences. We identified ten focus areas relating to (i) under-reporting; (ii) global best practices; (iii) vulnerable groups; (iv) disabilities; (v) road crash costing; (vi) vehicle safety; (vii) proactive approaches; (viii) data challenges; (ix) social/behavioural aspects; and (x) capacity building. Based on our findings, future research ought to focus on improvement of data systems, understanding the impact of and addressing non-fatal injuries, improving estimates on the economic burden, implementation research to scale up programs and transfer learnings, as well as capacity development. Our recommendations, which relate to both empirical and methodological frontiers, would lead to noteworthy improvements in the way road safety data collection and research is conducted in the context of LICs.","author":[{"dropping-particle":"","family":"Heydari","given":"Shahram","non-dropping-particle":"","parse-names":false,"suffix":""},{"dropping-particle":"","family":"Hickford","given":"Adrian","non-dropping-particle":"","parse-names":false,"suffix":""},{"dropping-particle":"","family":"McIlroy","given":"Rich","non-dropping-particle":"","parse-names":false,"suffix":""},{"dropping-particle":"","family":"Turner","given":"Jeff","non-dropping-particle":"","parse-names":false,"suffix":""},{"dropping-particle":"","family":"Bachani","given":"Abdulgafoor M.","non-dropping-particle":"","parse-names":false,"suffix":""}],"container-title":"Sustainability (Switzerland)","id":"ITEM-1","issue":"22","issued":{"date-parts":[["2019"]]},"page":"1-29","title":"Road safety in low-income countries: State of knowledge and future directions","type":"article-journal","volume":"11"},"uris":["http://www.mendeley.com/documents/?uuid=f065fbbb-4b30-4bcc-9189-92ebb5314f47"]}],"mendeley":{"formattedCitation":"(Heydari &lt;i&gt;et al.&lt;/i&gt;, 2019)","plainTextFormattedCitation":"(Heydari et al., 2019)","previouslyFormattedCitation":"(Heydari &lt;i&gt;et al.&lt;/i&gt;, 2019)"},"properties":{"noteIndex":0},"schema":"https://github.com/citation-style-language/schema/raw/master/csl-citation.json"}</w:instrText>
      </w:r>
      <w:r w:rsidR="00AB1288">
        <w:fldChar w:fldCharType="separate"/>
      </w:r>
      <w:r w:rsidR="00AB1288">
        <w:rPr>
          <w:noProof/>
        </w:rPr>
        <w:t xml:space="preserve">(Heydari </w:t>
      </w:r>
      <w:r w:rsidR="00AB1288">
        <w:rPr>
          <w:i/>
          <w:noProof/>
        </w:rPr>
        <w:t>et al.</w:t>
      </w:r>
      <w:r w:rsidR="00AB1288">
        <w:rPr>
          <w:noProof/>
        </w:rPr>
        <w:t>, 2019)</w:t>
      </w:r>
      <w:r w:rsidR="00AB1288">
        <w:fldChar w:fldCharType="end"/>
      </w:r>
      <w:r w:rsidR="00AB1288">
        <w:t xml:space="preserve">, all of which impact on people’s health and wellbeing </w:t>
      </w:r>
      <w:r w:rsidR="00AB1288">
        <w:fldChar w:fldCharType="begin" w:fldLock="1"/>
      </w:r>
      <w:r w:rsidR="00AB1288">
        <w:instrText>ADDIN CSL_CITATION {"citationItems":[{"id":"ITEM-1","itemData":{"DOI":"10.1080/01441647.2018.1442889","ISSN":"14645327","abstract":"Despite the well-established benefits of active transport (AT) (walking and bicycling), the rate of AT is generally decreasing across the globe. To reverse this trend, AT needs to be promoted by governments worldwide with a strategic framework to guide national AT policy formulation and administration. With a nine-component strategic framework, the present study provides policy directions for the effective formulation and implementation of AT policy strategies in Africa. It takes a pioneering step towards bridging the knowledge gap about AT policy strategy formulation based on developed Western countries. Transport policies of seven African countries have been reviewed (Ghana, Kenya, Malawi, Nigeria, Rwanda, South Africa and Uganda). The review suggests that countries with specific AT policies (versus general transport policies covering AT) did better. We believe that it would be better to position the need for identifying new AT funding regimes as a priority for the efficient administration of the respective AT policies to avoid foreseeable financial obstructions in the policy administration. While the countries reviewed are by no means generic of all countries around the world, the strategic framework can be extended to assess similar policies, and our results can provide lessons for future AT policy formulation in other countries.","author":[{"dropping-particle":"","family":"Loo","given":"Becky P.Y.","non-dropping-particle":"","parse-names":false,"suffix":""},{"dropping-particle":"","family":"Siiba","given":"Alhassan","non-dropping-particle":"","parse-names":false,"suffix":""}],"container-title":"Transport Reviews","id":"ITEM-1","issue":"2","issued":{"date-parts":[["2019"]]},"page":"181-203","publisher":"Taylor &amp; Francis","title":"Active transport in Africa and beyond: towards a strategic framework","type":"article-journal","volume":"39"},"uris":["http://www.mendeley.com/documents/?uuid=1f09ced5-7a67-4e61-9117-07d99a907c73"]}],"mendeley":{"formattedCitation":"(Loo and Siiba, 2019)","plainTextFormattedCitation":"(Loo and Siiba, 2019)","previouslyFormattedCitation":"(Loo and Siiba, 2019)"},"properties":{"noteIndex":0},"schema":"https://github.com/citation-style-language/schema/raw/master/csl-citation.json"}</w:instrText>
      </w:r>
      <w:r w:rsidR="00AB1288">
        <w:fldChar w:fldCharType="separate"/>
      </w:r>
      <w:r w:rsidR="00AB1288">
        <w:rPr>
          <w:noProof/>
        </w:rPr>
        <w:t>(Loo and Siiba, 2019)</w:t>
      </w:r>
      <w:r w:rsidR="00AB1288">
        <w:fldChar w:fldCharType="end"/>
      </w:r>
      <w:r w:rsidR="00AB1288">
        <w:t>. For example, the transport sector in urban Africa vividly demonstrates how structural and wealth inequalities play out</w:t>
      </w:r>
      <w:r w:rsidR="009F53CB">
        <w:t>.</w:t>
      </w:r>
      <w:r w:rsidR="00AB1288">
        <w:t xml:space="preserve"> </w:t>
      </w:r>
      <w:r w:rsidR="009F53CB">
        <w:t>T</w:t>
      </w:r>
      <w:r w:rsidR="00AB1288">
        <w:t xml:space="preserve">hose living in low-income settlements and working in the informal sector suffer disproportionate negative impacts on their health, livelihoods and quality of life </w:t>
      </w:r>
      <w:r w:rsidR="00AB1288">
        <w:fldChar w:fldCharType="begin" w:fldLock="1"/>
      </w:r>
      <w:r w:rsidR="00AB1288">
        <w:instrText>ADDIN CSL_CITATION {"citationItems":[{"id":"ITEM-1","itemData":{"author":[{"dropping-particle":"","family":"Verlinghieri","given":"Ersilia","non-dropping-particle":"","parse-names":false,"suffix":""},{"dropping-particle":"","family":"Schwanen","given":"Tim","non-dropping-particle":"","parse-names":false,"suffix":""}],"container-title":"Journal of Transport Geography","id":"ITEM-1","issue":"July","issued":{"date-parts":[["2020"]]},"title":"Transport and mobility justice","type":"article-journal","volume":"87"},"uris":["http://www.mendeley.com/documents/?uuid=933715a8-7146-48ad-80b3-970f65006b27"]}],"mendeley":{"formattedCitation":"(Verlinghieri and Schwanen, 2020)","plainTextFormattedCitation":"(Verlinghieri and Schwanen, 2020)","previouslyFormattedCitation":"(Verlinghieri and Schwanen, 2020)"},"properties":{"noteIndex":0},"schema":"https://github.com/citation-style-language/schema/raw/master/csl-citation.json"}</w:instrText>
      </w:r>
      <w:r w:rsidR="00AB1288">
        <w:fldChar w:fldCharType="separate"/>
      </w:r>
      <w:r w:rsidR="00AB1288">
        <w:rPr>
          <w:noProof/>
        </w:rPr>
        <w:t>(Verlinghieri and Schwanen, 2020)</w:t>
      </w:r>
      <w:r w:rsidR="00AB1288">
        <w:fldChar w:fldCharType="end"/>
      </w:r>
      <w:r w:rsidR="00AB1288">
        <w:t xml:space="preserve">. The predominance of private cars used by the middle and upper classes in cities of </w:t>
      </w:r>
      <w:r w:rsidR="00350C9C">
        <w:t>LMICs</w:t>
      </w:r>
      <w:r w:rsidR="00AB1288">
        <w:t xml:space="preserve"> creates congestion but dominate road infrastructure investments </w:t>
      </w:r>
      <w:r w:rsidR="00AB1288">
        <w:fldChar w:fldCharType="begin" w:fldLock="1"/>
      </w:r>
      <w:r w:rsidR="00AB1288">
        <w:instrText>ADDIN CSL_CITATION {"citationItems":[{"id":"ITEM-1","itemData":{"DOI":"10.1016/j.jth.2020.100944","ISSN":"22141405","abstract":"Cities in developing countries face acute pressures due to increased motorization, urbanization and growing population. Urban transport planning systems can fuel healthy cities, yet research examining the interface between policies and needs in Africa remains scarce. A mixed-methods approach was used to assess the alignment between urban transport policies and self-reported citizens’ needs in Port Louis city (Mauritius). Logistic regression models were run to detect associations between needs and demographic indicators (age, gender, income). Three policy measures were assessed: light metro rail system, bus modernization scheme and road decongestion program. Six citizen needs and six mode of transit preferences were extracted from 1523 surveys (N). Citizens reported the need for improving sidewalks (80%), public spaces (77%), green spaces (67%), pedestrianizing strategic areas (66%), centralizing street-vendors at bus stations (57%) and regulating private vehicles entry in town (40%). The policies addressed 3 out of 6 needs, of which all were more likely to be expressed by poorer population groups. The policies did not respond to citizen needs for active modes of travel. They did not address health and social co-benefits of transport. Rather they emphasized an economic agenda focused on transport infrastructure as opposed to policy reforms in line with public needs that much more strongly highlight the integration of urban transport planning in social life. Citizen-centred approaches provide a unique opportunity to reform urban transport planning policies towards more healthy and equitable cities in developing countries.","author":[{"dropping-particle":"","family":"Thondoo","given":"M.","non-dropping-particle":"","parse-names":false,"suffix":""},{"dropping-particle":"","family":"Marquet","given":"O.","non-dropping-particle":"","parse-names":false,"suffix":""},{"dropping-particle":"","family":"Márquez","given":"S.","non-dropping-particle":"","parse-names":false,"suffix":""},{"dropping-particle":"","family":"Nieuwenhuijsen","given":"M. J.","non-dropping-particle":"","parse-names":false,"suffix":""}],"container-title":"Journal of Transport and Health","id":"ITEM-1","issue":"August","issued":{"date-parts":[["2020"]]},"page":"1-14","title":"Small cities, big needs: Urban transport planning in cities of developing countries","type":"article-journal","volume":"19"},"uris":["http://www.mendeley.com/documents/?uuid=ae67ce8a-9b13-45cd-83b9-1842597bec25"]}],"mendeley":{"formattedCitation":"(Thondoo &lt;i&gt;et al.&lt;/i&gt;, 2020)","plainTextFormattedCitation":"(Thondoo et al., 2020)","previouslyFormattedCitation":"(Thondoo &lt;i&gt;et al.&lt;/i&gt;, 2020)"},"properties":{"noteIndex":0},"schema":"https://github.com/citation-style-language/schema/raw/master/csl-citation.json"}</w:instrText>
      </w:r>
      <w:r w:rsidR="00AB1288">
        <w:fldChar w:fldCharType="separate"/>
      </w:r>
      <w:r w:rsidR="00AB1288">
        <w:rPr>
          <w:noProof/>
        </w:rPr>
        <w:t xml:space="preserve">(Thondoo </w:t>
      </w:r>
      <w:r w:rsidR="00AB1288">
        <w:rPr>
          <w:i/>
          <w:noProof/>
        </w:rPr>
        <w:t>et al.</w:t>
      </w:r>
      <w:r w:rsidR="00AB1288">
        <w:rPr>
          <w:noProof/>
        </w:rPr>
        <w:t>, 2020)</w:t>
      </w:r>
      <w:r w:rsidR="00AB1288">
        <w:fldChar w:fldCharType="end"/>
      </w:r>
      <w:r w:rsidR="00AB1288">
        <w:t xml:space="preserve">. </w:t>
      </w:r>
      <w:r w:rsidR="005229EB">
        <w:t xml:space="preserve">Low income urban </w:t>
      </w:r>
      <w:r w:rsidR="005229EB">
        <w:lastRenderedPageBreak/>
        <w:t>residents</w:t>
      </w:r>
      <w:r w:rsidR="00AB1288">
        <w:t xml:space="preserve"> bear the burden of this unequal mobility, in terms of health impacts from exposure to traffic pollution, noise, inadequate active travel infrastructure and long hours trapped in traffic on public (or para-) transit when they are not earning an income </w:t>
      </w:r>
      <w:r w:rsidR="00AB1288">
        <w:fldChar w:fldCharType="begin" w:fldLock="1"/>
      </w:r>
      <w:r w:rsidR="00AB1288">
        <w:instrText>ADDIN CSL_CITATION {"citationItems":[{"id":"ITEM-1","itemData":{"DOI":"10.1016/j.cities.2011.11.005","ISSN":"02642751","abstract":"Urban mobility is increasingly becoming one of the planning and development issues for cities in the sub-Saharan Africa (SSA) region. Sub-Saharan cities are growing fast, outstripping the current transport infrastructure. Despite the population and spatial growth, many cities are defined by inadequate planning, rapid urbanisation and deteriorating transport infrastructure and services. In most sub-Saharan African countries, modes of urban mobility are highly dependent on income. Transport options are limited. In fact, walking and cycling are often the main means available for the majority of city commuters. Little effort is made to develop a range of transport options or to improve bike or walking paths. Combined with traffic jams, poor governance and the increasing cost of living, public transport mobility in sub-Saharan cities is having a tremendous impact on their liveability and citizens development aspirations. This paper argues that inclusive and broad ranging transport planning must be prioritised in SSA cities to improve the capacity of citizens to participate in work opportunities as well as to fulfil their daily domestic needs. Using observations and comparing progress in other countries and regions, we note that the majority urban poor, women in particular, are often bearing the brunt of inadequate planning and transport provision. We note that urban planning and transport infrastructure should therefore be (re) designed with particular focus on the wellbeing of the poor. The paper thus ends with a range of suggestions on what planning, design and policy options might be available to better integrate various commuting modes into urban planning infrastructure. In doing so, the paper notes that safety and security are critical elements of improving urban and spatial transport planning in the sub-Saharan Africa region. © 2011 Elsevier Ltd.","author":[{"dropping-particle":"","family":"Sietchiping","given":"Remy","non-dropping-particle":"","parse-names":false,"suffix":""},{"dropping-particle":"","family":"Permezel","given":"Melissa Jane","non-dropping-particle":"","parse-names":false,"suffix":""},{"dropping-particle":"","family":"Ngomsi","given":"Claude","non-dropping-particle":"","parse-names":false,"suffix":""}],"container-title":"Cities","id":"ITEM-1","issue":"3","issued":{"date-parts":[["2012"]]},"page":"183-189","publisher":"Elsevier Ltd","title":"Transport and mobility in sub-Saharan African cities: An overview of practices, lessons and options for improvements","type":"article-journal","volume":"29"},"uris":["http://www.mendeley.com/documents/?uuid=a64c02b4-bbed-42eb-bfbb-2254fc0aff03"]}],"mendeley":{"formattedCitation":"(Sietchiping, Permezel and Ngomsi, 2012)","plainTextFormattedCitation":"(Sietchiping, Permezel and Ngomsi, 2012)","previouslyFormattedCitation":"(Sietchiping, Permezel and Ngomsi, 2012)"},"properties":{"noteIndex":0},"schema":"https://github.com/citation-style-language/schema/raw/master/csl-citation.json"}</w:instrText>
      </w:r>
      <w:r w:rsidR="00AB1288">
        <w:fldChar w:fldCharType="separate"/>
      </w:r>
      <w:r w:rsidR="00AB1288">
        <w:rPr>
          <w:noProof/>
        </w:rPr>
        <w:t>(Sietchiping, Permezel and Ngomsi, 2012)</w:t>
      </w:r>
      <w:r w:rsidR="00AB1288">
        <w:fldChar w:fldCharType="end"/>
      </w:r>
      <w:r w:rsidR="00AB1288">
        <w:t xml:space="preserve">. However, these most vulnerable users are often excluded from planning considerations </w:t>
      </w:r>
      <w:r w:rsidR="00AB1288">
        <w:fldChar w:fldCharType="begin" w:fldLock="1"/>
      </w:r>
      <w:r w:rsidR="00AB1288">
        <w:instrText>ADDIN CSL_CITATION {"citationItems":[{"id":"ITEM-1","itemData":{"ISBN":"9789241565684","abstract":"National development is involved by the company in the country’s company development. IMTA is the most essential document for foreign workers who want to work in Indonesia. This thesis discuss about the implementation of supervision of Departement of Manpower and Transmigration to the foreign manpower in the company in the province of Bengkulu. The research method that used by the writer is empirical legal research with primary data and secondary data. Conceptual thinking are used deductively, start from labor legislation and ends on the implementation of supervision of Departement of Manpower and Transmigration to the foreign manpower in the company in the province of Bengkulu.The conculsion of this research that the supervison is conducted in accordance with the applicable Legislation Regulation, but not on principle of collaboration in supervision. Keywords: foreign manpower, the supervision, Departement of Manpower and Transmigratio.","author":[{"dropping-particle":"","family":"World Health Organization (WHO)","given":"","non-dropping-particle":"","parse-names":false,"suffix":""}],"id":"ITEM-1","issued":{"date-parts":[["2018"]]},"number-of-pages":"1-424","publisher-place":"Geneva","title":"Global status report on road safety 2018","type":"report"},"uris":["http://www.mendeley.com/documents/?uuid=10440d3c-7570-406f-8d63-95c9054351a3"]}],"mendeley":{"formattedCitation":"(World Health Organization (WHO), 2018)","plainTextFormattedCitation":"(World Health Organization (WHO), 2018)","previouslyFormattedCitation":"(World Health Organization (WHO), 2018)"},"properties":{"noteIndex":0},"schema":"https://github.com/citation-style-language/schema/raw/master/csl-citation.json"}</w:instrText>
      </w:r>
      <w:r w:rsidR="00AB1288">
        <w:fldChar w:fldCharType="separate"/>
      </w:r>
      <w:r w:rsidR="00AB1288">
        <w:rPr>
          <w:noProof/>
        </w:rPr>
        <w:t>(World Health Organization (WHO), 2018)</w:t>
      </w:r>
      <w:r w:rsidR="00AB1288">
        <w:fldChar w:fldCharType="end"/>
      </w:r>
      <w:r w:rsidR="00AB1288" w:rsidRPr="009E215B">
        <w:rPr>
          <w:color w:val="FF0000"/>
        </w:rPr>
        <w:t xml:space="preserve"> </w:t>
      </w:r>
      <w:r w:rsidR="00AB1288" w:rsidRPr="00681106">
        <w:t xml:space="preserve">despite their high exposure to transport externalities </w:t>
      </w:r>
      <w:r w:rsidR="006C21FC" w:rsidRPr="00681106">
        <w:t xml:space="preserve">to which </w:t>
      </w:r>
      <w:r w:rsidR="00AB1288" w:rsidRPr="00681106">
        <w:t>they do not contribute via personal vehicle travel.</w:t>
      </w:r>
    </w:p>
    <w:p w14:paraId="7EFBB8A6" w14:textId="3C2596E7" w:rsidR="007A1DFD" w:rsidRDefault="00000000">
      <w:r>
        <w:t>There is no universally accepted single definition of an inclusive city. However, most versions agree that this ideal city is one that ensures a safe, liveable environment for all its residents regardless of their economic condition, gender, ethnicity, religion or physical abilities with affordable and equitable access to urban services and infrastructure that provides livelihood opportunities (for an example see (UN Habitat 2004)</w:t>
      </w:r>
      <w:r>
        <w:fldChar w:fldCharType="begin" w:fldLock="1"/>
      </w:r>
      <w:r>
        <w:instrText>ADDIN CSL_CITATION {"citationItems":[{"id":"ITEM-1","itemData":{"abstract":"This approach paper is prepared as part of the inclusive cities programmatic approach, a multi-year initiative launched by the social, urban, rural, and resilience global practice (GSURR) in October 2013. In line with the World Bank’s twin goals of ending extreme poverty and boosting shared prosperity, the programmatic approach aims to assist the Bank, development partners, and client countries to identify and design more effective policies and programs for promoting inclusive city development. The approach paper primarily targets an internal audience with an aim to guide Bank staff to initiate dialogues, promote further analyses, and support operations in the direction of a multi-dimensional approach to inclusive cities. Four background notes were commissioned under the inclusive cities programmatic approach which also influenced the paper: (i) access to affordable land and housing, infrastructure, basic services; (ii) economic opportunities for all; (iii) engagement of excluded groups in inclusive cities; and (iv) lessons learnt from Brazil’s experience. The approach paper concludes with an update on ongoing activities and next steps.","author":[{"dropping-particle":"","family":"Shah","given":"P.","non-dropping-particle":"","parse-names":false,"suffix":""},{"dropping-particle":"","family":"Hamilton","given":"E.","non-dropping-particle":"","parse-names":false,"suffix":""},{"dropping-particle":"","family":"Armendaris","given":"F.","non-dropping-particle":"","parse-names":false,"suffix":""},{"dropping-particle":"","family":"Lee","given":"H.","non-dropping-particle":"","parse-names":false,"suffix":""}],"container-title":"World bank","id":"ITEM-1","issue":"May","issued":{"date-parts":[["2015"]]},"page":"1-86","title":"World - Inclusive Cities Approach Paper","type":"article-journal"},"uris":["http://www.mendeley.com/documents/?uuid=9daa8f17-b237-47f1-ad51-f2df5022e219"]}],"mendeley":{"formattedCitation":"(Shah &lt;i&gt;et al.&lt;/i&gt;, 2015)","plainTextFormattedCitation":"(Shah et al., 2015)","previouslyFormattedCitation":"(Shah &lt;i&gt;et al.&lt;/i&gt;, 2015)"},"properties":{"noteIndex":0},"schema":"https://github.com/citation-style-language/schema/raw/master/csl-citation.json"}</w:instrText>
      </w:r>
      <w:r>
        <w:fldChar w:fldCharType="separate"/>
      </w:r>
      <w:r>
        <w:rPr>
          <w:noProof/>
        </w:rPr>
        <w:t xml:space="preserve">(Shah </w:t>
      </w:r>
      <w:r>
        <w:rPr>
          <w:i/>
          <w:noProof/>
        </w:rPr>
        <w:t>et al.</w:t>
      </w:r>
      <w:r>
        <w:rPr>
          <w:noProof/>
        </w:rPr>
        <w:t>, 2015)</w:t>
      </w:r>
      <w:r>
        <w:fldChar w:fldCharType="end"/>
      </w:r>
      <w:bookmarkEnd w:id="2"/>
      <w:r w:rsidR="00F75A67">
        <w:t>)</w:t>
      </w:r>
      <w:r>
        <w:t xml:space="preserve">. A number of </w:t>
      </w:r>
      <w:r w:rsidR="00022921">
        <w:t>Sustainable Development Goal (</w:t>
      </w:r>
      <w:r>
        <w:t>SDG</w:t>
      </w:r>
      <w:r w:rsidR="00022921">
        <w:t>)</w:t>
      </w:r>
      <w:r>
        <w:t xml:space="preserve"> targets are directly linked to </w:t>
      </w:r>
      <w:r w:rsidR="00350C9C">
        <w:t xml:space="preserve">inclusive </w:t>
      </w:r>
      <w:r>
        <w:t xml:space="preserve">transport </w:t>
      </w:r>
      <w:r>
        <w:fldChar w:fldCharType="begin" w:fldLock="1"/>
      </w:r>
      <w:r>
        <w:instrText>ADDIN CSL_CITATION {"citationItems":[{"id":"ITEM-1","itemData":{"DOI":"10.1016/j.worlddev.2018.08.005","ISSN":"18735991","abstract":"Human mobility and inequality have determined one another throughout modern history, from the effects of labour migration to processes of urbanisation. The Sustainable Development Goals now offer an opportunity to re-examine this complex relationship in a globalized world. Drawing on major research evidence and key debates, this review article proposes a framework of mobility equity as part of SDG 10, which foresees the reduction of inequalities within and among countries by 2030. The main question addressed is how forms of social, human and digital mobility, including migration, can contribute to reduced inequalities and positive development outcomes. The reviewed research underpins the need for an approach that prioritizes equality of opportunity over equality of outcomes. Mobility equity offers such an approach and rests on two main foundations: people's equal capacity and freedom to be mobile in empowering ways, and the equal and inclusive regulation of mobility in all its forms, including human, social and digital mobility. The approach goes beyond income inequality and migrants’ remittances to incorporate the differential mobility capacities among people in different contexts. This includes categorically excluded groups such as refugees, racialized minorities, and lower castes, but also tens of millions of workers in the global digital economy. As part of a special issue on new SDG Perspectives, the article provides new ideas for thinking about research and policy-making within the wider inequality-mobility nexus of global development.","author":[{"dropping-particle":"","family":"Hackl","given":"Andreas","non-dropping-particle":"","parse-names":false,"suffix":""}],"container-title":"World Development","id":"ITEM-1","issued":{"date-parts":[["2018"]]},"page":"150-162","publisher":"Elsevier Ltd","title":"Mobility equity in a globalized world: Reducing inequalities in the sustainable development agenda","type":"article-journal","volume":"112"},"uris":["http://www.mendeley.com/documents/?uuid=28397bf4-ed47-4282-9155-af3df2d82d77","http://www.mendeley.com/documents/?uuid=24abcc82-99fa-4f8d-9cf8-560c5bf9f0b1"]}],"mendeley":{"formattedCitation":"(Hackl, 2018)","plainTextFormattedCitation":"(Hackl, 2018)","previouslyFormattedCitation":"(Hackl, 2018)"},"properties":{"noteIndex":0},"schema":"https://github.com/citation-style-language/schema/raw/master/csl-citation.json"}</w:instrText>
      </w:r>
      <w:r>
        <w:fldChar w:fldCharType="separate"/>
      </w:r>
      <w:r>
        <w:rPr>
          <w:noProof/>
        </w:rPr>
        <w:t>(Hackl, 2018)</w:t>
      </w:r>
      <w:r>
        <w:fldChar w:fldCharType="end"/>
      </w:r>
      <w:r>
        <w:t>, including SDG 3 on health (increased road safety)</w:t>
      </w:r>
      <w:r w:rsidR="00022921">
        <w:t xml:space="preserve"> and</w:t>
      </w:r>
      <w:r>
        <w:t xml:space="preserve"> SDG 11 on sustainable cities (access to transport and expanded public transport). A still much wider range of targets can be indirectly linked such as those for SDG 1 on poverty elimination, SDG 7 on energy, SDG 8 on decent work and economic growth, SDG 9 on resilient infrastructure, </w:t>
      </w:r>
      <w:r>
        <w:rPr>
          <w:lang w:val="en-US"/>
        </w:rPr>
        <w:t xml:space="preserve">and </w:t>
      </w:r>
      <w:r>
        <w:t xml:space="preserve">SDG 12 on sustainable consumption and production. </w:t>
      </w:r>
      <w:r w:rsidR="003979B4">
        <w:t>D</w:t>
      </w:r>
      <w:r>
        <w:t>elivering sustainable transport will enable the implementation of nearly all the SDGs through inter-linkage impacts. Infrastructure, systems, or services that enable equitable mobility should therefore be a key focus for the delivery of significant elements of an inclusive city.</w:t>
      </w:r>
    </w:p>
    <w:p w14:paraId="5F7B86C2" w14:textId="5C1F0DD4" w:rsidR="007A1DFD" w:rsidRDefault="00000000">
      <w:r>
        <w:t xml:space="preserve">Developing more sustainable cities, particularly in the Global South (we appreciate that this term is problematic but we use it here as shorthand to describe a very diverse range of typically rapidly growing cities </w:t>
      </w:r>
      <w:r>
        <w:fldChar w:fldCharType="begin" w:fldLock="1"/>
      </w:r>
      <w:r>
        <w:instrText>ADDIN CSL_CITATION {"citationItems":[{"id":"ITEM-1","itemData":{"DOI":"10.1136/bmjgh-2022-009704","ISSN":"20597908","author":[{"dropping-particle":"","family":"Khan","given":"Themrise","non-dropping-particle":"","parse-names":false,"suffix":""},{"dropping-particle":"","family":"Abimbola","given":"Seye","non-dropping-particle":"","parse-names":false,"suffix":""},{"dropping-particle":"","family":"Kyobutungi","given":"Catherine","non-dropping-particle":"","parse-names":false,"suffix":""},{"dropping-particle":"","family":"Pai","given":"Madhukar","non-dropping-particle":"","parse-names":false,"suffix":""}],"container-title":"BMJ Global Health","id":"ITEM-1","issue":"6","issued":{"date-parts":[["2022"]]},"page":"1-6","title":"How we classify countries and people - and why it matters","type":"article-journal","volume":"7"},"uris":["http://www.mendeley.com/documents/?uuid=2f34816c-231d-44ff-993a-e84a92fa7af5"]}],"mendeley":{"formattedCitation":"(Khan &lt;i&gt;et al.&lt;/i&gt;, 2022)","plainTextFormattedCitation":"(Khan et al., 2022)","previouslyFormattedCitation":"(Khan &lt;i&gt;et al.&lt;/i&gt;, 2022)"},"properties":{"noteIndex":0},"schema":"https://github.com/citation-style-language/schema/raw/master/csl-citation.json"}</w:instrText>
      </w:r>
      <w:r>
        <w:fldChar w:fldCharType="separate"/>
      </w:r>
      <w:r>
        <w:rPr>
          <w:noProof/>
        </w:rPr>
        <w:t xml:space="preserve">(Khan </w:t>
      </w:r>
      <w:r>
        <w:rPr>
          <w:i/>
          <w:noProof/>
        </w:rPr>
        <w:t>et al.</w:t>
      </w:r>
      <w:r>
        <w:rPr>
          <w:noProof/>
        </w:rPr>
        <w:t>, 2022)</w:t>
      </w:r>
      <w:r>
        <w:fldChar w:fldCharType="end"/>
      </w:r>
      <w:r>
        <w:t xml:space="preserve">), requires both improvement of infrastructure but also the systems and operation of the infrastructure that affect residents lives and use of everyday environments </w:t>
      </w:r>
      <w:r>
        <w:fldChar w:fldCharType="begin" w:fldLock="1"/>
      </w:r>
      <w:r>
        <w:instrText>ADDIN CSL_CITATION {"citationItems":[{"id":"ITEM-1","itemData":{"DOI":"10.3390/ijerph14020117","ISBN":"1660-4601","ISSN":"16604601","PMID":"28134756","abstract":"Urban places and health equity are two of the most challenging concepts for 21st century environmental health. More people live in cities than at any other time in human history and health inequities are increasing. Health inequities are avoidable differences in the social, environmental and political conditions that shape morbidity and mortality, and disproportionately burden the poor, racial, ethnic and religious minorities and migrants. By linking urban place and health inequities, research and action brings into sharp relief the challenges of achieving urban environmental justice. This article briefly reviews the complex definitions of urban places and how they can shape health equity in cities. I suggest that a more relational or integrated approach to defining urban places and acting on health equity can complement other approaches and improve the ability of public health to meet 21st century challenges. I close with suggestions for research and practice that might focus environmental public health on healthy urban place making. The practices include community driven map making, Health in All Policies (HiAP), promoting urban ecosystem services for health, and participatory and integrated approaches to urban slum upgrading. I conclude that if the global community is serious about the sustainable development goals (SDGs), greater attention must be paid to understanding and acting to improve urban places, living conditions and the social and economic conditions that can promote health equity.","author":[{"dropping-particle":"","family":"Corburn","given":"Jason","non-dropping-particle":"","parse-names":false,"suffix":""}],"container-title":"International Journal of Environmental Research and Public Health","id":"ITEM-1","issue":"2","issued":{"date-parts":[["2017"]]},"page":"1-10","title":"Urban place and health equity: Critical issues and practices","type":"article-journal","volume":"14"},"uris":["http://www.mendeley.com/documents/?uuid=b7b98163-2afe-4226-94c2-97580954dbc6"]},{"id":"ITEM-2","itemData":{"ISBN":"9783030676506","author":[{"dropping-particle":"","family":"Shackleton","given":"C M","non-dropping-particle":"","parse-names":false,"suffix":""},{"dropping-particle":"","family":"Cilliers","given":"S S","non-dropping-particle":"","parse-names":false,"suffix":""},{"dropping-particle":"","family":"Davoren","given":"E","non-dropping-particle":"","parse-names":false,"suffix":""},{"dropping-particle":"","family":"Toit","given":"M J","non-dropping-particle":"du","parse-names":false,"suffix":""}],"collection-title":"Cities and Nature","id":"ITEM-2","issued":{"date-parts":[["2021"]]},"publisher":"Springer International Publishing","title":"Urban Ecology in the Global South","type":"book"},"uris":["http://www.mendeley.com/documents/?uuid=8dafbcc1-c924-4839-9a2a-f93ca770e47a"]}],"mendeley":{"formattedCitation":"(Corburn, 2017; Shackleton &lt;i&gt;et al.&lt;/i&gt;, 2021)","plainTextFormattedCitation":"(Corburn, 2017; Shackleton et al., 2021)","previouslyFormattedCitation":"(Corburn, 2017; Shackleton &lt;i&gt;et al.&lt;/i&gt;, 2021)"},"properties":{"noteIndex":0},"schema":"https://github.com/citation-style-language/schema/raw/master/csl-citation.json"}</w:instrText>
      </w:r>
      <w:r>
        <w:fldChar w:fldCharType="separate"/>
      </w:r>
      <w:r>
        <w:rPr>
          <w:noProof/>
        </w:rPr>
        <w:t xml:space="preserve">(Corburn, 2017; Shackleton </w:t>
      </w:r>
      <w:r>
        <w:rPr>
          <w:i/>
          <w:noProof/>
        </w:rPr>
        <w:t>et al.</w:t>
      </w:r>
      <w:r>
        <w:rPr>
          <w:noProof/>
        </w:rPr>
        <w:t>, 2021)</w:t>
      </w:r>
      <w:r>
        <w:fldChar w:fldCharType="end"/>
      </w:r>
      <w:r>
        <w:t>. To support this</w:t>
      </w:r>
      <w:r w:rsidR="00022921">
        <w:t>,</w:t>
      </w:r>
      <w:r>
        <w:t xml:space="preserve"> city planner</w:t>
      </w:r>
      <w:r w:rsidR="003979B4">
        <w:t>s</w:t>
      </w:r>
      <w:r>
        <w:t xml:space="preserve"> need to </w:t>
      </w:r>
      <w:r w:rsidR="003979B4">
        <w:t xml:space="preserve">not only </w:t>
      </w:r>
      <w:r>
        <w:t xml:space="preserve">better understand the </w:t>
      </w:r>
      <w:r w:rsidRPr="00B677FF">
        <w:rPr>
          <w:i/>
          <w:iCs/>
        </w:rPr>
        <w:t>needs</w:t>
      </w:r>
      <w:r>
        <w:t xml:space="preserve"> </w:t>
      </w:r>
      <w:r w:rsidR="003979B4">
        <w:t xml:space="preserve">from a </w:t>
      </w:r>
      <w:r>
        <w:t xml:space="preserve">wider cross-section of </w:t>
      </w:r>
      <w:r w:rsidR="00F91995">
        <w:t xml:space="preserve">urban </w:t>
      </w:r>
      <w:r>
        <w:t xml:space="preserve">residents but also people’s </w:t>
      </w:r>
      <w:r w:rsidRPr="00B677FF">
        <w:rPr>
          <w:i/>
          <w:iCs/>
        </w:rPr>
        <w:t>wants</w:t>
      </w:r>
      <w:r>
        <w:t xml:space="preserve"> which can ultimately underpin their wellbeing. Ideally city authorities, including those in LMIC</w:t>
      </w:r>
      <w:r w:rsidR="00350C9C">
        <w:t>s</w:t>
      </w:r>
      <w:r>
        <w:t xml:space="preserve">, should be striving for equity, equality, social and spatial justice in their planning decisions and outcomes </w:t>
      </w:r>
      <w:r>
        <w:fldChar w:fldCharType="begin" w:fldLock="1"/>
      </w:r>
      <w:r w:rsidR="00F91995">
        <w:instrText>ADDIN CSL_CITATION {"citationItems":[{"id":"ITEM-1","itemData":{"ISBN":"978-0-8166-6668-3","author":[{"dropping-particle":"","family":"Soja","given":"Edward W.","non-dropping-particle":"","parse-names":false,"suffix":""}],"id":"ITEM-1","issued":{"date-parts":[["2010"]]},"number-of-pages":"1-256","publisher":"University of Minnesota Press","publisher-place":"Minneapolis, MN","title":"Seeking Spatial Justice","type":"book"},"uris":["http://www.mendeley.com/documents/?uuid=484f6655-57a5-420b-80d8-5b93a599f3ae"]},{"id":"ITEM-2","itemData":{"DOI":"10.1146/annurev-environ-102016-061128","ISSN":"15435938","abstract":"Urbanization is one of the biggest social transformations of modern time, driving and driven by multiple social, economic, and environmental processes. The impacts of urbanization on the environment are profound, multifaceted and are manifested at the local, regional, and global scale. This article reviews recent advances in conceptual and empirical knowledge linking urbanization and the environment, focusing on six core aspects: air pollution, ecosystems, land use, biogeochemical cycles and water pollution, solid waste management, and the climate. We identify several emerging trends and remaining questions in urban environmental research, including (a) increasing evidence on the amplified or accelerated environmental impacts of urbanization; (b) varying distribution patterns of impacts along geographical and other socio-economic gradients; (c) shifting focus from understanding and quantifying the impacts of urbanization toward understanding the processes and underlying mechanisms; (d) increasing focus on understanding complex interactions and interlinkages among different environmental, social, economic, and cultural processes; and (e) conceptual advances that call for articulating and using a systems approach in cities. In terms of governing the urban environment, there is an increasing focus on public participation and coproduction of knowledge with stakeholders. Cities are actively experimenting toward sustainability under a plethora of guiding concepts that manifests their aspirational goals, with varying levels of implementation and effectiveness.","author":[{"dropping-particle":"","family":"Bai","given":"Xuemei","non-dropping-particle":"","parse-names":false,"suffix":""},{"dropping-particle":"","family":"McPhearson","given":"Timon","non-dropping-particle":"","parse-names":false,"suffix":""},{"dropping-particle":"","family":"Cleugh","given":"Helen","non-dropping-particle":"","parse-names":false,"suffix":""},{"dropping-particle":"","family":"Nagendra","given":"Harini","non-dropping-particle":"","parse-names":false,"suffix":""},{"dropping-particle":"","family":"Tong","given":"Xin","non-dropping-particle":"","parse-names":false,"suffix":""},{"dropping-particle":"","family":"Zhu","given":"Tong","non-dropping-particle":"","parse-names":false,"suffix":""},{"dropping-particle":"","family":"Zhu","given":"Yong Guan","non-dropping-particle":"","parse-names":false,"suffix":""}],"container-title":"Annual Review of Environment and Resources","id":"ITEM-2","issued":{"date-parts":[["2017"]]},"page":"215-240","title":"Linking Urbanization and the Environment: Conceptual and Empirical Advances","type":"article-journal","volume":"42"},"uris":["http://www.mendeley.com/documents/?uuid=1f8b4fc5-c6c5-4915-a761-566bea70bf42"]},{"id":"ITEM-3","itemData":{"DOI":"10.3390/su11113055","ISSN":"20711050","abstract":"Greenspace can alleviate many of the negative effects of urbanization and help enhance human well-being yet, in most cities in the world, greenspace is inequitably distributed. In western societies, wealthy white neighborhoods typically have more access to greenspace, constituting an environmental and social justice issue. Although scholars from multiple disciplines and academic domains study questions of justice in greenspace, the scholarship remains fragmented. The purpose of this qualitative review is to explore the diverse disciplinary approaches to justice in urban greenspace to identify patterns and trends in how justice is conceptualized and realized. We analyze a set of case studies across multiple disciplines using a sample of 21 peer-reviewed articles following the framework set out by Bulkeley and colleagues that conceptualizes justice according to recognition, distribution, procedures, rights, and responsibilities. Our results suggest that the various solutions proposed in the diverse streams of scholarship often call for solutions that transcend individual disciplinary boundaries. This finding supports the need for collaborative and cross-disciplinary work to effectively address injustice in urban greenspace. In an effort to integrate findings, we identify five main objectives that need to be addressed by scholars, built environment practitioners, and policymakers, which include: (1) appropriate funding mechanisms for long-term maintenance; (2) recognition of safety concerns; (3) connectivity of greenspace; (4) multifunctionality in greenspace design; and (5) community engagement.","author":[{"dropping-particle":"","family":"Zuniga-Teran","given":"Adriana A.","non-dropping-particle":"","parse-names":false,"suffix":""},{"dropping-particle":"","family":"Gerlak","given":"Andrea K.","non-dropping-particle":"","parse-names":false,"suffix":""}],"container-title":"Sustainability (Switzerland)","id":"ITEM-3","issue":"11","issued":{"date-parts":[["2019"]]},"page":"1-22","title":"A multidisciplinary approach to analyzing questions of justice issues in urban greenspace","type":"article-journal","volume":"11"},"uris":["http://www.mendeley.com/documents/?uuid=3b7a9763-6e7c-4cd4-8665-6f96568c5ab0"]},{"id":"ITEM-4","itemData":{"DOI":"10.1016/j.jth.2021.101046","ISSN":"22141405","abstract":"Introduction: The paper describes and examines a novel methodology to co-define transport and mobility challenges and co-create solutions with residents of a socioeconomically disadvantaged area within Oxford in the UK. The co-creation methodology is examined in relation to the extent of participation, inclusivity, transparency, interactivity, scale, sustainability/continuity, replicability, potential for co-benefits. Methods: A Citizen Mobility Community was established with local residents at the core, and including representatives from the local authority, and other stakeholders. The paper describes the main elements of the co-creation process applied to identify mobility challenges, identify solutions, endorse the mobility solutions, and develop the solutions into practical action. Setting: The setting was the Eastern Arc of Oxford, the most socioeconomically deprived area in Oxford. Results: A sequence of co-creation activities helped identify and understand the transport challenges in Barton in the Eastern Arc of Oxford. Challenges included the high cost of public transport, traffic congestion, particularly during morning peak times, and the lack of cross-connectivity and direct public transport routes to desirable locations including affordable supermarkets, train stations, workplaces, health services such as hospitals and other neighbourhoods. The co-creation methodology led to the development of three pilot interventions to address these challenges, namely face-to-face transport app training, a transport to supermarkets shuttle service, and an information campaign about concessionary bus passes. Analysis of the co-creation methodology found that the process achieved its aims of empowering citizens in decision making about addressing locally experienced transport challenges, and building social capital. Conclusions: The co-creation enables communities in areas of socioeconomic disadvantage to identify their transport challenges, and to co-develop and co-design practical solutions. Co-creation to address local transport needs builds community empowerment, creates social capital and may contribute, through plausible causal pathways, to improved health and wellbeing in an area of socioeconomic disadvantage.","author":[{"dropping-particle":"","family":"Bell","given":"Ruth","non-dropping-particle":"","parse-names":false,"suffix":""},{"dropping-particle":"","family":"Mullins","given":"Paul D.","non-dropping-particle":"","parse-names":false,"suffix":""},{"dropping-particle":"","family":"Herd","given":"Eleanor","non-dropping-particle":"","parse-names":false,"suffix":""},{"dropping-particle":"","family":"Parnell","given":"Katie","non-dropping-particle":"","parse-names":false,"suffix":""},{"dropping-particle":"","family":"Stanley","given":"Graham","non-dropping-particle":"","parse-names":false,"suffix":""}],"container-title":"Journal of Transport and Health","id":"ITEM-4","issue":"April","issued":{"date-parts":[["2021"]]},"page":"101046","publisher":"Elsevier Ltd","title":"Co-creating solutions to local mobility and transport challenges for the enhancement of health and wellbeing in an area of socioeconomic disadvantage","type":"article-journal","volume":"21"},"uris":["http://www.mendeley.com/documents/?uuid=512733b0-07f1-4949-84d0-7eb1354667d9"]}],"mendeley":{"formattedCitation":"(Soja, 2010; Bai &lt;i&gt;et al.&lt;/i&gt;, 2017; Zuniga-Teran and Gerlak, 2019; Bell &lt;i&gt;et al.&lt;/i&gt;, 2021)","plainTextFormattedCitation":"(Soja, 2010; Bai et al., 2017; Zuniga-Teran and Gerlak, 2019; Bell et al., 2021)","previouslyFormattedCitation":"(Soja, 2010; Bai &lt;i&gt;et al.&lt;/i&gt;, 2017; Zuniga-Teran and Gerlak, 2019; Bell &lt;i&gt;et al.&lt;/i&gt;, 2021)"},"properties":{"noteIndex":0},"schema":"https://github.com/citation-style-language/schema/raw/master/csl-citation.json"}</w:instrText>
      </w:r>
      <w:r>
        <w:fldChar w:fldCharType="separate"/>
      </w:r>
      <w:r w:rsidR="00F91995" w:rsidRPr="00F91995">
        <w:rPr>
          <w:noProof/>
        </w:rPr>
        <w:t xml:space="preserve">(Soja, 2010; Bai </w:t>
      </w:r>
      <w:r w:rsidR="00F91995" w:rsidRPr="00F91995">
        <w:rPr>
          <w:i/>
          <w:noProof/>
        </w:rPr>
        <w:t>et al.</w:t>
      </w:r>
      <w:r w:rsidR="00F91995" w:rsidRPr="00F91995">
        <w:rPr>
          <w:noProof/>
        </w:rPr>
        <w:t xml:space="preserve">, 2017; Zuniga-Teran and Gerlak, 2019; Bell </w:t>
      </w:r>
      <w:r w:rsidR="00F91995" w:rsidRPr="00F91995">
        <w:rPr>
          <w:i/>
          <w:noProof/>
        </w:rPr>
        <w:t>et al.</w:t>
      </w:r>
      <w:r w:rsidR="00F91995" w:rsidRPr="00F91995">
        <w:rPr>
          <w:noProof/>
        </w:rPr>
        <w:t>, 2021)</w:t>
      </w:r>
      <w:r>
        <w:fldChar w:fldCharType="end"/>
      </w:r>
      <w:r>
        <w:t>.</w:t>
      </w:r>
    </w:p>
    <w:p w14:paraId="4B24BBCA" w14:textId="0DC89E9F" w:rsidR="007A1DFD" w:rsidRDefault="00AB1288">
      <w:bookmarkStart w:id="3" w:name="_Hlk178238388"/>
      <w:r>
        <w:t>This paper identifies and compares specific mobility and wellbeing challenges experienced by vulnerable road users who are typically excluded from consideration or participation in transport planning processes. For two Kenyan cities</w:t>
      </w:r>
      <w:r w:rsidR="00D93B91">
        <w:t>,</w:t>
      </w:r>
      <w:r>
        <w:t xml:space="preserve"> we explicitly reveal the lived mobility experience of children, older adults, persons with physical disabilities impairing their mobility choices, women and those from the poorest communities (including informal settlements)</w:t>
      </w:r>
      <w:r w:rsidR="00D93B91">
        <w:t>,</w:t>
      </w:r>
      <w:r w:rsidR="00350C9C">
        <w:t xml:space="preserve"> </w:t>
      </w:r>
      <w:r w:rsidR="00D93B91">
        <w:t>as well as</w:t>
      </w:r>
      <w:r>
        <w:t xml:space="preserve"> the intersections between these groups. To highlight critical mobility and wellbeing issues in both cities, we test the use of a new framework combining dimensions of mobility, wellbeing and inclusion. This new framework includes the quality (and availability) of physical infrastructure provision</w:t>
      </w:r>
      <w:r w:rsidR="00942132">
        <w:t xml:space="preserve">, </w:t>
      </w:r>
      <w:r>
        <w:t>the systems and official services and systems in place governing the use of these resources</w:t>
      </w:r>
      <w:r w:rsidR="00942132">
        <w:t>,</w:t>
      </w:r>
      <w:r>
        <w:t xml:space="preserve"> and the influence of other </w:t>
      </w:r>
      <w:r w:rsidR="00350C9C">
        <w:t>users’</w:t>
      </w:r>
      <w:r>
        <w:t xml:space="preserve"> behaviour on these interactions (Cinderby et al. 2018). These elements have been nested within Shah’s framework on inclusion </w:t>
      </w:r>
      <w:r>
        <w:fldChar w:fldCharType="begin" w:fldLock="1"/>
      </w:r>
      <w:r>
        <w:instrText>ADDIN CSL_CITATION {"citationItems":[{"id":"ITEM-1","itemData":{"abstract":"This approach paper is prepared as part of the inclusive cities programmatic approach, a multi-year initiative launched by the social, urban, rural, and resilience global practice (GSURR) in October 2013. In line with the World Bank’s twin goals of ending extreme poverty and boosting shared prosperity, the programmatic approach aims to assist the Bank, development partners, and client countries to identify and design more effective policies and programs for promoting inclusive city development. The approach paper primarily targets an internal audience with an aim to guide Bank staff to initiate dialogues, promote further analyses, and support operations in the direction of a multi-dimensional approach to inclusive cities. Four background notes were commissioned under the inclusive cities programmatic approach which also influenced the paper: (i) access to affordable land and housing, infrastructure, basic services; (ii) economic opportunities for all; (iii) engagement of excluded groups in inclusive cities; and (iv) lessons learnt from Brazil’s experience. The approach paper concludes with an update on ongoing activities and next steps.","author":[{"dropping-particle":"","family":"Shah","given":"P.","non-dropping-particle":"","parse-names":false,"suffix":""},{"dropping-particle":"","family":"Hamilton","given":"E.","non-dropping-particle":"","parse-names":false,"suffix":""},{"dropping-particle":"","family":"Armendaris","given":"F.","non-dropping-particle":"","parse-names":false,"suffix":""},{"dropping-particle":"","family":"Lee","given":"H.","non-dropping-particle":"","parse-names":false,"suffix":""}],"container-title":"World bank","id":"ITEM-1","issue":"May","issued":{"date-parts":[["2015"]]},"page":"1-86","title":"World - Inclusive Cities Approach Paper","type":"article-journal"},"uris":["http://www.mendeley.com/documents/?uuid=9daa8f17-b237-47f1-ad51-f2df5022e219"]}],"mendeley":{"formattedCitation":"(Shah &lt;i&gt;et al.&lt;/i&gt;, 2015)","plainTextFormattedCitation":"(Shah et al., 2015)","previouslyFormattedCitation":"(Shah &lt;i&gt;et al.&lt;/i&gt;, 2015)"},"properties":{"noteIndex":0},"schema":"https://github.com/citation-style-language/schema/raw/master/csl-citation.json"}</w:instrText>
      </w:r>
      <w:r>
        <w:fldChar w:fldCharType="separate"/>
      </w:r>
      <w:r>
        <w:rPr>
          <w:noProof/>
        </w:rPr>
        <w:t xml:space="preserve">(Shah </w:t>
      </w:r>
      <w:r>
        <w:rPr>
          <w:i/>
          <w:noProof/>
        </w:rPr>
        <w:t>et al.</w:t>
      </w:r>
      <w:r>
        <w:rPr>
          <w:noProof/>
        </w:rPr>
        <w:t>, 2015)</w:t>
      </w:r>
      <w:r>
        <w:fldChar w:fldCharType="end"/>
      </w:r>
      <w:r>
        <w:t xml:space="preserve"> which highlights the need for spatial, social and economic inclusion. Non-inclusive practices in any one of these dimensions can intensify urban poverty, inequality, and marginali</w:t>
      </w:r>
      <w:r w:rsidR="00D93B91">
        <w:t>s</w:t>
      </w:r>
      <w:r>
        <w:t xml:space="preserve">ation. </w:t>
      </w:r>
    </w:p>
    <w:p w14:paraId="1A91C9E4" w14:textId="7C59A1D2" w:rsidR="00642335" w:rsidRDefault="00642335" w:rsidP="00642335">
      <w:r>
        <w:rPr>
          <w:lang w:val="en-US"/>
        </w:rPr>
        <w:t xml:space="preserve">This paper aims </w:t>
      </w:r>
      <w:r>
        <w:t xml:space="preserve">to systematically </w:t>
      </w:r>
      <w:r>
        <w:rPr>
          <w:lang w:val="en-US"/>
        </w:rPr>
        <w:t>assess how urban mobility is linked to health and wellbeing by examining how infrastructure quality and governance shapes journey behaviours and choices of the vulnerable road users</w:t>
      </w:r>
      <w:r>
        <w:t>. Our study investigates the extent to which interactions between these nested dimensions</w:t>
      </w:r>
      <w:r w:rsidR="00D93B91">
        <w:t>,</w:t>
      </w:r>
      <w:r>
        <w:t xml:space="preserve"> leading to poor mobility affordance</w:t>
      </w:r>
      <w:r w:rsidR="00D93B91">
        <w:t>s,</w:t>
      </w:r>
      <w:r>
        <w:t xml:space="preserve"> undermine individuals’ wellbeing.</w:t>
      </w:r>
    </w:p>
    <w:p w14:paraId="108806B8" w14:textId="458DE629" w:rsidR="00F91995" w:rsidRDefault="00F91995" w:rsidP="00F91995">
      <w:pPr>
        <w:pStyle w:val="Heading2"/>
      </w:pPr>
      <w:r>
        <w:t xml:space="preserve">Case </w:t>
      </w:r>
      <w:r w:rsidR="00D93B91">
        <w:t>s</w:t>
      </w:r>
      <w:r>
        <w:t xml:space="preserve">tudy </w:t>
      </w:r>
      <w:r w:rsidR="00D93B91">
        <w:t>c</w:t>
      </w:r>
      <w:r>
        <w:t>ities</w:t>
      </w:r>
    </w:p>
    <w:p w14:paraId="4D7686E7" w14:textId="6479F926" w:rsidR="00F91995" w:rsidRDefault="00F75A67" w:rsidP="00F91995">
      <w:r>
        <w:t xml:space="preserve">To explore the issues of </w:t>
      </w:r>
      <w:r w:rsidR="003D225C">
        <w:t>the affordances, equity and wellbeing of mobility</w:t>
      </w:r>
      <w:r w:rsidR="00B40FA7">
        <w:t>,</w:t>
      </w:r>
      <w:r w:rsidR="003D225C">
        <w:t xml:space="preserve"> we undertook urban research in Kenya </w:t>
      </w:r>
      <w:r w:rsidR="00D93B91">
        <w:t>– a country with</w:t>
      </w:r>
      <w:r w:rsidR="003D225C">
        <w:t xml:space="preserve"> conditions representative of several other East African cities</w:t>
      </w:r>
      <w:r w:rsidR="00B40FA7">
        <w:t xml:space="preserve"> and relevant to the broader transport challenges faced by rapidly growing cities in LMICs.</w:t>
      </w:r>
      <w:r w:rsidR="003D225C">
        <w:t xml:space="preserve"> </w:t>
      </w:r>
      <w:r w:rsidR="00F91995">
        <w:t xml:space="preserve">Kenya </w:t>
      </w:r>
      <w:r w:rsidR="005B68AE">
        <w:t xml:space="preserve">has </w:t>
      </w:r>
      <w:r w:rsidR="00F91995">
        <w:t xml:space="preserve">36% of </w:t>
      </w:r>
      <w:r w:rsidR="005B68AE">
        <w:t xml:space="preserve">its </w:t>
      </w:r>
      <w:r w:rsidR="00F91995">
        <w:t>p</w:t>
      </w:r>
      <w:r w:rsidR="00D93B91">
        <w:t>opulation</w:t>
      </w:r>
      <w:r w:rsidR="00F91995">
        <w:t xml:space="preserve"> living below the poverty line </w:t>
      </w:r>
      <w:r w:rsidR="00F91995">
        <w:fldChar w:fldCharType="begin" w:fldLock="1"/>
      </w:r>
      <w:r w:rsidR="00F91995">
        <w:instrText>ADDIN CSL_CITATION {"citationItems":[{"id":"ITEM-1","itemData":{"author":[{"dropping-particle":"","family":"World Bank","given":"","non-dropping-particle":"","parse-names":false,"suffix":""}],"container-title":"World Bank Annual Report Brief, Equity","id":"ITEM-1","issue":"April 2023","issued":{"date-parts":[["2023"]]},"number-of-pages":"1-2","title":"Poverty &amp; Equity Brief, Africa Eastern &amp; Southern, Kenya","type":"report"},"uris":["http://www.mendeley.com/documents/?uuid=346bb4e1-e1d9-4450-a977-7f29532fdcb6","http://www.mendeley.com/documents/?uuid=c1586ba7-6761-4d24-86b4-61e3b54a1ac3"]}],"mendeley":{"formattedCitation":"(World Bank, 2023)","plainTextFormattedCitation":"(World Bank, 2023)","previouslyFormattedCitation":"(World Bank, 2023)"},"properties":{"noteIndex":0},"schema":"https://github.com/citation-style-language/schema/raw/master/csl-citation.json"}</w:instrText>
      </w:r>
      <w:r w:rsidR="00F91995">
        <w:fldChar w:fldCharType="separate"/>
      </w:r>
      <w:r w:rsidR="00F91995">
        <w:rPr>
          <w:noProof/>
        </w:rPr>
        <w:t>(World Bank, 2023)</w:t>
      </w:r>
      <w:r w:rsidR="00F91995">
        <w:fldChar w:fldCharType="end"/>
      </w:r>
      <w:r w:rsidR="00D93B91">
        <w:t>,</w:t>
      </w:r>
      <w:r w:rsidR="005B68AE">
        <w:t xml:space="preserve"> </w:t>
      </w:r>
      <w:r w:rsidR="00D93B91">
        <w:t>along</w:t>
      </w:r>
      <w:r w:rsidR="00C2622B">
        <w:t xml:space="preserve"> </w:t>
      </w:r>
      <w:r w:rsidR="005B68AE">
        <w:t xml:space="preserve">with </w:t>
      </w:r>
      <w:r w:rsidR="00F91995">
        <w:t xml:space="preserve">high </w:t>
      </w:r>
      <w:r w:rsidR="00031318">
        <w:t xml:space="preserve">income </w:t>
      </w:r>
      <w:r w:rsidR="00F91995">
        <w:t>inequality</w:t>
      </w:r>
      <w:r w:rsidR="00D93B91">
        <w:t>,</w:t>
      </w:r>
      <w:r w:rsidR="00F91995">
        <w:t xml:space="preserve"> </w:t>
      </w:r>
      <w:r w:rsidR="00C2622B">
        <w:t xml:space="preserve">evidenced by a </w:t>
      </w:r>
      <w:r w:rsidR="00F91995">
        <w:t xml:space="preserve">Gini coefficient of 47.7 </w:t>
      </w:r>
      <w:r w:rsidR="005B68AE">
        <w:t>(</w:t>
      </w:r>
      <w:r w:rsidR="00F91995">
        <w:t xml:space="preserve">which is above the Sub-Saharan Africa 2013 average of 43.88 </w:t>
      </w:r>
      <w:r w:rsidR="00F91995">
        <w:fldChar w:fldCharType="begin" w:fldLock="1"/>
      </w:r>
      <w:r w:rsidR="00F91995">
        <w:instrText>ADDIN CSL_CITATION {"citationItems":[{"id":"ITEM-1","itemData":{"abstract":"Kenya has made important political, structural and economic reforms that have contributed to positive political gains, economic growth and social development over the past ten years.1 The country ushered in a new political and economic governance system with the passage of a new constitution in 2010 that introduced a bicameral legislative house, devolved county government, a constitutionally tenured judiciary and electoral body. Economic growth averaged 5.7% in 2019, placing Kenya as one of the fastest growing economies in Sub-Saharan Africa.2 The economic expansion was boosted by a stable macroeconomic environment, positive investor confidence and a resilient services sector. However, growth trajectory was interrupted in 2020 due to COVID-19 pandemic, drought and locust invasion. The economy is estimated to have contracted by 1% in 2020 due to the effect of the COVID- 19 pandemic, exacerbating food insecurity and increasing poverty by 4% (or an additional 2 million poor according to the World Bank latest Kenya Economic Update) through serious impacts on livelihoods, by sharp decreases in incomes and employment. Despite the impact, the government and IMF forecast a strong rebound for economy in 2021 and in the medium term, with an expected GDP growth of 6.9%, which is expected to make a dent to poverty numbers. Even","author":[{"dropping-particle":"","family":"Chokerah","given":"Julius","non-dropping-particle":"","parse-names":false,"suffix":""}],"id":"ITEM-1","issued":{"date-parts":[["2021"]]},"number-of-pages":"1-8","title":"UN Sustainable Development Cooperation Framework and national poverty eradication: The experience of Kenya","type":"report"},"uris":["http://www.mendeley.com/documents/?uuid=9a77eeeb-bc3e-480d-bdca-8811b82178ca","http://www.mendeley.com/documents/?uuid=4e62f7ba-c895-4a12-83a0-99501c1ba650"]}],"mendeley":{"formattedCitation":"(Chokerah, 2021)","plainTextFormattedCitation":"(Chokerah, 2021)","previouslyFormattedCitation":"(Chokerah, 2021)"},"properties":{"noteIndex":0},"schema":"https://github.com/citation-style-language/schema/raw/master/csl-citation.json"}</w:instrText>
      </w:r>
      <w:r w:rsidR="00F91995">
        <w:fldChar w:fldCharType="separate"/>
      </w:r>
      <w:r w:rsidR="00F91995">
        <w:rPr>
          <w:noProof/>
        </w:rPr>
        <w:t>(Chokerah, 2021)</w:t>
      </w:r>
      <w:r w:rsidR="00F91995">
        <w:fldChar w:fldCharType="end"/>
      </w:r>
      <w:r w:rsidR="005B68AE">
        <w:t>)</w:t>
      </w:r>
      <w:r w:rsidR="00F91995">
        <w:t xml:space="preserve"> </w:t>
      </w:r>
      <w:r w:rsidR="005B68AE">
        <w:t>m</w:t>
      </w:r>
      <w:r w:rsidR="00F91995">
        <w:t>ak</w:t>
      </w:r>
      <w:r w:rsidR="005B68AE">
        <w:t>ing</w:t>
      </w:r>
      <w:r w:rsidR="00F91995">
        <w:t xml:space="preserve"> it an ideal case study location </w:t>
      </w:r>
      <w:r w:rsidR="00D93B91">
        <w:t>for</w:t>
      </w:r>
      <w:r w:rsidR="00F91995">
        <w:t xml:space="preserve"> investigat</w:t>
      </w:r>
      <w:r w:rsidR="00D93B91">
        <w:t>ing</w:t>
      </w:r>
      <w:r w:rsidR="00F91995">
        <w:t xml:space="preserve"> inequalities in mobility.</w:t>
      </w:r>
    </w:p>
    <w:p w14:paraId="57221F63" w14:textId="36581A45" w:rsidR="00F91995" w:rsidRDefault="00F91995" w:rsidP="00F91995">
      <w:r>
        <w:lastRenderedPageBreak/>
        <w:t>Kenya recorded 3</w:t>
      </w:r>
      <w:r w:rsidR="00D93B91">
        <w:t>,</w:t>
      </w:r>
      <w:r>
        <w:t>572 road traffic fatalities in 2019 with deaths increasing to 4</w:t>
      </w:r>
      <w:r w:rsidR="00D93B91">
        <w:t>,</w:t>
      </w:r>
      <w:r>
        <w:t xml:space="preserve">579 by 2021 </w:t>
      </w:r>
      <w:r>
        <w:fldChar w:fldCharType="begin" w:fldLock="1"/>
      </w:r>
      <w:r>
        <w:instrText>ADDIN CSL_CITATION {"citationItems":[{"id":"ITEM-1","itemData":{"URL":"https://www.afro.who.int/countries/kenya/news/kenya-launches-road-safety-initiative-reduce-crashes","abstract":"Road traffic crashes are a top-five cause of death for Kenyans between the ages of five and 70, and the leading killer of boys aged 15-19.","accessed":{"date-parts":[["2024","9","26"]]},"author":[{"dropping-particle":"","family":"World Health Organization (WHO)","given":"","non-dropping-particle":"","parse-names":false,"suffix":""}],"id":"ITEM-1","issued":{"date-parts":[["2022"]]},"title":"Kenya launches road safety initiative to reduce crashes","type":"webpage"},"uris":["http://www.mendeley.com/documents/?uuid=a5e72b24-9929-4fb6-a682-264d7c2df109"]}],"mendeley":{"formattedCitation":"(World Health Organization (WHO), 2022)","plainTextFormattedCitation":"(World Health Organization (WHO), 2022)","previouslyFormattedCitation":"(World Health Organization (WHO), 2022)"},"properties":{"noteIndex":0},"schema":"https://github.com/citation-style-language/schema/raw/master/csl-citation.json"}</w:instrText>
      </w:r>
      <w:r>
        <w:fldChar w:fldCharType="separate"/>
      </w:r>
      <w:r>
        <w:rPr>
          <w:noProof/>
        </w:rPr>
        <w:t>(World Health Organization (WHO), 2022)</w:t>
      </w:r>
      <w:r>
        <w:fldChar w:fldCharType="end"/>
      </w:r>
      <w:r>
        <w:t xml:space="preserve"> making </w:t>
      </w:r>
      <w:r>
        <w:rPr>
          <w:lang w:val="en-US"/>
        </w:rPr>
        <w:t>traffic fatalities</w:t>
      </w:r>
      <w:r>
        <w:t xml:space="preserve"> one of the top </w:t>
      </w:r>
      <w:r w:rsidR="00D93B91">
        <w:t>five</w:t>
      </w:r>
      <w:r>
        <w:t xml:space="preserve"> leading causes of death in the country. </w:t>
      </w:r>
      <w:r w:rsidR="00D93B91">
        <w:t>However, t</w:t>
      </w:r>
      <w:r>
        <w:t xml:space="preserve">his number is considered to be an underestimation with the WHO estimating a figure of 13,463 fatalities </w:t>
      </w:r>
      <w:r>
        <w:fldChar w:fldCharType="begin" w:fldLock="1"/>
      </w:r>
      <w:r>
        <w:instrText>ADDIN CSL_CITATION {"citationItems":[{"id":"ITEM-1","itemData":{"abstract":"What you need to know: The rate of road traffic deaths in Kenya far exceeds the global rate and is somewhat higher than the average for Africa, WHO notes. The WHO’s estimate in specific countries often differs from governments’ statistics because it does not place a time limit on fatalities resulting from crashes. The WHO’s new global survey finds that road traffic deaths continued to increase in 2017, reaching a total of about 1.35 million.","author":[{"dropping-particle":"","family":"Kelley","given":"Kevin J.","non-dropping-particle":"","parse-names":false,"suffix":""}],"container-title":"Nation","id":"ITEM-1","issued":{"date-parts":[["2020","6","28"]]},"page":"1","publisher-place":"Nairobi","title":"WHO: Kenya road deaths four times higher than NTSA reported","type":"article-newspaper"},"uris":["http://www.mendeley.com/documents/?uuid=236b6eb2-2fc3-4124-b430-6d1e5a521639"]}],"mendeley":{"formattedCitation":"(Kelley, 2020)","plainTextFormattedCitation":"(Kelley, 2020)","previouslyFormattedCitation":"(Kelley, 2020)"},"properties":{"noteIndex":0},"schema":"https://github.com/citation-style-language/schema/raw/master/csl-citation.json"}</w:instrText>
      </w:r>
      <w:r>
        <w:fldChar w:fldCharType="separate"/>
      </w:r>
      <w:r>
        <w:rPr>
          <w:noProof/>
        </w:rPr>
        <w:t>(Kelley, 2020)</w:t>
      </w:r>
      <w:r>
        <w:fldChar w:fldCharType="end"/>
      </w:r>
      <w:r>
        <w:t xml:space="preserve">. </w:t>
      </w:r>
      <w:r w:rsidR="00E3702F">
        <w:t xml:space="preserve">Traffic </w:t>
      </w:r>
      <w:r w:rsidR="00EF64D1">
        <w:t xml:space="preserve">crashes </w:t>
      </w:r>
      <w:r w:rsidR="00E3702F">
        <w:t>are also</w:t>
      </w:r>
      <w:r>
        <w:t xml:space="preserve"> estimated to </w:t>
      </w:r>
      <w:r w:rsidR="00E3702F">
        <w:t xml:space="preserve">cost Kenya </w:t>
      </w:r>
      <w:r>
        <w:t xml:space="preserve">5% of its GDP </w:t>
      </w:r>
      <w:r w:rsidR="00E3702F">
        <w:t>annually</w:t>
      </w:r>
      <w:r w:rsidR="00AB1288">
        <w:t xml:space="preserve"> </w:t>
      </w:r>
      <w:r>
        <w:fldChar w:fldCharType="begin" w:fldLock="1"/>
      </w:r>
      <w:r>
        <w:instrText>ADDIN CSL_CITATION {"citationItems":[{"id":"ITEM-1","itemData":{"DOI":"10.1016/j.iatssr.2022.03.003","ISSN":"03861112","abstract":"Road traffic accidents (RTA) are a prevalent cause of fatality with African countries having the highest fatality index (25–34 per quota). The World Health Organization estimates Kenya's fatality rate due to RTA at 28 per quota. From literature, the country's fatality and injuries have increased by 26% and 46.5%, respectively, since the year 2015. The country is faced with incomplete RTA data capturing, hindering effective planning and policy adjustments to curb the menace. In this paper, we scrapped user-generated data (Twitter) and national transport and safety authority's (NTSA) reports to shed light on traffic safety, practices, and cultures in the country. To this end, we gathered 1,000,000 tweets and 8000 speeding entries between 2015 and 2021 and performed natural language processing (NLP) and quantitative study of the data. We applied NLP and n-gram search of keywords to categorize data into 8 topics: traffic, public service vehicle (PSVs), policing, accident, infrastructure, recklessness, robbery, and corruption. From the data, policing, which touches on all police and law-enforcement-related activity was found to be highly correlated with PSVs, recklessness, accidents, traffic congestion, robbery, infrastructure, and corruption with indices of r(76) = 0.92, 0. 91, 0.87, 0.82, 0.81, 0.76, and 0.70, respectively with p &lt; 0.001. The topic modeling confirmed the identified topics to be the latent discussion issues affecting the public. From the study, PSVs, policing and traffic flow were isolated as key issues that ought to be addressed immediately. The research recommended the integration of driver monitoring systems to strengthen policing. The research, which utilized unstructured data, points to the utility of data mining which would greatly benefit traffic research, particularly African-based studies, that suffer from data inadequacy.","author":[{"dropping-particle":"","family":"Muguro","given":"Joseph","non-dropping-particle":"","parse-names":false,"suffix":""},{"dropping-particle":"","family":"Njeri","given":"Waweru","non-dropping-particle":"","parse-names":false,"suffix":""},{"dropping-particle":"","family":"Matsushita","given":"Kojiro","non-dropping-particle":"","parse-names":false,"suffix":""},{"dropping-particle":"","family":"Sasaki","given":"Minoru","non-dropping-particle":"","parse-names":false,"suffix":""}],"container-title":"IATSS Research","id":"ITEM-1","issue":"3","issued":{"date-parts":[["2022"]]},"page":"329-344","publisher":"International Association of Traffic and Safety Sciences","title":"Road traffic conditions in Kenya: Exploring the policies and traffic cultures from unstructured user-generated data using NLP","type":"article-journal","volume":"46"},"uris":["http://www.mendeley.com/documents/?uuid=af5c481e-a0a8-4335-b607-faa5eaa0923b"]}],"mendeley":{"formattedCitation":"(Muguro &lt;i&gt;et al.&lt;/i&gt;, 2022)","plainTextFormattedCitation":"(Muguro et al., 2022)","previouslyFormattedCitation":"(Muguro &lt;i&gt;et al.&lt;/i&gt;, 2022)"},"properties":{"noteIndex":0},"schema":"https://github.com/citation-style-language/schema/raw/master/csl-citation.json"}</w:instrText>
      </w:r>
      <w:r>
        <w:fldChar w:fldCharType="separate"/>
      </w:r>
      <w:r>
        <w:rPr>
          <w:noProof/>
        </w:rPr>
        <w:t xml:space="preserve">(Muguro </w:t>
      </w:r>
      <w:r>
        <w:rPr>
          <w:i/>
          <w:noProof/>
        </w:rPr>
        <w:t>et al.</w:t>
      </w:r>
      <w:r>
        <w:rPr>
          <w:noProof/>
        </w:rPr>
        <w:t>, 2022)</w:t>
      </w:r>
      <w:r>
        <w:fldChar w:fldCharType="end"/>
      </w:r>
      <w:r>
        <w:t xml:space="preserve">. </w:t>
      </w:r>
    </w:p>
    <w:p w14:paraId="531B0024" w14:textId="7F935607" w:rsidR="00F91995" w:rsidRDefault="00F91995" w:rsidP="00F91995">
      <w:r>
        <w:t xml:space="preserve">Our </w:t>
      </w:r>
      <w:r w:rsidR="005B68AE">
        <w:t xml:space="preserve">study took place in </w:t>
      </w:r>
      <w:r>
        <w:t xml:space="preserve">Kenya’s capital Nairobi, one of the largest and fastest growing metropolitan areas in SSA (population growth 4.06% per annum) </w:t>
      </w:r>
      <w:r>
        <w:fldChar w:fldCharType="begin" w:fldLock="1"/>
      </w:r>
      <w:r>
        <w:instrText>ADDIN CSL_CITATION {"citationItems":[{"id":"ITEM-1","itemData":{"URL":"https://www.macrotrends.net/global-metrics/cities/21711/nairobi/population#:~:text=The current metro area population,a 4%25 increase from 2021.","accessed":{"date-parts":[["2024","10","3"]]},"author":[{"dropping-particle":"","family":"Macrotrends","given":"","non-dropping-particle":"","parse-names":false,"suffix":""}],"id":"ITEM-1","issued":{"date-parts":[["2024"]]},"title":"Nairobi, Kenya Metro Area Population 1950-2024","type":"webpage"},"uris":["http://www.mendeley.com/documents/?uuid=ee899c59-c95a-4cc0-b7fc-3c0f0dc0b7f1"]}],"mendeley":{"formattedCitation":"(Macrotrends, 2024)","plainTextFormattedCitation":"(Macrotrends, 2024)","previouslyFormattedCitation":"(Macrotrends, 2024)"},"properties":{"noteIndex":0},"schema":"https://github.com/citation-style-language/schema/raw/master/csl-citation.json"}</w:instrText>
      </w:r>
      <w:r>
        <w:fldChar w:fldCharType="separate"/>
      </w:r>
      <w:r>
        <w:rPr>
          <w:noProof/>
        </w:rPr>
        <w:t>(Macrotrends, 2024)</w:t>
      </w:r>
      <w:r>
        <w:fldChar w:fldCharType="end"/>
      </w:r>
      <w:r>
        <w:t xml:space="preserve"> and Mombasa, the country’s second-largest city</w:t>
      </w:r>
      <w:r w:rsidR="005B68AE">
        <w:t xml:space="preserve"> </w:t>
      </w:r>
      <w:r w:rsidR="00031318">
        <w:t>(see figure 1)</w:t>
      </w:r>
      <w:r>
        <w:t xml:space="preserve">. Nairobi, </w:t>
      </w:r>
      <w:r w:rsidR="00350C9C">
        <w:t xml:space="preserve">is </w:t>
      </w:r>
      <w:r>
        <w:t xml:space="preserve">home to (an estimated) 6.5 million residents within the metropolitan area, who face significant mobility challenges linked to poor infrastructure. Statistics show that pedestrians account for 47% of </w:t>
      </w:r>
      <w:r w:rsidR="00E3702F">
        <w:t xml:space="preserve">road traffic fatalities in </w:t>
      </w:r>
      <w:r w:rsidR="00031318">
        <w:t>Nairobi</w:t>
      </w:r>
      <w:r w:rsidR="00013300">
        <w:t xml:space="preserve">, with the majority being the city’s </w:t>
      </w:r>
      <w:r>
        <w:t xml:space="preserve">poorest residents who have limited </w:t>
      </w:r>
      <w:r w:rsidR="00E3702F">
        <w:t xml:space="preserve">access to </w:t>
      </w:r>
      <w:r>
        <w:t>affordable mobility</w:t>
      </w:r>
      <w:r w:rsidR="00013300">
        <w:t xml:space="preserve"> options</w:t>
      </w:r>
      <w:r>
        <w:t xml:space="preserve"> </w:t>
      </w:r>
      <w:r>
        <w:fldChar w:fldCharType="begin" w:fldLock="1"/>
      </w:r>
      <w:r>
        <w:instrText>ADDIN CSL_CITATION {"citationItems":[{"id":"ITEM-1","itemData":{"DOI":"10.51317/jmhs.v2i1.195","abstract":"This study investigated fatalities resulting from Road traffic accidents to inform public health policy on the need for their prevention. This is a descriptive prospective study of road traffic accident deaths in Nairobi; of all the bodies brought at the city mortuary Nairobi in the period between June 1 2009, and May 31 2010. In this study, all cases of deaths from road traffic accidents for twelve consecutive months were included. Data was entered on a proforma datasheet. Data was analysed using SPSS. The study concluded that the major contributor of Accidental deaths is road traffic accidents. Furthermore, road traffic accident fatalities significantly involve pedestrians compared to the other class of people. Fatalities from road traffic accidents are a preventable public health problem in Kenya. The study recommends that the driving habits in Kenya be regulated to prevent these fatalities.","author":[{"dropping-particle":"","family":"Kiama","given":"Peter W","non-dropping-particle":"","parse-names":false,"suffix":""}],"container-title":"Journal of Medical and Health Sciences (JMHS)","id":"ITEM-1","issue":"1","issued":{"date-parts":[["2022"]]},"page":"34-39","title":"Pattern of road traffic accident deaths: A critical autopsy analysis in Kenya","type":"article-journal","volume":"1"},"uris":["http://www.mendeley.com/documents/?uuid=574d264d-dde4-457a-8c4d-495ee1dc92bb"]}],"mendeley":{"formattedCitation":"(Kiama, 2022)","plainTextFormattedCitation":"(Kiama, 2022)","previouslyFormattedCitation":"(Kiama, 2022)"},"properties":{"noteIndex":0},"schema":"https://github.com/citation-style-language/schema/raw/master/csl-citation.json"}</w:instrText>
      </w:r>
      <w:r>
        <w:fldChar w:fldCharType="separate"/>
      </w:r>
      <w:r>
        <w:rPr>
          <w:noProof/>
        </w:rPr>
        <w:t>(Kiama, 2022)</w:t>
      </w:r>
      <w:r>
        <w:fldChar w:fldCharType="end"/>
      </w:r>
      <w:r>
        <w:t xml:space="preserve">. </w:t>
      </w:r>
      <w:r w:rsidR="00031318">
        <w:t>C</w:t>
      </w:r>
      <w:r>
        <w:t xml:space="preserve">ongestion is </w:t>
      </w:r>
      <w:r w:rsidR="00013300">
        <w:t xml:space="preserve">diminishing the effectiveness of </w:t>
      </w:r>
      <w:r>
        <w:t>the existing mass paratransit systems</w:t>
      </w:r>
      <w:r w:rsidR="00013300">
        <w:t>, leading to increased stress</w:t>
      </w:r>
      <w:r>
        <w:t xml:space="preserve"> for users due to unreliable travel times. </w:t>
      </w:r>
      <w:r w:rsidR="00031318">
        <w:t xml:space="preserve">Delays in traffic reduce economic productivity of the city, costing the metropolis </w:t>
      </w:r>
      <w:r w:rsidR="00E3702F">
        <w:t xml:space="preserve">an estimated </w:t>
      </w:r>
      <w:r w:rsidR="00031318">
        <w:t>$570,000 per day (</w:t>
      </w:r>
      <w:r w:rsidR="00031318">
        <w:fldChar w:fldCharType="begin" w:fldLock="1"/>
      </w:r>
      <w:r w:rsidR="00031318">
        <w:instrText>ADDIN CSL_CITATION {"citationItems":[{"id":"ITEM-1","itemData":{"author":[{"dropping-particle":"","family":"Dixon","given":"Simon","non-dropping-particle":"","parse-names":false,"suffix":""},{"dropping-particle":"","family":"Irshad","given":"Haris","non-dropping-particle":"","parse-names":false,"suffix":""},{"dropping-particle":"","family":"Labuschagne","given":"J-P","non-dropping-particle":"","parse-names":false,"suffix":""}],"id":"ITEM-1","issued":{"date-parts":[["2018"]]},"number-of-pages":"1-2","publisher-place":"London, UK","title":"Deloitte City Mobility Index - Nairobi","type":"report"},"uris":["http://www.mendeley.com/documents/?uuid=a88e16e5-1d6b-4bf8-9507-65cf32f6fc35"]}],"mendeley":{"formattedCitation":"(Dixon, Irshad and Labuschagne, 2018)","plainTextFormattedCitation":"(Dixon, Irshad and Labuschagne, 2018)","previouslyFormattedCitation":"(Dixon, Irshad and Labuschagne, 2018)"},"properties":{"noteIndex":0},"schema":"https://github.com/citation-style-language/schema/raw/master/csl-citation.json"}</w:instrText>
      </w:r>
      <w:r w:rsidR="00031318">
        <w:fldChar w:fldCharType="separate"/>
      </w:r>
      <w:r w:rsidR="00031318">
        <w:rPr>
          <w:noProof/>
        </w:rPr>
        <w:t>(Dixon, Irshad and Labuschagne, 2018)</w:t>
      </w:r>
      <w:r w:rsidR="00031318">
        <w:fldChar w:fldCharType="end"/>
      </w:r>
      <w:r w:rsidR="00031318">
        <w:t xml:space="preserve">. </w:t>
      </w:r>
      <w:r>
        <w:t>Mombasa</w:t>
      </w:r>
      <w:r w:rsidR="00E3702F">
        <w:t>,</w:t>
      </w:r>
      <w:r>
        <w:t xml:space="preserve"> Kenya</w:t>
      </w:r>
      <w:r w:rsidR="00EF64D1">
        <w:t>’</w:t>
      </w:r>
      <w:r w:rsidR="00E3702F">
        <w:t>s second-largest city,</w:t>
      </w:r>
      <w:r>
        <w:t xml:space="preserve"> </w:t>
      </w:r>
      <w:r w:rsidR="00E3702F">
        <w:t xml:space="preserve">has </w:t>
      </w:r>
      <w:r>
        <w:t>approximately 3 million residents in its metropolitan area. It provides a useful case site as it is currently planning a Bus Rapid Transit (BRT) system and new bridge crossings</w:t>
      </w:r>
      <w:r w:rsidR="00E3702F">
        <w:t>,</w:t>
      </w:r>
      <w:r>
        <w:t xml:space="preserve"> and </w:t>
      </w:r>
      <w:r w:rsidR="00E3702F">
        <w:t xml:space="preserve">features </w:t>
      </w:r>
      <w:r>
        <w:t>interesting mobility interactions for locals around infrastructure designed to service tourists, and interchanges from ferries to other modes.</w:t>
      </w:r>
    </w:p>
    <w:p w14:paraId="4DE1437D" w14:textId="71A793DF" w:rsidR="00F91995" w:rsidRDefault="00031318" w:rsidP="00F91995">
      <w:r>
        <w:t xml:space="preserve">To </w:t>
      </w:r>
      <w:r w:rsidR="007D6E03">
        <w:t>engage the most</w:t>
      </w:r>
      <w:r>
        <w:t xml:space="preserve"> vulnerable </w:t>
      </w:r>
      <w:r w:rsidR="007D6E03">
        <w:t xml:space="preserve">road </w:t>
      </w:r>
      <w:r>
        <w:t>users i</w:t>
      </w:r>
      <w:r w:rsidR="00F91995">
        <w:t>n Nairobi</w:t>
      </w:r>
      <w:r w:rsidR="00B40FA7">
        <w:t>,</w:t>
      </w:r>
      <w:r w:rsidR="00F91995">
        <w:t xml:space="preserve"> we </w:t>
      </w:r>
      <w:r w:rsidR="007D6E03">
        <w:t>undertook our study in</w:t>
      </w:r>
      <w:r w:rsidR="00F91995">
        <w:t xml:space="preserve"> Mathare informal settlement. Mathare is </w:t>
      </w:r>
      <w:r w:rsidR="007D6E03">
        <w:t xml:space="preserve">home to approximately </w:t>
      </w:r>
      <w:r w:rsidR="00F91995">
        <w:t>206,550 people</w:t>
      </w:r>
      <w:r w:rsidR="007D6E03">
        <w:t>,</w:t>
      </w:r>
      <w:r w:rsidR="00F91995">
        <w:t xml:space="preserve"> with a </w:t>
      </w:r>
      <w:r w:rsidR="007D6E03">
        <w:t xml:space="preserve">population </w:t>
      </w:r>
      <w:r w:rsidR="00F91995">
        <w:t xml:space="preserve">density of 68,940 </w:t>
      </w:r>
      <w:r w:rsidR="005D4882">
        <w:t>p</w:t>
      </w:r>
      <w:r w:rsidR="00F91995">
        <w:t>ersons per s</w:t>
      </w:r>
      <w:r w:rsidR="005D4882">
        <w:t xml:space="preserve">quare </w:t>
      </w:r>
      <w:r w:rsidR="00F91995">
        <w:t xml:space="preserve"> k</w:t>
      </w:r>
      <w:r w:rsidR="005D4882">
        <w:t>ilometre</w:t>
      </w:r>
      <w:r w:rsidR="00F91995">
        <w:t xml:space="preserve"> </w:t>
      </w:r>
      <w:r w:rsidR="00F91995">
        <w:fldChar w:fldCharType="begin" w:fldLock="1"/>
      </w:r>
      <w:r w:rsidR="00F91995">
        <w:instrText>ADDIN CSL_CITATION {"citationItems":[{"id":"ITEM-1","itemData":{"ISBN":"9789966102119","ISSN":"2252-3405","abstract":"The KNBS has an elaborate infrastructure for data collection across the country. This includes, a County Statistical Office in each of the 47 counties, two sampling frames for implementation of censuses and surveys and various databases for socio-economic statistical information. The Bureau collects various statistical information on monthly, quarterly, semi-annually and annual basis. Ad hoc surveys and studies are also carried out to gather information on specific indicators. Some of the statistical products of the Bureau include; Consumer Price Index (CPI), Leading Economic Indicators report, Quarterly Gross Domestic Product (GDP), Quarterly Producer Price Index (PPI), Quarterly Balance of Payment, Annual Economic Survey Report and Annual Statistical Abstract. The Bureau also provides statistical information to regional and international organisations. The KNBS maintains various platforms through which products and statistical information are disseminated.","author":[{"dropping-particle":"","family":"Kenya National Bureau of Statistics","given":"","non-dropping-particle":"","parse-names":false,"suffix":""}],"container-title":"Government of Kenya","id":"ITEM-1","issue":"August","issued":{"date-parts":[["2019"]]},"number-of-pages":"270","publisher-place":"Nairobi","title":"2019 Kenya Population and Housing Census: Volume II","type":"book","volume":"2"},"uris":["http://www.mendeley.com/documents/?uuid=9557a38a-3187-454e-bdeb-08e392c4453b"]}],"mendeley":{"formattedCitation":"(Kenya National Bureau of Statistics, 2019)","plainTextFormattedCitation":"(Kenya National Bureau of Statistics, 2019)","previouslyFormattedCitation":"(Kenya National Bureau of Statistics, 2019)"},"properties":{"noteIndex":0},"schema":"https://github.com/citation-style-language/schema/raw/master/csl-citation.json"}</w:instrText>
      </w:r>
      <w:r w:rsidR="00F91995">
        <w:fldChar w:fldCharType="separate"/>
      </w:r>
      <w:r w:rsidR="00F91995">
        <w:rPr>
          <w:noProof/>
        </w:rPr>
        <w:t>(Kenya National Bureau of Statistics, 2019)</w:t>
      </w:r>
      <w:r w:rsidR="00F91995">
        <w:fldChar w:fldCharType="end"/>
      </w:r>
      <w:r w:rsidR="00F91995">
        <w:t xml:space="preserve"> where the vast majority of the population lives under the poverty index. </w:t>
      </w:r>
      <w:r w:rsidR="007D6E03">
        <w:t>Recogni</w:t>
      </w:r>
      <w:r w:rsidR="005D4882">
        <w:t>s</w:t>
      </w:r>
      <w:r w:rsidR="007D6E03">
        <w:t>ed as Nairobi’s</w:t>
      </w:r>
      <w:r w:rsidR="00F91995">
        <w:t xml:space="preserve"> oldest slum  </w:t>
      </w:r>
      <w:r w:rsidR="00F91995">
        <w:fldChar w:fldCharType="begin" w:fldLock="1"/>
      </w:r>
      <w:r w:rsidR="00F91995">
        <w:instrText>ADDIN CSL_CITATION {"citationItems":[{"id":"ITEM-1","itemData":{"URL":"https://mathare.org/history-of-mathare/","accessed":{"date-parts":[["2024","8","30"]]},"author":[{"dropping-particle":"","family":"The Mathare Slums Community Association","given":"","non-dropping-particle":"","parse-names":false,"suffix":""}],"id":"ITEM-1","issued":{"date-parts":[["2024"]]},"page":"1","title":"History of Mathare","type":"webpage"},"uris":["http://www.mendeley.com/documents/?uuid=5b775f36-43e3-44b6-9b16-a90a7bd6b9b0"]}],"mendeley":{"formattedCitation":"(The Mathare Slums Community Association, 2024)","plainTextFormattedCitation":"(The Mathare Slums Community Association, 2024)","previouslyFormattedCitation":"(The Mathare Slums Community Association, 2024)"},"properties":{"noteIndex":0},"schema":"https://github.com/citation-style-language/schema/raw/master/csl-citation.json"}</w:instrText>
      </w:r>
      <w:r w:rsidR="00F91995">
        <w:fldChar w:fldCharType="separate"/>
      </w:r>
      <w:r w:rsidR="00F91995">
        <w:rPr>
          <w:noProof/>
        </w:rPr>
        <w:t>(The Mathare Slums Community Association, 2024)</w:t>
      </w:r>
      <w:r w:rsidR="00F91995">
        <w:fldChar w:fldCharType="end"/>
      </w:r>
      <w:r w:rsidR="005B503D">
        <w:t xml:space="preserve">, </w:t>
      </w:r>
      <w:r w:rsidR="005D4882">
        <w:t>Mathare</w:t>
      </w:r>
      <w:r w:rsidR="00EF64D1">
        <w:t xml:space="preserve"> </w:t>
      </w:r>
      <w:r w:rsidR="005B503D">
        <w:t xml:space="preserve">faces significant infrastructure challenges including </w:t>
      </w:r>
      <w:r w:rsidR="005D4882">
        <w:t xml:space="preserve">a </w:t>
      </w:r>
      <w:r w:rsidR="005B503D">
        <w:t>lack of</w:t>
      </w:r>
      <w:r w:rsidR="00F91995">
        <w:t xml:space="preserve"> passable roads.  The settlement borders two major transport corridors (the Thika Highway and Juja Road</w:t>
      </w:r>
      <w:r w:rsidR="00F91995">
        <w:rPr>
          <w:lang w:val="en-US"/>
        </w:rPr>
        <w:t>),</w:t>
      </w:r>
      <w:r w:rsidR="00F91995">
        <w:t xml:space="preserve"> both of which are linked to </w:t>
      </w:r>
      <w:r>
        <w:t xml:space="preserve">a </w:t>
      </w:r>
      <w:r w:rsidR="00F91995">
        <w:t>proposed B</w:t>
      </w:r>
      <w:r w:rsidR="00F91995">
        <w:rPr>
          <w:lang w:val="en-US"/>
        </w:rPr>
        <w:t>RT</w:t>
      </w:r>
      <w:r w:rsidR="007D6E03">
        <w:rPr>
          <w:lang w:val="en-US"/>
        </w:rPr>
        <w:t xml:space="preserve"> corridor</w:t>
      </w:r>
      <w:r w:rsidR="00F91995">
        <w:t>. In Mombasa</w:t>
      </w:r>
      <w:r w:rsidR="005D4882">
        <w:t>,</w:t>
      </w:r>
      <w:r w:rsidR="00F91995">
        <w:t xml:space="preserve"> we worked in Likoni</w:t>
      </w:r>
      <w:r w:rsidR="005B503D">
        <w:t xml:space="preserve">, </w:t>
      </w:r>
      <w:r w:rsidR="00F91995">
        <w:t xml:space="preserve"> </w:t>
      </w:r>
      <w:r>
        <w:t xml:space="preserve">another densely </w:t>
      </w:r>
      <w:r>
        <w:rPr>
          <w:lang w:val="en-US"/>
        </w:rPr>
        <w:t>populated</w:t>
      </w:r>
      <w:r w:rsidR="00F91995">
        <w:rPr>
          <w:lang w:val="en-US"/>
        </w:rPr>
        <w:t xml:space="preserve"> </w:t>
      </w:r>
      <w:r>
        <w:rPr>
          <w:lang w:val="en-US"/>
        </w:rPr>
        <w:t>neighbo</w:t>
      </w:r>
      <w:r w:rsidR="00EF64D1">
        <w:rPr>
          <w:lang w:val="en-US"/>
        </w:rPr>
        <w:t>u</w:t>
      </w:r>
      <w:r>
        <w:rPr>
          <w:lang w:val="en-US"/>
        </w:rPr>
        <w:t xml:space="preserve">rhood </w:t>
      </w:r>
      <w:r w:rsidR="00F91995">
        <w:rPr>
          <w:lang w:val="en-US"/>
        </w:rPr>
        <w:t xml:space="preserve">of 250,358 </w:t>
      </w:r>
      <w:r>
        <w:rPr>
          <w:lang w:val="en-US"/>
        </w:rPr>
        <w:t>residents</w:t>
      </w:r>
      <w:r w:rsidR="00F91995">
        <w:rPr>
          <w:lang w:val="en-US"/>
        </w:rPr>
        <w:t xml:space="preserve"> </w:t>
      </w:r>
      <w:r w:rsidR="00F91995">
        <w:rPr>
          <w:lang w:val="en-US"/>
        </w:rPr>
        <w:fldChar w:fldCharType="begin" w:fldLock="1"/>
      </w:r>
      <w:r w:rsidR="00F91995">
        <w:rPr>
          <w:lang w:val="en-US"/>
        </w:rPr>
        <w:instrText>ADDIN CSL_CITATION {"citationItems":[{"id":"ITEM-1","itemData":{"ISBN":"9789966102119","ISSN":"2252-3405","abstract":"The KNBS has an elaborate infrastructure for data collection across the country. This includes, a County Statistical Office in each of the 47 counties, two sampling frames for implementation of censuses and surveys and various databases for socio-economic statistical information. The Bureau collects various statistical information on monthly, quarterly, semi-annually and annual basis. Ad hoc surveys and studies are also carried out to gather information on specific indicators. Some of the statistical products of the Bureau include; Consumer Price Index (CPI), Leading Economic Indicators report, Quarterly Gross Domestic Product (GDP), Quarterly Producer Price Index (PPI), Quarterly Balance of Payment, Annual Economic Survey Report and Annual Statistical Abstract. The Bureau also provides statistical information to regional and international organisations. The KNBS maintains various platforms through which products and statistical information are disseminated.","author":[{"dropping-particle":"","family":"Kenya National Bureau of Statistics","given":"","non-dropping-particle":"","parse-names":false,"suffix":""}],"container-title":"Government of Kenya","id":"ITEM-1","issue":"August","issued":{"date-parts":[["2019"]]},"number-of-pages":"270","publisher-place":"Nairobi","title":"2019 Kenya Population and Housing Census: Volume II","type":"book","volume":"2"},"uris":["http://www.mendeley.com/documents/?uuid=9557a38a-3187-454e-bdeb-08e392c4453b"]}],"mendeley":{"formattedCitation":"(Kenya National Bureau of Statistics, 2019)","plainTextFormattedCitation":"(Kenya National Bureau of Statistics, 2019)","previouslyFormattedCitation":"(Kenya National Bureau of Statistics, 2019)"},"properties":{"noteIndex":0},"schema":"https://github.com/citation-style-language/schema/raw/master/csl-citation.json"}</w:instrText>
      </w:r>
      <w:r w:rsidR="00F91995">
        <w:rPr>
          <w:lang w:val="en-US"/>
        </w:rPr>
        <w:fldChar w:fldCharType="separate"/>
      </w:r>
      <w:r w:rsidR="00F91995">
        <w:rPr>
          <w:noProof/>
          <w:lang w:val="en-US"/>
        </w:rPr>
        <w:t>(Kenya National Bureau of Statistics, 2019)</w:t>
      </w:r>
      <w:r w:rsidR="00F91995">
        <w:rPr>
          <w:lang w:val="en-US"/>
        </w:rPr>
        <w:fldChar w:fldCharType="end"/>
      </w:r>
      <w:r w:rsidR="00F91995">
        <w:rPr>
          <w:lang w:val="en-US"/>
        </w:rPr>
        <w:t xml:space="preserve"> </w:t>
      </w:r>
      <w:r w:rsidR="00F91995">
        <w:t xml:space="preserve">located to the south of Mombasa Island but separated by the Likoni Channel. </w:t>
      </w:r>
      <w:r w:rsidR="005B503D">
        <w:t xml:space="preserve">Residents rely on </w:t>
      </w:r>
      <w:r w:rsidR="00F91995">
        <w:t>the congested ferry service or the newly installed floating bridge</w:t>
      </w:r>
      <w:r w:rsidR="005B503D">
        <w:t xml:space="preserve"> to access the island or the north coast. </w:t>
      </w:r>
    </w:p>
    <w:p w14:paraId="163EADB8" w14:textId="68B88453" w:rsidR="00F91995" w:rsidRDefault="00661BC2" w:rsidP="00F91995">
      <w:pPr>
        <w:keepNext/>
      </w:pPr>
      <w:r>
        <w:rPr>
          <w:noProof/>
        </w:rPr>
        <w:drawing>
          <wp:inline distT="0" distB="0" distL="0" distR="0" wp14:anchorId="09B95646" wp14:editId="4B72EA2C">
            <wp:extent cx="6409151" cy="3970537"/>
            <wp:effectExtent l="0" t="0" r="0" b="0"/>
            <wp:docPr id="2006132857" name="Picture 1" descr="Maps showing the locations of our case study communities in Nairobi and Mombasa, K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32857" name="Picture 1" descr="Maps showing the locations of our case study communities in Nairobi and Mombasa, Kenya."/>
                    <pic:cNvPicPr/>
                  </pic:nvPicPr>
                  <pic:blipFill rotWithShape="1">
                    <a:blip r:embed="rId9">
                      <a:extLst>
                        <a:ext uri="{28A0092B-C50C-407E-A947-70E740481C1C}">
                          <a14:useLocalDpi xmlns:a14="http://schemas.microsoft.com/office/drawing/2010/main" val="0"/>
                        </a:ext>
                      </a:extLst>
                    </a:blip>
                    <a:srcRect l="1184" r="10816" b="3080"/>
                    <a:stretch/>
                  </pic:blipFill>
                  <pic:spPr bwMode="auto">
                    <a:xfrm>
                      <a:off x="0" y="0"/>
                      <a:ext cx="6420305" cy="3977447"/>
                    </a:xfrm>
                    <a:prstGeom prst="rect">
                      <a:avLst/>
                    </a:prstGeom>
                    <a:ln>
                      <a:noFill/>
                    </a:ln>
                    <a:extLst>
                      <a:ext uri="{53640926-AAD7-44D8-BBD7-CCE9431645EC}">
                        <a14:shadowObscured xmlns:a14="http://schemas.microsoft.com/office/drawing/2010/main"/>
                      </a:ext>
                    </a:extLst>
                  </pic:spPr>
                </pic:pic>
              </a:graphicData>
            </a:graphic>
          </wp:inline>
        </w:drawing>
      </w:r>
    </w:p>
    <w:p w14:paraId="7D9B2A8E" w14:textId="047BF5B9" w:rsidR="00F91995" w:rsidRDefault="00F91995" w:rsidP="00F91995">
      <w:pPr>
        <w:pStyle w:val="Caption"/>
      </w:pPr>
      <w:r>
        <w:t xml:space="preserve">Figure </w:t>
      </w:r>
      <w:r>
        <w:fldChar w:fldCharType="begin"/>
      </w:r>
      <w:r>
        <w:instrText xml:space="preserve"> SEQ Figure \* ARABIC </w:instrText>
      </w:r>
      <w:r>
        <w:fldChar w:fldCharType="separate"/>
      </w:r>
      <w:r>
        <w:t>1</w:t>
      </w:r>
      <w:r>
        <w:fldChar w:fldCharType="end"/>
      </w:r>
      <w:r>
        <w:t xml:space="preserve"> Case study area locations (</w:t>
      </w:r>
      <w:r w:rsidR="00942132">
        <w:t xml:space="preserve">Left </w:t>
      </w:r>
      <w:r>
        <w:t xml:space="preserve">- </w:t>
      </w:r>
      <w:r w:rsidR="00942132">
        <w:t>Kenya,</w:t>
      </w:r>
      <w:r>
        <w:t xml:space="preserve"> </w:t>
      </w:r>
      <w:r w:rsidR="00942132">
        <w:t xml:space="preserve">Top Right </w:t>
      </w:r>
      <w:r>
        <w:t>- Zoom in on Mathare</w:t>
      </w:r>
      <w:r w:rsidR="00942132">
        <w:t>,</w:t>
      </w:r>
      <w:r>
        <w:t xml:space="preserve"> </w:t>
      </w:r>
      <w:r w:rsidR="00942132">
        <w:t xml:space="preserve">Bottom Right </w:t>
      </w:r>
      <w:r>
        <w:t>- Zoom in on Likoni)</w:t>
      </w:r>
      <w:r w:rsidR="00AB5F09">
        <w:t xml:space="preserve">. [Source background map data: </w:t>
      </w:r>
      <w:r w:rsidR="00AB5F09" w:rsidRPr="00AB5F09">
        <w:t>Google Maps</w:t>
      </w:r>
      <w:r w:rsidR="00AB5F09">
        <w:t xml:space="preserve"> [n.d], accessed through QGIS, 11</w:t>
      </w:r>
      <w:r w:rsidR="00AB5F09" w:rsidRPr="006C626D">
        <w:rPr>
          <w:vertAlign w:val="superscript"/>
        </w:rPr>
        <w:t>th</w:t>
      </w:r>
      <w:r w:rsidR="00AB5F09">
        <w:t xml:space="preserve"> Feb 2025]</w:t>
      </w:r>
    </w:p>
    <w:bookmarkEnd w:id="3"/>
    <w:p w14:paraId="121F4D46" w14:textId="77777777" w:rsidR="007A1DFD" w:rsidRDefault="00000000">
      <w:pPr>
        <w:pStyle w:val="Heading1"/>
      </w:pPr>
      <w:r>
        <w:lastRenderedPageBreak/>
        <w:t>Methods</w:t>
      </w:r>
    </w:p>
    <w:p w14:paraId="04DAACEC" w14:textId="443C5DE4" w:rsidR="007A1DFD" w:rsidRDefault="00000000">
      <w:pPr>
        <w:pStyle w:val="Heading2"/>
      </w:pPr>
      <w:r>
        <w:t xml:space="preserve">Research </w:t>
      </w:r>
      <w:r w:rsidR="005D4882">
        <w:t>h</w:t>
      </w:r>
      <w:r>
        <w:t xml:space="preserve">ypothesis </w:t>
      </w:r>
      <w:r w:rsidR="005D4882">
        <w:t>and</w:t>
      </w:r>
      <w:r>
        <w:t xml:space="preserve"> </w:t>
      </w:r>
      <w:r w:rsidR="005D4882">
        <w:t>t</w:t>
      </w:r>
      <w:r>
        <w:t>esting</w:t>
      </w:r>
    </w:p>
    <w:p w14:paraId="107054A4" w14:textId="5AEADCBA" w:rsidR="007A1DFD" w:rsidRDefault="00000000">
      <w:r>
        <w:t xml:space="preserve">Our hypothesis for testing was that poor mobility affordance </w:t>
      </w:r>
      <w:r w:rsidR="005B503D">
        <w:t>-</w:t>
      </w:r>
      <w:r>
        <w:t>the opportunities the environment provides individuals</w:t>
      </w:r>
      <w:r w:rsidR="005B503D">
        <w:t xml:space="preserve">- </w:t>
      </w:r>
      <w:r>
        <w:t>negatively affects multiple dimensions of wellbeing</w:t>
      </w:r>
      <w:r w:rsidR="005B503D">
        <w:t>. This includes</w:t>
      </w:r>
      <w:r>
        <w:t xml:space="preserve"> objective dimensions such as safety and security, livelihoods, social relations, and freedoms of choice and action, </w:t>
      </w:r>
      <w:r w:rsidR="005B503D">
        <w:t>as well as</w:t>
      </w:r>
      <w:r>
        <w:t xml:space="preserve"> subjective psychological physiological and aspects of mental health (</w:t>
      </w:r>
      <w:r w:rsidR="005D4882">
        <w:t xml:space="preserve">informed by </w:t>
      </w:r>
      <w:r>
        <w:t>the Millennium Ecosystem Assessment).</w:t>
      </w:r>
    </w:p>
    <w:p w14:paraId="4E50827D" w14:textId="7F22B0CB" w:rsidR="007A1DFD" w:rsidRDefault="00000000">
      <w:pPr>
        <w:pStyle w:val="Heading2"/>
      </w:pPr>
      <w:r>
        <w:t xml:space="preserve">Assessment </w:t>
      </w:r>
      <w:r w:rsidR="005D4882">
        <w:t>f</w:t>
      </w:r>
      <w:r>
        <w:t>rameworks</w:t>
      </w:r>
    </w:p>
    <w:p w14:paraId="711633A4" w14:textId="70E56B28" w:rsidR="007A1DFD" w:rsidRDefault="00000000">
      <w:r>
        <w:t xml:space="preserve">To test the affordance of the mobility choices available to vulnerable residents </w:t>
      </w:r>
      <w:r w:rsidR="005B503D">
        <w:t>in the selected case stud</w:t>
      </w:r>
      <w:r w:rsidR="005D4882">
        <w:t>y areas</w:t>
      </w:r>
      <w:r w:rsidR="005B503D">
        <w:t xml:space="preserve">, </w:t>
      </w:r>
      <w:r>
        <w:t xml:space="preserve"> we </w:t>
      </w:r>
      <w:r w:rsidR="005B503D">
        <w:t xml:space="preserve">adopted </w:t>
      </w:r>
      <w:r>
        <w:t xml:space="preserve">a framework previously developed and tested in UK studies </w:t>
      </w:r>
      <w:r>
        <w:fldChar w:fldCharType="begin" w:fldLock="1"/>
      </w:r>
      <w:r>
        <w:instrText>ADDIN CSL_CITATION {"citationItems":[{"id":"ITEM-1","itemData":{"DOI":"10.1007/s11524-018-0232-z","ISSN":"1468-2869","abstract":"Mobility is a key aspect of active ageing enabling participation and autonomy into later life. Remaining active brings multiple physical but also social benefits leading to higher levels of well-being. With globally increasing levels of urbanisation alongside demographic shifts meaning in many parts of the world this urban population will be older people, the challenge is how cities should evolve to enable so-called active ageing. This paper reports on a co-design study with 117 participants investigating the interaction of existing urban spaces and infrastructure on mobility and well-being for older residents (aged 55{\\thinspace}+ years) in three cities. A mixed method approach was trialled to identify locations beneficial to subjective well-being and participant-led solutions to urban mobility challenges. Spatial analysis was used to identify key underlying factors in locations and infrastructure that promoted or compromised mobility and well-being for participants. Co-designed solutions were assessed for acceptability or co-benefits amongst a wider cross-section of urban residents (n{\\thinspace}={\\thinspace}233) using online and face-to-face surveys in each conurbation. Our analysis identified three critical intersecting and interacting thematic problems for urban mobility amongst older people: The quality of physical infrastructure; issues around the delivery, governance and quality of urban systems and services; and the attitudes and behaviors of individuals that older people encounter. This identified complexity reinforces the need for policy responses that may not necessarily involve design or retrofit measures, but instead might challenge perceptions and behaviors of use and access to urban space. Our co-design results further highlight that solutions need to move beyond the generic and placeless, instead embedding specific locally relevant solutions in inherently geographical spaces, populations and processes to ensure they relate to the intricacies of place.","author":[{"dropping-particle":"","family":"Cinderby","given":"Steve","non-dropping-particle":"","parse-names":false,"suffix":""},{"dropping-particle":"","family":"Cambridge","given":"Howard","non-dropping-particle":"","parse-names":false,"suffix":""},{"dropping-particle":"","family":"Attuyer","given":"Katia","non-dropping-particle":"","parse-names":false,"suffix":""},{"dropping-particle":"","family":"Bevan","given":"Mark","non-dropping-particle":"","parse-names":false,"suffix":""},{"dropping-particle":"","family":"Croucher","given":"Karen","non-dropping-particle":"","parse-names":false,"suffix":""},{"dropping-particle":"","family":"Gilroy","given":"Rose","non-dropping-particle":"","parse-names":false,"suffix":""},{"dropping-particle":"","family":"Swallow","given":"David","non-dropping-particle":"","parse-names":false,"suffix":""}],"container-title":"Journal of Urban Health","id":"ITEM-1","issued":{"date-parts":[["2018","4"]]},"page":"20-22","title":"Co-designing Urban Living Solutions to Improve Older People's Mobility and Well-Being","type":"article-journal"},"uris":["http://www.mendeley.com/documents/?uuid=ff6d8ac1-8574-4f3e-9b32-87b56178b0ea"]}],"mendeley":{"formattedCitation":"(Cinderby &lt;i&gt;et al.&lt;/i&gt;, 2018)","plainTextFormattedCitation":"(Cinderby et al., 2018)","previouslyFormattedCitation":"(Cinderby &lt;i&gt;et al.&lt;/i&gt;, 2018)"},"properties":{"noteIndex":0},"schema":"https://github.com/citation-style-language/schema/raw/master/csl-citation.json"}</w:instrText>
      </w:r>
      <w:r>
        <w:fldChar w:fldCharType="separate"/>
      </w:r>
      <w:r>
        <w:rPr>
          <w:noProof/>
        </w:rPr>
        <w:t xml:space="preserve">(Cinderby </w:t>
      </w:r>
      <w:r>
        <w:rPr>
          <w:i/>
          <w:noProof/>
        </w:rPr>
        <w:t>et al.</w:t>
      </w:r>
      <w:r>
        <w:rPr>
          <w:noProof/>
        </w:rPr>
        <w:t>, 2018)</w:t>
      </w:r>
      <w:r>
        <w:fldChar w:fldCharType="end"/>
      </w:r>
      <w:r>
        <w:t xml:space="preserve"> which considers the interaction of:</w:t>
      </w:r>
    </w:p>
    <w:p w14:paraId="2FA2D2F2" w14:textId="70E1EF92" w:rsidR="007A1DFD" w:rsidRDefault="00000000">
      <w:pPr>
        <w:pStyle w:val="ListParagraph"/>
        <w:numPr>
          <w:ilvl w:val="0"/>
          <w:numId w:val="1"/>
        </w:numPr>
      </w:pPr>
      <w:r>
        <w:t>Mobility supporting infrastructure provision and quality</w:t>
      </w:r>
      <w:r w:rsidR="0007500C">
        <w:t>,</w:t>
      </w:r>
    </w:p>
    <w:p w14:paraId="1483552D" w14:textId="03D87C10" w:rsidR="007A1DFD" w:rsidRDefault="00000000">
      <w:pPr>
        <w:pStyle w:val="ListParagraph"/>
        <w:numPr>
          <w:ilvl w:val="0"/>
          <w:numId w:val="1"/>
        </w:numPr>
      </w:pPr>
      <w:r>
        <w:t>Systems and services governing mobility infrastructure use</w:t>
      </w:r>
      <w:r w:rsidR="0007500C">
        <w:t>, and</w:t>
      </w:r>
    </w:p>
    <w:p w14:paraId="0D6748DD" w14:textId="77777777" w:rsidR="007A1DFD" w:rsidRDefault="00000000">
      <w:pPr>
        <w:pStyle w:val="ListParagraph"/>
        <w:numPr>
          <w:ilvl w:val="0"/>
          <w:numId w:val="1"/>
        </w:numPr>
      </w:pPr>
      <w:r>
        <w:t>Mobility infrastructure and systems user’s behaviours.</w:t>
      </w:r>
    </w:p>
    <w:p w14:paraId="4E62EB86" w14:textId="2633309F" w:rsidR="007A1DFD" w:rsidRDefault="00000000">
      <w:r>
        <w:t xml:space="preserve">We </w:t>
      </w:r>
      <w:r w:rsidR="00097BC4">
        <w:t xml:space="preserve">further </w:t>
      </w:r>
      <w:r>
        <w:t>link</w:t>
      </w:r>
      <w:r w:rsidR="00097BC4">
        <w:t>ed</w:t>
      </w:r>
      <w:r>
        <w:t xml:space="preserve"> the issues of mobility and wellbeing to Shah et al. (2015) framework of inclusion relevant to SDG</w:t>
      </w:r>
      <w:r w:rsidR="005D4882">
        <w:t xml:space="preserve"> </w:t>
      </w:r>
      <w:r>
        <w:t xml:space="preserve">11 along the triangulating axes of: </w:t>
      </w:r>
    </w:p>
    <w:p w14:paraId="43F25815" w14:textId="1F31ADD7" w:rsidR="007A1DFD" w:rsidRDefault="00000000">
      <w:pPr>
        <w:pStyle w:val="ListParagraph"/>
        <w:numPr>
          <w:ilvl w:val="0"/>
          <w:numId w:val="2"/>
        </w:numPr>
      </w:pPr>
      <w:r>
        <w:t xml:space="preserve">Spatial inclusion - the geographic equity of mobility and access to services and urban infrastructure </w:t>
      </w:r>
    </w:p>
    <w:p w14:paraId="432A06C1" w14:textId="6F805E0B" w:rsidR="007A1DFD" w:rsidRDefault="00000000">
      <w:pPr>
        <w:pStyle w:val="ListParagraph"/>
        <w:numPr>
          <w:ilvl w:val="0"/>
          <w:numId w:val="2"/>
        </w:numPr>
      </w:pPr>
      <w:r>
        <w:t>Social inclusion - the social equity of inclusion of mobility and access</w:t>
      </w:r>
      <w:r w:rsidR="0007500C">
        <w:t>, and</w:t>
      </w:r>
    </w:p>
    <w:p w14:paraId="3E51EDE2" w14:textId="77777777" w:rsidR="007A1DFD" w:rsidRDefault="00000000">
      <w:pPr>
        <w:pStyle w:val="ListParagraph"/>
        <w:numPr>
          <w:ilvl w:val="0"/>
          <w:numId w:val="2"/>
        </w:numPr>
      </w:pPr>
      <w:r>
        <w:t xml:space="preserve">Economic inclusion - accessibility of livelihood, education, and skills development. </w:t>
      </w:r>
    </w:p>
    <w:p w14:paraId="55E20697" w14:textId="6705C79A" w:rsidR="007A1DFD" w:rsidRDefault="00000000" w:rsidP="00000984">
      <w:r>
        <w:t>Finally, we connected these concepts</w:t>
      </w:r>
      <w:r w:rsidR="00690C12">
        <w:t xml:space="preserve"> of mobility affordance and inclusion</w:t>
      </w:r>
      <w:r>
        <w:t xml:space="preserve"> to their impacts on different dimensions of wellbeing. The complexity of wellbeing means its components cannot be discretely tied to specific individual dimensions of affordance or inclusion, instead these factors interact to either support objective, subjective or physiological aspects. For example, provision of infrastructure enables mobility that can support employment</w:t>
      </w:r>
      <w:r w:rsidR="005D4882">
        <w:t>, thereby</w:t>
      </w:r>
      <w:r>
        <w:t xml:space="preserve"> delivering objective wellbeing and economic inclusion</w:t>
      </w:r>
      <w:r w:rsidR="005D4882">
        <w:t>.</w:t>
      </w:r>
      <w:r w:rsidR="00942132">
        <w:t xml:space="preserve"> </w:t>
      </w:r>
      <w:r w:rsidR="005D4882">
        <w:t>H</w:t>
      </w:r>
      <w:r>
        <w:t>owever, if the improved infrastructure</w:t>
      </w:r>
      <w:r w:rsidR="005D4882">
        <w:t xml:space="preserve"> -</w:t>
      </w:r>
      <w:r>
        <w:t xml:space="preserve"> and the way it is operated and used </w:t>
      </w:r>
      <w:r w:rsidR="005D4882">
        <w:t>-</w:t>
      </w:r>
      <w:r w:rsidR="00821040">
        <w:t xml:space="preserve"> also</w:t>
      </w:r>
      <w:r w:rsidR="005D4882">
        <w:t xml:space="preserve"> </w:t>
      </w:r>
      <w:r>
        <w:t>makes travelling safer, more enjoyable</w:t>
      </w:r>
      <w:r w:rsidR="00821040">
        <w:t>,</w:t>
      </w:r>
      <w:r>
        <w:t xml:space="preserve"> or enables social interactions</w:t>
      </w:r>
      <w:r w:rsidR="00821040">
        <w:t>,</w:t>
      </w:r>
      <w:r>
        <w:t xml:space="preserve"> </w:t>
      </w:r>
      <w:r w:rsidR="00821040">
        <w:t>it</w:t>
      </w:r>
      <w:r>
        <w:t xml:space="preserve"> </w:t>
      </w:r>
      <w:r w:rsidR="0076133D">
        <w:t>will support</w:t>
      </w:r>
      <w:r>
        <w:t xml:space="preserve"> subjective and physiological benefits alongside potentially reinforcing the safety dimension of objective </w:t>
      </w:r>
      <w:r w:rsidR="00000984">
        <w:t>w</w:t>
      </w:r>
      <w:r>
        <w:t>ellbeing.</w:t>
      </w:r>
    </w:p>
    <w:p w14:paraId="6DB79EBB" w14:textId="77777777" w:rsidR="00000984" w:rsidRDefault="00000984">
      <w:pPr>
        <w:pStyle w:val="Caption"/>
      </w:pPr>
    </w:p>
    <w:p w14:paraId="362F2106" w14:textId="38516146" w:rsidR="007A1DFD" w:rsidRDefault="00000984">
      <w:pPr>
        <w:pStyle w:val="Caption"/>
      </w:pPr>
      <w:r>
        <w:rPr>
          <w:noProof/>
        </w:rPr>
        <w:lastRenderedPageBreak/>
        <w:drawing>
          <wp:inline distT="0" distB="0" distL="0" distR="0" wp14:anchorId="250D7F4A" wp14:editId="11D910F4">
            <wp:extent cx="6283756" cy="6059373"/>
            <wp:effectExtent l="0" t="0" r="3175" b="0"/>
            <wp:docPr id="1216574938" name="Picture 1" descr="Diagram showing the interactions of mobility affordance with inclusion factors and how they interact with subjective, objective and physiological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574938" name="Picture 1" descr="Diagram showing the interactions of mobility affordance with inclusion factors and how they interact with subjective, objective and physiological wellbeing."/>
                    <pic:cNvPicPr>
                      <a:picLocks noChangeAspect="1"/>
                    </pic:cNvPicPr>
                  </pic:nvPicPr>
                  <pic:blipFill>
                    <a:blip r:embed="rId10"/>
                    <a:srcRect l="20783" r="20885"/>
                    <a:stretch>
                      <a:fillRect/>
                    </a:stretch>
                  </pic:blipFill>
                  <pic:spPr>
                    <a:xfrm>
                      <a:off x="0" y="0"/>
                      <a:ext cx="6352519" cy="6125680"/>
                    </a:xfrm>
                    <a:prstGeom prst="rect">
                      <a:avLst/>
                    </a:prstGeom>
                    <a:ln>
                      <a:noFill/>
                    </a:ln>
                  </pic:spPr>
                </pic:pic>
              </a:graphicData>
            </a:graphic>
          </wp:inline>
        </w:drawing>
      </w:r>
      <w:r w:rsidR="00000000">
        <w:t xml:space="preserve">Figure </w:t>
      </w:r>
      <w:r w:rsidR="00000000">
        <w:fldChar w:fldCharType="begin"/>
      </w:r>
      <w:r w:rsidR="00000000">
        <w:instrText xml:space="preserve"> SEQ Figure \* ARABIC </w:instrText>
      </w:r>
      <w:r w:rsidR="00000000">
        <w:fldChar w:fldCharType="separate"/>
      </w:r>
      <w:r w:rsidR="00000000">
        <w:t>2</w:t>
      </w:r>
      <w:r w:rsidR="00000000">
        <w:fldChar w:fldCharType="end"/>
      </w:r>
      <w:r w:rsidR="00000000">
        <w:t xml:space="preserve"> Interacting frameworks assessing the affordance, equity and wellbeing implications of mobility provision, governance and operation (after (Shah et al., 2015; Cinderby et al., 2018)).</w:t>
      </w:r>
    </w:p>
    <w:p w14:paraId="5AB47A66" w14:textId="0C9E9806" w:rsidR="007A1DFD" w:rsidRDefault="00000000">
      <w:pPr>
        <w:pStyle w:val="Heading2"/>
      </w:pPr>
      <w:r>
        <w:t xml:space="preserve">Data </w:t>
      </w:r>
      <w:r w:rsidR="00821040">
        <w:t>c</w:t>
      </w:r>
      <w:r>
        <w:t xml:space="preserve">ollection </w:t>
      </w:r>
      <w:r w:rsidR="00821040">
        <w:t>m</w:t>
      </w:r>
      <w:r>
        <w:t>ethods</w:t>
      </w:r>
    </w:p>
    <w:p w14:paraId="26B9E2FE" w14:textId="45EAB5BF" w:rsidR="007A1DFD" w:rsidRDefault="00000000">
      <w:r>
        <w:t>To assess the interactions of these multiple dimensions of mobility on wellbeing, we used a mixed methods approach aimed at robustly characterising both the physiological and psychological impacts of urban commutes and other important daily trips on participants. Two themes of data were collected</w:t>
      </w:r>
      <w:r w:rsidR="00942132">
        <w:t>:</w:t>
      </w:r>
      <w:r>
        <w:t xml:space="preserve"> </w:t>
      </w:r>
      <w:r w:rsidR="006C58B4">
        <w:t xml:space="preserve">the </w:t>
      </w:r>
      <w:r>
        <w:t xml:space="preserve">first </w:t>
      </w:r>
      <w:r w:rsidR="006C58B4">
        <w:t xml:space="preserve">set </w:t>
      </w:r>
      <w:r>
        <w:t>explored how infrastructure and mobility interacted in space and time</w:t>
      </w:r>
      <w:r>
        <w:rPr>
          <w:lang w:val="en-US"/>
        </w:rPr>
        <w:t>;</w:t>
      </w:r>
      <w:r>
        <w:t xml:space="preserve"> </w:t>
      </w:r>
      <w:r w:rsidR="006C58B4">
        <w:t>while</w:t>
      </w:r>
      <w:r w:rsidR="00942132">
        <w:t xml:space="preserve"> </w:t>
      </w:r>
      <w:r>
        <w:rPr>
          <w:lang w:val="en-US"/>
        </w:rPr>
        <w:t>t</w:t>
      </w:r>
      <w:r>
        <w:t xml:space="preserve">he second </w:t>
      </w:r>
      <w:r w:rsidR="006C58B4">
        <w:t xml:space="preserve">examined </w:t>
      </w:r>
      <w:r>
        <w:t>in more detail the impact of mobility on health and wellbeing.</w:t>
      </w:r>
    </w:p>
    <w:p w14:paraId="6D518DB4" w14:textId="3B3AD314" w:rsidR="007A1DFD" w:rsidRDefault="00000000">
      <w:pPr>
        <w:pStyle w:val="Heading3"/>
      </w:pPr>
      <w:r>
        <w:t xml:space="preserve">Participatory </w:t>
      </w:r>
      <w:r w:rsidR="00821040">
        <w:t>m</w:t>
      </w:r>
      <w:r>
        <w:t>apping</w:t>
      </w:r>
    </w:p>
    <w:p w14:paraId="72E64F27" w14:textId="584B4829" w:rsidR="007A1DFD" w:rsidRDefault="00000000">
      <w:r>
        <w:t>Recognising that mobility is a spatial concept</w:t>
      </w:r>
      <w:r w:rsidR="006C58B4">
        <w:t>,</w:t>
      </w:r>
      <w:r>
        <w:t xml:space="preserve"> we aimed to work with</w:t>
      </w:r>
      <w:r w:rsidR="00CA22BB">
        <w:t xml:space="preserve"> a minimum of </w:t>
      </w:r>
      <w:r>
        <w:t xml:space="preserve">60 individuals (30 in each city) using participatory GIS (PGIS) mapping approaches </w:t>
      </w:r>
      <w:r>
        <w:fldChar w:fldCharType="begin" w:fldLock="1"/>
      </w:r>
      <w:r>
        <w:instrText>ADDIN CSL_CITATION {"citationItems":[{"id":"ITEM-1","itemData":{"DOI":"10.1080/13549830701803265","ISSN":"1354-9839","abstract":"Participatory GIS (geographic information systems) is designed to use community mapping exercises to produce spatial representations of local knowledge. The ideals of Participatory GIS revolve around the concept of public participation in the use of spatial data leading to increased community involvement in policy-setting and decision-making (Weiner et al., Community participation and geographic information systems, in: Craig et al., Community participation and geographic information systems, London: Taylor &amp; Francis, 2002). This paper reports on findings from two case studies, one relating to assessments of air quality and how Participatory GIS has been used in the UK to improve local government policy, and the second on assessments of noise pollution. It concludes by discussing a caveat on the use of Participatory GIS for environmental governance, which is that, ideally, only issues on which participants are likely to have direct experiential knowledge should be targeted.","author":[{"dropping-particle":"","family":"Cinderby","given":"Steve","non-dropping-particle":"","parse-names":false,"suffix":""},{"dropping-particle":"","family":"Snell","given":"Carolyn","non-dropping-particle":"","parse-names":false,"suffix":""},{"dropping-particle":"","family":"Forrester","given":"John","non-dropping-particle":"","parse-names":false,"suffix":""}],"container-title":"Local Environment","id":"ITEM-1","issue":"4","issued":{"date-parts":[["2008","6"]]},"page":"309-320","title":"Participatory GIS and its application in governance: the example of air quality and the implications for noise pollution","type":"article-journal","volume":"13"},"uris":["http://www.mendeley.com/documents/?uuid=1f04e93f-fa30-4f4d-a74a-f9dae1b494a6"]},{"id":"ITEM-2","itemData":{"DOI":"10.1007/s11524-018-0232-z","ISSN":"1468-2869","abstract":"Mobility is a key aspect of active ageing enabling participation and autonomy into later life. Remaining active brings multiple physical but also social benefits leading to higher levels of well-being. With globally increasing levels of urbanisation alongside demographic shifts meaning in many parts of the world this urban population will be older people, the challenge is how cities should evolve to enable so-called active ageing. This paper reports on a co-design study with 117 participants investigating the interaction of existing urban spaces and infrastructure on mobility and well-being for older residents (aged 55{\\thinspace}+ years) in three cities. A mixed method approach was trialled to identify locations beneficial to subjective well-being and participant-led solutions to urban mobility challenges. Spatial analysis was used to identify key underlying factors in locations and infrastructure that promoted or compromised mobility and well-being for participants. Co-designed solutions were assessed for acceptability or co-benefits amongst a wider cross-section of urban residents (n{\\thinspace}={\\thinspace}233) using online and face-to-face surveys in each conurbation. Our analysis identified three critical intersecting and interacting thematic problems for urban mobility amongst older people: The quality of physical infrastructure; issues around the delivery, governance and quality of urban systems and services; and the attitudes and behaviors of individuals that older people encounter. This identified complexity reinforces the need for policy responses that may not necessarily involve design or retrofit measures, but instead might challenge perceptions and behaviors of use and access to urban space. Our co-design results further highlight that solutions need to move beyond the generic and placeless, instead embedding specific locally relevant solutions in inherently geographical spaces, populations and processes to ensure they relate to the intricacies of place.","author":[{"dropping-particle":"","family":"Cinderby","given":"Steve","non-dropping-particle":"","parse-names":false,"suffix":""},{"dropping-particle":"","family":"Cambridge","given":"Howard","non-dropping-particle":"","parse-names":false,"suffix":""},{"dropping-particle":"","family":"Attuyer","given":"Katia","non-dropping-particle":"","parse-names":false,"suffix":""},{"dropping-particle":"","family":"Bevan","given":"Mark","non-dropping-particle":"","parse-names":false,"suffix":""},{"dropping-particle":"","family":"Croucher","given":"Karen","non-dropping-particle":"","parse-names":false,"suffix":""},{"dropping-particle":"","family":"Gilroy","given":"Rose","non-dropping-particle":"","parse-names":false,"suffix":""},{"dropping-particle":"","family":"Swallow","given":"David","non-dropping-particle":"","parse-names":false,"suffix":""}],"container-title":"Journal of Urban Health","id":"ITEM-2","issued":{"date-parts":[["2018","4"]]},"page":"20-22","title":"Co-designing Urban Living Solutions to Improve Older People's Mobility and Well-Being","type":"article-journal"},"uris":["http://www.mendeley.com/documents/?uuid=ff6d8ac1-8574-4f3e-9b32-87b56178b0ea"]}],"mendeley":{"formattedCitation":"(Cinderby, Snell and Forrester, 2008; Cinderby &lt;i&gt;et al.&lt;/i&gt;, 2018)","plainTextFormattedCitation":"(Cinderby, Snell and Forrester, 2008; Cinderby et al., 2018)","previouslyFormattedCitation":"(Cinderby, Snell and Forrester, 2008; Cinderby &lt;i&gt;et al.&lt;/i&gt;, 2018)"},"properties":{"noteIndex":0},"schema":"https://github.com/citation-style-language/schema/raw/master/csl-citation.json"}</w:instrText>
      </w:r>
      <w:r>
        <w:fldChar w:fldCharType="separate"/>
      </w:r>
      <w:r>
        <w:rPr>
          <w:noProof/>
        </w:rPr>
        <w:t xml:space="preserve">(Cinderby, Snell and Forrester, 2008; Cinderby </w:t>
      </w:r>
      <w:r>
        <w:rPr>
          <w:i/>
          <w:noProof/>
        </w:rPr>
        <w:t>et al.</w:t>
      </w:r>
      <w:r>
        <w:rPr>
          <w:noProof/>
        </w:rPr>
        <w:t>, 2018)</w:t>
      </w:r>
      <w:r>
        <w:fldChar w:fldCharType="end"/>
      </w:r>
      <w:r>
        <w:t xml:space="preserve"> to understand their travel demands and interactions with dimensions of our intersecting assessment framework (figure 2). We developed a focus group PGIS methodology to map individuals’ journey routes for important or regular trips and the challenges faced en-route, for a cross-section of users (including vulnerable groups, women and men, and different ages including children)</w:t>
      </w:r>
      <w:r w:rsidR="00CA22BB">
        <w:t xml:space="preserve"> (see table 1)</w:t>
      </w:r>
      <w:r>
        <w:t xml:space="preserve">. This included capturing their journey experiences (both positive and negative). The mapping was enhanced by collecting a smaller sample of representative digital stories </w:t>
      </w:r>
      <w:r w:rsidR="005B68AE">
        <w:fldChar w:fldCharType="begin" w:fldLock="1"/>
      </w:r>
      <w:r w:rsidR="00D01726">
        <w:instrText>ADDIN CSL_CITATION {"citationItems":[{"id":"ITEM-1","itemData":{"ISBN":"9788527729833","abstract":"Developing inclusive mobility solutions and climate resilient transport infrastructure is a challenge experienced in many African cities. This guidance is aimed at two main audiences relevant to solving the transport challenge: African transport planners and decision-makers; and representatives of disadvantaged groups who feel excluded from current transport policymaking and planning. It summarises key concepts around transport inclusion, participation, and climate change. It introduces selected creative methods that can give a voice to disadvantaged groups. It also provides practical step-by-step information on how and when to use the various methods, supported by inspiring case studies from Africa and around the world. These creative methods can be used to support existing transport planning processes to improve outcomes and deliver more inclusive and climate resilient transport in Africa.","author":[{"dropping-particle":"","family":"Haq","given":"Gary","non-dropping-particle":"","parse-names":false,"suffix":""},{"dropping-particle":"","family":"Cinderby","given":"Steve","non-dropping-particle":"","parse-names":false,"suffix":""},{"dropping-particle":"","family":"Opiyo","given":"Romanus Otieno","non-dropping-particle":"","parse-names":false,"suffix":""},{"dropping-particle":"","family":"Muhoza","given":"Cassilde","non-dropping-particle":"","parse-names":false,"suffix":""},{"dropping-particle":"","family":"Cambridge","given":"Howard","non-dropping-particle":"","parse-names":false,"suffix":""}],"id":"ITEM-1","issued":{"date-parts":[["2022"]]},"number-of-pages":"1-48","publisher-place":"Stockholm","title":"Using creative participatory approaches for inclusive climate resilient transport in Africa: Guidelines for practitioners","type":"report"},"uris":["http://www.mendeley.com/documents/?uuid=8958d501-7131-4adc-9a12-cff61d9a05d2"]}],"mendeley":{"formattedCitation":"(Haq &lt;i&gt;et al.&lt;/i&gt;, 2022)","plainTextFormattedCitation":"(Haq et al., 2022)","previouslyFormattedCitation":"(Haq &lt;i&gt;et al.&lt;/i&gt;, 2022)"},"properties":{"noteIndex":0},"schema":"https://github.com/citation-style-language/schema/raw/master/csl-citation.json"}</w:instrText>
      </w:r>
      <w:r w:rsidR="005B68AE">
        <w:fldChar w:fldCharType="separate"/>
      </w:r>
      <w:r w:rsidR="005B68AE" w:rsidRPr="005B68AE">
        <w:rPr>
          <w:noProof/>
        </w:rPr>
        <w:t xml:space="preserve">(Haq </w:t>
      </w:r>
      <w:r w:rsidR="005B68AE" w:rsidRPr="005B68AE">
        <w:rPr>
          <w:i/>
          <w:noProof/>
        </w:rPr>
        <w:t>et al.</w:t>
      </w:r>
      <w:r w:rsidR="005B68AE" w:rsidRPr="005B68AE">
        <w:rPr>
          <w:noProof/>
        </w:rPr>
        <w:t xml:space="preserve">, </w:t>
      </w:r>
      <w:r w:rsidR="005B68AE" w:rsidRPr="005B68AE">
        <w:rPr>
          <w:noProof/>
        </w:rPr>
        <w:lastRenderedPageBreak/>
        <w:t>2022)</w:t>
      </w:r>
      <w:r w:rsidR="005B68AE">
        <w:fldChar w:fldCharType="end"/>
      </w:r>
      <w:r w:rsidR="005B68AE">
        <w:t xml:space="preserve"> </w:t>
      </w:r>
      <w:r>
        <w:t>using still imagery and video to better understand the temporal dimensions of commuting and how mobility</w:t>
      </w:r>
      <w:r w:rsidR="00AB1288">
        <w:t xml:space="preserve"> affordance</w:t>
      </w:r>
      <w:r>
        <w:t xml:space="preserve"> affected participants. </w:t>
      </w:r>
      <w:bookmarkStart w:id="4" w:name="_Hlk190160281"/>
      <w:r>
        <w:t>These</w:t>
      </w:r>
      <w:r w:rsidR="00661BC2">
        <w:t xml:space="preserve"> additional materials</w:t>
      </w:r>
      <w:r>
        <w:t xml:space="preserve"> were analysed to </w:t>
      </w:r>
      <w:r w:rsidR="00661BC2">
        <w:t xml:space="preserve">supplement the identification of </w:t>
      </w:r>
      <w:r>
        <w:t>factors supporting or undermining mobility affordances and wellbeing for different types of residents</w:t>
      </w:r>
      <w:r w:rsidR="00661BC2">
        <w:t xml:space="preserve"> that </w:t>
      </w:r>
      <w:r w:rsidR="006C58B4">
        <w:t xml:space="preserve">had </w:t>
      </w:r>
      <w:r w:rsidR="00661BC2">
        <w:t>been identified from the mapping</w:t>
      </w:r>
      <w:r>
        <w:t>.</w:t>
      </w:r>
    </w:p>
    <w:bookmarkEnd w:id="4"/>
    <w:p w14:paraId="1BDBE3A8" w14:textId="311C571C" w:rsidR="007A1DFD" w:rsidRDefault="00000000">
      <w:pPr>
        <w:pStyle w:val="Caption"/>
        <w:keepNext/>
      </w:pPr>
      <w:r>
        <w:t xml:space="preserve">Table </w:t>
      </w:r>
      <w:r>
        <w:fldChar w:fldCharType="begin"/>
      </w:r>
      <w:r>
        <w:instrText xml:space="preserve"> SEQ Table \* ARABIC </w:instrText>
      </w:r>
      <w:r>
        <w:fldChar w:fldCharType="separate"/>
      </w:r>
      <w:r>
        <w:t>1</w:t>
      </w:r>
      <w:r>
        <w:fldChar w:fldCharType="end"/>
      </w:r>
      <w:r>
        <w:t xml:space="preserve"> Participatory mapping participant numbers by gender, neighbourhood [Note: Numbers in () indicates a self-declared physical disability that impacts their mobility</w:t>
      </w:r>
      <w:r w:rsidR="00D63536">
        <w:t>]</w:t>
      </w:r>
    </w:p>
    <w:tbl>
      <w:tblPr>
        <w:tblStyle w:val="PlainTable3"/>
        <w:tblW w:w="0" w:type="auto"/>
        <w:tblLook w:val="04A0" w:firstRow="1" w:lastRow="0" w:firstColumn="1" w:lastColumn="0" w:noHBand="0" w:noVBand="1"/>
      </w:tblPr>
      <w:tblGrid>
        <w:gridCol w:w="1154"/>
        <w:gridCol w:w="868"/>
        <w:gridCol w:w="908"/>
        <w:gridCol w:w="1020"/>
        <w:gridCol w:w="1020"/>
        <w:gridCol w:w="1020"/>
        <w:gridCol w:w="1020"/>
        <w:gridCol w:w="1020"/>
        <w:gridCol w:w="623"/>
        <w:gridCol w:w="809"/>
      </w:tblGrid>
      <w:tr w:rsidR="0076133D" w14:paraId="5A1D14A1" w14:textId="77777777" w:rsidTr="007613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14:paraId="213AF65E" w14:textId="77777777" w:rsidR="007A1DFD" w:rsidRDefault="007A1DFD">
            <w:pPr>
              <w:spacing w:after="0" w:line="240" w:lineRule="auto"/>
              <w:rPr>
                <w:b w:val="0"/>
                <w:bCs w:val="0"/>
              </w:rPr>
            </w:pPr>
          </w:p>
        </w:tc>
        <w:tc>
          <w:tcPr>
            <w:tcW w:w="0" w:type="auto"/>
          </w:tcPr>
          <w:p w14:paraId="70C6A58A"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Age</w:t>
            </w:r>
          </w:p>
        </w:tc>
        <w:tc>
          <w:tcPr>
            <w:tcW w:w="0" w:type="auto"/>
          </w:tcPr>
          <w:p w14:paraId="422F57CE"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7 to 19</w:t>
            </w:r>
          </w:p>
        </w:tc>
        <w:tc>
          <w:tcPr>
            <w:tcW w:w="0" w:type="auto"/>
          </w:tcPr>
          <w:p w14:paraId="2D48442B"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20 to 29</w:t>
            </w:r>
          </w:p>
        </w:tc>
        <w:tc>
          <w:tcPr>
            <w:tcW w:w="0" w:type="auto"/>
          </w:tcPr>
          <w:p w14:paraId="486BE04A"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30 to 39</w:t>
            </w:r>
          </w:p>
        </w:tc>
        <w:tc>
          <w:tcPr>
            <w:tcW w:w="0" w:type="auto"/>
          </w:tcPr>
          <w:p w14:paraId="6D885956"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40 to 49</w:t>
            </w:r>
          </w:p>
        </w:tc>
        <w:tc>
          <w:tcPr>
            <w:tcW w:w="0" w:type="auto"/>
          </w:tcPr>
          <w:p w14:paraId="22D82C02"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50 to 59</w:t>
            </w:r>
          </w:p>
        </w:tc>
        <w:tc>
          <w:tcPr>
            <w:tcW w:w="0" w:type="auto"/>
          </w:tcPr>
          <w:p w14:paraId="35D55BCD"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60 to 69</w:t>
            </w:r>
          </w:p>
        </w:tc>
        <w:tc>
          <w:tcPr>
            <w:tcW w:w="0" w:type="auto"/>
          </w:tcPr>
          <w:p w14:paraId="1767481E"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70+</w:t>
            </w:r>
          </w:p>
        </w:tc>
        <w:tc>
          <w:tcPr>
            <w:tcW w:w="0" w:type="auto"/>
          </w:tcPr>
          <w:p w14:paraId="1E5C4725"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Total</w:t>
            </w:r>
          </w:p>
        </w:tc>
      </w:tr>
      <w:tr w:rsidR="0076133D" w14:paraId="0F71E339" w14:textId="77777777" w:rsidTr="00761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FFFFFF" w:themeFill="background1"/>
          </w:tcPr>
          <w:p w14:paraId="17512EC8" w14:textId="77777777" w:rsidR="007A1DFD" w:rsidRPr="0076133D" w:rsidRDefault="00000000">
            <w:pPr>
              <w:spacing w:after="0" w:line="240" w:lineRule="auto"/>
              <w:rPr>
                <w:b w:val="0"/>
                <w:bCs w:val="0"/>
              </w:rPr>
            </w:pPr>
            <w:r w:rsidRPr="0076133D">
              <w:t>Mathare</w:t>
            </w:r>
          </w:p>
        </w:tc>
        <w:tc>
          <w:tcPr>
            <w:tcW w:w="0" w:type="auto"/>
            <w:shd w:val="clear" w:color="auto" w:fill="FFFFFF" w:themeFill="background1"/>
          </w:tcPr>
          <w:p w14:paraId="28AD3E67"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Female</w:t>
            </w:r>
          </w:p>
        </w:tc>
        <w:tc>
          <w:tcPr>
            <w:tcW w:w="0" w:type="auto"/>
            <w:shd w:val="clear" w:color="auto" w:fill="FFFFFF" w:themeFill="background1"/>
          </w:tcPr>
          <w:p w14:paraId="3FD0EAB8"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6 (1)</w:t>
            </w:r>
          </w:p>
        </w:tc>
        <w:tc>
          <w:tcPr>
            <w:tcW w:w="0" w:type="auto"/>
            <w:shd w:val="clear" w:color="auto" w:fill="FFFFFF" w:themeFill="background1"/>
          </w:tcPr>
          <w:p w14:paraId="4CC96371"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0</w:t>
            </w:r>
          </w:p>
        </w:tc>
        <w:tc>
          <w:tcPr>
            <w:tcW w:w="0" w:type="auto"/>
            <w:shd w:val="clear" w:color="auto" w:fill="FFFFFF" w:themeFill="background1"/>
          </w:tcPr>
          <w:p w14:paraId="64F8D4A5"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2</w:t>
            </w:r>
          </w:p>
        </w:tc>
        <w:tc>
          <w:tcPr>
            <w:tcW w:w="0" w:type="auto"/>
            <w:shd w:val="clear" w:color="auto" w:fill="FFFFFF" w:themeFill="background1"/>
          </w:tcPr>
          <w:p w14:paraId="39029BAD"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3 (1)</w:t>
            </w:r>
          </w:p>
        </w:tc>
        <w:tc>
          <w:tcPr>
            <w:tcW w:w="0" w:type="auto"/>
            <w:shd w:val="clear" w:color="auto" w:fill="FFFFFF" w:themeFill="background1"/>
          </w:tcPr>
          <w:p w14:paraId="341B1E9B"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 xml:space="preserve">3 (2) </w:t>
            </w:r>
          </w:p>
        </w:tc>
        <w:tc>
          <w:tcPr>
            <w:tcW w:w="0" w:type="auto"/>
            <w:shd w:val="clear" w:color="auto" w:fill="FFFFFF" w:themeFill="background1"/>
          </w:tcPr>
          <w:p w14:paraId="1E1019F6"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1 (1)</w:t>
            </w:r>
          </w:p>
        </w:tc>
        <w:tc>
          <w:tcPr>
            <w:tcW w:w="0" w:type="auto"/>
            <w:shd w:val="clear" w:color="auto" w:fill="FFFFFF" w:themeFill="background1"/>
          </w:tcPr>
          <w:p w14:paraId="5744F831" w14:textId="77777777" w:rsidR="007A1DFD" w:rsidRPr="0076133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3 (3)</w:t>
            </w:r>
          </w:p>
        </w:tc>
        <w:tc>
          <w:tcPr>
            <w:tcW w:w="0" w:type="auto"/>
            <w:shd w:val="clear" w:color="auto" w:fill="FFFFFF" w:themeFill="background1"/>
          </w:tcPr>
          <w:p w14:paraId="190829D6"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rsidRPr="0076133D">
              <w:t>18 (8)</w:t>
            </w:r>
          </w:p>
        </w:tc>
      </w:tr>
      <w:tr w:rsidR="007A1DFD" w14:paraId="5602C97C" w14:textId="77777777" w:rsidTr="006C626D">
        <w:tc>
          <w:tcPr>
            <w:cnfStyle w:val="001000000000" w:firstRow="0" w:lastRow="0" w:firstColumn="1" w:lastColumn="0" w:oddVBand="0" w:evenVBand="0" w:oddHBand="0" w:evenHBand="0" w:firstRowFirstColumn="0" w:firstRowLastColumn="0" w:lastRowFirstColumn="0" w:lastRowLastColumn="0"/>
            <w:tcW w:w="0" w:type="auto"/>
            <w:vMerge/>
          </w:tcPr>
          <w:p w14:paraId="60B06E4C" w14:textId="77777777" w:rsidR="007A1DFD" w:rsidRDefault="007A1DFD">
            <w:pPr>
              <w:spacing w:after="0" w:line="240" w:lineRule="auto"/>
              <w:rPr>
                <w:b w:val="0"/>
                <w:bCs w:val="0"/>
              </w:rPr>
            </w:pPr>
          </w:p>
        </w:tc>
        <w:tc>
          <w:tcPr>
            <w:tcW w:w="0" w:type="auto"/>
          </w:tcPr>
          <w:p w14:paraId="4C27DF75"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Male</w:t>
            </w:r>
          </w:p>
        </w:tc>
        <w:tc>
          <w:tcPr>
            <w:tcW w:w="0" w:type="auto"/>
          </w:tcPr>
          <w:p w14:paraId="15A33B7F"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1</w:t>
            </w:r>
          </w:p>
        </w:tc>
        <w:tc>
          <w:tcPr>
            <w:tcW w:w="0" w:type="auto"/>
          </w:tcPr>
          <w:p w14:paraId="322E2166"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3</w:t>
            </w:r>
          </w:p>
        </w:tc>
        <w:tc>
          <w:tcPr>
            <w:tcW w:w="0" w:type="auto"/>
          </w:tcPr>
          <w:p w14:paraId="2EC40A9E"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3 (1)</w:t>
            </w:r>
          </w:p>
        </w:tc>
        <w:tc>
          <w:tcPr>
            <w:tcW w:w="0" w:type="auto"/>
          </w:tcPr>
          <w:p w14:paraId="31D80A98"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3 (1)</w:t>
            </w:r>
          </w:p>
        </w:tc>
        <w:tc>
          <w:tcPr>
            <w:tcW w:w="0" w:type="auto"/>
          </w:tcPr>
          <w:p w14:paraId="481B2FBA"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3 (1)</w:t>
            </w:r>
          </w:p>
        </w:tc>
        <w:tc>
          <w:tcPr>
            <w:tcW w:w="0" w:type="auto"/>
          </w:tcPr>
          <w:p w14:paraId="00476BDD"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2 (1)</w:t>
            </w:r>
          </w:p>
        </w:tc>
        <w:tc>
          <w:tcPr>
            <w:tcW w:w="0" w:type="auto"/>
          </w:tcPr>
          <w:p w14:paraId="6961A5DA" w14:textId="77777777" w:rsidR="007A1DFD" w:rsidRDefault="007A1DF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0" w:type="auto"/>
          </w:tcPr>
          <w:p w14:paraId="63BFBDF6"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15 (4)</w:t>
            </w:r>
          </w:p>
        </w:tc>
      </w:tr>
      <w:tr w:rsidR="0076133D" w14:paraId="41F7580F" w14:textId="77777777" w:rsidTr="007613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FFFFFF" w:themeFill="background1"/>
          </w:tcPr>
          <w:p w14:paraId="49605854" w14:textId="77777777" w:rsidR="007A1DFD" w:rsidRDefault="00000000">
            <w:pPr>
              <w:spacing w:after="0" w:line="240" w:lineRule="auto"/>
              <w:rPr>
                <w:b w:val="0"/>
                <w:bCs w:val="0"/>
              </w:rPr>
            </w:pPr>
            <w:r>
              <w:t>Likoni</w:t>
            </w:r>
          </w:p>
        </w:tc>
        <w:tc>
          <w:tcPr>
            <w:tcW w:w="0" w:type="auto"/>
            <w:shd w:val="clear" w:color="auto" w:fill="FFFFFF" w:themeFill="background1"/>
          </w:tcPr>
          <w:p w14:paraId="1F26BD0D"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Female</w:t>
            </w:r>
          </w:p>
        </w:tc>
        <w:tc>
          <w:tcPr>
            <w:tcW w:w="0" w:type="auto"/>
            <w:shd w:val="clear" w:color="auto" w:fill="FFFFFF" w:themeFill="background1"/>
          </w:tcPr>
          <w:p w14:paraId="32EEF04C"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3</w:t>
            </w:r>
          </w:p>
        </w:tc>
        <w:tc>
          <w:tcPr>
            <w:tcW w:w="0" w:type="auto"/>
            <w:shd w:val="clear" w:color="auto" w:fill="FFFFFF" w:themeFill="background1"/>
          </w:tcPr>
          <w:p w14:paraId="138562D0"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3 (1)</w:t>
            </w:r>
          </w:p>
        </w:tc>
        <w:tc>
          <w:tcPr>
            <w:tcW w:w="0" w:type="auto"/>
            <w:shd w:val="clear" w:color="auto" w:fill="FFFFFF" w:themeFill="background1"/>
          </w:tcPr>
          <w:p w14:paraId="7F2C78CF"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6 (3)</w:t>
            </w:r>
          </w:p>
        </w:tc>
        <w:tc>
          <w:tcPr>
            <w:tcW w:w="0" w:type="auto"/>
            <w:shd w:val="clear" w:color="auto" w:fill="FFFFFF" w:themeFill="background1"/>
          </w:tcPr>
          <w:p w14:paraId="6823A6B1"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2 (2)</w:t>
            </w:r>
          </w:p>
        </w:tc>
        <w:tc>
          <w:tcPr>
            <w:tcW w:w="0" w:type="auto"/>
            <w:shd w:val="clear" w:color="auto" w:fill="FFFFFF" w:themeFill="background1"/>
          </w:tcPr>
          <w:p w14:paraId="3ABEBA21"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2 (1)</w:t>
            </w:r>
          </w:p>
        </w:tc>
        <w:tc>
          <w:tcPr>
            <w:tcW w:w="0" w:type="auto"/>
            <w:shd w:val="clear" w:color="auto" w:fill="FFFFFF" w:themeFill="background1"/>
          </w:tcPr>
          <w:p w14:paraId="0D5A4C5D"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1</w:t>
            </w:r>
          </w:p>
        </w:tc>
        <w:tc>
          <w:tcPr>
            <w:tcW w:w="0" w:type="auto"/>
            <w:shd w:val="clear" w:color="auto" w:fill="FFFFFF" w:themeFill="background1"/>
          </w:tcPr>
          <w:p w14:paraId="2DBF72B3" w14:textId="77777777" w:rsidR="007A1DFD" w:rsidRDefault="007A1DFD">
            <w:pPr>
              <w:spacing w:after="0" w:line="240" w:lineRule="auto"/>
              <w:cnfStyle w:val="000000100000" w:firstRow="0" w:lastRow="0" w:firstColumn="0" w:lastColumn="0" w:oddVBand="0" w:evenVBand="0" w:oddHBand="1" w:evenHBand="0" w:firstRowFirstColumn="0" w:firstRowLastColumn="0" w:lastRowFirstColumn="0" w:lastRowLastColumn="0"/>
            </w:pPr>
          </w:p>
        </w:tc>
        <w:tc>
          <w:tcPr>
            <w:tcW w:w="0" w:type="auto"/>
            <w:shd w:val="clear" w:color="auto" w:fill="FFFFFF" w:themeFill="background1"/>
          </w:tcPr>
          <w:p w14:paraId="45BAE55E"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17 (7)</w:t>
            </w:r>
          </w:p>
        </w:tc>
      </w:tr>
      <w:tr w:rsidR="007A1DFD" w14:paraId="3B1B7BE0" w14:textId="77777777" w:rsidTr="006C626D">
        <w:tc>
          <w:tcPr>
            <w:cnfStyle w:val="001000000000" w:firstRow="0" w:lastRow="0" w:firstColumn="1" w:lastColumn="0" w:oddVBand="0" w:evenVBand="0" w:oddHBand="0" w:evenHBand="0" w:firstRowFirstColumn="0" w:firstRowLastColumn="0" w:lastRowFirstColumn="0" w:lastRowLastColumn="0"/>
            <w:tcW w:w="0" w:type="auto"/>
            <w:vMerge/>
          </w:tcPr>
          <w:p w14:paraId="04ABE870" w14:textId="77777777" w:rsidR="007A1DFD" w:rsidRDefault="007A1DFD">
            <w:pPr>
              <w:spacing w:after="0" w:line="240" w:lineRule="auto"/>
              <w:rPr>
                <w:b w:val="0"/>
                <w:bCs w:val="0"/>
              </w:rPr>
            </w:pPr>
          </w:p>
        </w:tc>
        <w:tc>
          <w:tcPr>
            <w:tcW w:w="0" w:type="auto"/>
          </w:tcPr>
          <w:p w14:paraId="5200B51A"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Male</w:t>
            </w:r>
          </w:p>
        </w:tc>
        <w:tc>
          <w:tcPr>
            <w:tcW w:w="0" w:type="auto"/>
          </w:tcPr>
          <w:p w14:paraId="00308AEE"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3</w:t>
            </w:r>
          </w:p>
        </w:tc>
        <w:tc>
          <w:tcPr>
            <w:tcW w:w="0" w:type="auto"/>
          </w:tcPr>
          <w:p w14:paraId="614E6FD3"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2</w:t>
            </w:r>
          </w:p>
        </w:tc>
        <w:tc>
          <w:tcPr>
            <w:tcW w:w="0" w:type="auto"/>
          </w:tcPr>
          <w:p w14:paraId="1924E7AB"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2 (2)</w:t>
            </w:r>
          </w:p>
        </w:tc>
        <w:tc>
          <w:tcPr>
            <w:tcW w:w="0" w:type="auto"/>
          </w:tcPr>
          <w:p w14:paraId="37D85035"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1 (1)</w:t>
            </w:r>
          </w:p>
        </w:tc>
        <w:tc>
          <w:tcPr>
            <w:tcW w:w="0" w:type="auto"/>
          </w:tcPr>
          <w:p w14:paraId="0089C6DE"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2 (1)</w:t>
            </w:r>
          </w:p>
        </w:tc>
        <w:tc>
          <w:tcPr>
            <w:tcW w:w="0" w:type="auto"/>
          </w:tcPr>
          <w:p w14:paraId="409EDC4F"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3 (1)</w:t>
            </w:r>
          </w:p>
        </w:tc>
        <w:tc>
          <w:tcPr>
            <w:tcW w:w="0" w:type="auto"/>
          </w:tcPr>
          <w:p w14:paraId="29769C3E" w14:textId="77777777" w:rsidR="007A1DFD" w:rsidRDefault="007A1DFD">
            <w:pPr>
              <w:spacing w:after="0" w:line="240" w:lineRule="auto"/>
              <w:cnfStyle w:val="000000000000" w:firstRow="0" w:lastRow="0" w:firstColumn="0" w:lastColumn="0" w:oddVBand="0" w:evenVBand="0" w:oddHBand="0" w:evenHBand="0" w:firstRowFirstColumn="0" w:firstRowLastColumn="0" w:lastRowFirstColumn="0" w:lastRowLastColumn="0"/>
            </w:pPr>
          </w:p>
        </w:tc>
        <w:tc>
          <w:tcPr>
            <w:tcW w:w="0" w:type="auto"/>
          </w:tcPr>
          <w:p w14:paraId="4654B7C9"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13 (5)</w:t>
            </w:r>
          </w:p>
        </w:tc>
      </w:tr>
    </w:tbl>
    <w:p w14:paraId="400C9433" w14:textId="77777777" w:rsidR="007A1DFD" w:rsidRDefault="007A1DFD">
      <w:pPr>
        <w:pStyle w:val="Heading3"/>
      </w:pPr>
    </w:p>
    <w:p w14:paraId="207A59A5" w14:textId="77777777" w:rsidR="007A1DFD" w:rsidRDefault="00000000">
      <w:pPr>
        <w:pStyle w:val="Heading3"/>
      </w:pPr>
      <w:r>
        <w:t>Transect Walk Activity</w:t>
      </w:r>
    </w:p>
    <w:p w14:paraId="1354BEB5" w14:textId="09CB4924" w:rsidR="007A1DFD" w:rsidRDefault="00ED6424">
      <w:r>
        <w:t>To further characterise the health and wellbeing impacts of mobility</w:t>
      </w:r>
      <w:r w:rsidR="00E314C1">
        <w:t xml:space="preserve"> in detail</w:t>
      </w:r>
      <w:r w:rsidR="006C58B4">
        <w:t>,</w:t>
      </w:r>
      <w:r>
        <w:t xml:space="preserve"> we recruited a smaller cohort of 20 residents </w:t>
      </w:r>
      <w:r w:rsidR="00E314C1">
        <w:t xml:space="preserve">from </w:t>
      </w:r>
      <w:r>
        <w:t xml:space="preserve">each </w:t>
      </w:r>
      <w:r w:rsidR="006E2A44">
        <w:t xml:space="preserve">neighbourhood </w:t>
      </w:r>
      <w:r>
        <w:t xml:space="preserve">to undertake a pre-determined transect walk co-designed with the community. </w:t>
      </w:r>
      <w:r w:rsidR="00E314C1" w:rsidRPr="00E314C1">
        <w:t xml:space="preserve">The participants were selected from the group that undertook the participatory mapping, ensuring representation of a cross-section of ages and genders. </w:t>
      </w:r>
      <w:r>
        <w:t>The walk was designed to include different elements of the environment and mobility infrastructure quality within each case study location. This included locations with better mobility infrastructure provision (for example, pave</w:t>
      </w:r>
      <w:r w:rsidR="006E2A44">
        <w:t>d footpaths</w:t>
      </w:r>
      <w:r>
        <w:t xml:space="preserve">), places where user behaviour influenced experience (such as locations where </w:t>
      </w:r>
      <w:r w:rsidR="000B5048">
        <w:t xml:space="preserve">sidewalks </w:t>
      </w:r>
      <w:r>
        <w:t>were occupied by street vendors or motorbike taxi operators), and places where the management of a space affected its use (for example</w:t>
      </w:r>
      <w:r w:rsidR="000B5048">
        <w:t>,</w:t>
      </w:r>
      <w:r>
        <w:t xml:space="preserve"> sites where the participatory maps revealed a fear of crime for some users). </w:t>
      </w:r>
    </w:p>
    <w:p w14:paraId="7FDA52C9" w14:textId="2A122C47" w:rsidR="007A1DFD" w:rsidRDefault="00000000">
      <w:r>
        <w:t>The physiological impacts of journeys on health, and interaction with elements of infrastructure and environmental quality was assessed through personal monitoring data. Smart watches and chest strap monitors were used to collect data on heart-rate variability (HRV</w:t>
      </w:r>
      <w:r w:rsidR="000B5048">
        <w:t>), which</w:t>
      </w:r>
      <w:r>
        <w:t xml:space="preserve"> can reveal the influence of environments on the nervous system</w:t>
      </w:r>
      <w:r w:rsidR="000B5048">
        <w:t>,</w:t>
      </w:r>
      <w:r>
        <w:t xml:space="preserve"> </w:t>
      </w:r>
      <w:r w:rsidR="000B5048">
        <w:t>indicating</w:t>
      </w:r>
      <w:r>
        <w:t xml:space="preserve"> stress or relaxation. A low variation indicates physiological stress, while a high variability suggests recovery (refer to Figure 3). Although collecting heart rate variability (HRV) data in the field through mobile monitoring is still experimental, it has shown potential in identifying the influence of different environments on individuals' health and well-being </w:t>
      </w:r>
      <w:r>
        <w:fldChar w:fldCharType="begin" w:fldLock="1"/>
      </w:r>
      <w:r>
        <w:instrText>ADDIN CSL_CITATION {"citationItems":[{"id":"ITEM-1","itemData":{"DOI":"10.1016/j.jenvp.2023.101973","ISSN":"15229610","abstract":"Global transition into healthy urban living requires active engagement by planners to understand the physical and social dimensions that underpin healthy living in urban settings. Much of the current research into the health and wellbeing benefits that can be afforded by smart planning has taken place in the Global North, with little focused attention on other parts of the world. Given the current rapid urbanization in both sub-Saharan Africa and South-East Asia, further research is needed to understand how urbanisation is impacting these populations in order to understand what public health measures can be implemented. Our research sought to understand the psychophysiological responses of participants in Nakuru (Kenya) and Udon Thani (Thailand) when walking in urban settings within their given city. Mood measures were taken pre- and post-walk, to understand subjective psychological responses to the urban settings. Heart rate variability was measured using a smart watch to understand physiological (stress) responses throughout walks in the urban settings. Our results show beneficial effects of nature within urban settings on heart rate variability, suggesting lower stress responses in these areas. The subjective responses did not show the expected improvements in mood across both locations as a result of walking generally, which we discuss in relation to geographical and/or potential social differences in these locations compared against studies that have been conducted largely in the Global North. The results of this study are useful in understanding the role of urban planning for improved public health in both African and Asian settings.","author":[{"dropping-particle":"","family":"Neale","given":"C.","non-dropping-particle":"","parse-names":false,"suffix":""},{"dropping-particle":"","family":"Boukhechba","given":"M.","non-dropping-particle":"","parse-names":false,"suffix":""},{"dropping-particle":"","family":"Cinderby","given":"S.","non-dropping-particle":"","parse-names":false,"suffix":""}],"container-title":"Journal of Environmental Psychology","id":"ITEM-1","issue":"January","issued":{"date-parts":[["2023"]]},"page":"101973","publisher":"Elsevier Ltd","title":"Understanding psychophysiological responses to walking in urban settings in Asia and Africa","type":"article-journal","volume":"86"},"uris":["http://www.mendeley.com/documents/?uuid=35cb7120-3cb3-4a0a-b777-26fbd01fd41d"]}],"mendeley":{"formattedCitation":"(Neale, Boukhechba and Cinderby, 2023)","plainTextFormattedCitation":"(Neale, Boukhechba and Cinderby, 2023)","previouslyFormattedCitation":"(Neale, Boukhechba and Cinderby, 2023)"},"properties":{"noteIndex":0},"schema":"https://github.com/citation-style-language/schema/raw/master/csl-citation.json"}</w:instrText>
      </w:r>
      <w:r>
        <w:fldChar w:fldCharType="separate"/>
      </w:r>
      <w:r>
        <w:rPr>
          <w:noProof/>
        </w:rPr>
        <w:t>(Neale, Boukhechba and Cinderby, 2023)</w:t>
      </w:r>
      <w:r>
        <w:fldChar w:fldCharType="end"/>
      </w:r>
      <w:r>
        <w:t xml:space="preserve">. </w:t>
      </w:r>
    </w:p>
    <w:p w14:paraId="548E3353" w14:textId="77777777" w:rsidR="007A1DFD" w:rsidRDefault="00000000">
      <w:pPr>
        <w:pStyle w:val="Caption"/>
      </w:pPr>
      <w:r>
        <w:rPr>
          <w:noProof/>
        </w:rPr>
        <w:drawing>
          <wp:anchor distT="0" distB="0" distL="114300" distR="114300" simplePos="0" relativeHeight="251660288" behindDoc="0" locked="0" layoutInCell="1" allowOverlap="1" wp14:anchorId="6754C652" wp14:editId="54EF15FC">
            <wp:simplePos x="0" y="0"/>
            <wp:positionH relativeFrom="column">
              <wp:posOffset>0</wp:posOffset>
            </wp:positionH>
            <wp:positionV relativeFrom="paragraph">
              <wp:posOffset>0</wp:posOffset>
            </wp:positionV>
            <wp:extent cx="6120130" cy="2947670"/>
            <wp:effectExtent l="0" t="0" r="0" b="5080"/>
            <wp:wrapTopAndBottom/>
            <wp:docPr id="1679973558" name="Picture 3" descr="Diagram showing the way heart rate variability can be used to infer stress levels leading to fatigue (low variability) or readiness (high vari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73558" name="Picture 3" descr="Diagram showing the way heart rate variability can be used to infer stress levels leading to fatigue (low variability) or readiness (high variability)"/>
                    <pic:cNvPicPr>
                      <a:picLocks noChangeAspect="1" noChangeArrowheads="1"/>
                    </pic:cNvPicPr>
                  </pic:nvPicPr>
                  <pic:blipFill>
                    <a:blip r:embed="rId11"/>
                    <a:srcRect/>
                    <a:stretch>
                      <a:fillRect/>
                    </a:stretch>
                  </pic:blipFill>
                  <pic:spPr>
                    <a:xfrm>
                      <a:off x="0" y="0"/>
                      <a:ext cx="6120000" cy="2947699"/>
                    </a:xfrm>
                    <a:prstGeom prst="rect">
                      <a:avLst/>
                    </a:prstGeom>
                    <a:noFill/>
                  </pic:spPr>
                </pic:pic>
              </a:graphicData>
            </a:graphic>
          </wp:anchor>
        </w:drawing>
      </w:r>
      <w:r>
        <w:t xml:space="preserve">The Figure </w:t>
      </w:r>
      <w:r>
        <w:fldChar w:fldCharType="begin"/>
      </w:r>
      <w:r>
        <w:instrText xml:space="preserve"> SEQ Figure \* ARABIC </w:instrText>
      </w:r>
      <w:r>
        <w:fldChar w:fldCharType="separate"/>
      </w:r>
      <w:r>
        <w:t>3</w:t>
      </w:r>
      <w:r>
        <w:fldChar w:fldCharType="end"/>
      </w:r>
      <w:r>
        <w:t xml:space="preserve"> Relationship between heart rate variability and physiological wellbeing (stress fatigue or relaxed readiness response).</w:t>
      </w:r>
    </w:p>
    <w:p w14:paraId="67C268C1" w14:textId="6A823C28" w:rsidR="007A1DFD" w:rsidRDefault="00000000">
      <w:r>
        <w:t xml:space="preserve">The mean HRV measurement for each 1-minute interval of the walk </w:t>
      </w:r>
      <w:r w:rsidR="000B5048">
        <w:t xml:space="preserve">was </w:t>
      </w:r>
      <w:r>
        <w:t xml:space="preserve">calculated to reduce noise in the data. The change between each 1-minute HRV segment (reducing variability indicating increasing stress and rising variability </w:t>
      </w:r>
      <w:r>
        <w:lastRenderedPageBreak/>
        <w:t>indicating a more relaxed state) was calculated for each participant. The variation between the maximum change in HRV (positive and negative) was scaled for each individual to range between -1 to +1. The mean change in the scaled HRV across all participants was then calculated and allocated to 5m spaced points along the route based upon the GPS coordinate locations for that 1-minute interval (start and end points).</w:t>
      </w:r>
      <w:r w:rsidR="000A0A4F">
        <w:t xml:space="preserve"> The HRV data was analysed using </w:t>
      </w:r>
      <w:r w:rsidR="007A1F08">
        <w:t>Kubios software (Kubios, 2024).</w:t>
      </w:r>
    </w:p>
    <w:p w14:paraId="1080065C" w14:textId="2DC30FBD" w:rsidR="007A1DFD" w:rsidRDefault="00000000">
      <w:pPr>
        <w:spacing w:before="240"/>
      </w:pPr>
      <w:r>
        <w:t xml:space="preserve">To assess the direct health </w:t>
      </w:r>
      <w:r w:rsidR="006E2A44">
        <w:t xml:space="preserve">implications of </w:t>
      </w:r>
      <w:r>
        <w:t>pollution in the environment</w:t>
      </w:r>
      <w:r w:rsidR="000B5048">
        <w:t>,</w:t>
      </w:r>
      <w:r>
        <w:t xml:space="preserve"> participants’ air pollution and noise exposure were </w:t>
      </w:r>
      <w:r w:rsidR="008808BF">
        <w:t>measured using</w:t>
      </w:r>
      <w:r>
        <w:t xml:space="preserve"> low-cost wearable particulate matter (PM) counters (Purple Air sensors (purpleair.com/products/purpleair-pa-ii)), </w:t>
      </w:r>
      <w:r w:rsidR="008808BF">
        <w:t xml:space="preserve">along with </w:t>
      </w:r>
      <w:r>
        <w:t>temperature, humidity and noise monitors to identify ambient conditions. Particulate matter comes from combustion (linked to internal combustion engines</w:t>
      </w:r>
      <w:r w:rsidR="008808BF">
        <w:t>,</w:t>
      </w:r>
      <w:r>
        <w:t xml:space="preserve"> cooking and manufacturing processes) </w:t>
      </w:r>
      <w:r w:rsidR="008808BF">
        <w:t xml:space="preserve">as well as </w:t>
      </w:r>
      <w:r>
        <w:t xml:space="preserve">from dust, including tyre wear and brake dust </w:t>
      </w:r>
      <w:r>
        <w:fldChar w:fldCharType="begin" w:fldLock="1"/>
      </w:r>
      <w:r>
        <w:instrText>ADDIN CSL_CITATION {"citationItems":[{"id":"ITEM-1","itemData":{"DOI":"10.1016/j.envpol.2019.01.086","ISSN":"18736424","PMID":"30823354","abstract":"Few attempts have been made to systematically investigate the impacts of urbanization on PM2.5 concentrations in countries at different stages of economic development. In this study, a broad concept of urbanization that considers the transformations in the urban economy and the transport sector induced by urbanization is proposed to investigate the influence of urbanization on national PM2.5 concentrations for underdeveloped, developing and developed countries during 1998–2014. The results indicate that urbanization has a significant relationship with PM2.5 concentrations, but the magnitude of its influence varies among groups of countries with different development levels. First, the positive response of PM2.5 concentrations to increased urbanization and transport-related emissions in underdeveloped countries are noticeably stronger than that in developing and developed countries. Second, for developing countries, urbanization, transport-related emissions and industrialization all have a significant positive effect on national PM2.5 concentrations increase, although their impacts are unexpectedly smaller than those in the other groups of countries. Finally, increasing urbanization and the decrease in CO2 emissions from manufacturing industry appear to reduce national average PM2.5 concentrations in developed countries, while the decrease in transport-related CO2 emission is likely to cause the rise in national average PM2.5 concentrations.","author":[{"dropping-particle":"","family":"Wang","given":"Qiang","non-dropping-particle":"","parse-names":false,"suffix":""},{"dropping-particle":"","family":"Kwan","given":"Mei Po","non-dropping-particle":"","parse-names":false,"suffix":""},{"dropping-particle":"","family":"Zhou","given":"Kan","non-dropping-particle":"","parse-names":false,"suffix":""},{"dropping-particle":"","family":"Fan","given":"Jie","non-dropping-particle":"","parse-names":false,"suffix":""},{"dropping-particle":"","family":"Wang","given":"Yafei","non-dropping-particle":"","parse-names":false,"suffix":""},{"dropping-particle":"","family":"Zhan","given":"Dongsheng","non-dropping-particle":"","parse-names":false,"suffix":""}],"container-title":"Environmental Pollution","id":"ITEM-1","issued":{"date-parts":[["2019"]]},"page":"989-998","publisher":"Elsevier Ltd","title":"The impacts of urbanization on fine particulate matter (PM2.5) concentrations: Empirical evidence from 135 countries worldwide","type":"article-journal","volume":"247"},"uris":["http://www.mendeley.com/documents/?uuid=2977126d-6bb4-4a5d-b9b9-b2e69315335e"]}],"mendeley":{"formattedCitation":"(Wang &lt;i&gt;et al.&lt;/i&gt;, 2019)","plainTextFormattedCitation":"(Wang et al., 2019)","previouslyFormattedCitation":"(Wang &lt;i&gt;et al.&lt;/i&gt;, 2019)"},"properties":{"noteIndex":0},"schema":"https://github.com/citation-style-language/schema/raw/master/csl-citation.json"}</w:instrText>
      </w:r>
      <w:r>
        <w:fldChar w:fldCharType="separate"/>
      </w:r>
      <w:r>
        <w:rPr>
          <w:noProof/>
        </w:rPr>
        <w:t xml:space="preserve">(Wang </w:t>
      </w:r>
      <w:r>
        <w:rPr>
          <w:i/>
          <w:noProof/>
        </w:rPr>
        <w:t>et al.</w:t>
      </w:r>
      <w:r>
        <w:rPr>
          <w:noProof/>
        </w:rPr>
        <w:t>, 2019)</w:t>
      </w:r>
      <w:r>
        <w:fldChar w:fldCharType="end"/>
      </w:r>
      <w:r>
        <w:t xml:space="preserve">. The PurpleAir sensors use a laser particle counter to record </w:t>
      </w:r>
      <w:r w:rsidR="008808BF">
        <w:t xml:space="preserve">the </w:t>
      </w:r>
      <w:r>
        <w:t>number of airborne particles. Both PM</w:t>
      </w:r>
      <w:r w:rsidRPr="006C626D">
        <w:rPr>
          <w:vertAlign w:val="subscript"/>
        </w:rPr>
        <w:t>10</w:t>
      </w:r>
      <w:r>
        <w:t xml:space="preserve"> and PM</w:t>
      </w:r>
      <w:r w:rsidRPr="006C626D">
        <w:rPr>
          <w:vertAlign w:val="subscript"/>
        </w:rPr>
        <w:t>2.5</w:t>
      </w:r>
      <w:r>
        <w:t xml:space="preserve"> were measured (with the smaller sized particles </w:t>
      </w:r>
      <w:r w:rsidR="008808BF">
        <w:t xml:space="preserve">considered </w:t>
      </w:r>
      <w:r>
        <w:t xml:space="preserve">the most damaging for respiratory health with no safe threshold). The levels of pollution recorded were classified </w:t>
      </w:r>
      <w:r w:rsidR="008808BF">
        <w:t xml:space="preserve">according to </w:t>
      </w:r>
      <w:r>
        <w:t xml:space="preserve">the </w:t>
      </w:r>
      <w:r>
        <w:fldChar w:fldCharType="begin" w:fldLock="1"/>
      </w:r>
      <w:r>
        <w:instrText>ADDIN CSL_CITATION {"citationItems":[{"id":"ITEM-1","itemData":{"ISBN":"9789240034228","abstract":"This book covers water waves, surf zone hydrodynamics, tides in oceans and estuaries, storm surges, estuarine mixing, basic sediment transport, coastal morphodynamics and coastal groundwater dynamics. It is an introductory treatment, suitable for a first course in coastal and estuarine processes for earth scientists or engineers. Yet, there are substantial amounts of new material that are included, such as the explicit, analytical treatment of transient, forced long waves. Inclusion of this material will in turn strongly enhance the introductory treatment of tsunami, storm surges and surf beat. The treatment of sine wave theory emphasizes expressions which are explicit in the water depth h (using koh instead of kh) so that they can easily be differentiated or integrated with respect to h. This is a major pedagogical advantage because of the enhanced transparency. The treatment of turbulent mixing includes finite mixing length effects which provide an explanation for differential diffusion of different sediment sizes in suspension. The effects of acceleration skewness and boundary layer streaming are also included in the basic sediment transport models. The inclusion of beach groundwater dynamics - including the mechanisms by which waves as well as tides drive groundwater motion - provides a link between the previously unconnected fields of coastal hydraulics and regional groundwater modeling. Serving as a good reference book, it is fully indexed and comprehensively cross referenced. Abundant references to more detailed texts are also provided.","author":[{"dropping-particle":"","family":"World Health Organization (WHO)","given":"","non-dropping-particle":"","parse-names":false,"suffix":""}],"container-title":"Particulate matter (PM2.5 and PM10), ozone, nitrogen dioxide, sulfur dioxide and carbon monoxide","id":"ITEM-1","issued":{"date-parts":[["2021"]]},"number-of-pages":"1-360","title":"WHO global air quality guidelines","type":"report"},"uris":["http://www.mendeley.com/documents/?uuid=96897f77-872b-4baf-8ca5-0b7651606dc3"]}],"mendeley":{"formattedCitation":"(World Health Organization (WHO), 2021)","plainTextFormattedCitation":"(World Health Organization (WHO), 2021)","previouslyFormattedCitation":"(World Health Organization (WHO), 2021)"},"properties":{"noteIndex":0},"schema":"https://github.com/citation-style-language/schema/raw/master/csl-citation.json"}</w:instrText>
      </w:r>
      <w:r>
        <w:fldChar w:fldCharType="separate"/>
      </w:r>
      <w:r>
        <w:rPr>
          <w:noProof/>
        </w:rPr>
        <w:t>(World Health Organization (WHO), 2021)</w:t>
      </w:r>
      <w:r>
        <w:fldChar w:fldCharType="end"/>
      </w:r>
      <w:r>
        <w:t xml:space="preserve"> interim targets (IT) for emission levels exceeding their Air Quality Guidance (AQG) level. IT1 </w:t>
      </w:r>
      <w:r w:rsidR="008808BF">
        <w:t xml:space="preserve">corresponds to </w:t>
      </w:r>
      <w:r>
        <w:t xml:space="preserve">the </w:t>
      </w:r>
      <w:r w:rsidR="008808BF">
        <w:t xml:space="preserve">most </w:t>
      </w:r>
      <w:r>
        <w:t>polluted locations</w:t>
      </w:r>
      <w:r w:rsidR="008808BF">
        <w:t>,</w:t>
      </w:r>
      <w:r>
        <w:t xml:space="preserve"> </w:t>
      </w:r>
      <w:r w:rsidR="008808BF">
        <w:t>while IT4</w:t>
      </w:r>
      <w:r>
        <w:t xml:space="preserve"> </w:t>
      </w:r>
      <w:r w:rsidR="008808BF">
        <w:t>represents locations with the least severe</w:t>
      </w:r>
      <w:r>
        <w:t xml:space="preserve"> pollution that still exceeds the target AQG.</w:t>
      </w:r>
    </w:p>
    <w:p w14:paraId="1FFA4E18" w14:textId="2DCE734C" w:rsidR="007A1DFD" w:rsidRDefault="00000000">
      <w:r>
        <w:t xml:space="preserve">To identify how the environment along the transect walks affected people subjectively, we asked each participant to independently </w:t>
      </w:r>
      <w:r w:rsidR="008808BF">
        <w:t>map sections of the route</w:t>
      </w:r>
      <w:r w:rsidR="00B855D5">
        <w:t>, indicating whether</w:t>
      </w:r>
      <w:r w:rsidR="008808BF">
        <w:t xml:space="preserve"> </w:t>
      </w:r>
      <w:r>
        <w:t xml:space="preserve">they perceived </w:t>
      </w:r>
      <w:r w:rsidR="00B855D5">
        <w:t>these</w:t>
      </w:r>
      <w:r>
        <w:t xml:space="preserve"> spaces to be stressful, neutral or relaxing. This data integrated participants</w:t>
      </w:r>
      <w:r w:rsidR="00B855D5">
        <w:t>’</w:t>
      </w:r>
      <w:r>
        <w:t xml:space="preserve"> experiences of infrastructure quality with how spaces were being used and how </w:t>
      </w:r>
      <w:r w:rsidR="00B855D5">
        <w:t xml:space="preserve">those spaces </w:t>
      </w:r>
      <w:r>
        <w:t xml:space="preserve">made them feel. </w:t>
      </w:r>
      <w:r w:rsidR="00B855D5">
        <w:t>P</w:t>
      </w:r>
      <w:r>
        <w:t xml:space="preserve">articipants </w:t>
      </w:r>
      <w:r w:rsidR="00B855D5">
        <w:t xml:space="preserve">assigned </w:t>
      </w:r>
      <w:r>
        <w:t xml:space="preserve">scores (-1 for negative scores, 0 for neutral, +1 for positive) for each section </w:t>
      </w:r>
      <w:r w:rsidR="00B855D5">
        <w:t xml:space="preserve">of the route, which </w:t>
      </w:r>
      <w:r>
        <w:t xml:space="preserve">were </w:t>
      </w:r>
      <w:r w:rsidR="00B855D5">
        <w:t xml:space="preserve">then </w:t>
      </w:r>
      <w:r>
        <w:t xml:space="preserve">summed and presented in four </w:t>
      </w:r>
      <w:r w:rsidR="00B855D5">
        <w:t xml:space="preserve">categories </w:t>
      </w:r>
      <w:r>
        <w:t xml:space="preserve">to indicate the most to least stressful sections. These maps were </w:t>
      </w:r>
      <w:r w:rsidR="00B855D5">
        <w:t xml:space="preserve">subsequently </w:t>
      </w:r>
      <w:r>
        <w:t>compared to the physiological and environmental measurements to provide an overall assessment of how journeys affect people’s health and well-being</w:t>
      </w:r>
      <w:r w:rsidR="00B855D5">
        <w:t>,</w:t>
      </w:r>
      <w:r>
        <w:t xml:space="preserve"> </w:t>
      </w:r>
      <w:r w:rsidR="00B855D5">
        <w:t xml:space="preserve">incorporating </w:t>
      </w:r>
      <w:r>
        <w:t xml:space="preserve">elements of objective, subjective and physiological wellbeing. The breakdown of the data collected through the transect walks </w:t>
      </w:r>
      <w:r w:rsidR="00B855D5">
        <w:t>is illustrated in T</w:t>
      </w:r>
      <w:r>
        <w:t>able 2.</w:t>
      </w:r>
    </w:p>
    <w:p w14:paraId="5DC29DA8" w14:textId="77777777" w:rsidR="007A1DFD" w:rsidRDefault="00000000">
      <w:pPr>
        <w:pStyle w:val="Caption"/>
        <w:keepNext/>
      </w:pPr>
      <w:r>
        <w:t xml:space="preserve">Table </w:t>
      </w:r>
      <w:r>
        <w:fldChar w:fldCharType="begin"/>
      </w:r>
      <w:r>
        <w:instrText xml:space="preserve"> SEQ Table \* ARABIC </w:instrText>
      </w:r>
      <w:r>
        <w:fldChar w:fldCharType="separate"/>
      </w:r>
      <w:r>
        <w:t>2</w:t>
      </w:r>
      <w:r>
        <w:fldChar w:fldCharType="end"/>
      </w:r>
      <w:r>
        <w:t xml:space="preserve"> Participant numbers in the transect walk HRV and PM data sets (Note: in total data from 19 people was collected for Likoni and 34 people in Mathare but after cleaning for data integrity only a subset of the information could be included in the final analysis).</w:t>
      </w:r>
    </w:p>
    <w:tbl>
      <w:tblPr>
        <w:tblStyle w:val="PlainTable3"/>
        <w:tblW w:w="0" w:type="auto"/>
        <w:tblLook w:val="04A0" w:firstRow="1" w:lastRow="0" w:firstColumn="1" w:lastColumn="0" w:noHBand="0" w:noVBand="1"/>
      </w:tblPr>
      <w:tblGrid>
        <w:gridCol w:w="1169"/>
        <w:gridCol w:w="1009"/>
        <w:gridCol w:w="661"/>
        <w:gridCol w:w="809"/>
        <w:gridCol w:w="794"/>
        <w:gridCol w:w="866"/>
      </w:tblGrid>
      <w:tr w:rsidR="007A1DFD" w14:paraId="28E18270" w14:textId="77777777" w:rsidTr="006C62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dxa"/>
          </w:tcPr>
          <w:p w14:paraId="362653B0" w14:textId="77777777" w:rsidR="007A1DFD" w:rsidRDefault="00000000">
            <w:pPr>
              <w:spacing w:after="0" w:line="240" w:lineRule="auto"/>
              <w:rPr>
                <w:b w:val="0"/>
                <w:bCs w:val="0"/>
              </w:rPr>
            </w:pPr>
            <w:r>
              <w:t>Location</w:t>
            </w:r>
          </w:p>
        </w:tc>
        <w:tc>
          <w:tcPr>
            <w:tcW w:w="0" w:type="dxa"/>
          </w:tcPr>
          <w:p w14:paraId="776564D2"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Women</w:t>
            </w:r>
          </w:p>
        </w:tc>
        <w:tc>
          <w:tcPr>
            <w:tcW w:w="0" w:type="dxa"/>
          </w:tcPr>
          <w:p w14:paraId="07D9BCFC"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Men</w:t>
            </w:r>
          </w:p>
        </w:tc>
        <w:tc>
          <w:tcPr>
            <w:tcW w:w="0" w:type="dxa"/>
          </w:tcPr>
          <w:p w14:paraId="4733CA37"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Total</w:t>
            </w:r>
          </w:p>
        </w:tc>
        <w:tc>
          <w:tcPr>
            <w:tcW w:w="0" w:type="dxa"/>
          </w:tcPr>
          <w:p w14:paraId="60E8042B"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Mean Age</w:t>
            </w:r>
          </w:p>
        </w:tc>
        <w:tc>
          <w:tcPr>
            <w:tcW w:w="0" w:type="dxa"/>
          </w:tcPr>
          <w:p w14:paraId="13F5F1E7" w14:textId="77777777" w:rsidR="007A1DFD" w:rsidRDefault="00000000">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t>Age Range</w:t>
            </w:r>
          </w:p>
        </w:tc>
      </w:tr>
      <w:tr w:rsidR="00EF64D1" w14:paraId="550DF42E" w14:textId="77777777" w:rsidTr="006C62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137AA055" w14:textId="77777777" w:rsidR="007A1DFD" w:rsidRDefault="00000000">
            <w:pPr>
              <w:spacing w:after="0" w:line="240" w:lineRule="auto"/>
              <w:rPr>
                <w:b w:val="0"/>
                <w:bCs w:val="0"/>
              </w:rPr>
            </w:pPr>
            <w:r>
              <w:t>Mathare</w:t>
            </w:r>
          </w:p>
        </w:tc>
        <w:tc>
          <w:tcPr>
            <w:tcW w:w="0" w:type="dxa"/>
            <w:shd w:val="clear" w:color="auto" w:fill="FFFFFF" w:themeFill="background1"/>
          </w:tcPr>
          <w:p w14:paraId="6265A781"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2</w:t>
            </w:r>
          </w:p>
        </w:tc>
        <w:tc>
          <w:tcPr>
            <w:tcW w:w="0" w:type="dxa"/>
            <w:shd w:val="clear" w:color="auto" w:fill="FFFFFF" w:themeFill="background1"/>
          </w:tcPr>
          <w:p w14:paraId="70D7FCC4"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5</w:t>
            </w:r>
          </w:p>
        </w:tc>
        <w:tc>
          <w:tcPr>
            <w:tcW w:w="0" w:type="dxa"/>
            <w:shd w:val="clear" w:color="auto" w:fill="FFFFFF" w:themeFill="background1"/>
          </w:tcPr>
          <w:p w14:paraId="2908E38A"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7</w:t>
            </w:r>
          </w:p>
        </w:tc>
        <w:tc>
          <w:tcPr>
            <w:tcW w:w="0" w:type="dxa"/>
            <w:shd w:val="clear" w:color="auto" w:fill="FFFFFF" w:themeFill="background1"/>
          </w:tcPr>
          <w:p w14:paraId="2BD1FE7F"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38</w:t>
            </w:r>
          </w:p>
        </w:tc>
        <w:tc>
          <w:tcPr>
            <w:tcW w:w="0" w:type="dxa"/>
            <w:shd w:val="clear" w:color="auto" w:fill="FFFFFF" w:themeFill="background1"/>
          </w:tcPr>
          <w:p w14:paraId="128FB561" w14:textId="77777777" w:rsidR="007A1DFD" w:rsidRDefault="00000000">
            <w:pPr>
              <w:spacing w:after="0" w:line="240" w:lineRule="auto"/>
              <w:cnfStyle w:val="000000100000" w:firstRow="0" w:lastRow="0" w:firstColumn="0" w:lastColumn="0" w:oddVBand="0" w:evenVBand="0" w:oddHBand="1" w:evenHBand="0" w:firstRowFirstColumn="0" w:firstRowLastColumn="0" w:lastRowFirstColumn="0" w:lastRowLastColumn="0"/>
            </w:pPr>
            <w:r>
              <w:t>19-64</w:t>
            </w:r>
          </w:p>
        </w:tc>
      </w:tr>
      <w:tr w:rsidR="007A1DFD" w14:paraId="703EE287" w14:textId="77777777" w:rsidTr="006C626D">
        <w:tc>
          <w:tcPr>
            <w:cnfStyle w:val="001000000000" w:firstRow="0" w:lastRow="0" w:firstColumn="1" w:lastColumn="0" w:oddVBand="0" w:evenVBand="0" w:oddHBand="0" w:evenHBand="0" w:firstRowFirstColumn="0" w:firstRowLastColumn="0" w:lastRowFirstColumn="0" w:lastRowLastColumn="0"/>
            <w:tcW w:w="0" w:type="dxa"/>
          </w:tcPr>
          <w:p w14:paraId="6E55D016" w14:textId="77777777" w:rsidR="007A1DFD" w:rsidRDefault="00000000">
            <w:pPr>
              <w:spacing w:after="0" w:line="240" w:lineRule="auto"/>
              <w:rPr>
                <w:b w:val="0"/>
                <w:bCs w:val="0"/>
              </w:rPr>
            </w:pPr>
            <w:r>
              <w:t>Likoni</w:t>
            </w:r>
          </w:p>
        </w:tc>
        <w:tc>
          <w:tcPr>
            <w:tcW w:w="0" w:type="dxa"/>
          </w:tcPr>
          <w:p w14:paraId="6D1CCE2E"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 xml:space="preserve">6 </w:t>
            </w:r>
          </w:p>
        </w:tc>
        <w:tc>
          <w:tcPr>
            <w:tcW w:w="0" w:type="dxa"/>
          </w:tcPr>
          <w:p w14:paraId="051EB406"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 xml:space="preserve">7 </w:t>
            </w:r>
          </w:p>
        </w:tc>
        <w:tc>
          <w:tcPr>
            <w:tcW w:w="0" w:type="dxa"/>
          </w:tcPr>
          <w:p w14:paraId="05ED00A8"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 xml:space="preserve">13 </w:t>
            </w:r>
          </w:p>
        </w:tc>
        <w:tc>
          <w:tcPr>
            <w:tcW w:w="0" w:type="dxa"/>
          </w:tcPr>
          <w:p w14:paraId="226B60D1"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32.9</w:t>
            </w:r>
          </w:p>
        </w:tc>
        <w:tc>
          <w:tcPr>
            <w:tcW w:w="0" w:type="dxa"/>
          </w:tcPr>
          <w:p w14:paraId="36F21591" w14:textId="77777777" w:rsidR="007A1DFD" w:rsidRDefault="00000000">
            <w:pPr>
              <w:spacing w:after="0" w:line="240" w:lineRule="auto"/>
              <w:cnfStyle w:val="000000000000" w:firstRow="0" w:lastRow="0" w:firstColumn="0" w:lastColumn="0" w:oddVBand="0" w:evenVBand="0" w:oddHBand="0" w:evenHBand="0" w:firstRowFirstColumn="0" w:firstRowLastColumn="0" w:lastRowFirstColumn="0" w:lastRowLastColumn="0"/>
            </w:pPr>
            <w:r>
              <w:t>19-60</w:t>
            </w:r>
          </w:p>
        </w:tc>
      </w:tr>
    </w:tbl>
    <w:p w14:paraId="739218BF" w14:textId="77777777" w:rsidR="007A1DFD" w:rsidRDefault="00000000">
      <w:pPr>
        <w:pStyle w:val="Heading1"/>
      </w:pPr>
      <w:r>
        <w:t>Results</w:t>
      </w:r>
    </w:p>
    <w:p w14:paraId="7D12584D" w14:textId="77777777" w:rsidR="007A1DFD" w:rsidRDefault="00000000">
      <w:pPr>
        <w:pStyle w:val="Heading2"/>
      </w:pPr>
      <w:r>
        <w:t>Participatory Mapping Findings</w:t>
      </w:r>
    </w:p>
    <w:p w14:paraId="565F852C" w14:textId="77777777" w:rsidR="007A1DFD" w:rsidRDefault="00000000">
      <w:pPr>
        <w:pStyle w:val="Heading3"/>
      </w:pPr>
      <w:r>
        <w:t>Understanding journey needs</w:t>
      </w:r>
    </w:p>
    <w:p w14:paraId="7FAD5F91" w14:textId="679FD663" w:rsidR="007A1DFD" w:rsidRDefault="00000000">
      <w:r>
        <w:t xml:space="preserve">The participatory maps </w:t>
      </w:r>
      <w:r w:rsidR="00766779">
        <w:t xml:space="preserve">as illustrated </w:t>
      </w:r>
      <w:r>
        <w:t xml:space="preserve">in </w:t>
      </w:r>
      <w:r w:rsidR="00766779">
        <w:t xml:space="preserve">Figure 4, </w:t>
      </w:r>
      <w:r>
        <w:t>of key journeys (for work, education, healthcare etc.) highlight the importance of walking in both cities</w:t>
      </w:r>
      <w:r w:rsidR="00766779">
        <w:t>,</w:t>
      </w:r>
      <w:r>
        <w:t xml:space="preserve"> </w:t>
      </w:r>
      <w:r w:rsidR="00766779">
        <w:fldChar w:fldCharType="begin" w:fldLock="1"/>
      </w:r>
      <w:r w:rsidR="00766779">
        <w:instrText>ADDIN CSL_CITATION {"citationItems":[{"id":"ITEM-1","itemData":{"DOI":"10.1016/j.cities.2023.104297","ISSN":"02642751","abstract":"Walking is the primary mode of transport in African cities. Despite a growing number of policies recognizing the need to retain and protect people walking, walking infrastructure is still lacking on the continent. There is a dearth of research about the key barriers and enablers that influence the way in which transport and urban planning policies are implemented in Africa, and international best practices lack relevance for African contexts. This study explores the political and decision-making processes in transport authorities in Africa to understand why walking receives marginal resource allocation and operationalisation. Thirteen semi-structured qualitative interviews were conducted with national-and city-level stakeholders working in transport policy and practice in Africa. Stakeholders perceived that walking is undervalued by stakeholders and by those who do not have to walk. Barriers to change include ineffective policies, and limited capacity and knowledge to affect change. Importantly, a major constraint for African city authorities to support walking is the bias of funding towards large infrastructure schemes rather than just the availability of funding. A redefinition of a successful mobility system was perceived as necessary to transform the way that walking is valued. This study has important implications to better support walking in African cities.","author":[{"dropping-particle":"","family":"Benton","given":"Jack S.","non-dropping-particle":"","parse-names":false,"suffix":""},{"dropping-particle":"","family":"Jennings","given":"Gail","non-dropping-particle":"","parse-names":false,"suffix":""},{"dropping-particle":"","family":"Walker","given":"Jim","non-dropping-particle":"","parse-names":false,"suffix":""},{"dropping-particle":"","family":"Evans","given":"James","non-dropping-particle":"","parse-names":false,"suffix":""}],"container-title":"Cities","id":"ITEM-1","issue":"March","issued":{"date-parts":[["2023"]]},"page":"104297","publisher":"Elsevier Ltd","title":"“Walking is our asset”: How to retain walking as a valued mode of transport in African cities","type":"article-journal","volume":"137"},"uris":["http://www.mendeley.com/documents/?uuid=6a107daf-6d3d-4d40-b6fd-241d7902634b"]}],"mendeley":{"formattedCitation":"(Benton &lt;i&gt;et al.&lt;/i&gt;, 2023)","manualFormatting":"(similar to findings of Benton et al., 2023)","plainTextFormattedCitation":"(Benton et al., 2023)","previouslyFormattedCitation":"(Benton &lt;i&gt;et al.&lt;/i&gt;, 2023)"},"properties":{"noteIndex":0},"schema":"https://github.com/citation-style-language/schema/raw/master/csl-citation.json"}</w:instrText>
      </w:r>
      <w:r w:rsidR="00766779">
        <w:fldChar w:fldCharType="separate"/>
      </w:r>
      <w:r w:rsidR="00766779">
        <w:rPr>
          <w:noProof/>
        </w:rPr>
        <w:t xml:space="preserve">aligning with findings of Benton </w:t>
      </w:r>
      <w:r w:rsidR="00766779">
        <w:rPr>
          <w:i/>
          <w:noProof/>
        </w:rPr>
        <w:t>et al.</w:t>
      </w:r>
      <w:r w:rsidR="00766779">
        <w:rPr>
          <w:noProof/>
        </w:rPr>
        <w:t>, 2023</w:t>
      </w:r>
      <w:r w:rsidR="00766779">
        <w:fldChar w:fldCharType="end"/>
      </w:r>
      <w:r>
        <w:t xml:space="preserve">. Walking is universally important, particularly for short trips within the neighbourhood as well as for longer commutes and transitions between motorised modes of transport. In both cities, walking trips </w:t>
      </w:r>
      <w:r w:rsidR="0089446D">
        <w:t xml:space="preserve">for </w:t>
      </w:r>
      <w:r>
        <w:t xml:space="preserve">commuting to work </w:t>
      </w:r>
      <w:r w:rsidR="0089446D">
        <w:t>exceeded</w:t>
      </w:r>
      <w:r>
        <w:t xml:space="preserve"> 5km each way. </w:t>
      </w:r>
      <w:r w:rsidR="0089446D">
        <w:t>F</w:t>
      </w:r>
      <w:r>
        <w:t xml:space="preserve">or longer trips, motorised paratransit options such as matatus (mini-bus taxis), boda-bodas (motorbike taxis) and tuk-tuks (3-wheeler taxis used in Mombasa) were predominantly utilised. </w:t>
      </w:r>
    </w:p>
    <w:p w14:paraId="7834BB18" w14:textId="77777777" w:rsidR="007A1DFD" w:rsidRDefault="00000000">
      <w:pPr>
        <w:keepNext/>
      </w:pPr>
      <w:r>
        <w:rPr>
          <w:noProof/>
        </w:rPr>
        <w:lastRenderedPageBreak/>
        <w:drawing>
          <wp:inline distT="0" distB="0" distL="0" distR="0" wp14:anchorId="212D540A" wp14:editId="5A4F1124">
            <wp:extent cx="6659880" cy="2689860"/>
            <wp:effectExtent l="0" t="0" r="7620" b="0"/>
            <wp:docPr id="2017393341" name="Picture 2" descr="Two maps showing the extent and modes used for everyday journeys by our participants from Likoni, Mombasa and Mathare, Nair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93341" name="Picture 2" descr="Two maps showing the extent and modes used for everyday journeys by our participants from Likoni, Mombasa and Mathare, Nairobi"/>
                    <pic:cNvPicPr>
                      <a:picLocks noChangeAspect="1" noChangeArrowheads="1"/>
                    </pic:cNvPicPr>
                  </pic:nvPicPr>
                  <pic:blipFill>
                    <a:blip r:embed="rId12" cstate="print"/>
                    <a:srcRect/>
                    <a:stretch>
                      <a:fillRect/>
                    </a:stretch>
                  </pic:blipFill>
                  <pic:spPr>
                    <a:xfrm>
                      <a:off x="0" y="0"/>
                      <a:ext cx="6660000" cy="2690475"/>
                    </a:xfrm>
                    <a:prstGeom prst="rect">
                      <a:avLst/>
                    </a:prstGeom>
                    <a:noFill/>
                  </pic:spPr>
                </pic:pic>
              </a:graphicData>
            </a:graphic>
          </wp:inline>
        </w:drawing>
      </w:r>
    </w:p>
    <w:p w14:paraId="67B5E324" w14:textId="4C2102A4" w:rsidR="007A1DFD" w:rsidRDefault="00000000">
      <w:pPr>
        <w:pStyle w:val="Caption"/>
      </w:pPr>
      <w:r>
        <w:t xml:space="preserve">Figure </w:t>
      </w:r>
      <w:r>
        <w:fldChar w:fldCharType="begin"/>
      </w:r>
      <w:r>
        <w:instrText xml:space="preserve"> SEQ Figure \* ARABIC </w:instrText>
      </w:r>
      <w:r>
        <w:fldChar w:fldCharType="separate"/>
      </w:r>
      <w:r>
        <w:t>4</w:t>
      </w:r>
      <w:r>
        <w:fldChar w:fldCharType="end"/>
      </w:r>
      <w:r>
        <w:t xml:space="preserve"> Regular journeys by mode undertaken by our participants (Mombasa left, Nairobi right)</w:t>
      </w:r>
      <w:r w:rsidR="00AB5F09">
        <w:t>. [Source background map data: Open Street Map [n.d], accessed through QGIS, March 2023]</w:t>
      </w:r>
    </w:p>
    <w:p w14:paraId="4C7D9672" w14:textId="77B0400B" w:rsidR="007A1DFD" w:rsidRDefault="00000000">
      <w:r>
        <w:t xml:space="preserve">The participants identified specific locations along their routes with features or issues that positively or negatively impacted their journeys (see </w:t>
      </w:r>
      <w:r w:rsidR="00C36765">
        <w:t xml:space="preserve">Figure </w:t>
      </w:r>
      <w:r>
        <w:t xml:space="preserve">5). The concentration of </w:t>
      </w:r>
      <w:r w:rsidR="006E2A44">
        <w:t xml:space="preserve">negative </w:t>
      </w:r>
      <w:r w:rsidR="00EF64D1">
        <w:t xml:space="preserve">features </w:t>
      </w:r>
      <w:r w:rsidR="00C36765">
        <w:t xml:space="preserve">at </w:t>
      </w:r>
      <w:r>
        <w:t xml:space="preserve">specific </w:t>
      </w:r>
      <w:r w:rsidR="00C36765">
        <w:t xml:space="preserve">locations </w:t>
      </w:r>
      <w:r>
        <w:t xml:space="preserve">highlight </w:t>
      </w:r>
      <w:r w:rsidR="00C36765">
        <w:t xml:space="preserve">sections of the routes </w:t>
      </w:r>
      <w:r>
        <w:t xml:space="preserve">where existing infrastructure and people’s use of the space is affecting mobility and wellbeing of vulnerable </w:t>
      </w:r>
      <w:r w:rsidR="00C36765">
        <w:t>road users</w:t>
      </w:r>
      <w:r>
        <w:t xml:space="preserve">.  In both cities, </w:t>
      </w:r>
      <w:r w:rsidR="003D519F">
        <w:t xml:space="preserve">the negative </w:t>
      </w:r>
      <w:r w:rsidR="00EF64D1">
        <w:t xml:space="preserve">features </w:t>
      </w:r>
      <w:r w:rsidR="003D519F">
        <w:t xml:space="preserve">were </w:t>
      </w:r>
      <w:r>
        <w:t xml:space="preserve">concentrated along busy roads where there </w:t>
      </w:r>
      <w:r w:rsidR="00914C91">
        <w:t>were</w:t>
      </w:r>
      <w:r w:rsidR="003D519F">
        <w:t xml:space="preserve"> </w:t>
      </w:r>
      <w:r>
        <w:t xml:space="preserve">significant conflicts over the use of space by motorised vehicles, street vendors and pedestrians. The data indicates </w:t>
      </w:r>
      <w:r w:rsidR="003D519F">
        <w:t xml:space="preserve">that certain </w:t>
      </w:r>
      <w:r>
        <w:t>locations negatively impact</w:t>
      </w:r>
      <w:r w:rsidR="003D519F">
        <w:t>ed</w:t>
      </w:r>
      <w:r>
        <w:t xml:space="preserve"> </w:t>
      </w:r>
      <w:r w:rsidR="003D519F">
        <w:t xml:space="preserve">specific </w:t>
      </w:r>
      <w:r>
        <w:t xml:space="preserve">vulnerable groups such as the older adults, PWDs and women, revealing the gendered dimensions of mobility affordance. Some mixed locations, which </w:t>
      </w:r>
      <w:r w:rsidR="003D519F">
        <w:t xml:space="preserve">were </w:t>
      </w:r>
      <w:r>
        <w:t xml:space="preserve">negative for women or the older adults but positive for men or youth, highlight how groups are affected differently by the same space. For example, a location around a food outlet could be positive for young people as a space to socialise, whilst simultaneously </w:t>
      </w:r>
      <w:r w:rsidR="003D519F">
        <w:t xml:space="preserve">hindering </w:t>
      </w:r>
      <w:r>
        <w:t xml:space="preserve">mobility for others </w:t>
      </w:r>
      <w:r w:rsidR="00D75194">
        <w:t>due to fear of crime</w:t>
      </w:r>
      <w:r>
        <w:t xml:space="preserve"> (or actual experiences)</w:t>
      </w:r>
      <w:r w:rsidR="00D75194">
        <w:t>.</w:t>
      </w:r>
    </w:p>
    <w:p w14:paraId="14F35924" w14:textId="77777777" w:rsidR="007A1DFD" w:rsidRDefault="00000000">
      <w:pPr>
        <w:keepNext/>
      </w:pPr>
      <w:r>
        <w:rPr>
          <w:noProof/>
        </w:rPr>
        <w:drawing>
          <wp:inline distT="0" distB="0" distL="0" distR="0" wp14:anchorId="3EB64D2F" wp14:editId="01CB7919">
            <wp:extent cx="6659880" cy="2321560"/>
            <wp:effectExtent l="0" t="0" r="7620" b="2540"/>
            <wp:docPr id="30270539" name="Picture 3" descr="Maps indicating the locations participants identified as positive or negative broken down by gender and age of the person who marked that place. This highlights how some places are positive or negative for specific genders or age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70539" name="Picture 3" descr="Maps indicating the locations participants identified as positive or negative broken down by gender and age of the person who marked that place. This highlights how some places are positive or negative for specific genders or age groups"/>
                    <pic:cNvPicPr>
                      <a:picLocks noChangeAspect="1" noChangeArrowheads="1"/>
                    </pic:cNvPicPr>
                  </pic:nvPicPr>
                  <pic:blipFill>
                    <a:blip r:embed="rId13"/>
                    <a:srcRect/>
                    <a:stretch>
                      <a:fillRect/>
                    </a:stretch>
                  </pic:blipFill>
                  <pic:spPr>
                    <a:xfrm>
                      <a:off x="0" y="0"/>
                      <a:ext cx="6660000" cy="2322022"/>
                    </a:xfrm>
                    <a:prstGeom prst="rect">
                      <a:avLst/>
                    </a:prstGeom>
                    <a:noFill/>
                  </pic:spPr>
                </pic:pic>
              </a:graphicData>
            </a:graphic>
          </wp:inline>
        </w:drawing>
      </w:r>
    </w:p>
    <w:p w14:paraId="0D1482C3" w14:textId="4D1ABB4D" w:rsidR="007A1DFD" w:rsidRDefault="00000000">
      <w:pPr>
        <w:pStyle w:val="Caption"/>
      </w:pPr>
      <w:r>
        <w:t xml:space="preserve">Figure </w:t>
      </w:r>
      <w:r>
        <w:fldChar w:fldCharType="begin"/>
      </w:r>
      <w:r>
        <w:instrText xml:space="preserve"> SEQ Figure \* ARABIC </w:instrText>
      </w:r>
      <w:r>
        <w:fldChar w:fldCharType="separate"/>
      </w:r>
      <w:r>
        <w:t>5</w:t>
      </w:r>
      <w:r>
        <w:fldChar w:fldCharType="end"/>
      </w:r>
      <w:r>
        <w:t xml:space="preserve"> Locations of positive and negative experiences along participants routes (Mombasa left, Nairobi right)</w:t>
      </w:r>
      <w:r w:rsidR="00AB5F09">
        <w:t>. [Source background map data: Open Street Map [n.d], accessed through QGIS, March 2023]</w:t>
      </w:r>
    </w:p>
    <w:p w14:paraId="3C760054" w14:textId="44CC049B" w:rsidR="007A1DFD" w:rsidRDefault="00000000">
      <w:r>
        <w:t xml:space="preserve">The participants described why these mapped places </w:t>
      </w:r>
      <w:r w:rsidR="00D75194">
        <w:t xml:space="preserve">either encouraged </w:t>
      </w:r>
      <w:r>
        <w:t xml:space="preserve">or </w:t>
      </w:r>
      <w:r w:rsidR="00D75194">
        <w:t xml:space="preserve">undermined </w:t>
      </w:r>
      <w:r>
        <w:t xml:space="preserve">their mobility (see Figure 6). This information was useful </w:t>
      </w:r>
      <w:r w:rsidR="00D75194">
        <w:t xml:space="preserve">in </w:t>
      </w:r>
      <w:r>
        <w:t xml:space="preserve">identifying the key issues at specific places and the </w:t>
      </w:r>
      <w:r w:rsidR="00D75194">
        <w:t xml:space="preserve">broader </w:t>
      </w:r>
      <w:r>
        <w:t xml:space="preserve">themes that planners and designers need to consider when developing improvements. The key issues identified were multi-faceted, requiring solutions that address a range of </w:t>
      </w:r>
      <w:r w:rsidR="00D75194">
        <w:t xml:space="preserve">concerns </w:t>
      </w:r>
      <w:r>
        <w:t xml:space="preserve">rather than </w:t>
      </w:r>
      <w:r w:rsidR="00D75194">
        <w:t>focusing on a single</w:t>
      </w:r>
      <w:r>
        <w:t xml:space="preserve"> aspect. </w:t>
      </w:r>
    </w:p>
    <w:p w14:paraId="01A10C00" w14:textId="77777777" w:rsidR="007A1DFD" w:rsidRDefault="00000000">
      <w:pPr>
        <w:pStyle w:val="Heading3"/>
      </w:pPr>
      <w:r>
        <w:lastRenderedPageBreak/>
        <w:t>Infrastructure and mobility wellbeing and affordance interactions</w:t>
      </w:r>
    </w:p>
    <w:p w14:paraId="06C26381" w14:textId="3F95DA23" w:rsidR="007A1DFD" w:rsidRDefault="00000000">
      <w:r>
        <w:t xml:space="preserve">The negative factors </w:t>
      </w:r>
      <w:r w:rsidR="00D75194">
        <w:t xml:space="preserve">participants </w:t>
      </w:r>
      <w:r>
        <w:t xml:space="preserve">reported on their journey maps were analysed and grouped into </w:t>
      </w:r>
      <w:r w:rsidR="00D75194">
        <w:t xml:space="preserve">broader </w:t>
      </w:r>
      <w:r>
        <w:t>themes based on our three-hinged framework (see Figure 2) relating to:</w:t>
      </w:r>
    </w:p>
    <w:p w14:paraId="60E8E10B" w14:textId="77777777" w:rsidR="007A1DFD" w:rsidRDefault="00000000">
      <w:pPr>
        <w:pStyle w:val="ListParagraph"/>
        <w:numPr>
          <w:ilvl w:val="0"/>
          <w:numId w:val="3"/>
        </w:numPr>
      </w:pPr>
      <w:r>
        <w:t>Infrastructure: The provision and quality of physical features affecting mobility</w:t>
      </w:r>
    </w:p>
    <w:p w14:paraId="610E3A23" w14:textId="7ABACCBA" w:rsidR="007A1DFD" w:rsidRDefault="00000000">
      <w:pPr>
        <w:pStyle w:val="ListParagraph"/>
        <w:numPr>
          <w:ilvl w:val="0"/>
          <w:numId w:val="3"/>
        </w:numPr>
      </w:pPr>
      <w:r>
        <w:t xml:space="preserve">Behaviours: </w:t>
      </w:r>
      <w:r w:rsidR="00662E7F">
        <w:t xml:space="preserve">The ways in which </w:t>
      </w:r>
      <w:r>
        <w:t>people use spaces</w:t>
      </w:r>
      <w:r w:rsidR="00662E7F">
        <w:t>, which can impact the mobility of</w:t>
      </w:r>
      <w:r>
        <w:t xml:space="preserve"> others</w:t>
      </w:r>
      <w:r w:rsidR="00662E7F">
        <w:t>.</w:t>
      </w:r>
    </w:p>
    <w:p w14:paraId="79D93411" w14:textId="1691D2A3" w:rsidR="007A1DFD" w:rsidRDefault="00000000">
      <w:pPr>
        <w:pStyle w:val="ListParagraph"/>
        <w:numPr>
          <w:ilvl w:val="0"/>
          <w:numId w:val="3"/>
        </w:numPr>
      </w:pPr>
      <w:r>
        <w:t xml:space="preserve">Services: </w:t>
      </w:r>
      <w:r w:rsidR="00662E7F">
        <w:t xml:space="preserve">The organization and use of </w:t>
      </w:r>
      <w:r>
        <w:t xml:space="preserve">infrastructure or systems that </w:t>
      </w:r>
      <w:r w:rsidR="00662E7F">
        <w:t xml:space="preserve">impact </w:t>
      </w:r>
      <w:r>
        <w:t>mobility.</w:t>
      </w:r>
    </w:p>
    <w:p w14:paraId="3F07DD3C" w14:textId="77777777" w:rsidR="007A1DFD" w:rsidRDefault="00000000">
      <w:pPr>
        <w:pStyle w:val="Caption"/>
      </w:pPr>
      <w:r>
        <w:rPr>
          <w:noProof/>
        </w:rPr>
        <w:drawing>
          <wp:inline distT="0" distB="0" distL="0" distR="0" wp14:anchorId="2ABBFD03" wp14:editId="6E08603B">
            <wp:extent cx="6478905" cy="3872865"/>
            <wp:effectExtent l="0" t="0" r="0" b="0"/>
            <wp:docPr id="859452538" name="Picture 1" descr="Diagram showing the enabling and disabling factors for Mobility Affordances linked to the themes of Users Behaviours and Interactions, Infrastructure Provision, and Services and Governance. These relate back to the theoretical framework of 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52538" name="Picture 1" descr="Diagram showing the enabling and disabling factors for Mobility Affordances linked to the themes of Users Behaviours and Interactions, Infrastructure Provision, and Services and Governance. These relate back to the theoretical framework of figure 2."/>
                    <pic:cNvPicPr>
                      <a:picLocks noChangeAspect="1" noChangeArrowheads="1"/>
                    </pic:cNvPicPr>
                  </pic:nvPicPr>
                  <pic:blipFill>
                    <a:blip r:embed="rId14"/>
                    <a:srcRect t="1608" b="8134"/>
                    <a:stretch>
                      <a:fillRect/>
                    </a:stretch>
                  </pic:blipFill>
                  <pic:spPr>
                    <a:xfrm>
                      <a:off x="0" y="0"/>
                      <a:ext cx="6480000" cy="3873718"/>
                    </a:xfrm>
                    <a:prstGeom prst="rect">
                      <a:avLst/>
                    </a:prstGeom>
                    <a:noFill/>
                    <a:ln>
                      <a:noFill/>
                    </a:ln>
                  </pic:spPr>
                </pic:pic>
              </a:graphicData>
            </a:graphic>
          </wp:inline>
        </w:drawing>
      </w:r>
      <w:r>
        <w:t xml:space="preserve"> Figure </w:t>
      </w:r>
      <w:r>
        <w:fldChar w:fldCharType="begin"/>
      </w:r>
      <w:r>
        <w:instrText xml:space="preserve"> SEQ Figure \* ARABIC </w:instrText>
      </w:r>
      <w:r>
        <w:fldChar w:fldCharType="separate"/>
      </w:r>
      <w:r>
        <w:t>6</w:t>
      </w:r>
      <w:r>
        <w:fldChar w:fldCharType="end"/>
      </w:r>
      <w:r>
        <w:t xml:space="preserve"> Factors revealed from the participatory mapping of facilitating (enabling) or undermining (disabling) mobility affordances (linked to the Figure 2 framing)</w:t>
      </w:r>
    </w:p>
    <w:p w14:paraId="54665C9C" w14:textId="1C054D3A" w:rsidR="007A1DFD" w:rsidRDefault="00000000">
      <w:r>
        <w:t xml:space="preserve">These themes overlap with the quality </w:t>
      </w:r>
      <w:r w:rsidR="006E2A44">
        <w:t xml:space="preserve">and provision </w:t>
      </w:r>
      <w:r>
        <w:t xml:space="preserve">of infrastructure, influencing how people behave in that space and are linked to the way services have been delivered. For example, lack of refuse disposal infrastructure and waste collection services results in people disposing of waste on the street, </w:t>
      </w:r>
      <w:r w:rsidR="00F062D3">
        <w:t>blocking</w:t>
      </w:r>
      <w:r>
        <w:t xml:space="preserve"> pedestrian footpaths </w:t>
      </w:r>
      <w:r w:rsidR="00F062D3">
        <w:t xml:space="preserve">and </w:t>
      </w:r>
      <w:r>
        <w:t xml:space="preserve">forcing pedestrians onto the </w:t>
      </w:r>
      <w:r w:rsidR="00F062D3">
        <w:t>live carriageway</w:t>
      </w:r>
      <w:r>
        <w:t xml:space="preserve">. Similarly, </w:t>
      </w:r>
      <w:r w:rsidR="00F062D3">
        <w:t xml:space="preserve">lack </w:t>
      </w:r>
      <w:r>
        <w:t xml:space="preserve">of police presence and poor street lighting infrastructure lead to increased perceptions (or experiences) of crime </w:t>
      </w:r>
      <w:r w:rsidR="00F062D3">
        <w:t>among</w:t>
      </w:r>
      <w:r>
        <w:t xml:space="preserve"> users of that space, deterring travel and limiting mobility </w:t>
      </w:r>
      <w:r w:rsidR="00F062D3">
        <w:t>options</w:t>
      </w:r>
      <w:r>
        <w:t xml:space="preserve">. </w:t>
      </w:r>
    </w:p>
    <w:p w14:paraId="75FBA7C8" w14:textId="72DE392B" w:rsidR="007A1DFD" w:rsidRDefault="00000000">
      <w:r>
        <w:t xml:space="preserve">The </w:t>
      </w:r>
      <w:r w:rsidR="006E2A44">
        <w:t xml:space="preserve">negative factors of mobility affordance </w:t>
      </w:r>
      <w:r>
        <w:t>described by the participants linked to inadequate provision of infrastructure such as narrow footpaths leading to congestion or the absence of dedicated cycle lanes. However, they also included factors related to safety and security such as fear of crime</w:t>
      </w:r>
      <w:r w:rsidR="003C66A6">
        <w:t xml:space="preserve"> that sometimes had temporal dimensions</w:t>
      </w:r>
      <w:r>
        <w:t xml:space="preserve">. The behaviour of drivers </w:t>
      </w:r>
      <w:r w:rsidR="002F54EB">
        <w:t>such as speeding, aggressive and dangerous driving of matatus negatively impacted</w:t>
      </w:r>
      <w:r>
        <w:t xml:space="preserve"> </w:t>
      </w:r>
      <w:r w:rsidR="002F54EB">
        <w:t xml:space="preserve">participants’ perception of their </w:t>
      </w:r>
      <w:r>
        <w:t xml:space="preserve">journeys. Use of </w:t>
      </w:r>
      <w:r w:rsidR="002F54EB">
        <w:t xml:space="preserve">pedestrian footpaths </w:t>
      </w:r>
      <w:r>
        <w:t xml:space="preserve">by street vendors as retail spaces forced pedestrians onto the carriageway increasing conflict with motorised traffic. Overcrowding, high fares, and a lack of late-night operations of public transport vehicles also affected peoples’ journeys. </w:t>
      </w:r>
    </w:p>
    <w:p w14:paraId="07489405" w14:textId="1989F5E2" w:rsidR="007A1DFD" w:rsidRDefault="00000000">
      <w:r>
        <w:t xml:space="preserve">Positive spaces were characterised by </w:t>
      </w:r>
      <w:r w:rsidR="00914C91">
        <w:t xml:space="preserve">better </w:t>
      </w:r>
      <w:r w:rsidR="002F54EB">
        <w:t xml:space="preserve">quality </w:t>
      </w:r>
      <w:r>
        <w:t xml:space="preserve">infrastructure, safer environments (both in terms of road safety and personal safety), ease of navigation, and more pleasant </w:t>
      </w:r>
      <w:r w:rsidR="003C66A6">
        <w:t>aesthetics</w:t>
      </w:r>
      <w:r>
        <w:t xml:space="preserve">.  These included locations with green infrastructure provision (trees and plants) that make journeys more pleasant and potentially cooler experiences </w:t>
      </w:r>
      <w:r>
        <w:fldChar w:fldCharType="begin" w:fldLock="1"/>
      </w:r>
      <w:r>
        <w:instrText>ADDIN CSL_CITATION {"citationItems":[{"id":"ITEM-1","itemData":{"DOI":"10.1016/j.ecoser.2016.11.011","ISSN":"22120416","abstract":"Understanding how green spaces affect urban temperature is crucial for assessing thermal benefits of landscape planning. This study investigated green space dynamics and land surface temperature (LST) in the Beijing metropolis. Landscape types were classified from QuickBird (2002) and IKONOS (2012) images and LST values were extracted from Landsat TM images. Five landscape types were obtained in this region including impervious land (IL), forest land (FL), grass land (GL), water body (WB), and bare land (BL). Green expansion indicated landscape change from IL and BL to FL and GL. Green loss indicated landscape change from FL and GL to IL. Green exchange indicated landscape change between FL and GL. Results show that (1) the area of green space dynamics accounted for 38.24% of the total research area, including green space losses (108.86??km2), expansion (92.49??km2), and exchange (53.83??km2). (2) LST change was not significant in the unchanged (0???0.19????C) and exchanged green space (in the range of ???0.02???0.25????C). However, there were minor decreases of LST in areas of green expansion (in the range of ???1.11????C to ???0.67????C) and major increases in LST in the areas of green losses (1.64???2.21????C). The results indicated that the number of green spaces is not the only criteria that should be assessed for temperature mitigation. Ecosystem services of temperature mitigation are not equal between the loss and expansion of green spaces even within same area. Greater focus on protecting natural forests in cities might provide greater benefits for climate mitigation.","author":[{"dropping-particle":"","family":"Sun","given":"Ranhao","non-dropping-particle":"","parse-names":false,"suffix":""},{"dropping-particle":"","family":"Chen","given":"Liding","non-dropping-particle":"","parse-names":false,"suffix":""}],"container-title":"Ecosystem Services","id":"ITEM-1","issue":"October 2016","issued":{"date-parts":[["2017"]]},"page":"38-46","title":"Effects of green space dynamics on urban heat islands: Mitigation and diversification","type":"article-journal","volume":"23"},"uris":["http://www.mendeley.com/documents/?uuid=9eb201cb-c07a-497a-b07e-41c046b9fe42"]}],"mendeley":{"formattedCitation":"(Sun and Chen, 2017)","plainTextFormattedCitation":"(Sun and Chen, 2017)","previouslyFormattedCitation":"(Sun and Chen, 2017)"},"properties":{"noteIndex":0},"schema":"https://github.com/citation-style-language/schema/raw/master/csl-citation.json"}</w:instrText>
      </w:r>
      <w:r>
        <w:fldChar w:fldCharType="separate"/>
      </w:r>
      <w:r>
        <w:rPr>
          <w:noProof/>
        </w:rPr>
        <w:t>(Sun and Chen, 2017)</w:t>
      </w:r>
      <w:r>
        <w:fldChar w:fldCharType="end"/>
      </w:r>
      <w:r>
        <w:t>. From our data, positive public transport mobility experiences were associated with considerate behaviour from transport operators and well-functioning services that met users’ demands.</w:t>
      </w:r>
    </w:p>
    <w:p w14:paraId="2088A152" w14:textId="77777777" w:rsidR="007A1DFD" w:rsidRDefault="00000000">
      <w:pPr>
        <w:pStyle w:val="Heading2"/>
      </w:pPr>
      <w:r>
        <w:lastRenderedPageBreak/>
        <w:t>Transect Walk Findings</w:t>
      </w:r>
    </w:p>
    <w:p w14:paraId="3B045D21" w14:textId="1BF9BB90" w:rsidR="007A1DFD" w:rsidRDefault="00000000">
      <w:r>
        <w:t xml:space="preserve">By </w:t>
      </w:r>
      <w:r w:rsidR="00CA5F93">
        <w:t xml:space="preserve">analysing </w:t>
      </w:r>
      <w:r>
        <w:t>participants' physiological responses</w:t>
      </w:r>
      <w:r w:rsidR="00CA5F93">
        <w:t xml:space="preserve"> in relation</w:t>
      </w:r>
      <w:r>
        <w:t xml:space="preserve"> to their perception of their route, </w:t>
      </w:r>
      <w:r w:rsidR="00CA5F93">
        <w:t>several</w:t>
      </w:r>
      <w:r>
        <w:t xml:space="preserve"> differences </w:t>
      </w:r>
      <w:r w:rsidR="00CA5F93">
        <w:t>emerged</w:t>
      </w:r>
      <w:r>
        <w:t xml:space="preserve"> </w:t>
      </w:r>
      <w:r w:rsidR="00CA5F93">
        <w:t xml:space="preserve">between </w:t>
      </w:r>
      <w:r>
        <w:t xml:space="preserve">their subjective impression </w:t>
      </w:r>
      <w:r w:rsidR="00CA5F93">
        <w:t xml:space="preserve">and </w:t>
      </w:r>
      <w:r>
        <w:t xml:space="preserve">measured stress levels. </w:t>
      </w:r>
      <w:r w:rsidR="00CA5F93">
        <w:t xml:space="preserve">The findings </w:t>
      </w:r>
      <w:r>
        <w:t xml:space="preserve">were </w:t>
      </w:r>
      <w:r w:rsidR="00CA5F93">
        <w:t xml:space="preserve">then </w:t>
      </w:r>
      <w:r>
        <w:t xml:space="preserve">compared to the air quality </w:t>
      </w:r>
      <w:r w:rsidR="00CA5F93">
        <w:t xml:space="preserve">levels </w:t>
      </w:r>
      <w:r>
        <w:t>along the route to identify the exposure of participants to air pollution.</w:t>
      </w:r>
    </w:p>
    <w:p w14:paraId="004C5691" w14:textId="77777777" w:rsidR="007A1DFD" w:rsidRDefault="00000000">
      <w:pPr>
        <w:pStyle w:val="Heading3"/>
      </w:pPr>
      <w:r>
        <w:t>Mathare Transect Data Findings</w:t>
      </w:r>
    </w:p>
    <w:p w14:paraId="323A7A9D" w14:textId="1B57F4CE" w:rsidR="007A1DFD" w:rsidRDefault="00000000">
      <w:r>
        <w:t xml:space="preserve">The majority of participants (see </w:t>
      </w:r>
      <w:r w:rsidR="00CA5F93">
        <w:t>F</w:t>
      </w:r>
      <w:r>
        <w:t xml:space="preserve">igure 7) perceived Juja Road and Mathare North Road to be relatively pleasant, relaxing environments that facilitated their mobility. This could be attributed to the </w:t>
      </w:r>
      <w:r w:rsidR="00344EC4">
        <w:t xml:space="preserve">presence of </w:t>
      </w:r>
      <w:r>
        <w:t xml:space="preserve">relatively good infrastructure along </w:t>
      </w:r>
      <w:r w:rsidR="00344EC4">
        <w:t>Juja road</w:t>
      </w:r>
      <w:r>
        <w:t xml:space="preserve"> (presence of a wide segregated </w:t>
      </w:r>
      <w:r w:rsidR="00572870">
        <w:t>paved footpath</w:t>
      </w:r>
      <w:r>
        <w:t xml:space="preserve">) and the busy sociable environment on Mathare North Road due to the presence of street vendors. </w:t>
      </w:r>
      <w:r w:rsidR="00344EC4">
        <w:t xml:space="preserve">In contrast, </w:t>
      </w:r>
      <w:r>
        <w:t xml:space="preserve">Mau Mau Road was perceived as stressful along its </w:t>
      </w:r>
      <w:r w:rsidR="00344EC4">
        <w:t xml:space="preserve">entire </w:t>
      </w:r>
      <w:r>
        <w:t xml:space="preserve">length, </w:t>
      </w:r>
      <w:r w:rsidR="00344EC4">
        <w:t xml:space="preserve">likely due </w:t>
      </w:r>
      <w:r>
        <w:t xml:space="preserve">to </w:t>
      </w:r>
      <w:r w:rsidR="00344EC4">
        <w:t xml:space="preserve">its </w:t>
      </w:r>
      <w:r>
        <w:t>mixed-use nature</w:t>
      </w:r>
      <w:r w:rsidR="00344EC4">
        <w:t xml:space="preserve">, characterised by a </w:t>
      </w:r>
      <w:r>
        <w:t>combination of light industry, street vending</w:t>
      </w:r>
      <w:r w:rsidR="00344EC4">
        <w:t>,</w:t>
      </w:r>
      <w:r w:rsidR="003C66A6">
        <w:t xml:space="preserve"> </w:t>
      </w:r>
      <w:r>
        <w:t xml:space="preserve">fast-moving traffic and absence of dedicated safe </w:t>
      </w:r>
      <w:r w:rsidR="00572870">
        <w:t>footpaths</w:t>
      </w:r>
      <w:r>
        <w:t>.</w:t>
      </w:r>
    </w:p>
    <w:p w14:paraId="039AB29F" w14:textId="77777777" w:rsidR="007A1DFD" w:rsidRDefault="00000000">
      <w:r>
        <w:rPr>
          <w:noProof/>
        </w:rPr>
        <w:drawing>
          <wp:inline distT="0" distB="0" distL="0" distR="0" wp14:anchorId="7F2365FF" wp14:editId="7DFD8F0B">
            <wp:extent cx="4357370" cy="3239770"/>
            <wp:effectExtent l="0" t="0" r="5080" b="0"/>
            <wp:docPr id="1919140961" name="Picture 4" descr="Map showing the Mathare transect walk route and participants subjective perceptions of the stressful and relaxing places along this route. Stressful places are where walking infrastructure is worse and in mixed use locations. More relaxing locations are where sidewalk infrastructure is better and sociable retail sp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40961" name="Picture 4" descr="Map showing the Mathare transect walk route and participants subjective perceptions of the stressful and relaxing places along this route. Stressful places are where walking infrastructure is worse and in mixed use locations. More relaxing locations are where sidewalk infrastructure is better and sociable retail spaces."/>
                    <pic:cNvPicPr>
                      <a:picLocks noChangeAspect="1" noChangeArrowheads="1"/>
                    </pic:cNvPicPr>
                  </pic:nvPicPr>
                  <pic:blipFill>
                    <a:blip r:embed="rId15" cstate="print"/>
                    <a:srcRect/>
                    <a:stretch>
                      <a:fillRect/>
                    </a:stretch>
                  </pic:blipFill>
                  <pic:spPr>
                    <a:xfrm>
                      <a:off x="0" y="0"/>
                      <a:ext cx="4357396" cy="3240000"/>
                    </a:xfrm>
                    <a:prstGeom prst="rect">
                      <a:avLst/>
                    </a:prstGeom>
                    <a:noFill/>
                  </pic:spPr>
                </pic:pic>
              </a:graphicData>
            </a:graphic>
          </wp:inline>
        </w:drawing>
      </w:r>
    </w:p>
    <w:p w14:paraId="0762AB18" w14:textId="60FC744E" w:rsidR="007A1DFD" w:rsidRDefault="00000000">
      <w:pPr>
        <w:pStyle w:val="Caption"/>
      </w:pPr>
      <w:r>
        <w:t xml:space="preserve">Figure </w:t>
      </w:r>
      <w:r>
        <w:fldChar w:fldCharType="begin"/>
      </w:r>
      <w:r>
        <w:instrText xml:space="preserve"> SEQ Figure \* ARABIC </w:instrText>
      </w:r>
      <w:r>
        <w:fldChar w:fldCharType="separate"/>
      </w:r>
      <w:r>
        <w:t>7</w:t>
      </w:r>
      <w:r>
        <w:fldChar w:fldCharType="end"/>
      </w:r>
      <w:r>
        <w:t xml:space="preserve"> Mathare participant subjective perceptions of transect walk stressful (red) vs relaxing (green)</w:t>
      </w:r>
      <w:r w:rsidR="00AB5F09">
        <w:t xml:space="preserve">. [Source background map data: </w:t>
      </w:r>
      <w:r w:rsidR="00AB5F09" w:rsidRPr="00AB5F09">
        <w:t>Google Maps</w:t>
      </w:r>
      <w:r w:rsidR="00AB5F09">
        <w:t xml:space="preserve"> [n.d], accessed through QGIS, Mar 2023]</w:t>
      </w:r>
    </w:p>
    <w:p w14:paraId="616E224F" w14:textId="07087909" w:rsidR="007A1DFD" w:rsidRDefault="00000000">
      <w:r>
        <w:t xml:space="preserve">However, the HRV data (Figure 8) </w:t>
      </w:r>
      <w:r w:rsidR="00344EC4">
        <w:t xml:space="preserve">revealed </w:t>
      </w:r>
      <w:r>
        <w:t xml:space="preserve">that </w:t>
      </w:r>
      <w:r w:rsidR="00344EC4">
        <w:t xml:space="preserve">participants exhibited stressful reactions at certain </w:t>
      </w:r>
      <w:r w:rsidR="006D08A4">
        <w:t>sections</w:t>
      </w:r>
      <w:r w:rsidR="00344EC4">
        <w:t xml:space="preserve"> </w:t>
      </w:r>
      <w:r>
        <w:t xml:space="preserve">on both roads. We hypothesised that this physiological response could be associated with the high volume of fast-moving motorised traffic, particularly on Juja Road, and the </w:t>
      </w:r>
      <w:r w:rsidR="006D08A4">
        <w:t xml:space="preserve">obstruction </w:t>
      </w:r>
      <w:r>
        <w:t xml:space="preserve">of pedestrian </w:t>
      </w:r>
      <w:r w:rsidR="00572870">
        <w:t xml:space="preserve">footpaths </w:t>
      </w:r>
      <w:r>
        <w:t xml:space="preserve">by street vendors on Mathare North, which forces pedestrians onto the </w:t>
      </w:r>
      <w:r w:rsidR="006D08A4">
        <w:t xml:space="preserve">live carriageway. </w:t>
      </w:r>
    </w:p>
    <w:p w14:paraId="5AB3A7B7" w14:textId="18574094" w:rsidR="005B617A" w:rsidRDefault="005B617A">
      <w:r w:rsidRPr="005B617A">
        <w:t>On Mau Mau Road, the sections with greater greenspace were less physiologically stressful than Juja Road according to the HRV data. However, the busier mixed-use space on Mau Mau Road was the most stressful section of the route. This section exhibited high traffic flows and speeds, along with poor mobility infrastructure, exacerbating road safety risks.</w:t>
      </w:r>
    </w:p>
    <w:p w14:paraId="68ED7EC1" w14:textId="77777777" w:rsidR="007A1DFD" w:rsidRDefault="00000000">
      <w:r>
        <w:rPr>
          <w:noProof/>
        </w:rPr>
        <w:lastRenderedPageBreak/>
        <w:drawing>
          <wp:inline distT="0" distB="0" distL="0" distR="0" wp14:anchorId="65C5393F" wp14:editId="3A58ABD5">
            <wp:extent cx="4578985" cy="3239770"/>
            <wp:effectExtent l="0" t="0" r="0" b="0"/>
            <wp:docPr id="2140492157" name="Picture 5" descr="Map showing the Mathare transect walk route and the measured HRV readings. These indicate that some of the places participants found relaxing were physiologically stressful including the places with better walking infrastructure - but which are still congested with vehicles or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492157" name="Picture 5" descr="Map showing the Mathare transect walk route and the measured HRV readings. These indicate that some of the places participants found relaxing were physiologically stressful including the places with better walking infrastructure - but which are still congested with vehicles or people."/>
                    <pic:cNvPicPr>
                      <a:picLocks noChangeAspect="1" noChangeArrowheads="1"/>
                    </pic:cNvPicPr>
                  </pic:nvPicPr>
                  <pic:blipFill>
                    <a:blip r:embed="rId16" cstate="print"/>
                    <a:srcRect/>
                    <a:stretch>
                      <a:fillRect/>
                    </a:stretch>
                  </pic:blipFill>
                  <pic:spPr>
                    <a:xfrm>
                      <a:off x="0" y="0"/>
                      <a:ext cx="4579077" cy="3240000"/>
                    </a:xfrm>
                    <a:prstGeom prst="rect">
                      <a:avLst/>
                    </a:prstGeom>
                    <a:noFill/>
                  </pic:spPr>
                </pic:pic>
              </a:graphicData>
            </a:graphic>
          </wp:inline>
        </w:drawing>
      </w:r>
    </w:p>
    <w:p w14:paraId="0BC6793C" w14:textId="5C400FA6" w:rsidR="007A1DFD" w:rsidRDefault="00000000">
      <w:pPr>
        <w:pStyle w:val="Caption"/>
      </w:pPr>
      <w:r>
        <w:t xml:space="preserve">Figure </w:t>
      </w:r>
      <w:r>
        <w:fldChar w:fldCharType="begin"/>
      </w:r>
      <w:r>
        <w:instrText xml:space="preserve"> SEQ Figure \* ARABIC </w:instrText>
      </w:r>
      <w:r>
        <w:fldChar w:fldCharType="separate"/>
      </w:r>
      <w:r>
        <w:t>8</w:t>
      </w:r>
      <w:r>
        <w:fldChar w:fldCharType="end"/>
      </w:r>
      <w:r>
        <w:t xml:space="preserve"> Mathare normalised average heart rate variability (HRV) responses (red increasing stress</w:t>
      </w:r>
      <w:r w:rsidR="00942132">
        <w:t>,</w:t>
      </w:r>
      <w:r>
        <w:t xml:space="preserve"> green increasing relaxation)</w:t>
      </w:r>
      <w:r w:rsidR="00AB5F09">
        <w:t xml:space="preserve">. [Source background map data: </w:t>
      </w:r>
      <w:r w:rsidR="00AB5F09" w:rsidRPr="00AB5F09">
        <w:t>Google Maps</w:t>
      </w:r>
      <w:r w:rsidR="00AB5F09">
        <w:t xml:space="preserve"> [n.d], accessed through QGIS, Mar 2023]</w:t>
      </w:r>
    </w:p>
    <w:p w14:paraId="290E0AD4" w14:textId="66553B04" w:rsidR="007A1DFD" w:rsidRDefault="00000000">
      <w:r>
        <w:t>Regarding environmental conditions during the transect walk, air pollution data (mapped in Figure 9) showed that for PM</w:t>
      </w:r>
      <w:r w:rsidRPr="006C626D">
        <w:rPr>
          <w:vertAlign w:val="subscript"/>
        </w:rPr>
        <w:t>2.5</w:t>
      </w:r>
      <w:r>
        <w:t xml:space="preserve"> measurements, most of Mau Mau Road was class</w:t>
      </w:r>
      <w:r w:rsidR="005B617A">
        <w:t>ifi</w:t>
      </w:r>
      <w:r>
        <w:t>ed as IT2 while Juja Road was</w:t>
      </w:r>
      <w:r w:rsidR="005B617A">
        <w:t xml:space="preserve"> predominantly </w:t>
      </w:r>
      <w:r>
        <w:t xml:space="preserve">IT1 or worse. This </w:t>
      </w:r>
      <w:r w:rsidR="005B617A">
        <w:t xml:space="preserve">suggests </w:t>
      </w:r>
      <w:r>
        <w:t xml:space="preserve">that road users </w:t>
      </w:r>
      <w:r w:rsidR="005B617A">
        <w:t>were</w:t>
      </w:r>
      <w:r>
        <w:t xml:space="preserve"> exposed to high levels of dangerous particle pollution, especially along the busy transport corridor of Juja Road. </w:t>
      </w:r>
      <w:r w:rsidR="005B617A">
        <w:t xml:space="preserve">A critical finding emerged on comparing </w:t>
      </w:r>
      <w:r>
        <w:t xml:space="preserve">the stress </w:t>
      </w:r>
      <w:r w:rsidR="005B617A">
        <w:t xml:space="preserve">level </w:t>
      </w:r>
      <w:r>
        <w:t>data to the pollution exposure data on Juja Road</w:t>
      </w:r>
      <w:r w:rsidR="005B617A">
        <w:t>-</w:t>
      </w:r>
      <w:r>
        <w:t xml:space="preserve"> despite the </w:t>
      </w:r>
      <w:r w:rsidR="005B617A">
        <w:t xml:space="preserve">presence </w:t>
      </w:r>
      <w:r>
        <w:t xml:space="preserve">of better walking infrastructure and </w:t>
      </w:r>
      <w:r w:rsidR="005B617A">
        <w:t>participants reporting lower stress levels</w:t>
      </w:r>
      <w:r>
        <w:t xml:space="preserve">, they were exposed to </w:t>
      </w:r>
      <w:r w:rsidR="005B617A">
        <w:t>higher</w:t>
      </w:r>
      <w:r>
        <w:t xml:space="preserve"> air pollution levels.  </w:t>
      </w:r>
    </w:p>
    <w:p w14:paraId="1CD85D18" w14:textId="77777777" w:rsidR="007A1DFD" w:rsidRDefault="00000000">
      <w:pPr>
        <w:keepNext/>
      </w:pPr>
      <w:r>
        <w:rPr>
          <w:noProof/>
        </w:rPr>
        <w:drawing>
          <wp:inline distT="0" distB="0" distL="0" distR="0" wp14:anchorId="4FE67DCC" wp14:editId="2F555821">
            <wp:extent cx="4584700" cy="3239770"/>
            <wp:effectExtent l="0" t="0" r="6350" b="0"/>
            <wp:docPr id="2038366087" name="Picture 6" descr="Map showing the particulate matter levels along the transect walk routes. This indicates that many sections of the route are in excess of the World Health Organisations (WHO) target measures for PM2.5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66087" name="Picture 6" descr="Map showing the particulate matter levels along the transect walk routes. This indicates that many sections of the route are in excess of the World Health Organisations (WHO) target measures for PM2.5 pollution."/>
                    <pic:cNvPicPr>
                      <a:picLocks noChangeAspect="1" noChangeArrowheads="1"/>
                    </pic:cNvPicPr>
                  </pic:nvPicPr>
                  <pic:blipFill>
                    <a:blip r:embed="rId17" cstate="print"/>
                    <a:srcRect/>
                    <a:stretch>
                      <a:fillRect/>
                    </a:stretch>
                  </pic:blipFill>
                  <pic:spPr>
                    <a:xfrm>
                      <a:off x="0" y="0"/>
                      <a:ext cx="4585075" cy="3240000"/>
                    </a:xfrm>
                    <a:prstGeom prst="rect">
                      <a:avLst/>
                    </a:prstGeom>
                    <a:noFill/>
                  </pic:spPr>
                </pic:pic>
              </a:graphicData>
            </a:graphic>
          </wp:inline>
        </w:drawing>
      </w:r>
    </w:p>
    <w:p w14:paraId="4D557EBC" w14:textId="1189FAD9" w:rsidR="007A1DFD" w:rsidRDefault="00000000">
      <w:pPr>
        <w:pStyle w:val="Caption"/>
      </w:pPr>
      <w:r>
        <w:t xml:space="preserve">Figure </w:t>
      </w:r>
      <w:r>
        <w:fldChar w:fldCharType="begin"/>
      </w:r>
      <w:r>
        <w:instrText xml:space="preserve"> SEQ Figure \* ARABIC </w:instrText>
      </w:r>
      <w:r>
        <w:fldChar w:fldCharType="separate"/>
      </w:r>
      <w:r>
        <w:t>9</w:t>
      </w:r>
      <w:r>
        <w:fldChar w:fldCharType="end"/>
      </w:r>
      <w:r>
        <w:t xml:space="preserve"> Mathare average particulate matter (PM</w:t>
      </w:r>
      <w:r w:rsidRPr="006C626D">
        <w:rPr>
          <w:vertAlign w:val="subscript"/>
        </w:rPr>
        <w:t>2.5</w:t>
      </w:r>
      <w:r>
        <w:t xml:space="preserve"> fraction) measurements classified into WHO interim target measures (&gt;75 exceeding target measure, IT 1 to 4 and Air Quality Guidance (AQG) level)</w:t>
      </w:r>
      <w:r w:rsidR="00AB5F09">
        <w:t xml:space="preserve">. [Source background map data: </w:t>
      </w:r>
      <w:r w:rsidR="00AB5F09" w:rsidRPr="00AB5F09">
        <w:t>Google Maps</w:t>
      </w:r>
      <w:r w:rsidR="00AB5F09">
        <w:t xml:space="preserve"> [n.d], accessed through QGIS, Mar 2023]</w:t>
      </w:r>
    </w:p>
    <w:p w14:paraId="6E807998" w14:textId="77777777" w:rsidR="007A1DFD" w:rsidRDefault="00000000">
      <w:pPr>
        <w:pStyle w:val="Heading3"/>
      </w:pPr>
      <w:r>
        <w:lastRenderedPageBreak/>
        <w:t>Likoni Transect Data Findings</w:t>
      </w:r>
    </w:p>
    <w:p w14:paraId="17B9D59E" w14:textId="6EC5ECB4" w:rsidR="007A1DFD" w:rsidRDefault="00000000">
      <w:r>
        <w:t xml:space="preserve">Participants perceived the start of the route and parts of Likoni-Ukundu Road where the </w:t>
      </w:r>
      <w:r w:rsidR="00572870">
        <w:t xml:space="preserve">footpaths </w:t>
      </w:r>
      <w:r>
        <w:t>were congested with shoppers and street vendors to be the most stressful (</w:t>
      </w:r>
      <w:r w:rsidR="003D3E61">
        <w:t>F</w:t>
      </w:r>
      <w:r>
        <w:t xml:space="preserve">igure 10). At the junction between these two roads at the ferry junction, the road space was occupied by paratransit operators and passengers making this area particularly stressful. The rest of the route was relatively less stressful, particularly, the section towards the end of Likoni-Ukundu Road where the pedestrian </w:t>
      </w:r>
      <w:r w:rsidR="00572870">
        <w:t xml:space="preserve">footpaths </w:t>
      </w:r>
      <w:r>
        <w:t>were wide and less congested with vendors or shoppers.</w:t>
      </w:r>
    </w:p>
    <w:p w14:paraId="364E5BA4" w14:textId="77777777" w:rsidR="007A1DFD" w:rsidRDefault="00000000">
      <w:pPr>
        <w:keepNext/>
      </w:pPr>
      <w:r>
        <w:rPr>
          <w:noProof/>
        </w:rPr>
        <w:drawing>
          <wp:inline distT="0" distB="0" distL="0" distR="0" wp14:anchorId="13BE6F9A" wp14:editId="08559292">
            <wp:extent cx="5006975" cy="2159635"/>
            <wp:effectExtent l="0" t="0" r="3175" b="0"/>
            <wp:docPr id="2021052046" name="Picture 8" descr="Map showing the Likoni transect walk route and participants subjective perceptions of the stressful and relaxing places along this route. Stressful places are generally highly congested with people, vendors and vehicles. Relaxing places have better sidewalks and less cong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52046" name="Picture 8" descr="Map showing the Likoni transect walk route and participants subjective perceptions of the stressful and relaxing places along this route. Stressful places are generally highly congested with people, vendors and vehicles. Relaxing places have better sidewalks and less congestion."/>
                    <pic:cNvPicPr>
                      <a:picLocks noChangeAspect="1" noChangeArrowheads="1"/>
                    </pic:cNvPicPr>
                  </pic:nvPicPr>
                  <pic:blipFill>
                    <a:blip r:embed="rId18" cstate="print"/>
                    <a:srcRect b="38762"/>
                    <a:stretch>
                      <a:fillRect/>
                    </a:stretch>
                  </pic:blipFill>
                  <pic:spPr>
                    <a:xfrm>
                      <a:off x="0" y="0"/>
                      <a:ext cx="5007176" cy="2160000"/>
                    </a:xfrm>
                    <a:prstGeom prst="rect">
                      <a:avLst/>
                    </a:prstGeom>
                    <a:noFill/>
                    <a:ln>
                      <a:noFill/>
                    </a:ln>
                  </pic:spPr>
                </pic:pic>
              </a:graphicData>
            </a:graphic>
          </wp:inline>
        </w:drawing>
      </w:r>
    </w:p>
    <w:p w14:paraId="610344BC" w14:textId="56543FA3" w:rsidR="007A1DFD" w:rsidRDefault="00000000">
      <w:pPr>
        <w:pStyle w:val="Caption"/>
      </w:pPr>
      <w:r>
        <w:t xml:space="preserve">Figure </w:t>
      </w:r>
      <w:r>
        <w:fldChar w:fldCharType="begin"/>
      </w:r>
      <w:r>
        <w:instrText xml:space="preserve"> SEQ Figure \* ARABIC </w:instrText>
      </w:r>
      <w:r>
        <w:fldChar w:fldCharType="separate"/>
      </w:r>
      <w:r>
        <w:t>10</w:t>
      </w:r>
      <w:r>
        <w:fldChar w:fldCharType="end"/>
      </w:r>
      <w:r>
        <w:t xml:space="preserve"> Likoni participant subjective perceptions of transect walk stressful (red) vs relaxing (green)</w:t>
      </w:r>
      <w:r w:rsidR="00AB5F09">
        <w:t xml:space="preserve">. [Source background map data: </w:t>
      </w:r>
      <w:r w:rsidR="00AB5F09" w:rsidRPr="00AB5F09">
        <w:t>Google Maps</w:t>
      </w:r>
      <w:r w:rsidR="00AB5F09">
        <w:t xml:space="preserve"> [n.d], accessed through QGIS, Mar 2023]</w:t>
      </w:r>
    </w:p>
    <w:p w14:paraId="2F1A7D3B" w14:textId="6F38193C" w:rsidR="007A1DFD" w:rsidRDefault="00000000">
      <w:r>
        <w:t>The HRV data (</w:t>
      </w:r>
      <w:r w:rsidR="003D3E61">
        <w:t>F</w:t>
      </w:r>
      <w:r>
        <w:t>igure 11) indicated that these locations were also stressful physiologically particularly the start of the route and at the junction to the ferry. A section neighbouring greenspace towards the end of the route was perceived as relaxing with reduced physiological stress. However, the data indicated that much of the route was mildly stressful for the participants.</w:t>
      </w:r>
    </w:p>
    <w:p w14:paraId="1C68A013" w14:textId="77777777" w:rsidR="007A1DFD" w:rsidRDefault="00000000">
      <w:pPr>
        <w:keepNext/>
      </w:pPr>
      <w:r>
        <w:rPr>
          <w:noProof/>
        </w:rPr>
        <w:drawing>
          <wp:inline distT="0" distB="0" distL="0" distR="0" wp14:anchorId="300A53D0" wp14:editId="1CB0111E">
            <wp:extent cx="4947285" cy="2159635"/>
            <wp:effectExtent l="0" t="0" r="5715" b="0"/>
            <wp:docPr id="1935902683" name="Picture 7" descr="Map showing the Likoni transect walk route and the HRV measurements. This highlights that there was reasonable agreement between participants perceptions and the physiological wellbeing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902683" name="Picture 7" descr="Map showing the Likoni transect walk route and the HRV measurements. This highlights that there was reasonable agreement between participants perceptions and the physiological wellbeing measurements."/>
                    <pic:cNvPicPr>
                      <a:picLocks noChangeAspect="1" noChangeArrowheads="1"/>
                    </pic:cNvPicPr>
                  </pic:nvPicPr>
                  <pic:blipFill>
                    <a:blip r:embed="rId19" cstate="print"/>
                    <a:srcRect b="38064"/>
                    <a:stretch>
                      <a:fillRect/>
                    </a:stretch>
                  </pic:blipFill>
                  <pic:spPr>
                    <a:xfrm>
                      <a:off x="0" y="0"/>
                      <a:ext cx="4947562" cy="2160000"/>
                    </a:xfrm>
                    <a:prstGeom prst="rect">
                      <a:avLst/>
                    </a:prstGeom>
                    <a:noFill/>
                    <a:ln>
                      <a:noFill/>
                    </a:ln>
                  </pic:spPr>
                </pic:pic>
              </a:graphicData>
            </a:graphic>
          </wp:inline>
        </w:drawing>
      </w:r>
    </w:p>
    <w:p w14:paraId="4DCE4EEA" w14:textId="34B94B03" w:rsidR="007A1DFD" w:rsidRDefault="00000000">
      <w:pPr>
        <w:pStyle w:val="Caption"/>
      </w:pPr>
      <w:r>
        <w:t xml:space="preserve">Figure </w:t>
      </w:r>
      <w:r>
        <w:fldChar w:fldCharType="begin"/>
      </w:r>
      <w:r>
        <w:instrText xml:space="preserve"> SEQ Figure \* ARABIC </w:instrText>
      </w:r>
      <w:r>
        <w:fldChar w:fldCharType="separate"/>
      </w:r>
      <w:r>
        <w:t>11</w:t>
      </w:r>
      <w:r>
        <w:fldChar w:fldCharType="end"/>
      </w:r>
      <w:r>
        <w:t xml:space="preserve"> Likoni normalised average heart rate variability (HRV) responses (red increasing stress</w:t>
      </w:r>
      <w:r w:rsidR="00942132">
        <w:t xml:space="preserve">, </w:t>
      </w:r>
      <w:r>
        <w:t>green increasing relaxation)</w:t>
      </w:r>
      <w:r w:rsidR="00AB5F09">
        <w:t xml:space="preserve">. [Source background map data: </w:t>
      </w:r>
      <w:r w:rsidR="00AB5F09" w:rsidRPr="00AB5F09">
        <w:t>Google Maps</w:t>
      </w:r>
      <w:r w:rsidR="00AB5F09">
        <w:t xml:space="preserve"> [n.d], accessed through QGIS, Mar 2023]</w:t>
      </w:r>
    </w:p>
    <w:p w14:paraId="3310AE7F" w14:textId="094E45EF" w:rsidR="007A1DFD" w:rsidRDefault="00000000">
      <w:r>
        <w:t>The air quality measurements (</w:t>
      </w:r>
      <w:r w:rsidR="003D3E61">
        <w:t>F</w:t>
      </w:r>
      <w:r>
        <w:t xml:space="preserve">igure 12) indicated that pollution was less poor than for </w:t>
      </w:r>
      <w:r w:rsidR="003C66A6">
        <w:t xml:space="preserve">the </w:t>
      </w:r>
      <w:r>
        <w:t>Mathare</w:t>
      </w:r>
      <w:r w:rsidR="006C21FC">
        <w:t xml:space="preserve"> transect route</w:t>
      </w:r>
      <w:r>
        <w:t xml:space="preserve">. However, significant </w:t>
      </w:r>
      <w:r w:rsidR="003D3E61">
        <w:t xml:space="preserve">pollution </w:t>
      </w:r>
      <w:r>
        <w:t>issues</w:t>
      </w:r>
      <w:r w:rsidR="003D3E61">
        <w:t xml:space="preserve"> were</w:t>
      </w:r>
      <w:r w:rsidR="006C21FC">
        <w:t xml:space="preserve"> still</w:t>
      </w:r>
      <w:r w:rsidR="003D3E61">
        <w:t xml:space="preserve"> </w:t>
      </w:r>
      <w:r w:rsidR="006C21FC">
        <w:t>observed, particularly</w:t>
      </w:r>
      <w:r>
        <w:t xml:space="preserve"> near the </w:t>
      </w:r>
      <w:r w:rsidR="003D3E61">
        <w:t xml:space="preserve">ferry </w:t>
      </w:r>
      <w:r>
        <w:t xml:space="preserve">junction where paratransit services operated intensively. </w:t>
      </w:r>
      <w:r w:rsidR="003D3E61">
        <w:t>Interestingly</w:t>
      </w:r>
      <w:r>
        <w:t xml:space="preserve">, these locations did not directly correspond </w:t>
      </w:r>
      <w:r w:rsidR="003D3E61">
        <w:t xml:space="preserve">with locations </w:t>
      </w:r>
      <w:r w:rsidR="00F02F7B">
        <w:t>that recorded</w:t>
      </w:r>
      <w:r w:rsidR="003D3E61">
        <w:t xml:space="preserve"> the highest</w:t>
      </w:r>
      <w:r>
        <w:t xml:space="preserve"> perceived or measured stress. This </w:t>
      </w:r>
      <w:r w:rsidR="003D3E61">
        <w:t>suggests that higher</w:t>
      </w:r>
      <w:r>
        <w:t xml:space="preserve"> traffic</w:t>
      </w:r>
      <w:r w:rsidR="003D3E61">
        <w:t xml:space="preserve"> ( </w:t>
      </w:r>
      <w:r w:rsidR="00F02F7B">
        <w:t>while</w:t>
      </w:r>
      <w:r w:rsidR="003D3E61">
        <w:t xml:space="preserve"> a major source of emissions) </w:t>
      </w:r>
      <w:r>
        <w:t xml:space="preserve">volumes </w:t>
      </w:r>
      <w:r w:rsidR="003D3E61">
        <w:t xml:space="preserve">may not be the sole driver of </w:t>
      </w:r>
      <w:r>
        <w:t xml:space="preserve"> stressful responses</w:t>
      </w:r>
      <w:r w:rsidR="003D3E61">
        <w:t>. O</w:t>
      </w:r>
      <w:r>
        <w:t>ther factors</w:t>
      </w:r>
      <w:r w:rsidR="003D3E61">
        <w:t>,</w:t>
      </w:r>
      <w:r>
        <w:t xml:space="preserve"> </w:t>
      </w:r>
      <w:r w:rsidR="003D3E61">
        <w:t>such as how spaces are used</w:t>
      </w:r>
      <w:r>
        <w:t xml:space="preserve"> </w:t>
      </w:r>
      <w:r w:rsidR="00F02F7B">
        <w:t xml:space="preserve">and the impact of the behaviour of other road users may </w:t>
      </w:r>
      <w:r>
        <w:t xml:space="preserve">exhibit a stronger </w:t>
      </w:r>
      <w:r w:rsidR="00F02F7B">
        <w:t xml:space="preserve">influence on other users’ stress levels. </w:t>
      </w:r>
    </w:p>
    <w:p w14:paraId="2A81CAF9" w14:textId="77777777" w:rsidR="007A1DFD" w:rsidRDefault="00000000">
      <w:pPr>
        <w:keepNext/>
      </w:pPr>
      <w:r>
        <w:rPr>
          <w:noProof/>
        </w:rPr>
        <w:lastRenderedPageBreak/>
        <w:drawing>
          <wp:inline distT="0" distB="0" distL="0" distR="0" wp14:anchorId="45BBEE4A" wp14:editId="4232E71F">
            <wp:extent cx="4961890" cy="2159635"/>
            <wp:effectExtent l="0" t="0" r="0" b="0"/>
            <wp:docPr id="336489452" name="Picture 9" descr="Map showing the Likoni transect walk particulate matter levels. The data highlights that pollution levels are less than for Mathare but still in excess of the WHO target levels for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89452" name="Picture 9" descr="Map showing the Likoni transect walk particulate matter levels. The data highlights that pollution levels are less than for Mathare but still in excess of the WHO target levels for PM2.5."/>
                    <pic:cNvPicPr>
                      <a:picLocks noChangeAspect="1" noChangeArrowheads="1"/>
                    </pic:cNvPicPr>
                  </pic:nvPicPr>
                  <pic:blipFill>
                    <a:blip r:embed="rId20" cstate="print"/>
                    <a:srcRect b="38208"/>
                    <a:stretch>
                      <a:fillRect/>
                    </a:stretch>
                  </pic:blipFill>
                  <pic:spPr>
                    <a:xfrm>
                      <a:off x="0" y="0"/>
                      <a:ext cx="4962336" cy="2160000"/>
                    </a:xfrm>
                    <a:prstGeom prst="rect">
                      <a:avLst/>
                    </a:prstGeom>
                    <a:noFill/>
                    <a:ln>
                      <a:noFill/>
                    </a:ln>
                  </pic:spPr>
                </pic:pic>
              </a:graphicData>
            </a:graphic>
          </wp:inline>
        </w:drawing>
      </w:r>
    </w:p>
    <w:p w14:paraId="54DF3CCB" w14:textId="33BFD19C" w:rsidR="007A1DFD" w:rsidRDefault="00000000">
      <w:pPr>
        <w:pStyle w:val="Caption"/>
      </w:pPr>
      <w:r>
        <w:t xml:space="preserve">Figure </w:t>
      </w:r>
      <w:r>
        <w:fldChar w:fldCharType="begin"/>
      </w:r>
      <w:r>
        <w:instrText xml:space="preserve"> SEQ Figure \* ARABIC </w:instrText>
      </w:r>
      <w:r>
        <w:fldChar w:fldCharType="separate"/>
      </w:r>
      <w:r>
        <w:t>12</w:t>
      </w:r>
      <w:r>
        <w:fldChar w:fldCharType="end"/>
      </w:r>
      <w:r>
        <w:t xml:space="preserve"> Likoni average particulate matter (PM</w:t>
      </w:r>
      <w:r w:rsidRPr="006C626D">
        <w:rPr>
          <w:vertAlign w:val="subscript"/>
        </w:rPr>
        <w:t>2.5</w:t>
      </w:r>
      <w:r>
        <w:t xml:space="preserve"> fraction) measurements classified into WHO interim target measures (&gt;75 exceeding target measure, IT 1 to 4 and Air Quality Guidance (AQG) level)</w:t>
      </w:r>
      <w:r w:rsidR="00AB5F09">
        <w:t xml:space="preserve">. [Source background map data: </w:t>
      </w:r>
      <w:r w:rsidR="00AB5F09" w:rsidRPr="00AB5F09">
        <w:t>Google Maps</w:t>
      </w:r>
      <w:r w:rsidR="00AB5F09">
        <w:t xml:space="preserve"> [n.d], accessed through QGIS, Mar 2023]</w:t>
      </w:r>
    </w:p>
    <w:p w14:paraId="48B98901" w14:textId="77777777" w:rsidR="007A1DFD" w:rsidRDefault="00000000">
      <w:pPr>
        <w:pStyle w:val="Heading1"/>
      </w:pPr>
      <w:bookmarkStart w:id="5" w:name="_Hlk176185306"/>
      <w:r>
        <w:t>Discussion</w:t>
      </w:r>
    </w:p>
    <w:bookmarkEnd w:id="5"/>
    <w:p w14:paraId="37E3A62D" w14:textId="55EC9953" w:rsidR="007A1DFD" w:rsidRDefault="00000000">
      <w:r>
        <w:t xml:space="preserve">Our findings highlight specific factors in our case study locations that </w:t>
      </w:r>
      <w:r w:rsidR="00F02F7B">
        <w:t>serve</w:t>
      </w:r>
      <w:r>
        <w:t xml:space="preserve"> to illustrate a </w:t>
      </w:r>
      <w:r w:rsidR="00F02F7B">
        <w:t>broader understanding</w:t>
      </w:r>
      <w:r>
        <w:t xml:space="preserve"> of the interactions of mobility, wellbeing and inclusion </w:t>
      </w:r>
      <w:r w:rsidR="00F02F7B">
        <w:t>within</w:t>
      </w:r>
      <w:r>
        <w:t xml:space="preserve"> our integrative framework. </w:t>
      </w:r>
    </w:p>
    <w:p w14:paraId="336ACE49" w14:textId="78063B02" w:rsidR="007A1DFD" w:rsidRDefault="00000000">
      <w:r>
        <w:rPr>
          <w:b/>
          <w:bCs/>
        </w:rPr>
        <w:t>Affordances of mobility</w:t>
      </w:r>
      <w:r w:rsidR="00942132">
        <w:t>:</w:t>
      </w:r>
      <w:r>
        <w:t xml:space="preserve"> </w:t>
      </w:r>
      <w:r w:rsidR="00942132">
        <w:t>T</w:t>
      </w:r>
      <w:r>
        <w:t xml:space="preserve">he participatory mapping highlights the ubiquity of walking as a mode in both cities, supporting the pressing calls for planners to </w:t>
      </w:r>
      <w:r w:rsidR="00F02F7B">
        <w:t xml:space="preserve">provide adequate and </w:t>
      </w:r>
      <w:r>
        <w:t xml:space="preserve">safe walking (or wheeling for those using mobility aids) infrastructure </w:t>
      </w:r>
      <w:r>
        <w:fldChar w:fldCharType="begin" w:fldLock="1"/>
      </w:r>
      <w:r>
        <w:instrText>ADDIN CSL_CITATION {"citationItems":[{"id":"ITEM-1","itemData":{"DOI":"10.1016/j.cities.2023.104297","ISSN":"02642751","abstract":"Walking is the primary mode of transport in African cities. Despite a growing number of policies recognizing the need to retain and protect people walking, walking infrastructure is still lacking on the continent. There is a dearth of research about the key barriers and enablers that influence the way in which transport and urban planning policies are implemented in Africa, and international best practices lack relevance for African contexts. This study explores the political and decision-making processes in transport authorities in Africa to understand why walking receives marginal resource allocation and operationalisation. Thirteen semi-structured qualitative interviews were conducted with national-and city-level stakeholders working in transport policy and practice in Africa. Stakeholders perceived that walking is undervalued by stakeholders and by those who do not have to walk. Barriers to change include ineffective policies, and limited capacity and knowledge to affect change. Importantly, a major constraint for African city authorities to support walking is the bias of funding towards large infrastructure schemes rather than just the availability of funding. A redefinition of a successful mobility system was perceived as necessary to transform the way that walking is valued. This study has important implications to better support walking in African cities.","author":[{"dropping-particle":"","family":"Benton","given":"Jack S.","non-dropping-particle":"","parse-names":false,"suffix":""},{"dropping-particle":"","family":"Jennings","given":"Gail","non-dropping-particle":"","parse-names":false,"suffix":""},{"dropping-particle":"","family":"Walker","given":"Jim","non-dropping-particle":"","parse-names":false,"suffix":""},{"dropping-particle":"","family":"Evans","given":"James","non-dropping-particle":"","parse-names":false,"suffix":""}],"container-title":"Cities","id":"ITEM-1","issue":"March","issued":{"date-parts":[["2023"]]},"page":"104297","publisher":"Elsevier Ltd","title":"“Walking is our asset”: How to retain walking as a valued mode of transport in African cities","type":"article-journal","volume":"137"},"uris":["http://www.mendeley.com/documents/?uuid=6a107daf-6d3d-4d40-b6fd-241d7902634b"]},{"id":"ITEM-2","itemData":{"DOI":"10.1016/j.cities.2011.11.005","ISSN":"02642751","abstract":"Urban mobility is increasingly becoming one of the planning and development issues for cities in the sub-Saharan Africa (SSA) region. Sub-Saharan cities are growing fast, outstripping the current transport infrastructure. Despite the population and spatial growth, many cities are defined by inadequate planning, rapid urbanisation and deteriorating transport infrastructure and services. In most sub-Saharan African countries, modes of urban mobility are highly dependent on income. Transport options are limited. In fact, walking and cycling are often the main means available for the majority of city commuters. Little effort is made to develop a range of transport options or to improve bike or walking paths. Combined with traffic jams, poor governance and the increasing cost of living, public transport mobility in sub-Saharan cities is having a tremendous impact on their liveability and citizens development aspirations. This paper argues that inclusive and broad ranging transport planning must be prioritised in SSA cities to improve the capacity of citizens to participate in work opportunities as well as to fulfil their daily domestic needs. Using observations and comparing progress in other countries and regions, we note that the majority urban poor, women in particular, are often bearing the brunt of inadequate planning and transport provision. We note that urban planning and transport infrastructure should therefore be (re) designed with particular focus on the wellbeing of the poor. The paper thus ends with a range of suggestions on what planning, design and policy options might be available to better integrate various commuting modes into urban planning infrastructure. In doing so, the paper notes that safety and security are critical elements of improving urban and spatial transport planning in the sub-Saharan Africa region. © 2011 Elsevier Ltd.","author":[{"dropping-particle":"","family":"Sietchiping","given":"Remy","non-dropping-particle":"","parse-names":false,"suffix":""},{"dropping-particle":"","family":"Permezel","given":"Melissa Jane","non-dropping-particle":"","parse-names":false,"suffix":""},{"dropping-particle":"","family":"Ngomsi","given":"Claude","non-dropping-particle":"","parse-names":false,"suffix":""}],"container-title":"Cities","id":"ITEM-2","issue":"3","issued":{"date-parts":[["2012"]]},"page":"183-189","publisher":"Elsevier Ltd","title":"Transport and mobility in sub-Saharan African cities: An overview of practices, lessons and options for improvements","type":"article-journal","volume":"29"},"uris":["http://www.mendeley.com/documents/?uuid=ddc15dfc-2def-4d3f-a90a-803cb7391571"]}],"mendeley":{"formattedCitation":"(Sietchiping, Permezel and Ngomsi, 2012; Benton &lt;i&gt;et al.&lt;/i&gt;, 2023)","manualFormatting":"(e.g., Sietchiping, Permezel and Ngomsi, 2012; Benton et al., 2023)","plainTextFormattedCitation":"(Sietchiping, Permezel and Ngomsi, 2012; Benton et al., 2023)","previouslyFormattedCitation":"(Sietchiping, Permezel and Ngomsi, 2012; Benton &lt;i&gt;et al.&lt;/i&gt;, 2023)"},"properties":{"noteIndex":0},"schema":"https://github.com/citation-style-language/schema/raw/master/csl-citation.json"}</w:instrText>
      </w:r>
      <w:r>
        <w:fldChar w:fldCharType="separate"/>
      </w:r>
      <w:r>
        <w:rPr>
          <w:noProof/>
        </w:rPr>
        <w:t xml:space="preserve">(e.g., Sietchiping, Permezel and Ngomsi, 2012; Benton </w:t>
      </w:r>
      <w:r>
        <w:rPr>
          <w:i/>
          <w:noProof/>
        </w:rPr>
        <w:t>et al.</w:t>
      </w:r>
      <w:r>
        <w:rPr>
          <w:noProof/>
        </w:rPr>
        <w:t>, 2023)</w:t>
      </w:r>
      <w:r>
        <w:fldChar w:fldCharType="end"/>
      </w:r>
      <w:r>
        <w:t xml:space="preserve">. The </w:t>
      </w:r>
      <w:r w:rsidR="00F02F7B">
        <w:t xml:space="preserve">journey </w:t>
      </w:r>
      <w:r>
        <w:t xml:space="preserve">mapping </w:t>
      </w:r>
      <w:r w:rsidR="00B56E79">
        <w:t xml:space="preserve">evidences </w:t>
      </w:r>
      <w:r>
        <w:t xml:space="preserve">how the provision </w:t>
      </w:r>
      <w:r w:rsidR="00F02F7B">
        <w:t xml:space="preserve">of </w:t>
      </w:r>
      <w:r>
        <w:t xml:space="preserve">quality of walking infrastructure </w:t>
      </w:r>
      <w:r w:rsidR="00F02F7B">
        <w:t xml:space="preserve">greatly impacts </w:t>
      </w:r>
      <w:r>
        <w:t xml:space="preserve">people’s wellbeing and </w:t>
      </w:r>
      <w:r w:rsidR="00F02F7B">
        <w:t xml:space="preserve">their </w:t>
      </w:r>
      <w:r>
        <w:t xml:space="preserve">ability to undertake </w:t>
      </w:r>
      <w:r w:rsidR="00F02F7B">
        <w:t xml:space="preserve">safe and </w:t>
      </w:r>
      <w:r>
        <w:t xml:space="preserve">regular essential journeys. </w:t>
      </w:r>
    </w:p>
    <w:p w14:paraId="23789A5E" w14:textId="7B2A7189" w:rsidR="007A1DFD" w:rsidRDefault="00000000">
      <w:r>
        <w:rPr>
          <w:b/>
          <w:bCs/>
        </w:rPr>
        <w:t>Public (and para) transit</w:t>
      </w:r>
      <w:r w:rsidR="00942132">
        <w:t>:</w:t>
      </w:r>
      <w:r>
        <w:t xml:space="preserve"> </w:t>
      </w:r>
      <w:r w:rsidR="00942132">
        <w:t>T</w:t>
      </w:r>
      <w:r>
        <w:t xml:space="preserve">he findings reveal that for vulnerable </w:t>
      </w:r>
      <w:r w:rsidR="00F02F7B">
        <w:t xml:space="preserve">road </w:t>
      </w:r>
      <w:r>
        <w:t xml:space="preserve">users, the quality of passenger infrastructure (waiting and transit areas) is </w:t>
      </w:r>
      <w:r w:rsidR="00F02F7B">
        <w:t xml:space="preserve">critical </w:t>
      </w:r>
      <w:r>
        <w:t xml:space="preserve">to improving their mobility experiences. This was particularly the case for women (with caring roles), older adults, </w:t>
      </w:r>
      <w:r w:rsidR="00F02F7B">
        <w:t>PWDs</w:t>
      </w:r>
      <w:r>
        <w:t xml:space="preserve"> and children, </w:t>
      </w:r>
      <w:r w:rsidR="00F02F7B">
        <w:t xml:space="preserve">further highlighting </w:t>
      </w:r>
      <w:r>
        <w:t xml:space="preserve">the gendered dimensions of </w:t>
      </w:r>
      <w:r w:rsidR="00F02F7B">
        <w:t>mobility affordance</w:t>
      </w:r>
      <w:r>
        <w:t>. These factors highlight how quantity and quality of infrastructure are critical to supporting the mobility of vulnerable groups but should be linked to their modal preferences.</w:t>
      </w:r>
    </w:p>
    <w:p w14:paraId="7B94C80C" w14:textId="11F9AF89" w:rsidR="006C21FC" w:rsidRDefault="00000000">
      <w:r>
        <w:rPr>
          <w:b/>
          <w:bCs/>
        </w:rPr>
        <w:t>Users’ behaviours and service governance</w:t>
      </w:r>
      <w:r w:rsidR="00942132">
        <w:t>:</w:t>
      </w:r>
      <w:r>
        <w:t xml:space="preserve"> </w:t>
      </w:r>
      <w:r w:rsidR="00942132">
        <w:t>T</w:t>
      </w:r>
      <w:r>
        <w:t xml:space="preserve">he </w:t>
      </w:r>
      <w:r w:rsidR="002A619C">
        <w:t>widespread reliance on</w:t>
      </w:r>
      <w:r>
        <w:t xml:space="preserve"> paratransit </w:t>
      </w:r>
      <w:r w:rsidR="002A619C">
        <w:t>in both cities underscores the need for</w:t>
      </w:r>
      <w:r>
        <w:t xml:space="preserve"> service providers </w:t>
      </w:r>
      <w:r w:rsidR="002A619C">
        <w:t>to consider specific needs</w:t>
      </w:r>
      <w:r>
        <w:t xml:space="preserve"> of vulnerable groups (especially PWDs, older adults and women)</w:t>
      </w:r>
      <w:r w:rsidR="002A619C">
        <w:t xml:space="preserve">. Further to this, targeted training and policies aimed at enhancing operator behaviour can help improve overall quality of mobility </w:t>
      </w:r>
      <w:r w:rsidR="00CE2D58">
        <w:t>for the</w:t>
      </w:r>
      <w:r w:rsidR="002A619C">
        <w:t xml:space="preserve"> road users. </w:t>
      </w:r>
      <w:r>
        <w:t xml:space="preserve">There is also a need to expand the delivery of convenient and reliable public transport </w:t>
      </w:r>
      <w:r w:rsidR="002A619C">
        <w:t>services</w:t>
      </w:r>
      <w:r>
        <w:t xml:space="preserve">. </w:t>
      </w:r>
      <w:r w:rsidR="002A619C">
        <w:t>I</w:t>
      </w:r>
      <w:r>
        <w:t>n Mombasa,</w:t>
      </w:r>
      <w:r w:rsidR="002A619C">
        <w:t xml:space="preserve"> for example, </w:t>
      </w:r>
      <w:r>
        <w:t xml:space="preserve"> the ferry </w:t>
      </w:r>
      <w:r w:rsidR="002A619C">
        <w:t xml:space="preserve">serves as a crucial link </w:t>
      </w:r>
      <w:r>
        <w:t xml:space="preserve">for journeys into the city (see Figure 4). This high demand brings specific challenges </w:t>
      </w:r>
      <w:r w:rsidR="00CE2D58">
        <w:t xml:space="preserve">to </w:t>
      </w:r>
      <w:r>
        <w:t xml:space="preserve">vulnerable groups, particularly at peak times. </w:t>
      </w:r>
    </w:p>
    <w:p w14:paraId="23D627E9" w14:textId="4DD33EA2" w:rsidR="007A1DFD" w:rsidRDefault="00000000">
      <w:r>
        <w:t xml:space="preserve">The maps </w:t>
      </w:r>
      <w:r w:rsidR="00CE2D58">
        <w:t xml:space="preserve">illustrate </w:t>
      </w:r>
      <w:r>
        <w:t xml:space="preserve">how the interactions </w:t>
      </w:r>
      <w:r w:rsidR="00CE2D58">
        <w:t xml:space="preserve">between </w:t>
      </w:r>
      <w:r>
        <w:t xml:space="preserve">people’s mobility </w:t>
      </w:r>
      <w:r w:rsidR="00CE2D58">
        <w:t xml:space="preserve">and </w:t>
      </w:r>
      <w:r>
        <w:t xml:space="preserve">the behaviours of other users </w:t>
      </w:r>
      <w:r w:rsidR="00CE2D58">
        <w:t xml:space="preserve">within </w:t>
      </w:r>
      <w:r w:rsidR="00CF7417">
        <w:t>shared</w:t>
      </w:r>
      <w:r>
        <w:t xml:space="preserve"> spaces can either enhance and improve journey experiences</w:t>
      </w:r>
      <w:r w:rsidR="00CE2D58">
        <w:t>,</w:t>
      </w:r>
      <w:r>
        <w:t xml:space="preserve"> supporting wellbeing</w:t>
      </w:r>
      <w:r w:rsidR="00CE2D58">
        <w:t>,</w:t>
      </w:r>
      <w:r>
        <w:t xml:space="preserve"> or detract and undermine them. Our data </w:t>
      </w:r>
      <w:r w:rsidR="00CE2D58">
        <w:t xml:space="preserve">reveals </w:t>
      </w:r>
      <w:r>
        <w:t xml:space="preserve">numerous </w:t>
      </w:r>
      <w:r w:rsidR="00CE2D58">
        <w:t xml:space="preserve">instances </w:t>
      </w:r>
      <w:r>
        <w:t>of undermining behaviours</w:t>
      </w:r>
      <w:r w:rsidR="00CE2D58">
        <w:t xml:space="preserve">, </w:t>
      </w:r>
      <w:r>
        <w:t>including poor driving</w:t>
      </w:r>
      <w:r w:rsidR="00CE2D58">
        <w:t xml:space="preserve"> practices</w:t>
      </w:r>
      <w:r>
        <w:t xml:space="preserve">, street vendors </w:t>
      </w:r>
      <w:r w:rsidR="00CE2D58">
        <w:t xml:space="preserve">obstructing </w:t>
      </w:r>
      <w:r w:rsidR="00572870">
        <w:t>footpaths</w:t>
      </w:r>
      <w:r>
        <w:t xml:space="preserve">, and </w:t>
      </w:r>
      <w:r w:rsidR="00CE2D58">
        <w:t xml:space="preserve">prevalent </w:t>
      </w:r>
      <w:r>
        <w:t xml:space="preserve">fears for crime and personal safety </w:t>
      </w:r>
      <w:r w:rsidR="00CE2D58">
        <w:t>during</w:t>
      </w:r>
      <w:r>
        <w:t xml:space="preserve"> journeys. </w:t>
      </w:r>
      <w:r w:rsidR="00CE2D58">
        <w:t>Contrastingly, d</w:t>
      </w:r>
      <w:r>
        <w:t>ata on enabling behaviours was significantly sparser</w:t>
      </w:r>
      <w:r w:rsidR="00CE2D58">
        <w:t>,</w:t>
      </w:r>
      <w:r>
        <w:t xml:space="preserve"> with only </w:t>
      </w:r>
      <w:r w:rsidR="00CE2D58">
        <w:t>a few instances of</w:t>
      </w:r>
      <w:r>
        <w:t xml:space="preserve"> supporting attitude</w:t>
      </w:r>
      <w:r w:rsidR="00CE2D58">
        <w:t>s</w:t>
      </w:r>
      <w:r>
        <w:t xml:space="preserve"> </w:t>
      </w:r>
      <w:r w:rsidR="00CE2D58">
        <w:t xml:space="preserve">from </w:t>
      </w:r>
      <w:r>
        <w:t xml:space="preserve">some para-transit operators toward PWDs </w:t>
      </w:r>
      <w:r w:rsidR="00CE2D58">
        <w:t>reported</w:t>
      </w:r>
      <w:r>
        <w:t xml:space="preserve">. </w:t>
      </w:r>
      <w:r w:rsidR="00CE2D58">
        <w:t>These findings clearly</w:t>
      </w:r>
      <w:r>
        <w:t xml:space="preserve"> highlight how actively managing and enforcing certain behaviour</w:t>
      </w:r>
      <w:r w:rsidR="00CF7417">
        <w:t>s</w:t>
      </w:r>
      <w:r>
        <w:t xml:space="preserve"> should be considered </w:t>
      </w:r>
      <w:r w:rsidR="00CF7417">
        <w:t>as effective as provision of quality</w:t>
      </w:r>
      <w:r>
        <w:t xml:space="preserve"> infrastructure </w:t>
      </w:r>
      <w:r w:rsidR="00CF7417">
        <w:t>in enabling</w:t>
      </w:r>
      <w:r>
        <w:t xml:space="preserve"> inclusive mobility.</w:t>
      </w:r>
    </w:p>
    <w:p w14:paraId="69C5D3FC" w14:textId="3774AA15" w:rsidR="007A1DFD" w:rsidRDefault="00000000">
      <w:bookmarkStart w:id="6" w:name="_Hlk178238452"/>
      <w:r>
        <w:t>Considering the inclusion factors associated with these findings demonstrates how the mobility affordance concepts relate to urban equity issues. Infrastructure provision has a spatial dimension</w:t>
      </w:r>
      <w:r w:rsidR="00CF7417">
        <w:t>,</w:t>
      </w:r>
      <w:r>
        <w:t xml:space="preserve"> with some neighbourhoods and modes </w:t>
      </w:r>
      <w:r w:rsidR="00CF7417">
        <w:t xml:space="preserve">receiving adequate resources while others, especially in low income areas such as our case study locations, remaining </w:t>
      </w:r>
      <w:r>
        <w:t>under-resourced</w:t>
      </w:r>
      <w:r w:rsidR="00CF7417">
        <w:t>, thereby</w:t>
      </w:r>
      <w:r>
        <w:t xml:space="preserve"> undermining mobility. </w:t>
      </w:r>
      <w:bookmarkEnd w:id="6"/>
      <w:r>
        <w:t xml:space="preserve">The interactions </w:t>
      </w:r>
      <w:r w:rsidR="00B56E79">
        <w:t>between</w:t>
      </w:r>
      <w:r>
        <w:t xml:space="preserve"> users and the way that services are delivered further connects mobility choices to opportunities for economic gain and social interaction. </w:t>
      </w:r>
      <w:r w:rsidR="00B56E79">
        <w:lastRenderedPageBreak/>
        <w:t xml:space="preserve">Additionally, </w:t>
      </w:r>
      <w:r>
        <w:t xml:space="preserve">poor behaviours and </w:t>
      </w:r>
      <w:r w:rsidR="00B56E79">
        <w:t xml:space="preserve">the </w:t>
      </w:r>
      <w:r>
        <w:t>lack of effective management and governance of key mobility services</w:t>
      </w:r>
      <w:r w:rsidR="00B56E79">
        <w:t>,</w:t>
      </w:r>
      <w:r>
        <w:t xml:space="preserve"> including supporting services such as policing to reduce crime</w:t>
      </w:r>
      <w:r w:rsidR="00B56E79">
        <w:t>,</w:t>
      </w:r>
      <w:r>
        <w:t xml:space="preserve"> </w:t>
      </w:r>
      <w:r w:rsidR="00B56E79">
        <w:t xml:space="preserve">reinforce </w:t>
      </w:r>
      <w:r>
        <w:t xml:space="preserve">inequities in social and economic inclusion </w:t>
      </w:r>
      <w:r w:rsidR="00B56E79">
        <w:t>with</w:t>
      </w:r>
      <w:r>
        <w:t xml:space="preserve">in cities. </w:t>
      </w:r>
    </w:p>
    <w:p w14:paraId="6C8D69C5" w14:textId="3A16B6F1" w:rsidR="007A1DFD" w:rsidRDefault="00000000">
      <w:bookmarkStart w:id="7" w:name="_Hlk178238477"/>
      <w:r>
        <w:t xml:space="preserve">The novelty of our framework is in grounding the connection between mobility concepts, wellbeing and inclusion for urban residents which has recently been receiving greater attention in academic studies </w:t>
      </w:r>
      <w:bookmarkEnd w:id="7"/>
      <w:r>
        <w:fldChar w:fldCharType="begin" w:fldLock="1"/>
      </w:r>
      <w:r>
        <w:instrText>ADDIN CSL_CITATION {"citationItems":[{"id":"ITEM-1","itemData":{"DOI":"10.1016/j.tra.2021.02.003","ISSN":"09658564","abstract":"The connections between transportation and subjective well-being have received increasing attention in the transportation literature. Yet there are few studies on the relationship between objective well-being and transportation. Objective well-being is the achievement of a persons’ potential in knowledge, health, friendship, and other life domains, through the development of their embodied capacities to know, create and be sociable. The value of these achievements is objective, in the sense that it is not derived from a person's attitudes or mental state. Thus, objective well-being adds an important dimension to the study of well-being and transportation, as it can explain why active, embodied mobility modes—such as walking and cycling—offer more opportunities for human capacity development, compared to sedentary modes such as driving and riding in a driverless car. Embodied mobility modes activate a well-rounded combination of human capacities thus contributing to better understanding of one's environment, creative flow and sociability, in turn enhancing one's overall well-being. This may add important information for transportation planners and urban designers in design and evaluation of mobility environments.","author":[{"dropping-particle":"","family":"Ferdman","given":"Avigail","non-dropping-particle":"","parse-names":false,"suffix":""}],"container-title":"Transportation Research Part A: Policy and Practice","id":"ITEM-1","issue":"December 2020","issued":{"date-parts":[["2021"]]},"page":"44-55","publisher":"Elsevier Ltd","title":"Well-being and mobility: A new perspective","type":"article-journal","volume":"146"},"uris":["http://www.mendeley.com/documents/?uuid=2d2a8341-b59c-4bd6-8e33-84784c77f55e"]}],"mendeley":{"formattedCitation":"(Ferdman, 2021)","plainTextFormattedCitation":"(Ferdman, 2021)","previouslyFormattedCitation":"(Ferdman, 2021)"},"properties":{"noteIndex":0},"schema":"https://github.com/citation-style-language/schema/raw/master/csl-citation.json"}</w:instrText>
      </w:r>
      <w:r>
        <w:fldChar w:fldCharType="separate"/>
      </w:r>
      <w:r>
        <w:rPr>
          <w:noProof/>
        </w:rPr>
        <w:t>(Ferdman, 2021)</w:t>
      </w:r>
      <w:r>
        <w:fldChar w:fldCharType="end"/>
      </w:r>
      <w:r>
        <w:t xml:space="preserve">. Similar studies have </w:t>
      </w:r>
      <w:r w:rsidR="00B56E79">
        <w:t>been undertaken</w:t>
      </w:r>
      <w:r>
        <w:t xml:space="preserve"> in European </w:t>
      </w:r>
      <w:r>
        <w:fldChar w:fldCharType="begin" w:fldLock="1"/>
      </w:r>
      <w:r>
        <w:instrText>ADDIN CSL_CITATION {"citationItems":[{"id":"ITEM-1","itemData":{"DOI":"10.1016/j.tra.2017.09.024","ISSN":"09658564","abstract":"Previous research has investigated satisfaction with work commutes. We extend this research by investigating whether satisfaction with all daily travel (including work commutes, school, leisure, and shopping trips) is related to life satisfaction and emotional well-being. A random sample of 367 participants was recruited from three urban areas in Sweden (Karlstad, Göteborg, and Stockholm) varying from a small (appr. 90,000 residents) through a medium (appr. 550,000 residents) to a large population size (appr. 925,000 residents). In a questionnaire the participants reported retrospectively their satisfaction with all daily travel, life satisfaction, and emotional well-being. Direct and indirect effects of travel satisfaction on life satisfaction and emotional well-being were analysed with PLS-SEM. Results showed that satisfaction with daily travel directly influences emotional well-being and both directly and indirectly life satisfaction. It is also found that driving and active modes have more positive effects than public transport.","author":[{"dropping-particle":"","family":"Friman","given":"Margareta","non-dropping-particle":"","parse-names":false,"suffix":""},{"dropping-particle":"","family":"Gärling","given":"Tommy","non-dropping-particle":"","parse-names":false,"suffix":""},{"dropping-particle":"","family":"Ettema","given":"Dick","non-dropping-particle":"","parse-names":false,"suffix":""},{"dropping-particle":"","family":"Olsson","given":"Lars E.","non-dropping-particle":"","parse-names":false,"suffix":""}],"container-title":"Transportation Research Part A: Policy and Practice","id":"ITEM-1","issue":"September","issued":{"date-parts":[["2017"]]},"page":"170-180","publisher":"Elsevier","title":"How does travel affect emotional well-being and life satisfaction?","type":"article-journal","volume":"106"},"uris":["http://www.mendeley.com/documents/?uuid=85db88d5-59f7-4a22-9c82-e0231bfaaa1f"]},{"id":"ITEM-2","itemData":{"DOI":"10.1016/j.jtrangeo.2017.11.019","ISSN":"09666923","abstract":"How and why commuting contributes to our well-being is of considerable importance for transportation policy and planning. This paper analyses the relation between commuting and subjective well-being by considering several cognitive (e.g., satisfaction with family life, leisure, income, work, health) and affective (e.g., happiness, anger, worry, sadness) components of subjective well-being. Fixed-effects models are estimated with German Socio-Economic Panel data for the period 2007–2013. In contrast to previous papers in the literature, according to which commuting is bad for overall life satisfaction, we find no evidence that commuting in general is associated with a lower life satisfaction. Rather, it appears that longer commutes are only related to lower satisfaction with particular life domains, especially family life and leisure time. Time spent on housework, child care as well as physical and leisure activities mediate the association between commuting and well-being.","author":[{"dropping-particle":"","family":"Lorenz","given":"Olga","non-dropping-particle":"","parse-names":false,"suffix":""}],"container-title":"Journal of Transport Geography","id":"ITEM-2","issue":"November 2017","issued":{"date-parts":[["2018"]]},"page":"180-199","publisher":"Elsevier","title":"Does commuting matter to subjective well-being?","type":"article-journal","volume":"66"},"uris":["http://www.mendeley.com/documents/?uuid=ac692ac2-97ac-4455-ae4c-829eece0de5a"]}],"mendeley":{"formattedCitation":"(Friman &lt;i&gt;et al.&lt;/i&gt;, 2017; Lorenz, 2018)","plainTextFormattedCitation":"(Friman et al., 2017; Lorenz, 2018)","previouslyFormattedCitation":"(Friman &lt;i&gt;et al.&lt;/i&gt;, 2017; Lorenz, 2018)"},"properties":{"noteIndex":0},"schema":"https://github.com/citation-style-language/schema/raw/master/csl-citation.json"}</w:instrText>
      </w:r>
      <w:r>
        <w:fldChar w:fldCharType="separate"/>
      </w:r>
      <w:r>
        <w:rPr>
          <w:noProof/>
        </w:rPr>
        <w:t xml:space="preserve">(Friman </w:t>
      </w:r>
      <w:r>
        <w:rPr>
          <w:i/>
          <w:noProof/>
        </w:rPr>
        <w:t>et al.</w:t>
      </w:r>
      <w:r>
        <w:rPr>
          <w:noProof/>
        </w:rPr>
        <w:t>, 2017; Lorenz, 2018)</w:t>
      </w:r>
      <w:r>
        <w:fldChar w:fldCharType="end"/>
      </w:r>
      <w:r>
        <w:t xml:space="preserve"> and North American </w:t>
      </w:r>
      <w:r>
        <w:fldChar w:fldCharType="begin" w:fldLock="1"/>
      </w:r>
      <w:r>
        <w:instrText>ADDIN CSL_CITATION {"citationItems":[{"id":"ITEM-1","itemData":{"DOI":"10.1016/j.jth.2016.08.005","ISSN":"22141405","abstract":"To understand the impact of daily travel on personal and so cietal well-being, researchers are developing more sophisticated quantitative measures of travel satisfaction. Metrics related to Subjective Well-Being (SWB), defined as an evaluation of one</w:instrText>
      </w:r>
      <w:r>
        <w:rPr>
          <w:rFonts w:cstheme="minorHAnsi"/>
          <w:rtl/>
        </w:rPr>
        <w:instrText>׳</w:instrText>
      </w:r>
      <w:r>
        <w:instrText>s happiness or life satisfaction, hold promise for better evaluating health impacts of transportation and land-use policies. This article examines commute well-being, a multi-item measure of how one feels about the commute to work, and its associated factors. The measure was adapted from the Satisfaction with Travel Scale originated by Ettema et al. (2010). Data were collected from a web-based survey of workers (n=828) in Portland, Oregon, U.S.A. with four modal groups: walk, bicycle, transit and car users. With some modifications from previous research, this research confirms that the commute well-being scale reliably measures commute satisfaction. A multiple linear regression model shows that along with travel mode, traffic congestion, travel time, income, general health, attitudes about travel, job satisfaction and residential satisfaction also play important individual roles in shaping commute well-being. Results in this study add further evidence that people who bike and walk to work are happier with their commutes and are relatively unaffected by traffic congestion compared to bus and car commuters. The findings suggest opportunities for policymakers to more effectively market active transportation policies.","author":[{"dropping-particle":"","family":"Smith","given":"Oliver","non-dropping-particle":"","parse-names":false,"suffix":""}],"container-title":"Journal of Transport and Health","id":"ITEM-1","issued":{"date-parts":[["2017"]]},"page":"246-254","publisher":"Elsevier Ltd","title":"Commute well-being differences by mode: Evidence from Portland, Oregon, USA","type":"article-journal","volume":"4"},"uris":["http://www.mendeley.com/documents/?uuid=3588de56-4521-4854-a332-3afc75acae4a"]},{"id":"ITEM-2","itemData":{"DOI":"10.1016/j.trf.2015.08.001","ISSN":"13698478","abstract":"The stress of commuting has serious public health and social implications. By comparing stress across different modes it is possible to determine which modes are more heavily contributing to this potential health and social issue. This study uses a large-scale university travel survey to compare commuter stress across three modes of transportation (walking, driving, and using public transit). It also investigates the specific factors that contribute to stress using these modes. Using ordered logistic regressions, the study develops a general model of stress and three mode-specific models. Results show that driving is the most stressful mode of transportation when compared to others. We also find that stressors for some modes are not stressors for others. Knowing which specific factors make certain modes stressful will help transportation and public health professionals make commuting a safer, more enjoyable, and less stressful activity; in turn this could mitigate the potentially serious health outcomes of a stressful commute.","author":[{"dropping-particle":"","family":"Legrain","given":"Alexander","non-dropping-particle":"","parse-names":false,"suffix":""},{"dropping-particle":"","family":"Eluru","given":"Naveen","non-dropping-particle":"","parse-names":false,"suffix":""},{"dropping-particle":"","family":"El-Geneidy","given":"Ahmed M.","non-dropping-particle":"","parse-names":false,"suffix":""}],"container-title":"Transportation Research Part F: Traffic Psychology and Behaviour","id":"ITEM-2","issued":{"date-parts":[["2015"]]},"page":"141-151","publisher":"Elsevier Ltd","title":"Am stressed, must travel: The relationship between mode choice and commuting stress","type":"article-journal","volume":"34"},"uris":["http://www.mendeley.com/documents/?uuid=44f6e8e2-ef9d-466a-97bb-a085d5e65bbc"]},{"id":"ITEM-3","itemData":{"DOI":"10.1016/j.jth.2016.12.007","ISSN":"22141405","abstract":"This paper studies the associations that may exist between commuting mode choice and public health. For this purpose, we used Community Health Survey data collected in New York City in 2010. Obesity, blood pressure, and diabetes are used as indicators of respondents’ physical health, and Non-Specific Psychological Distress as an indicator of respondents’ mental health. After rigorous statistical analyses, a binary probit model was fitted for each physical and mental health indicator to quantify the associations between different commuting modes and physical/mental health. Results show that walking, as expected, is associated with a lower probability of obesity, hypertension, diabetes, and mental disorders (all statistically significant) when compared to using private transportation. Using subway is related to a lower probability of obesity and diabetes while using the city bus was linked with a higher probability of obesity (all statistically significant) compared to using personal vehicles. Finally, in comparison with using personal vehicles, working at home is associated with a higher probability of having mental disorders (statistically significant).","author":[{"dropping-particle":"","family":"Tajalli","given":"Mehrdad","non-dropping-particle":"","parse-names":false,"suffix":""},{"dropping-particle":"","family":"Hajbabaie","given":"Ali","non-dropping-particle":"","parse-names":false,"suffix":""}],"container-title":"Journal of Transport and Health","id":"ITEM-3","issued":{"date-parts":[["2017"]]},"page":"267-277","publisher":"Elsevier Ltd","title":"On the relationships between commuting mode choice and public health","type":"article-journal","volume":"4"},"uris":["http://www.mendeley.com/documents/?uuid=4ec63ae7-a6f9-46b1-b3e9-ade0a76e320e"]}],"mendeley":{"formattedCitation":"(Legrain, Eluru and El-Geneidy, 2015; Smith, 2017; Tajalli and Hajbabaie, 2017)","plainTextFormattedCitation":"(Legrain, Eluru and El-Geneidy, 2015; Smith, 2017; Tajalli and Hajbabaie, 2017)","previouslyFormattedCitation":"(Legrain, Eluru and El-Geneidy, 2015; Smith, 2017; Tajalli and Hajbabaie, 2017)"},"properties":{"noteIndex":0},"schema":"https://github.com/citation-style-language/schema/raw/master/csl-citation.json"}</w:instrText>
      </w:r>
      <w:r>
        <w:fldChar w:fldCharType="separate"/>
      </w:r>
      <w:r>
        <w:rPr>
          <w:noProof/>
        </w:rPr>
        <w:t>(Legrain, Eluru and El-Geneidy, 2015; Smith, 2017; Tajalli and Hajbabaie, 2017)</w:t>
      </w:r>
      <w:r>
        <w:fldChar w:fldCharType="end"/>
      </w:r>
      <w:r>
        <w:t xml:space="preserve"> cities. </w:t>
      </w:r>
      <w:r w:rsidR="00B56E79">
        <w:t xml:space="preserve">While our </w:t>
      </w:r>
      <w:r>
        <w:t xml:space="preserve">case </w:t>
      </w:r>
      <w:r w:rsidR="00B56E79">
        <w:t>studies were</w:t>
      </w:r>
      <w:r>
        <w:t xml:space="preserve"> Nairobi and Mombasa</w:t>
      </w:r>
      <w:r w:rsidR="00942132">
        <w:t>,</w:t>
      </w:r>
      <w:r>
        <w:t xml:space="preserve"> these </w:t>
      </w:r>
      <w:r w:rsidR="00B56E79">
        <w:t xml:space="preserve">two </w:t>
      </w:r>
      <w:r>
        <w:t xml:space="preserve">cities </w:t>
      </w:r>
      <w:r w:rsidR="00B56E79">
        <w:t xml:space="preserve">serve as </w:t>
      </w:r>
      <w:r>
        <w:t xml:space="preserve">representative of many rapidly urbanising centres across Sub-Saharan Africa especially in East Africa, where urbanisation trends are rapidly accelerating </w:t>
      </w:r>
      <w:r>
        <w:fldChar w:fldCharType="begin" w:fldLock="1"/>
      </w:r>
      <w:r>
        <w:instrText>ADDIN CSL_CITATION {"citationItems":[{"id":"ITEM-1","itemData":{"ISBN":"9789211483185","abstract":"The Population Division of the Department of Economic and Social Affairs of the United Nations has been issuing since 1988 revised estimates and projections of the urban and rural populations of all countries in the world and of their major urban agglomerations. This web site presents the main findings of the 2018 Revision of World Urbanization Prospects which are consistent with the size of the total population of each country as estimated or projected in the 2017 Revision of World Population Prospects (United Nations, 2017). The World Urbanization Prospects are used widely throughout the United Nations and by many international organizations, research centres, academic researchers and the media.","author":[{"dropping-particle":"","family":"United Nations","given":"","non-dropping-particle":"","parse-names":false,"suffix":""}],"container-title":"Department of Economic and Social Affairs. World Population Prospects 2018.","id":"ITEM-1","issued":{"date-parts":[["2018"]]},"number-of-pages":"1","title":"World Urbanization Prospects 2018","type":"book"},"uris":["http://www.mendeley.com/documents/?uuid=d3e49a82-2332-4164-a694-1776bdaca6d0"]}],"mendeley":{"formattedCitation":"(United Nations, 2018)","plainTextFormattedCitation":"(United Nations, 2018)","previouslyFormattedCitation":"(United Nations, 2018)"},"properties":{"noteIndex":0},"schema":"https://github.com/citation-style-language/schema/raw/master/csl-citation.json"}</w:instrText>
      </w:r>
      <w:r>
        <w:fldChar w:fldCharType="separate"/>
      </w:r>
      <w:r>
        <w:rPr>
          <w:noProof/>
        </w:rPr>
        <w:t>(United Nations, 2018)</w:t>
      </w:r>
      <w:r>
        <w:fldChar w:fldCharType="end"/>
      </w:r>
      <w:r>
        <w:t>.</w:t>
      </w:r>
    </w:p>
    <w:p w14:paraId="09A7D6A8" w14:textId="2C69951C" w:rsidR="002D7D45" w:rsidRPr="002D7D45" w:rsidRDefault="00000000" w:rsidP="00274AED">
      <w:pPr>
        <w:rPr>
          <w:lang w:val="en-US"/>
        </w:rPr>
      </w:pPr>
      <w:r>
        <w:t xml:space="preserve">Our transect walk and mapping results </w:t>
      </w:r>
      <w:r w:rsidR="002D7D45">
        <w:t xml:space="preserve">provided </w:t>
      </w:r>
      <w:r w:rsidR="00701449">
        <w:t>novel</w:t>
      </w:r>
      <w:r w:rsidR="002D7D45">
        <w:t xml:space="preserve"> insights</w:t>
      </w:r>
      <w:r w:rsidR="00701449">
        <w:t xml:space="preserve"> </w:t>
      </w:r>
      <w:r w:rsidR="002D7D45">
        <w:t xml:space="preserve">into </w:t>
      </w:r>
      <w:r>
        <w:t xml:space="preserve">how inclusive mobility affordance can </w:t>
      </w:r>
      <w:r w:rsidR="002D7D45">
        <w:t xml:space="preserve">either </w:t>
      </w:r>
      <w:r>
        <w:t xml:space="preserve">support or undermine the elements of wellbeing. The variations in mobility experiences </w:t>
      </w:r>
      <w:r w:rsidR="002D7D45">
        <w:t xml:space="preserve">observed through </w:t>
      </w:r>
      <w:r>
        <w:t xml:space="preserve">the participatory mapping based </w:t>
      </w:r>
      <w:r w:rsidR="002D7D45">
        <w:t xml:space="preserve">on </w:t>
      </w:r>
      <w:r>
        <w:t>age, gender and PWDs</w:t>
      </w:r>
      <w:r w:rsidR="002D7D45">
        <w:t xml:space="preserve"> status,  emphasize</w:t>
      </w:r>
      <w:r>
        <w:t xml:space="preserve"> the need for planners to provide a variety of mobility </w:t>
      </w:r>
      <w:r w:rsidR="002D7D45">
        <w:t xml:space="preserve">options </w:t>
      </w:r>
      <w:r>
        <w:t xml:space="preserve">rather than </w:t>
      </w:r>
      <w:r w:rsidR="002D7D45">
        <w:t>defining</w:t>
      </w:r>
      <w:r>
        <w:t xml:space="preserve"> a single solution that </w:t>
      </w:r>
      <w:r w:rsidR="002D7D45">
        <w:t xml:space="preserve">may </w:t>
      </w:r>
      <w:r>
        <w:t>not fit all travellers’ needs or worse</w:t>
      </w:r>
      <w:r w:rsidR="00274AED">
        <w:t>,</w:t>
      </w:r>
      <w:r>
        <w:t xml:space="preserve"> </w:t>
      </w:r>
      <w:r w:rsidR="002D7D45">
        <w:t>disadvantage</w:t>
      </w:r>
      <w:r>
        <w:t xml:space="preserve"> specific groups. This </w:t>
      </w:r>
      <w:r w:rsidR="002D7D45">
        <w:t xml:space="preserve">aligns with </w:t>
      </w:r>
      <w:r>
        <w:t xml:space="preserve">the findings from New Zealand that planners </w:t>
      </w:r>
      <w:r w:rsidR="002D7D45">
        <w:t>should</w:t>
      </w:r>
      <w:r>
        <w:t xml:space="preserve"> consider intersectionality in their design </w:t>
      </w:r>
      <w:r w:rsidR="002D7D45">
        <w:t xml:space="preserve">decisions </w:t>
      </w:r>
      <w:r>
        <w:fldChar w:fldCharType="begin" w:fldLock="1"/>
      </w:r>
      <w:r>
        <w:instrText>ADDIN CSL_CITATION {"citationItems":[{"id":"ITEM-1","itemData":{"DOI":"10.1080/23748834.2020.1827881","ISSN":"23748834","abstract":"Transport infrastructure critically influences how people live their lives, structuring mobility and mediating access to the resources central to health and wellbeing. While the links between infrastructure, mobility and wellbeing are well established, much less is known about how these relationships are contingent on socio-economic, cultural, and bodily diversity, and the characteristics of local ecologies. Here, we firstly ask, how does transport infrastructure shape mobility opportunities for people living in diverse circumstances? Secondly, what are the impacts of inequitable access to mobility for wellbeing? Drawing from research across four sites in Tāmaki Makaurau (Auckland), Aotearoa New Zealand, we consider the experiences of older- and disabled- or bodily-diverse people from varied ethnic groups living across a range of socio-economic circumstances. We use community-based participatory research methods, including ‘go-along’ interviews, focus groups and interactive workshops, to engage communities least heard at policy or strategic levels. Their experiences illustrate firstly, that urban infrastructure tends to further marginalise the already marginalised, and secondly, that people draw on different and unequal resources to negotiate infrastructural marginalisation, resulting in unequally patterned vulnerabilities and a system that entrenches the status quo. Our findings indicate the need to consider intersectionality in transport consultation and design.","author":[{"dropping-particle":"","family":"Spray","given":"Julie","non-dropping-particle":"","parse-names":false,"suffix":""},{"dropping-particle":"","family":"Witten","given":"Karen","non-dropping-particle":"","parse-names":false,"suffix":""},{"dropping-particle":"","family":"Wiles","given":"Janine","non-dropping-particle":"","parse-names":false,"suffix":""},{"dropping-particle":"","family":"Anderson","given":"Anneka","non-dropping-particle":"","parse-names":false,"suffix":""},{"dropping-particle":"","family":"Paul","given":"Dolly","non-dropping-particle":"","parse-names":false,"suffix":""},{"dropping-particle":"","family":"Wade","given":"Julie","non-dropping-particle":"","parse-names":false,"suffix":""},{"dropping-particle":"","family":"Ameratunga","given":"Shanthi","non-dropping-particle":"","parse-names":false,"suffix":""}],"container-title":"Cities and Health","id":"ITEM-1","issue":"4","issued":{"date-parts":[["2022"]]},"page":"711-725","publisher":"Routledge","title":"Inequitable mobilities: intersections of diversity with urban infrastructure influence mobility, health and wellbeing","type":"article-journal","volume":"6"},"uris":["http://www.mendeley.com/documents/?uuid=403891a7-ec1e-48db-92c0-2d6a64de7aa1"]}],"mendeley":{"formattedCitation":"(Spray &lt;i&gt;et al.&lt;/i&gt;, 2022)","plainTextFormattedCitation":"(Spray et al., 2022)","previouslyFormattedCitation":"(Spray &lt;i&gt;et al.&lt;/i&gt;, 2022)"},"properties":{"noteIndex":0},"schema":"https://github.com/citation-style-language/schema/raw/master/csl-citation.json"}</w:instrText>
      </w:r>
      <w:r>
        <w:fldChar w:fldCharType="separate"/>
      </w:r>
      <w:r>
        <w:rPr>
          <w:noProof/>
        </w:rPr>
        <w:t xml:space="preserve">(Spray </w:t>
      </w:r>
      <w:r>
        <w:rPr>
          <w:i/>
          <w:noProof/>
        </w:rPr>
        <w:t>et al.</w:t>
      </w:r>
      <w:r>
        <w:rPr>
          <w:noProof/>
        </w:rPr>
        <w:t>, 2022)</w:t>
      </w:r>
      <w:r>
        <w:fldChar w:fldCharType="end"/>
      </w:r>
      <w:r>
        <w:t xml:space="preserve">. For example, </w:t>
      </w:r>
      <w:r w:rsidR="002D7D45">
        <w:t xml:space="preserve">while </w:t>
      </w:r>
      <w:r>
        <w:t xml:space="preserve">the proposed large-scale investment in </w:t>
      </w:r>
      <w:r w:rsidR="003C66A6">
        <w:t>B</w:t>
      </w:r>
      <w:r>
        <w:t>us-</w:t>
      </w:r>
      <w:r w:rsidR="003C66A6">
        <w:t>R</w:t>
      </w:r>
      <w:r>
        <w:t xml:space="preserve">apid </w:t>
      </w:r>
      <w:r w:rsidR="003C66A6">
        <w:t>T</w:t>
      </w:r>
      <w:r>
        <w:t xml:space="preserve">ransit </w:t>
      </w:r>
      <w:r w:rsidR="002D7D45">
        <w:t xml:space="preserve">in </w:t>
      </w:r>
      <w:r>
        <w:t xml:space="preserve">Nairobi could </w:t>
      </w:r>
      <w:r w:rsidR="002D7D45">
        <w:t>enhance the</w:t>
      </w:r>
      <w:r>
        <w:t xml:space="preserve"> mobility </w:t>
      </w:r>
      <w:r w:rsidR="002D7D45">
        <w:t xml:space="preserve">and </w:t>
      </w:r>
      <w:r>
        <w:t xml:space="preserve"> wellbeing</w:t>
      </w:r>
      <w:r w:rsidR="002D7D45">
        <w:t xml:space="preserve"> of some travellers, it could inadvertently </w:t>
      </w:r>
      <w:r>
        <w:t xml:space="preserve">undermine other user’s needs and journey experiences (particularly if it </w:t>
      </w:r>
      <w:r w:rsidR="002D7D45">
        <w:t>neglects</w:t>
      </w:r>
      <w:r>
        <w:t xml:space="preserve"> walking and cycling experiences). This is </w:t>
      </w:r>
      <w:r w:rsidR="00274AED">
        <w:t xml:space="preserve">similarly </w:t>
      </w:r>
      <w:r>
        <w:t xml:space="preserve">reflected in the findings of the Johannesburg BRT scheme impacts on wellbeing and mobility </w:t>
      </w:r>
      <w:r>
        <w:fldChar w:fldCharType="begin" w:fldLock="1"/>
      </w:r>
      <w:r>
        <w:instrText>ADDIN CSL_CITATION {"citationItems":[{"id":"ITEM-1","itemData":{"DOI":"10.1016/j.retrec.2018.07.011","ISSN":"07398859","abstract":"The Net Wage After Commute describes the potential wage earnable less the transport costs incurred to commute to work from a particular location. This paper explores the time-series development of accessibility, using this poverty-relevant metric, in low-income residential areas of Johannesburg, biennially from 2009 to 2013 when accessibility patterns were altered as a result of investment in the Bus Rapid Transit (BRT) system. The results suggest that significant changes in accessibility are driven by improved affordability rather than spatial coverage enhancements, which were very marginal in this case. A difference-in-differences approach is adopted to explore the effects of access to the BRT on the subjective well-being of lower-income households. The model fails to find evidence that the additional accessibility provided by the BRT improves the general sense of well-being in the communities it serves. There is evidence however of well-being improvements among the narrower cohort of actual users of BRT, especially in terms of their satisfaction with their amount of free time. This suggests that the BRT in Johannesburg is beneficial as a transport project, but not yet as a general urban intervention able to leverage wider improvements in life satisfaction within served communities.","author":[{"dropping-particle":"","family":"Lionjanga","given":"Nahungu","non-dropping-particle":"","parse-names":false,"suffix":""},{"dropping-particle":"","family":"Venter","given":"Christo","non-dropping-particle":"","parse-names":false,"suffix":""}],"container-title":"Research in Transportation Economics","id":"ITEM-1","issue":"November 2017","issued":{"date-parts":[["2018"]]},"page":"523-535","publisher":"Elsevier","title":"Does public transport accessibility enhance subjective well-being? A study of the City of Johannesburg","type":"article-journal","volume":"69"},"uris":["http://www.mendeley.com/documents/?uuid=4348d824-6ee5-40e8-a372-53fdfc689857"]}],"mendeley":{"formattedCitation":"(Lionjanga and Venter, 2018)","plainTextFormattedCitation":"(Lionjanga and Venter, 2018)","previouslyFormattedCitation":"(Lionjanga and Venter, 2018)"},"properties":{"noteIndex":0},"schema":"https://github.com/citation-style-language/schema/raw/master/csl-citation.json"}</w:instrText>
      </w:r>
      <w:r>
        <w:fldChar w:fldCharType="separate"/>
      </w:r>
      <w:r>
        <w:rPr>
          <w:noProof/>
        </w:rPr>
        <w:t>(Lionjanga and Venter, 2018)</w:t>
      </w:r>
      <w:r>
        <w:fldChar w:fldCharType="end"/>
      </w:r>
      <w:r>
        <w:t>.</w:t>
      </w:r>
      <w:r w:rsidR="002D7D45" w:rsidRPr="002D7D45">
        <w:rPr>
          <w:rFonts w:ascii="Times New Roman" w:eastAsia="Times New Roman" w:hAnsi="Times New Roman" w:cs="Times New Roman"/>
          <w:sz w:val="24"/>
          <w:szCs w:val="24"/>
          <w:lang w:val="en-US"/>
        </w:rPr>
        <w:t xml:space="preserve"> </w:t>
      </w:r>
    </w:p>
    <w:p w14:paraId="6B32F682" w14:textId="522E097A" w:rsidR="007A1DFD" w:rsidRDefault="00000000">
      <w:r>
        <w:rPr>
          <w:rStyle w:val="normaltextrun"/>
          <w:rFonts w:ascii="Calibri" w:hAnsi="Calibri" w:cs="Calibri"/>
        </w:rPr>
        <w:t>Understanding how journeys affect people’s health and wellbeing provided a useful way to identify key locations for infrastructure improvements.</w:t>
      </w:r>
      <w:r>
        <w:rPr>
          <w:rStyle w:val="eop"/>
          <w:rFonts w:ascii="Calibri" w:hAnsi="Calibri" w:cs="Calibri"/>
        </w:rPr>
        <w:t> </w:t>
      </w:r>
      <w:r w:rsidR="00701449">
        <w:rPr>
          <w:rStyle w:val="eop"/>
          <w:rFonts w:ascii="Calibri" w:hAnsi="Calibri" w:cs="Calibri"/>
        </w:rPr>
        <w:t xml:space="preserve">The new approaches presented here </w:t>
      </w:r>
      <w:r w:rsidR="00701449">
        <w:rPr>
          <w:rStyle w:val="normaltextrun"/>
          <w:rFonts w:ascii="Calibri" w:hAnsi="Calibri" w:cs="Calibri"/>
        </w:rPr>
        <w:t>c</w:t>
      </w:r>
      <w:r>
        <w:rPr>
          <w:rStyle w:val="normaltextrun"/>
          <w:rFonts w:ascii="Calibri" w:hAnsi="Calibri" w:cs="Calibri"/>
        </w:rPr>
        <w:t xml:space="preserve">ombining the subjective and physiological dimensions of wellbeing with environmental conditions in terms of pollution exposures could help decision makers consider the totality of the urban environment when designing, installing and assessing the impacts of changes to mobility infrastructure and services. </w:t>
      </w:r>
      <w:r>
        <w:t xml:space="preserve">The transect walk experiments helped to bring together these different elements with quantitative spatially explicit data on the impacts journeys were having on vulnerable user’s health and wellbeing. </w:t>
      </w:r>
      <w:r w:rsidR="003738A0">
        <w:t xml:space="preserve">These data highlighted how relying on subjective perceptions could give unreliable results with participants underestimating the effect poor infrastructure was having upon their stress levels. </w:t>
      </w:r>
      <w:r>
        <w:t xml:space="preserve">Whilst the findings are for a relatively small sample and geographic extent, they highlight the potential of these approaches to better understand urban mobility experiences for the most vulnerable traveller’s perspectives. The low-cost sensors provided fine-scale (small area) information on </w:t>
      </w:r>
      <w:r>
        <w:rPr>
          <w:rStyle w:val="normaltextrun"/>
          <w:rFonts w:ascii="Calibri" w:hAnsi="Calibri" w:cs="Calibri"/>
        </w:rPr>
        <w:t xml:space="preserve">environmental conditions along different transport corridors. The subjective and physiological readings begin to reveal the impacts that these conditions have on user’s wellbeing from complimentary perspectives. Combining these types of information could usefully reveal priority locations which require improvements for active travellers’ and how they could </w:t>
      </w:r>
      <w:r w:rsidR="00A336E4">
        <w:rPr>
          <w:rStyle w:val="normaltextrun"/>
          <w:rFonts w:ascii="Calibri" w:hAnsi="Calibri" w:cs="Calibri"/>
        </w:rPr>
        <w:t xml:space="preserve">benefit </w:t>
      </w:r>
      <w:r>
        <w:rPr>
          <w:rStyle w:val="normaltextrun"/>
          <w:rFonts w:ascii="Calibri" w:hAnsi="Calibri" w:cs="Calibri"/>
        </w:rPr>
        <w:t>their mobility but also support health and wellbeing. For example, the Nairobi results indicated how improvements to footpath infrastructure quality and availability</w:t>
      </w:r>
      <w:r w:rsidR="003738A0">
        <w:rPr>
          <w:rStyle w:val="normaltextrun"/>
          <w:rFonts w:ascii="Calibri" w:hAnsi="Calibri" w:cs="Calibri"/>
        </w:rPr>
        <w:t>,</w:t>
      </w:r>
      <w:r>
        <w:rPr>
          <w:rStyle w:val="normaltextrun"/>
          <w:rFonts w:ascii="Calibri" w:hAnsi="Calibri" w:cs="Calibri"/>
        </w:rPr>
        <w:t xml:space="preserve"> but in an inappropriate heavily trafficked and polluted location</w:t>
      </w:r>
      <w:r w:rsidR="003738A0">
        <w:rPr>
          <w:rStyle w:val="normaltextrun"/>
          <w:rFonts w:ascii="Calibri" w:hAnsi="Calibri" w:cs="Calibri"/>
        </w:rPr>
        <w:t>,</w:t>
      </w:r>
      <w:r>
        <w:rPr>
          <w:rStyle w:val="normaltextrun"/>
          <w:rFonts w:ascii="Calibri" w:hAnsi="Calibri" w:cs="Calibri"/>
        </w:rPr>
        <w:t xml:space="preserve"> was undermining health and wellbeing gains by exposing active travellers to worse environmental </w:t>
      </w:r>
      <w:r w:rsidR="00A336E4">
        <w:rPr>
          <w:rStyle w:val="normaltextrun"/>
          <w:rFonts w:ascii="Calibri" w:hAnsi="Calibri" w:cs="Calibri"/>
        </w:rPr>
        <w:t xml:space="preserve">(air quality) </w:t>
      </w:r>
      <w:r>
        <w:rPr>
          <w:rStyle w:val="normaltextrun"/>
          <w:rFonts w:ascii="Calibri" w:hAnsi="Calibri" w:cs="Calibri"/>
        </w:rPr>
        <w:t>conditions than alternative less well serviced but relatively cleaner routes. However, this interaction also needs to consider the relative safety of these alternative routes (from a crime and traffic perspective) to incorporate the whole environment and experience.</w:t>
      </w:r>
      <w:r>
        <w:t xml:space="preserve"> These connections demonstrate how planners need to consider the totality of interacting aspects when delivering inclusive mobility improvements rather than purely infrastructure delivery or service changes. There is a need to consider the whole environment not just improvements along the main transport routes especially for people walking or using mobility aids</w:t>
      </w:r>
      <w:r w:rsidR="00A336E4">
        <w:t>,</w:t>
      </w:r>
      <w:r>
        <w:t xml:space="preserve"> i.e. the routes people need to take before reaching the main roads. Lack of paved surfaces, physical obstructions, poor road surfaces, flooding, open drainage systems, waste (rubble and rubbish), poorly maintained bridges all contribute to negative journey experiences</w:t>
      </w:r>
      <w:r w:rsidR="00A336E4">
        <w:t xml:space="preserve"> particularly in low-income neighbourhoods</w:t>
      </w:r>
      <w:r>
        <w:t>.</w:t>
      </w:r>
    </w:p>
    <w:p w14:paraId="1D27D024" w14:textId="6ABD6CF2" w:rsidR="007A1DFD" w:rsidRDefault="00000000">
      <w:bookmarkStart w:id="8" w:name="_Hlk178238508"/>
      <w:r>
        <w:t>F</w:t>
      </w:r>
      <w:r>
        <w:rPr>
          <w:rStyle w:val="normaltextrun"/>
          <w:rFonts w:ascii="Calibri" w:hAnsi="Calibri" w:cs="Calibri"/>
        </w:rPr>
        <w:t xml:space="preserve">ocussing primarily on infrastructure provision and not journey experiences could result in investments that do not support healthy mobility choices when all aspects are included. </w:t>
      </w:r>
      <w:r>
        <w:t>When creating plans to promote active travel options</w:t>
      </w:r>
      <w:r w:rsidR="00274AED">
        <w:t>,</w:t>
      </w:r>
      <w:r>
        <w:t xml:space="preserve"> planners and designers must look at the overall impact on health and wellbeing, rather than just focusing on individual aspects of mobility (like improving footpaths). </w:t>
      </w:r>
      <w:r>
        <w:rPr>
          <w:rStyle w:val="normaltextrun"/>
          <w:rFonts w:ascii="Calibri" w:hAnsi="Calibri" w:cs="Calibri"/>
        </w:rPr>
        <w:t xml:space="preserve">Better (spatially explicit) and diverse (subjective and </w:t>
      </w:r>
      <w:r>
        <w:rPr>
          <w:rStyle w:val="normaltextrun"/>
          <w:rFonts w:ascii="Calibri" w:hAnsi="Calibri" w:cs="Calibri"/>
        </w:rPr>
        <w:lastRenderedPageBreak/>
        <w:t xml:space="preserve">physiological) data would be useful for decision makers to understand existing environments more holistically to identify the most appropriate alternatives. </w:t>
      </w:r>
      <w:bookmarkEnd w:id="8"/>
      <w:r>
        <w:rPr>
          <w:rStyle w:val="normaltextrun"/>
          <w:rFonts w:ascii="Calibri" w:hAnsi="Calibri" w:cs="Calibri"/>
        </w:rPr>
        <w:t xml:space="preserve">Including qualitative data collection approaches such as digital storytelling also enables </w:t>
      </w:r>
      <w:r w:rsidR="00274AED">
        <w:rPr>
          <w:rStyle w:val="normaltextrun"/>
          <w:rFonts w:ascii="Calibri" w:hAnsi="Calibri" w:cs="Calibri"/>
        </w:rPr>
        <w:t xml:space="preserve">communities </w:t>
      </w:r>
      <w:r>
        <w:rPr>
          <w:rStyle w:val="normaltextrun"/>
          <w:rFonts w:ascii="Calibri" w:hAnsi="Calibri" w:cs="Calibri"/>
        </w:rPr>
        <w:t xml:space="preserve">to better share their lived experience and mobility demands with experts and planners </w:t>
      </w:r>
      <w:r>
        <w:rPr>
          <w:rStyle w:val="normaltextrun"/>
          <w:rFonts w:ascii="Calibri" w:hAnsi="Calibri" w:cs="Calibri"/>
        </w:rPr>
        <w:fldChar w:fldCharType="begin" w:fldLock="1"/>
      </w:r>
      <w:r w:rsidR="00371342">
        <w:rPr>
          <w:rStyle w:val="normaltextrun"/>
          <w:rFonts w:ascii="Calibri" w:hAnsi="Calibri" w:cs="Calibri"/>
        </w:rPr>
        <w:instrText>ADDIN CSL_CITATION {"citationItems":[{"id":"ITEM-1","itemData":{"DOI":"10.1007/s13280-020-01436-3","ISBN":"1328002001436","ISSN":"0044-7447","abstract":"Inclusively delivering the sustainable development goals (SDGs) remains challenging, particularly in urban areas, where some of the most pressing concerns exist. To achieve the transformative SDG agenda, new methods are required to overcome current deficits in engagement around inclusion and equitable outcomes. Evaluating against theories of governance and inclusion, we test a mixture of digital and physical creative methods abilities to deliver co-designed solutions that influence mobility and road safety planning outcomes in East African cities. Greater inclusion led to improved interactions of citizens with decision makers, and the identification of novel, practical solutions, delivering some elements of transformation. Risks include creative methods being used to co-opt communities to official agendas, and institutional planning norms needing to adapt to respond to a wider range of stakeholders. Overall, where risks are mitigated, we recommend that using Creative Methods could localise SDG delivery, ensuring more equitable and effective outcomes from infrastructure development investments.","author":[{"dropping-particle":"","family":"Cinderby","given":"Steve","non-dropping-particle":"","parse-names":false,"suffix":""},{"dropping-particle":"","family":"Bruin","given":"Annemarieke","non-dropping-particle":"de","parse-names":false,"suffix":""},{"dropping-particle":"","family":"Cambridge","given":"Howard","non-dropping-particle":"","parse-names":false,"suffix":""},{"dropping-particle":"","family":"Muhoza","given":"Cassilde","non-dropping-particle":"","parse-names":false,"suffix":""},{"dropping-particle":"","family":"Ngabirano","given":"Amanda","non-dropping-particle":"","parse-names":false,"suffix":""}],"container-title":"Ambio","id":"ITEM-1","issue":"Feb","issued":{"date-parts":[["2021","2","14"]]},"page":"1-17","publisher":"Springer Netherlands","title":"Transforming urban planning processes and outcomes through creative methods","type":"article-journal"},"uris":["http://www.mendeley.com/documents/?uuid=3bd78c17-5a64-4ab5-8684-89d312426948"]},{"id":"ITEM-2","itemData":{"ISBN":"9788527729833","abstract":"Developing inclusive mobility solutions and climate resilient transport infrastructure is a challenge experienced in many African cities. This guidance is aimed at two main audiences relevant to solving the transport challenge: African transport planners and decision-makers; and representatives of disadvantaged groups who feel excluded from current transport policymaking and planning. It summarises key concepts around transport inclusion, participation, and climate change. It introduces selected creative methods that can give a voice to disadvantaged groups. It also provides practical step-by-step information on how and when to use the various methods, supported by inspiring case studies from Africa and around the world. These creative methods can be used to support existing transport planning processes to improve outcomes and deliver more inclusive and climate resilient transport in Africa.","author":[{"dropping-particle":"","family":"Haq","given":"Gary","non-dropping-particle":"","parse-names":false,"suffix":""},{"dropping-particle":"","family":"Cinderby","given":"Steve","non-dropping-particle":"","parse-names":false,"suffix":""},{"dropping-particle":"","family":"Opiyo","given":"Romanus Otieno","non-dropping-particle":"","parse-names":false,"suffix":""},{"dropping-particle":"","family":"Muhoza","given":"Cassilde","non-dropping-particle":"","parse-names":false,"suffix":""},{"dropping-particle":"","family":"Cambridge","given":"Howard","non-dropping-particle":"","parse-names":false,"suffix":""}],"id":"ITEM-2","issued":{"date-parts":[["2022"]]},"number-of-pages":"1-48","publisher-place":"Stockholm","title":"Using creative participatory approaches for inclusive climate resilient transport in Africa: Guidelines for practitioners","type":"report"},"uris":["http://www.mendeley.com/documents/?uuid=8958d501-7131-4adc-9a12-cff61d9a05d2"]}],"mendeley":{"formattedCitation":"(Cinderby, de Bruin, &lt;i&gt;et al.&lt;/i&gt;, 2021; Haq &lt;i&gt;et al.&lt;/i&gt;, 2022)","plainTextFormattedCitation":"(Cinderby, de Bruin, et al., 2021; Haq et al., 2022)","previouslyFormattedCitation":"(Cinderby, de Bruin, &lt;i&gt;et al.&lt;/i&gt;, 2021; Haq &lt;i&gt;et al.&lt;/i&gt;, 2022)"},"properties":{"noteIndex":0},"schema":"https://github.com/citation-style-language/schema/raw/master/csl-citation.json"}</w:instrText>
      </w:r>
      <w:r>
        <w:rPr>
          <w:rStyle w:val="normaltextrun"/>
          <w:rFonts w:ascii="Calibri" w:hAnsi="Calibri" w:cs="Calibri"/>
        </w:rPr>
        <w:fldChar w:fldCharType="separate"/>
      </w:r>
      <w:r w:rsidR="00371342" w:rsidRPr="00371342">
        <w:rPr>
          <w:rStyle w:val="normaltextrun"/>
          <w:rFonts w:ascii="Calibri" w:hAnsi="Calibri" w:cs="Calibri"/>
          <w:noProof/>
        </w:rPr>
        <w:t xml:space="preserve">(Cinderby, de Bruin, </w:t>
      </w:r>
      <w:r w:rsidR="00371342" w:rsidRPr="00371342">
        <w:rPr>
          <w:rStyle w:val="normaltextrun"/>
          <w:rFonts w:ascii="Calibri" w:hAnsi="Calibri" w:cs="Calibri"/>
          <w:i/>
          <w:noProof/>
        </w:rPr>
        <w:t>et al.</w:t>
      </w:r>
      <w:r w:rsidR="00371342" w:rsidRPr="00371342">
        <w:rPr>
          <w:rStyle w:val="normaltextrun"/>
          <w:rFonts w:ascii="Calibri" w:hAnsi="Calibri" w:cs="Calibri"/>
          <w:noProof/>
        </w:rPr>
        <w:t xml:space="preserve">, 2021; Haq </w:t>
      </w:r>
      <w:r w:rsidR="00371342" w:rsidRPr="00371342">
        <w:rPr>
          <w:rStyle w:val="normaltextrun"/>
          <w:rFonts w:ascii="Calibri" w:hAnsi="Calibri" w:cs="Calibri"/>
          <w:i/>
          <w:noProof/>
        </w:rPr>
        <w:t>et al.</w:t>
      </w:r>
      <w:r w:rsidR="00371342" w:rsidRPr="00371342">
        <w:rPr>
          <w:rStyle w:val="normaltextrun"/>
          <w:rFonts w:ascii="Calibri" w:hAnsi="Calibri" w:cs="Calibri"/>
          <w:noProof/>
        </w:rPr>
        <w:t>, 2022)</w:t>
      </w:r>
      <w:r>
        <w:rPr>
          <w:rStyle w:val="normaltextrun"/>
          <w:rFonts w:ascii="Calibri" w:hAnsi="Calibri" w:cs="Calibri"/>
        </w:rPr>
        <w:fldChar w:fldCharType="end"/>
      </w:r>
      <w:r>
        <w:rPr>
          <w:rStyle w:val="normaltextrun"/>
          <w:rFonts w:ascii="Calibri" w:hAnsi="Calibri" w:cs="Calibri"/>
        </w:rPr>
        <w:t>. I</w:t>
      </w:r>
      <w:r>
        <w:t xml:space="preserve">deally, this planning should enable a wider cross section of particularly vulnerable users to participate through co-design events to ensure the widest cross-section of needs and affordances are including in improvement schemes. This should encourage innovation in street design, service provision and the way spaces are governed. </w:t>
      </w:r>
    </w:p>
    <w:p w14:paraId="4950E4C4" w14:textId="77777777" w:rsidR="006C21FC" w:rsidRDefault="006C21FC" w:rsidP="006C21FC">
      <w:r>
        <w:t>The limitations of our data were that they are for only two cities and a relatively small sample of residents. This is particularly the case for the transect data where we had a small sample making showing statistical relationships impossible. However, the data does indicate a proof of concept that this type of information could be useful for integrating issues of mobility, inclusion and wellbeing along with the quality of the urban environments to identify more equitable and safer (from a whole systems perspective) mobility solutions. For the novel HRV and environmental experiments it should also be noted that making these data protocols work reliably can be challenging. This work was undertaken in and around COVID restrictions meaning the UK and Kenyan research teams could not physically meet to undertake training in the data collection approaches. This led to issues in the final collected datasets (see table 2) which reduced the robustness and statistical power of the information collected. However, the data is indicative of the potential for these approaches but also demonstrates that these technologies and approaches are still experimental and evolving.</w:t>
      </w:r>
    </w:p>
    <w:p w14:paraId="1E78292C" w14:textId="77777777" w:rsidR="007A1DFD" w:rsidRDefault="00000000">
      <w:pPr>
        <w:pStyle w:val="Heading1"/>
      </w:pPr>
      <w:r>
        <w:t>Conclusions</w:t>
      </w:r>
    </w:p>
    <w:p w14:paraId="50DBA5CF" w14:textId="32B6D112" w:rsidR="007A1DFD" w:rsidRDefault="00000000">
      <w:bookmarkStart w:id="9" w:name="_Hlk178238522"/>
      <w:r>
        <w:t>Urban mobility is a key factor supporting health and wellbeing and is linked to infrastructure quality, governance, and individuals’ behaviours. Delivering enhanced inclusive and safe mobility choices addresses many elements of the inclusive city concept. Addressing recent calls for African mobility research focussed on socio-economic equity this paper’s findings draw upon a mix of novel methods from two Kenyan cities to capture the interactions of travel on health and wellbeing for vulnerable residents. Assessing these findings in relation to our new framework that combines issues of mobility affordance, inclusion, equity and wellbeing highlight how f</w:t>
      </w:r>
      <w:r>
        <w:rPr>
          <w:rStyle w:val="normaltextrun"/>
          <w:rFonts w:ascii="Calibri" w:hAnsi="Calibri" w:cs="Calibri"/>
        </w:rPr>
        <w:t>ocussing on infrastructure provision and not overall journey experiences could result in investments that do not support healthy mobility choices. Collecting better (spatially explicit) environmental measurements and diverse wellbeing data would enable decision makers to understand existing environments more holistically to identify the most appropriate mobility investments.</w:t>
      </w:r>
      <w:r w:rsidR="009E54D5">
        <w:rPr>
          <w:rStyle w:val="normaltextrun"/>
          <w:rFonts w:ascii="Calibri" w:hAnsi="Calibri" w:cs="Calibri"/>
        </w:rPr>
        <w:t xml:space="preserve"> Our work highlights how combining subjective, physiological and environmental data provides new perspectives on how infrastructure and behaviours are affecting vulnerable travellers.</w:t>
      </w:r>
      <w:r>
        <w:rPr>
          <w:rStyle w:val="normaltextrun"/>
          <w:rFonts w:ascii="Calibri" w:hAnsi="Calibri" w:cs="Calibri"/>
        </w:rPr>
        <w:t xml:space="preserve"> </w:t>
      </w:r>
      <w:r>
        <w:t>Overall, framework and results forefront how inclusive and equitable mobility solutions that actively support people’s health and wellbeing should go beyond provision of adequate and safe infrastructure. They should include user awareness and behaviour changes that are effectively governed ensuring the benefits of any improvements are not undermined thereby risking exposing travellers to more dangerous pollution or hazardous road safety environments instead of effectively delivering equitable mobility that supports health and wellbeing.</w:t>
      </w:r>
    </w:p>
    <w:bookmarkEnd w:id="9"/>
    <w:p w14:paraId="742DFC39" w14:textId="77777777" w:rsidR="007A1DFD" w:rsidRDefault="00000000">
      <w:pPr>
        <w:rPr>
          <w:rFonts w:asciiTheme="majorHAnsi" w:eastAsiaTheme="majorEastAsia" w:hAnsiTheme="majorHAnsi" w:cstheme="majorBidi"/>
          <w:color w:val="2F5496" w:themeColor="accent1" w:themeShade="BF"/>
          <w:sz w:val="32"/>
          <w:szCs w:val="32"/>
        </w:rPr>
      </w:pPr>
      <w:r>
        <w:br w:type="page"/>
      </w:r>
    </w:p>
    <w:p w14:paraId="61B6615D" w14:textId="77777777" w:rsidR="007A1DFD" w:rsidRDefault="00000000">
      <w:pPr>
        <w:pStyle w:val="Heading1"/>
      </w:pPr>
      <w:r>
        <w:lastRenderedPageBreak/>
        <w:t>Funding statement</w:t>
      </w:r>
    </w:p>
    <w:p w14:paraId="05A17862" w14:textId="77777777" w:rsidR="007A1DFD" w:rsidRDefault="00000000">
      <w:r>
        <w:t>This work was supported by the British Academy, Award Reference: UWB190003, Urban Infrastructures of Well-Being Programme 2019.</w:t>
      </w:r>
    </w:p>
    <w:p w14:paraId="526F8A19" w14:textId="77777777" w:rsidR="007A1DFD" w:rsidRPr="009E215B" w:rsidRDefault="00000000">
      <w:pPr>
        <w:pStyle w:val="Heading1"/>
        <w:rPr>
          <w:lang w:val="fr-FR"/>
        </w:rPr>
      </w:pPr>
      <w:r w:rsidRPr="009E215B">
        <w:rPr>
          <w:lang w:val="fr-FR"/>
        </w:rPr>
        <w:t>References</w:t>
      </w:r>
    </w:p>
    <w:p w14:paraId="122B82B4" w14:textId="05EF7412" w:rsidR="00D01726" w:rsidRPr="00D01726" w:rsidRDefault="00000000" w:rsidP="00D01726">
      <w:pPr>
        <w:widowControl w:val="0"/>
        <w:autoSpaceDE w:val="0"/>
        <w:autoSpaceDN w:val="0"/>
        <w:adjustRightInd w:val="0"/>
        <w:spacing w:line="240" w:lineRule="auto"/>
        <w:rPr>
          <w:rFonts w:ascii="Calibri" w:hAnsi="Calibri" w:cs="Calibri"/>
          <w:noProof/>
        </w:rPr>
      </w:pPr>
      <w:r>
        <w:fldChar w:fldCharType="begin" w:fldLock="1"/>
      </w:r>
      <w:r w:rsidRPr="009E215B">
        <w:rPr>
          <w:lang w:val="fr-FR"/>
        </w:rPr>
        <w:instrText xml:space="preserve">ADDIN Mendeley Bibliography CSL_BIBLIOGRAPHY </w:instrText>
      </w:r>
      <w:r>
        <w:fldChar w:fldCharType="separate"/>
      </w:r>
      <w:r w:rsidR="00D01726" w:rsidRPr="009E215B">
        <w:rPr>
          <w:rFonts w:ascii="Calibri" w:hAnsi="Calibri" w:cs="Calibri"/>
          <w:noProof/>
          <w:lang w:val="fr-FR"/>
        </w:rPr>
        <w:t xml:space="preserve">Bai, X. </w:t>
      </w:r>
      <w:r w:rsidR="00D01726" w:rsidRPr="009E215B">
        <w:rPr>
          <w:rFonts w:ascii="Calibri" w:hAnsi="Calibri" w:cs="Calibri"/>
          <w:i/>
          <w:iCs/>
          <w:noProof/>
          <w:lang w:val="fr-FR"/>
        </w:rPr>
        <w:t>et al.</w:t>
      </w:r>
      <w:r w:rsidR="00D01726" w:rsidRPr="009E215B">
        <w:rPr>
          <w:rFonts w:ascii="Calibri" w:hAnsi="Calibri" w:cs="Calibri"/>
          <w:noProof/>
          <w:lang w:val="fr-FR"/>
        </w:rPr>
        <w:t xml:space="preserve"> </w:t>
      </w:r>
      <w:r w:rsidR="00D01726" w:rsidRPr="00D01726">
        <w:rPr>
          <w:rFonts w:ascii="Calibri" w:hAnsi="Calibri" w:cs="Calibri"/>
          <w:noProof/>
        </w:rPr>
        <w:t xml:space="preserve">(2017) ‘Linking Urbanization and the Environment: Conceptual and Empirical Advances’, </w:t>
      </w:r>
      <w:r w:rsidR="00D01726" w:rsidRPr="00D01726">
        <w:rPr>
          <w:rFonts w:ascii="Calibri" w:hAnsi="Calibri" w:cs="Calibri"/>
          <w:i/>
          <w:iCs/>
          <w:noProof/>
        </w:rPr>
        <w:t>Annual Review of Environment and Resources</w:t>
      </w:r>
      <w:r w:rsidR="00D01726" w:rsidRPr="00D01726">
        <w:rPr>
          <w:rFonts w:ascii="Calibri" w:hAnsi="Calibri" w:cs="Calibri"/>
          <w:noProof/>
        </w:rPr>
        <w:t>, 42, pp. 215–240. doi:10.1146/annurev-environ-102016-061128.</w:t>
      </w:r>
    </w:p>
    <w:p w14:paraId="2A41DE2D"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Bell, R. </w:t>
      </w:r>
      <w:r w:rsidRPr="00D01726">
        <w:rPr>
          <w:rFonts w:ascii="Calibri" w:hAnsi="Calibri" w:cs="Calibri"/>
          <w:i/>
          <w:iCs/>
          <w:noProof/>
        </w:rPr>
        <w:t>et al.</w:t>
      </w:r>
      <w:r w:rsidRPr="00D01726">
        <w:rPr>
          <w:rFonts w:ascii="Calibri" w:hAnsi="Calibri" w:cs="Calibri"/>
          <w:noProof/>
        </w:rPr>
        <w:t xml:space="preserve"> (2021) ‘Co-creating solutions to local mobility and transport challenges for the enhancement of health and wellbeing in an area of socioeconomic disadvantage’, </w:t>
      </w:r>
      <w:r w:rsidRPr="00D01726">
        <w:rPr>
          <w:rFonts w:ascii="Calibri" w:hAnsi="Calibri" w:cs="Calibri"/>
          <w:i/>
          <w:iCs/>
          <w:noProof/>
        </w:rPr>
        <w:t>Journal of Transport and Health</w:t>
      </w:r>
      <w:r w:rsidRPr="00D01726">
        <w:rPr>
          <w:rFonts w:ascii="Calibri" w:hAnsi="Calibri" w:cs="Calibri"/>
          <w:noProof/>
        </w:rPr>
        <w:t>, 21(April), p. 101046. doi:10.1016/j.jth.2021.101046.</w:t>
      </w:r>
    </w:p>
    <w:p w14:paraId="3BF53353"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9E215B">
        <w:rPr>
          <w:rFonts w:ascii="Calibri" w:hAnsi="Calibri" w:cs="Calibri"/>
          <w:noProof/>
          <w:lang w:val="fr-FR"/>
        </w:rPr>
        <w:t xml:space="preserve">Benton, J.S. </w:t>
      </w:r>
      <w:r w:rsidRPr="009E215B">
        <w:rPr>
          <w:rFonts w:ascii="Calibri" w:hAnsi="Calibri" w:cs="Calibri"/>
          <w:i/>
          <w:iCs/>
          <w:noProof/>
          <w:lang w:val="fr-FR"/>
        </w:rPr>
        <w:t>et al.</w:t>
      </w:r>
      <w:r w:rsidRPr="009E215B">
        <w:rPr>
          <w:rFonts w:ascii="Calibri" w:hAnsi="Calibri" w:cs="Calibri"/>
          <w:noProof/>
          <w:lang w:val="fr-FR"/>
        </w:rPr>
        <w:t xml:space="preserve"> </w:t>
      </w:r>
      <w:r w:rsidRPr="00D01726">
        <w:rPr>
          <w:rFonts w:ascii="Calibri" w:hAnsi="Calibri" w:cs="Calibri"/>
          <w:noProof/>
        </w:rPr>
        <w:t xml:space="preserve">(2023) ‘“Walking is our asset”: How to retain walking as a valued mode of transport in African cities’, </w:t>
      </w:r>
      <w:r w:rsidRPr="00D01726">
        <w:rPr>
          <w:rFonts w:ascii="Calibri" w:hAnsi="Calibri" w:cs="Calibri"/>
          <w:i/>
          <w:iCs/>
          <w:noProof/>
        </w:rPr>
        <w:t>Cities</w:t>
      </w:r>
      <w:r w:rsidRPr="00D01726">
        <w:rPr>
          <w:rFonts w:ascii="Calibri" w:hAnsi="Calibri" w:cs="Calibri"/>
          <w:noProof/>
        </w:rPr>
        <w:t>, 137(March), p. 104297. doi:10.1016/j.cities.2023.104297.</w:t>
      </w:r>
    </w:p>
    <w:p w14:paraId="48BEBBDD"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van Burgsteden, M., Grigolon, A. and Geurs, K. (2024) ‘Improving Community Wellbeing through transport policy: a literature review and theoretical framework, based on the Capability Approach’, </w:t>
      </w:r>
      <w:r w:rsidRPr="00D01726">
        <w:rPr>
          <w:rFonts w:ascii="Calibri" w:hAnsi="Calibri" w:cs="Calibri"/>
          <w:i/>
          <w:iCs/>
          <w:noProof/>
        </w:rPr>
        <w:t>Transport Reviews</w:t>
      </w:r>
      <w:r w:rsidRPr="00D01726">
        <w:rPr>
          <w:rFonts w:ascii="Calibri" w:hAnsi="Calibri" w:cs="Calibri"/>
          <w:noProof/>
        </w:rPr>
        <w:t>, 44(6), pp. 1161–1186. doi:10.1080/01441647.2024.2374818.</w:t>
      </w:r>
    </w:p>
    <w:p w14:paraId="5839D66A"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Chokerah, J. (2021) </w:t>
      </w:r>
      <w:r w:rsidRPr="00D01726">
        <w:rPr>
          <w:rFonts w:ascii="Calibri" w:hAnsi="Calibri" w:cs="Calibri"/>
          <w:i/>
          <w:iCs/>
          <w:noProof/>
        </w:rPr>
        <w:t>UN Sustainable Development Cooperation Framework and national poverty eradication: The experience of Kenya</w:t>
      </w:r>
      <w:r w:rsidRPr="00D01726">
        <w:rPr>
          <w:rFonts w:ascii="Calibri" w:hAnsi="Calibri" w:cs="Calibri"/>
          <w:noProof/>
        </w:rPr>
        <w:t>.</w:t>
      </w:r>
    </w:p>
    <w:p w14:paraId="3DE38523"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Cinderby, S. </w:t>
      </w:r>
      <w:r w:rsidRPr="00D01726">
        <w:rPr>
          <w:rFonts w:ascii="Calibri" w:hAnsi="Calibri" w:cs="Calibri"/>
          <w:i/>
          <w:iCs/>
          <w:noProof/>
        </w:rPr>
        <w:t>et al.</w:t>
      </w:r>
      <w:r w:rsidRPr="00D01726">
        <w:rPr>
          <w:rFonts w:ascii="Calibri" w:hAnsi="Calibri" w:cs="Calibri"/>
          <w:noProof/>
        </w:rPr>
        <w:t xml:space="preserve"> (2018) ‘Co-designing Urban Living Solutions to Improve Older People’s Mobility and Well-Being’, </w:t>
      </w:r>
      <w:r w:rsidRPr="00D01726">
        <w:rPr>
          <w:rFonts w:ascii="Calibri" w:hAnsi="Calibri" w:cs="Calibri"/>
          <w:i/>
          <w:iCs/>
          <w:noProof/>
        </w:rPr>
        <w:t>Journal of Urban Health</w:t>
      </w:r>
      <w:r w:rsidRPr="00D01726">
        <w:rPr>
          <w:rFonts w:ascii="Calibri" w:hAnsi="Calibri" w:cs="Calibri"/>
          <w:noProof/>
        </w:rPr>
        <w:t>, pp. 20–22. doi:10.1007/s11524-018-0232-z.</w:t>
      </w:r>
    </w:p>
    <w:p w14:paraId="5C776761"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9E215B">
        <w:rPr>
          <w:rFonts w:ascii="Calibri" w:hAnsi="Calibri" w:cs="Calibri"/>
          <w:noProof/>
          <w:lang w:val="fr-FR"/>
        </w:rPr>
        <w:t xml:space="preserve">Cinderby, S., Archer, D., </w:t>
      </w:r>
      <w:r w:rsidRPr="009E215B">
        <w:rPr>
          <w:rFonts w:ascii="Calibri" w:hAnsi="Calibri" w:cs="Calibri"/>
          <w:i/>
          <w:iCs/>
          <w:noProof/>
          <w:lang w:val="fr-FR"/>
        </w:rPr>
        <w:t>et al.</w:t>
      </w:r>
      <w:r w:rsidRPr="009E215B">
        <w:rPr>
          <w:rFonts w:ascii="Calibri" w:hAnsi="Calibri" w:cs="Calibri"/>
          <w:noProof/>
          <w:lang w:val="fr-FR"/>
        </w:rPr>
        <w:t xml:space="preserve"> </w:t>
      </w:r>
      <w:r w:rsidRPr="00D01726">
        <w:rPr>
          <w:rFonts w:ascii="Calibri" w:hAnsi="Calibri" w:cs="Calibri"/>
          <w:noProof/>
        </w:rPr>
        <w:t xml:space="preserve">(2021) ‘Assessing Inequalities in Wellbeing at a Neighbourhood Scale in Secondary Cities and Their Implications for Long-Term Livability’, </w:t>
      </w:r>
      <w:r w:rsidRPr="00D01726">
        <w:rPr>
          <w:rFonts w:ascii="Calibri" w:hAnsi="Calibri" w:cs="Calibri"/>
          <w:i/>
          <w:iCs/>
          <w:noProof/>
        </w:rPr>
        <w:t>Frontiers in Sociology</w:t>
      </w:r>
      <w:r w:rsidRPr="00D01726">
        <w:rPr>
          <w:rFonts w:ascii="Calibri" w:hAnsi="Calibri" w:cs="Calibri"/>
          <w:noProof/>
        </w:rPr>
        <w:t>, 6(November), pp. 1–16. doi:10.3389/fsoc.2021.729453.</w:t>
      </w:r>
    </w:p>
    <w:p w14:paraId="6BC5E202"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9E215B">
        <w:rPr>
          <w:rFonts w:ascii="Calibri" w:hAnsi="Calibri" w:cs="Calibri"/>
          <w:noProof/>
          <w:lang w:val="fr-FR"/>
        </w:rPr>
        <w:t xml:space="preserve">Cinderby, S., de Bruin, A., </w:t>
      </w:r>
      <w:r w:rsidRPr="009E215B">
        <w:rPr>
          <w:rFonts w:ascii="Calibri" w:hAnsi="Calibri" w:cs="Calibri"/>
          <w:i/>
          <w:iCs/>
          <w:noProof/>
          <w:lang w:val="fr-FR"/>
        </w:rPr>
        <w:t>et al.</w:t>
      </w:r>
      <w:r w:rsidRPr="009E215B">
        <w:rPr>
          <w:rFonts w:ascii="Calibri" w:hAnsi="Calibri" w:cs="Calibri"/>
          <w:noProof/>
          <w:lang w:val="fr-FR"/>
        </w:rPr>
        <w:t xml:space="preserve"> </w:t>
      </w:r>
      <w:r w:rsidRPr="00D01726">
        <w:rPr>
          <w:rFonts w:ascii="Calibri" w:hAnsi="Calibri" w:cs="Calibri"/>
          <w:noProof/>
        </w:rPr>
        <w:t xml:space="preserve">(2021) ‘Transforming urban planning processes and outcomes through creative methods’, </w:t>
      </w:r>
      <w:r w:rsidRPr="00D01726">
        <w:rPr>
          <w:rFonts w:ascii="Calibri" w:hAnsi="Calibri" w:cs="Calibri"/>
          <w:i/>
          <w:iCs/>
          <w:noProof/>
        </w:rPr>
        <w:t>Ambio</w:t>
      </w:r>
      <w:r w:rsidRPr="00D01726">
        <w:rPr>
          <w:rFonts w:ascii="Calibri" w:hAnsi="Calibri" w:cs="Calibri"/>
          <w:noProof/>
        </w:rPr>
        <w:t>, (Feb), pp. 1–17. doi:10.1007/s13280-020-01436-3.</w:t>
      </w:r>
    </w:p>
    <w:p w14:paraId="217C448A"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Cinderby, S., Snell, C. and Forrester, J. (2008) ‘Participatory GIS and its application in governance: the example of air quality and the implications for noise pollution’, </w:t>
      </w:r>
      <w:r w:rsidRPr="00D01726">
        <w:rPr>
          <w:rFonts w:ascii="Calibri" w:hAnsi="Calibri" w:cs="Calibri"/>
          <w:i/>
          <w:iCs/>
          <w:noProof/>
        </w:rPr>
        <w:t>Local Environment</w:t>
      </w:r>
      <w:r w:rsidRPr="00D01726">
        <w:rPr>
          <w:rFonts w:ascii="Calibri" w:hAnsi="Calibri" w:cs="Calibri"/>
          <w:noProof/>
        </w:rPr>
        <w:t>, 13(4), pp. 309–320. doi:10.1080/13549830701803265.</w:t>
      </w:r>
    </w:p>
    <w:p w14:paraId="375E257F"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Corburn, J. (2017) ‘Urban place and health equity: Critical issues and practices’, </w:t>
      </w:r>
      <w:r w:rsidRPr="00D01726">
        <w:rPr>
          <w:rFonts w:ascii="Calibri" w:hAnsi="Calibri" w:cs="Calibri"/>
          <w:i/>
          <w:iCs/>
          <w:noProof/>
        </w:rPr>
        <w:t>International Journal of Environmental Research and Public Health</w:t>
      </w:r>
      <w:r w:rsidRPr="00D01726">
        <w:rPr>
          <w:rFonts w:ascii="Calibri" w:hAnsi="Calibri" w:cs="Calibri"/>
          <w:noProof/>
        </w:rPr>
        <w:t>, 14(2), pp. 1–10. doi:10.3390/ijerph14020117.</w:t>
      </w:r>
    </w:p>
    <w:p w14:paraId="31D137EE"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Dixon, S., Irshad, H. and Labuschagne, J.-P. (2018) </w:t>
      </w:r>
      <w:r w:rsidRPr="00D01726">
        <w:rPr>
          <w:rFonts w:ascii="Calibri" w:hAnsi="Calibri" w:cs="Calibri"/>
          <w:i/>
          <w:iCs/>
          <w:noProof/>
        </w:rPr>
        <w:t>Deloitte City Mobility Index - Nairobi</w:t>
      </w:r>
      <w:r w:rsidRPr="00D01726">
        <w:rPr>
          <w:rFonts w:ascii="Calibri" w:hAnsi="Calibri" w:cs="Calibri"/>
          <w:noProof/>
        </w:rPr>
        <w:t>. London, UK.</w:t>
      </w:r>
    </w:p>
    <w:p w14:paraId="425B612E"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Ferdman, A. (2021) ‘Well-being and mobility: A new perspective’, </w:t>
      </w:r>
      <w:r w:rsidRPr="00D01726">
        <w:rPr>
          <w:rFonts w:ascii="Calibri" w:hAnsi="Calibri" w:cs="Calibri"/>
          <w:i/>
          <w:iCs/>
          <w:noProof/>
        </w:rPr>
        <w:t>Transportation Research Part A: Policy and Practice</w:t>
      </w:r>
      <w:r w:rsidRPr="00D01726">
        <w:rPr>
          <w:rFonts w:ascii="Calibri" w:hAnsi="Calibri" w:cs="Calibri"/>
          <w:noProof/>
        </w:rPr>
        <w:t>, 146(December 2020), pp. 44–55. doi:10.1016/j.tra.2021.02.003.</w:t>
      </w:r>
    </w:p>
    <w:p w14:paraId="46ABF2A2"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Friman, M. </w:t>
      </w:r>
      <w:r w:rsidRPr="00D01726">
        <w:rPr>
          <w:rFonts w:ascii="Calibri" w:hAnsi="Calibri" w:cs="Calibri"/>
          <w:i/>
          <w:iCs/>
          <w:noProof/>
        </w:rPr>
        <w:t>et al.</w:t>
      </w:r>
      <w:r w:rsidRPr="00D01726">
        <w:rPr>
          <w:rFonts w:ascii="Calibri" w:hAnsi="Calibri" w:cs="Calibri"/>
          <w:noProof/>
        </w:rPr>
        <w:t xml:space="preserve"> (2017) ‘How does travel affect emotional well-being and life satisfaction?’, </w:t>
      </w:r>
      <w:r w:rsidRPr="00D01726">
        <w:rPr>
          <w:rFonts w:ascii="Calibri" w:hAnsi="Calibri" w:cs="Calibri"/>
          <w:i/>
          <w:iCs/>
          <w:noProof/>
        </w:rPr>
        <w:t>Transportation Research Part A: Policy and Practice</w:t>
      </w:r>
      <w:r w:rsidRPr="00D01726">
        <w:rPr>
          <w:rFonts w:ascii="Calibri" w:hAnsi="Calibri" w:cs="Calibri"/>
          <w:noProof/>
        </w:rPr>
        <w:t>, 106(September), pp. 170–180. doi:10.1016/j.tra.2017.09.024.</w:t>
      </w:r>
    </w:p>
    <w:p w14:paraId="4D881149"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Gärling, T. </w:t>
      </w:r>
      <w:r w:rsidRPr="00D01726">
        <w:rPr>
          <w:rFonts w:ascii="Calibri" w:hAnsi="Calibri" w:cs="Calibri"/>
          <w:i/>
          <w:iCs/>
          <w:noProof/>
        </w:rPr>
        <w:t>et al.</w:t>
      </w:r>
      <w:r w:rsidRPr="00D01726">
        <w:rPr>
          <w:rFonts w:ascii="Calibri" w:hAnsi="Calibri" w:cs="Calibri"/>
          <w:noProof/>
        </w:rPr>
        <w:t xml:space="preserve"> (2020) ‘Review and assessment of self-reports of travel-related emotional wellbeing’, </w:t>
      </w:r>
      <w:r w:rsidRPr="00D01726">
        <w:rPr>
          <w:rFonts w:ascii="Calibri" w:hAnsi="Calibri" w:cs="Calibri"/>
          <w:i/>
          <w:iCs/>
          <w:noProof/>
        </w:rPr>
        <w:t>Journal of Transport and Health</w:t>
      </w:r>
      <w:r w:rsidRPr="00D01726">
        <w:rPr>
          <w:rFonts w:ascii="Calibri" w:hAnsi="Calibri" w:cs="Calibri"/>
          <w:noProof/>
        </w:rPr>
        <w:t>, 17(April), pp. 1–10. doi:10.1016/j.jth.2020.100843.</w:t>
      </w:r>
    </w:p>
    <w:p w14:paraId="780BEE97"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Hackl, A. (2018) ‘Mobility equity in a globalized world: Reducing inequalities in the sustainable development agenda’, </w:t>
      </w:r>
      <w:r w:rsidRPr="00D01726">
        <w:rPr>
          <w:rFonts w:ascii="Calibri" w:hAnsi="Calibri" w:cs="Calibri"/>
          <w:i/>
          <w:iCs/>
          <w:noProof/>
        </w:rPr>
        <w:t>World Development</w:t>
      </w:r>
      <w:r w:rsidRPr="00D01726">
        <w:rPr>
          <w:rFonts w:ascii="Calibri" w:hAnsi="Calibri" w:cs="Calibri"/>
          <w:noProof/>
        </w:rPr>
        <w:t>, 112, pp. 150–162. doi:10.1016/j.worlddev.2018.08.005.</w:t>
      </w:r>
    </w:p>
    <w:p w14:paraId="7CCD0539"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Haq, G. </w:t>
      </w:r>
      <w:r w:rsidRPr="00D01726">
        <w:rPr>
          <w:rFonts w:ascii="Calibri" w:hAnsi="Calibri" w:cs="Calibri"/>
          <w:i/>
          <w:iCs/>
          <w:noProof/>
        </w:rPr>
        <w:t>et al.</w:t>
      </w:r>
      <w:r w:rsidRPr="00D01726">
        <w:rPr>
          <w:rFonts w:ascii="Calibri" w:hAnsi="Calibri" w:cs="Calibri"/>
          <w:noProof/>
        </w:rPr>
        <w:t xml:space="preserve"> (2022) </w:t>
      </w:r>
      <w:r w:rsidRPr="00D01726">
        <w:rPr>
          <w:rFonts w:ascii="Calibri" w:hAnsi="Calibri" w:cs="Calibri"/>
          <w:i/>
          <w:iCs/>
          <w:noProof/>
        </w:rPr>
        <w:t>Using creative participatory approaches for inclusive climate resilient transport in Africa: Guidelines for practitioners</w:t>
      </w:r>
      <w:r w:rsidRPr="00D01726">
        <w:rPr>
          <w:rFonts w:ascii="Calibri" w:hAnsi="Calibri" w:cs="Calibri"/>
          <w:noProof/>
        </w:rPr>
        <w:t>. Stockholm. Available at: https://www.gov.uk/research-for-development-outputs/using-creative-participatory-approaches-for-inclusive-climate-resilient-transport-in-africa.</w:t>
      </w:r>
    </w:p>
    <w:p w14:paraId="604E4AF9"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Harada, T. (2023) ‘Mobility Justice and Sustainable Futures’, </w:t>
      </w:r>
      <w:r w:rsidRPr="00D01726">
        <w:rPr>
          <w:rFonts w:ascii="Calibri" w:hAnsi="Calibri" w:cs="Calibri"/>
          <w:i/>
          <w:iCs/>
          <w:noProof/>
        </w:rPr>
        <w:t>Australian Geographer</w:t>
      </w:r>
      <w:r w:rsidRPr="00D01726">
        <w:rPr>
          <w:rFonts w:ascii="Calibri" w:hAnsi="Calibri" w:cs="Calibri"/>
          <w:noProof/>
        </w:rPr>
        <w:t xml:space="preserve"> [Preprint]. doi:10.1080/00049182.2023.2271615.</w:t>
      </w:r>
    </w:p>
    <w:p w14:paraId="369F289F"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lastRenderedPageBreak/>
        <w:t xml:space="preserve">Heydari, S. </w:t>
      </w:r>
      <w:r w:rsidRPr="00D01726">
        <w:rPr>
          <w:rFonts w:ascii="Calibri" w:hAnsi="Calibri" w:cs="Calibri"/>
          <w:i/>
          <w:iCs/>
          <w:noProof/>
        </w:rPr>
        <w:t>et al.</w:t>
      </w:r>
      <w:r w:rsidRPr="00D01726">
        <w:rPr>
          <w:rFonts w:ascii="Calibri" w:hAnsi="Calibri" w:cs="Calibri"/>
          <w:noProof/>
        </w:rPr>
        <w:t xml:space="preserve"> (2019) ‘Road safety in low-income countries: State of knowledge and future directions’, </w:t>
      </w:r>
      <w:r w:rsidRPr="00D01726">
        <w:rPr>
          <w:rFonts w:ascii="Calibri" w:hAnsi="Calibri" w:cs="Calibri"/>
          <w:i/>
          <w:iCs/>
          <w:noProof/>
        </w:rPr>
        <w:t>Sustainability (Switzerland)</w:t>
      </w:r>
      <w:r w:rsidRPr="00D01726">
        <w:rPr>
          <w:rFonts w:ascii="Calibri" w:hAnsi="Calibri" w:cs="Calibri"/>
          <w:noProof/>
        </w:rPr>
        <w:t>, 11(22), pp. 1–29. doi:10.3390/su11226249.</w:t>
      </w:r>
    </w:p>
    <w:p w14:paraId="12E62066"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Kelley, K.J. (2020) ‘WHO: Kenya road deaths four times higher than NTSA reported’, </w:t>
      </w:r>
      <w:r w:rsidRPr="00D01726">
        <w:rPr>
          <w:rFonts w:ascii="Calibri" w:hAnsi="Calibri" w:cs="Calibri"/>
          <w:i/>
          <w:iCs/>
          <w:noProof/>
        </w:rPr>
        <w:t>Nation</w:t>
      </w:r>
      <w:r w:rsidRPr="00D01726">
        <w:rPr>
          <w:rFonts w:ascii="Calibri" w:hAnsi="Calibri" w:cs="Calibri"/>
          <w:noProof/>
        </w:rPr>
        <w:t>, 28 June, p. 1. Available at: https://nation.africa/kenya/news/Kenya-road-deaths-grossly-underreported 13WHO/1056-4893792-ve7d07z/index.html.</w:t>
      </w:r>
    </w:p>
    <w:p w14:paraId="2175AB38"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Kenya National Bureau of Statistics (2019) </w:t>
      </w:r>
      <w:r w:rsidRPr="00D01726">
        <w:rPr>
          <w:rFonts w:ascii="Calibri" w:hAnsi="Calibri" w:cs="Calibri"/>
          <w:i/>
          <w:iCs/>
          <w:noProof/>
        </w:rPr>
        <w:t>2019 Kenya Population and Housing Census: Volume II</w:t>
      </w:r>
      <w:r w:rsidRPr="00D01726">
        <w:rPr>
          <w:rFonts w:ascii="Calibri" w:hAnsi="Calibri" w:cs="Calibri"/>
          <w:noProof/>
        </w:rPr>
        <w:t xml:space="preserve">, </w:t>
      </w:r>
      <w:r w:rsidRPr="00D01726">
        <w:rPr>
          <w:rFonts w:ascii="Calibri" w:hAnsi="Calibri" w:cs="Calibri"/>
          <w:i/>
          <w:iCs/>
          <w:noProof/>
        </w:rPr>
        <w:t>Government of Kenya</w:t>
      </w:r>
      <w:r w:rsidRPr="00D01726">
        <w:rPr>
          <w:rFonts w:ascii="Calibri" w:hAnsi="Calibri" w:cs="Calibri"/>
          <w:noProof/>
        </w:rPr>
        <w:t>. Nairobi.</w:t>
      </w:r>
    </w:p>
    <w:p w14:paraId="3A3645BB"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Khan, T. </w:t>
      </w:r>
      <w:r w:rsidRPr="00D01726">
        <w:rPr>
          <w:rFonts w:ascii="Calibri" w:hAnsi="Calibri" w:cs="Calibri"/>
          <w:i/>
          <w:iCs/>
          <w:noProof/>
        </w:rPr>
        <w:t>et al.</w:t>
      </w:r>
      <w:r w:rsidRPr="00D01726">
        <w:rPr>
          <w:rFonts w:ascii="Calibri" w:hAnsi="Calibri" w:cs="Calibri"/>
          <w:noProof/>
        </w:rPr>
        <w:t xml:space="preserve"> (2022) ‘How we classify countries and people - and why it matters’, </w:t>
      </w:r>
      <w:r w:rsidRPr="00D01726">
        <w:rPr>
          <w:rFonts w:ascii="Calibri" w:hAnsi="Calibri" w:cs="Calibri"/>
          <w:i/>
          <w:iCs/>
          <w:noProof/>
        </w:rPr>
        <w:t>BMJ Global Health</w:t>
      </w:r>
      <w:r w:rsidRPr="00D01726">
        <w:rPr>
          <w:rFonts w:ascii="Calibri" w:hAnsi="Calibri" w:cs="Calibri"/>
          <w:noProof/>
        </w:rPr>
        <w:t>, 7(6), pp. 1–6. doi:10.1136/bmjgh-2022-009704.</w:t>
      </w:r>
    </w:p>
    <w:p w14:paraId="4F1DEE39"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Kiama, P.W. (2022) ‘Pattern of road traffic accident deaths: A critical autopsy analysis in Kenya’, </w:t>
      </w:r>
      <w:r w:rsidRPr="00D01726">
        <w:rPr>
          <w:rFonts w:ascii="Calibri" w:hAnsi="Calibri" w:cs="Calibri"/>
          <w:i/>
          <w:iCs/>
          <w:noProof/>
        </w:rPr>
        <w:t>Journal of Medical and Health Sciences (JMHS)</w:t>
      </w:r>
      <w:r w:rsidRPr="00D01726">
        <w:rPr>
          <w:rFonts w:ascii="Calibri" w:hAnsi="Calibri" w:cs="Calibri"/>
          <w:noProof/>
        </w:rPr>
        <w:t>, 1(1), pp. 34–39. doi:10.51317/jmhs.v2i1.195.</w:t>
      </w:r>
    </w:p>
    <w:p w14:paraId="0B89947C" w14:textId="0D07E9C5" w:rsidR="007A1F08" w:rsidRDefault="007A1F08" w:rsidP="00D01726">
      <w:pPr>
        <w:widowControl w:val="0"/>
        <w:autoSpaceDE w:val="0"/>
        <w:autoSpaceDN w:val="0"/>
        <w:adjustRightInd w:val="0"/>
        <w:spacing w:line="240" w:lineRule="auto"/>
        <w:rPr>
          <w:rFonts w:ascii="Calibri" w:hAnsi="Calibri" w:cs="Calibri"/>
          <w:noProof/>
        </w:rPr>
      </w:pPr>
      <w:r w:rsidRPr="007A1F08">
        <w:rPr>
          <w:rFonts w:ascii="Calibri" w:hAnsi="Calibri" w:cs="Calibri"/>
          <w:noProof/>
        </w:rPr>
        <w:t>Kubios Oy, “HRV Scientific Users Guide 2024.</w:t>
      </w:r>
      <w:r>
        <w:rPr>
          <w:rFonts w:ascii="Calibri" w:hAnsi="Calibri" w:cs="Calibri"/>
          <w:noProof/>
        </w:rPr>
        <w:t xml:space="preserve">" Available at: </w:t>
      </w:r>
      <w:r w:rsidRPr="007A1F08">
        <w:rPr>
          <w:rFonts w:ascii="Calibri" w:hAnsi="Calibri" w:cs="Calibri"/>
          <w:noProof/>
        </w:rPr>
        <w:t>https://www.kubios.com/downloads/HRV-Scientific-Users-Guide.pdf</w:t>
      </w:r>
      <w:r>
        <w:rPr>
          <w:rFonts w:ascii="Calibri" w:hAnsi="Calibri" w:cs="Calibri"/>
          <w:noProof/>
        </w:rPr>
        <w:t>. (Accessed: 26</w:t>
      </w:r>
      <w:r>
        <w:rPr>
          <w:rFonts w:ascii="Calibri" w:hAnsi="Calibri" w:cs="Calibri"/>
          <w:noProof/>
          <w:vertAlign w:val="superscript"/>
        </w:rPr>
        <w:t xml:space="preserve"> </w:t>
      </w:r>
      <w:r>
        <w:rPr>
          <w:rFonts w:ascii="Calibri" w:hAnsi="Calibri" w:cs="Calibri"/>
          <w:noProof/>
        </w:rPr>
        <w:t>June 2025).</w:t>
      </w:r>
    </w:p>
    <w:p w14:paraId="4A48F200" w14:textId="38D2D6DC"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Legrain, A., Eluru, N. and El-Geneidy, A.M. (2015) ‘Am stressed, must travel: The relationship between mode choice and commuting stress’, </w:t>
      </w:r>
      <w:r w:rsidRPr="00D01726">
        <w:rPr>
          <w:rFonts w:ascii="Calibri" w:hAnsi="Calibri" w:cs="Calibri"/>
          <w:i/>
          <w:iCs/>
          <w:noProof/>
        </w:rPr>
        <w:t>Transportation Research Part F: Traffic Psychology and Behaviour</w:t>
      </w:r>
      <w:r w:rsidRPr="00D01726">
        <w:rPr>
          <w:rFonts w:ascii="Calibri" w:hAnsi="Calibri" w:cs="Calibri"/>
          <w:noProof/>
        </w:rPr>
        <w:t>, 34, pp. 141–151. doi:10.1016/j.trf.2015.08.001.</w:t>
      </w:r>
    </w:p>
    <w:p w14:paraId="6B78B60D"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Lionjanga, N. and Venter, C. (2018) ‘Does public transport accessibility enhance subjective well-being? A study of the City of Johannesburg’, </w:t>
      </w:r>
      <w:r w:rsidRPr="00D01726">
        <w:rPr>
          <w:rFonts w:ascii="Calibri" w:hAnsi="Calibri" w:cs="Calibri"/>
          <w:i/>
          <w:iCs/>
          <w:noProof/>
        </w:rPr>
        <w:t>Research in Transportation Economics</w:t>
      </w:r>
      <w:r w:rsidRPr="00D01726">
        <w:rPr>
          <w:rFonts w:ascii="Calibri" w:hAnsi="Calibri" w:cs="Calibri"/>
          <w:noProof/>
        </w:rPr>
        <w:t>, 69(November 2017), pp. 523–535. doi:10.1016/j.retrec.2018.07.011.</w:t>
      </w:r>
    </w:p>
    <w:p w14:paraId="10ECF894"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Liu, L. </w:t>
      </w:r>
      <w:r w:rsidRPr="00D01726">
        <w:rPr>
          <w:rFonts w:ascii="Calibri" w:hAnsi="Calibri" w:cs="Calibri"/>
          <w:i/>
          <w:iCs/>
          <w:noProof/>
        </w:rPr>
        <w:t>et al.</w:t>
      </w:r>
      <w:r w:rsidRPr="00D01726">
        <w:rPr>
          <w:rFonts w:ascii="Calibri" w:hAnsi="Calibri" w:cs="Calibri"/>
          <w:noProof/>
        </w:rPr>
        <w:t xml:space="preserve"> (2022) ‘National, regional, and global causes of mortality in 5–19-year-olds from 2000 to 2019: a systematic analysis’, </w:t>
      </w:r>
      <w:r w:rsidRPr="00D01726">
        <w:rPr>
          <w:rFonts w:ascii="Calibri" w:hAnsi="Calibri" w:cs="Calibri"/>
          <w:i/>
          <w:iCs/>
          <w:noProof/>
        </w:rPr>
        <w:t>The Lancet Global Health</w:t>
      </w:r>
      <w:r w:rsidRPr="00D01726">
        <w:rPr>
          <w:rFonts w:ascii="Calibri" w:hAnsi="Calibri" w:cs="Calibri"/>
          <w:noProof/>
        </w:rPr>
        <w:t>, 10(3), pp. e337–e347. doi:10.1016/S2214-109X(21)00566-0.</w:t>
      </w:r>
    </w:p>
    <w:p w14:paraId="6E08EFF3"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Loo, B.P.Y. and Siiba, A. (2019) ‘Active transport in Africa and beyond: towards a strategic framework’, </w:t>
      </w:r>
      <w:r w:rsidRPr="00D01726">
        <w:rPr>
          <w:rFonts w:ascii="Calibri" w:hAnsi="Calibri" w:cs="Calibri"/>
          <w:i/>
          <w:iCs/>
          <w:noProof/>
        </w:rPr>
        <w:t>Transport Reviews</w:t>
      </w:r>
      <w:r w:rsidRPr="00D01726">
        <w:rPr>
          <w:rFonts w:ascii="Calibri" w:hAnsi="Calibri" w:cs="Calibri"/>
          <w:noProof/>
        </w:rPr>
        <w:t>, 39(2), pp. 181–203. doi:10.1080/01441647.2018.1442889.</w:t>
      </w:r>
    </w:p>
    <w:p w14:paraId="67EA213B"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Lorenz, O. (2018) ‘Does commuting matter to subjective well-being?’, </w:t>
      </w:r>
      <w:r w:rsidRPr="00D01726">
        <w:rPr>
          <w:rFonts w:ascii="Calibri" w:hAnsi="Calibri" w:cs="Calibri"/>
          <w:i/>
          <w:iCs/>
          <w:noProof/>
        </w:rPr>
        <w:t>Journal of Transport Geography</w:t>
      </w:r>
      <w:r w:rsidRPr="00D01726">
        <w:rPr>
          <w:rFonts w:ascii="Calibri" w:hAnsi="Calibri" w:cs="Calibri"/>
          <w:noProof/>
        </w:rPr>
        <w:t>, 66(November 2017), pp. 180–199. doi:10.1016/j.jtrangeo.2017.11.019.</w:t>
      </w:r>
    </w:p>
    <w:p w14:paraId="1C09BA43"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Macrotrends (2024) </w:t>
      </w:r>
      <w:r w:rsidRPr="00D01726">
        <w:rPr>
          <w:rFonts w:ascii="Calibri" w:hAnsi="Calibri" w:cs="Calibri"/>
          <w:i/>
          <w:iCs/>
          <w:noProof/>
        </w:rPr>
        <w:t>Nairobi, Kenya Metro Area Population 1950-2024</w:t>
      </w:r>
      <w:r w:rsidRPr="00D01726">
        <w:rPr>
          <w:rFonts w:ascii="Calibri" w:hAnsi="Calibri" w:cs="Calibri"/>
          <w:noProof/>
        </w:rPr>
        <w:t>. Available at: https://www.macrotrends.net/global-metrics/cities/21711/nairobi/population#:~:text=The current metro area population,a 4%25 increase from 2021. (Accessed: 3 October 2024).</w:t>
      </w:r>
    </w:p>
    <w:p w14:paraId="3C3B7069"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Mouratidis, K. (2021) ‘Urban planning and quality of life: A review of pathways linking the built environment to subjective well-being’, </w:t>
      </w:r>
      <w:r w:rsidRPr="00D01726">
        <w:rPr>
          <w:rFonts w:ascii="Calibri" w:hAnsi="Calibri" w:cs="Calibri"/>
          <w:i/>
          <w:iCs/>
          <w:noProof/>
        </w:rPr>
        <w:t>Cities</w:t>
      </w:r>
      <w:r w:rsidRPr="00D01726">
        <w:rPr>
          <w:rFonts w:ascii="Calibri" w:hAnsi="Calibri" w:cs="Calibri"/>
          <w:noProof/>
        </w:rPr>
        <w:t>, 115(November 2020), p. 103229. doi:10.1016/j.cities.2021.103229.</w:t>
      </w:r>
    </w:p>
    <w:p w14:paraId="4F543E57"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Muguro, J. </w:t>
      </w:r>
      <w:r w:rsidRPr="00D01726">
        <w:rPr>
          <w:rFonts w:ascii="Calibri" w:hAnsi="Calibri" w:cs="Calibri"/>
          <w:i/>
          <w:iCs/>
          <w:noProof/>
        </w:rPr>
        <w:t>et al.</w:t>
      </w:r>
      <w:r w:rsidRPr="00D01726">
        <w:rPr>
          <w:rFonts w:ascii="Calibri" w:hAnsi="Calibri" w:cs="Calibri"/>
          <w:noProof/>
        </w:rPr>
        <w:t xml:space="preserve"> (2022) ‘Road traffic conditions in Kenya: Exploring the policies and traffic cultures from unstructured user-generated data using NLP’, </w:t>
      </w:r>
      <w:r w:rsidRPr="00D01726">
        <w:rPr>
          <w:rFonts w:ascii="Calibri" w:hAnsi="Calibri" w:cs="Calibri"/>
          <w:i/>
          <w:iCs/>
          <w:noProof/>
        </w:rPr>
        <w:t>IATSS Research</w:t>
      </w:r>
      <w:r w:rsidRPr="00D01726">
        <w:rPr>
          <w:rFonts w:ascii="Calibri" w:hAnsi="Calibri" w:cs="Calibri"/>
          <w:noProof/>
        </w:rPr>
        <w:t>, 46(3), pp. 329–344. doi:10.1016/j.iatssr.2022.03.003.</w:t>
      </w:r>
    </w:p>
    <w:p w14:paraId="6DE87368"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Mullen, C.A. (2021) ‘Why Mobility Justice Means Prioritising Accessible Walking Environments’, </w:t>
      </w:r>
      <w:r w:rsidRPr="00D01726">
        <w:rPr>
          <w:rFonts w:ascii="Calibri" w:hAnsi="Calibri" w:cs="Calibri"/>
          <w:i/>
          <w:iCs/>
          <w:noProof/>
        </w:rPr>
        <w:t>Active Travel Studies</w:t>
      </w:r>
      <w:r w:rsidRPr="00D01726">
        <w:rPr>
          <w:rFonts w:ascii="Calibri" w:hAnsi="Calibri" w:cs="Calibri"/>
          <w:noProof/>
        </w:rPr>
        <w:t>, 1(1), pp. 1–9. doi:10.16997/ats.1066.</w:t>
      </w:r>
    </w:p>
    <w:p w14:paraId="09A05AE4"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Musau, E.G., Pisa, N.M. and Masoumi, H.E. (2023) ‘Association between transport-related physical activity and wellness in sub-Saharan Africa: A systematic literature review’, </w:t>
      </w:r>
      <w:r w:rsidRPr="00D01726">
        <w:rPr>
          <w:rFonts w:ascii="Calibri" w:hAnsi="Calibri" w:cs="Calibri"/>
          <w:i/>
          <w:iCs/>
          <w:noProof/>
        </w:rPr>
        <w:t>Transportation Research Interdisciplinary Perspectives</w:t>
      </w:r>
      <w:r w:rsidRPr="00D01726">
        <w:rPr>
          <w:rFonts w:ascii="Calibri" w:hAnsi="Calibri" w:cs="Calibri"/>
          <w:noProof/>
        </w:rPr>
        <w:t>, 22(October), p. 100928. doi:10.1016/j.trip.2023.100928.</w:t>
      </w:r>
    </w:p>
    <w:p w14:paraId="67CB84EA"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Neale, C. </w:t>
      </w:r>
      <w:r w:rsidRPr="00D01726">
        <w:rPr>
          <w:rFonts w:ascii="Calibri" w:hAnsi="Calibri" w:cs="Calibri"/>
          <w:i/>
          <w:iCs/>
          <w:noProof/>
        </w:rPr>
        <w:t>et al.</w:t>
      </w:r>
      <w:r w:rsidRPr="00D01726">
        <w:rPr>
          <w:rFonts w:ascii="Calibri" w:hAnsi="Calibri" w:cs="Calibri"/>
          <w:noProof/>
        </w:rPr>
        <w:t xml:space="preserve"> (2020) ‘The impact of walking in different urban environments on brain activity in older people’, </w:t>
      </w:r>
      <w:r w:rsidRPr="00D01726">
        <w:rPr>
          <w:rFonts w:ascii="Calibri" w:hAnsi="Calibri" w:cs="Calibri"/>
          <w:i/>
          <w:iCs/>
          <w:noProof/>
        </w:rPr>
        <w:t>Cities &amp; Health</w:t>
      </w:r>
      <w:r w:rsidRPr="00D01726">
        <w:rPr>
          <w:rFonts w:ascii="Calibri" w:hAnsi="Calibri" w:cs="Calibri"/>
          <w:noProof/>
        </w:rPr>
        <w:t>, 4(1), pp. 94–106. doi:10.1080/23748834.2019.1619893.</w:t>
      </w:r>
    </w:p>
    <w:p w14:paraId="05B6E5AB"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Neale, C., Boukhechba, M. and Cinderby, S. (2023) ‘Understanding psychophysiological responses to walking in urban settings in Asia and Africa’, </w:t>
      </w:r>
      <w:r w:rsidRPr="00D01726">
        <w:rPr>
          <w:rFonts w:ascii="Calibri" w:hAnsi="Calibri" w:cs="Calibri"/>
          <w:i/>
          <w:iCs/>
          <w:noProof/>
        </w:rPr>
        <w:t>Journal of Environmental Psychology</w:t>
      </w:r>
      <w:r w:rsidRPr="00D01726">
        <w:rPr>
          <w:rFonts w:ascii="Calibri" w:hAnsi="Calibri" w:cs="Calibri"/>
          <w:noProof/>
        </w:rPr>
        <w:t>, 86(January), p. 101973. doi:10.1016/j.jenvp.2023.101973.</w:t>
      </w:r>
    </w:p>
    <w:p w14:paraId="549590BC"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Oviedo, D. </w:t>
      </w:r>
      <w:r w:rsidRPr="00D01726">
        <w:rPr>
          <w:rFonts w:ascii="Calibri" w:hAnsi="Calibri" w:cs="Calibri"/>
          <w:i/>
          <w:iCs/>
          <w:noProof/>
        </w:rPr>
        <w:t>et al.</w:t>
      </w:r>
      <w:r w:rsidRPr="00D01726">
        <w:rPr>
          <w:rFonts w:ascii="Calibri" w:hAnsi="Calibri" w:cs="Calibri"/>
          <w:noProof/>
        </w:rPr>
        <w:t xml:space="preserve"> (2024) ‘Everyday accessibility practices and experiences in a context of transitions to sustainable </w:t>
      </w:r>
      <w:r w:rsidRPr="00D01726">
        <w:rPr>
          <w:rFonts w:ascii="Calibri" w:hAnsi="Calibri" w:cs="Calibri"/>
          <w:noProof/>
        </w:rPr>
        <w:lastRenderedPageBreak/>
        <w:t xml:space="preserve">mobility: Qualitative evidence from Sub-Saharan Africa’, </w:t>
      </w:r>
      <w:r w:rsidRPr="00D01726">
        <w:rPr>
          <w:rFonts w:ascii="Calibri" w:hAnsi="Calibri" w:cs="Calibri"/>
          <w:i/>
          <w:iCs/>
          <w:noProof/>
        </w:rPr>
        <w:t>International Journal of Sustainable Transportation</w:t>
      </w:r>
      <w:r w:rsidRPr="00D01726">
        <w:rPr>
          <w:rFonts w:ascii="Calibri" w:hAnsi="Calibri" w:cs="Calibri"/>
          <w:noProof/>
        </w:rPr>
        <w:t>, 18(4), pp. 328–343. doi:10.1080/15568318.2024.2308258.</w:t>
      </w:r>
    </w:p>
    <w:p w14:paraId="08DE5E4F"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Oviedo, D. and Sabogal, O. (2020) ‘Unpacking the connections between transport and well-being in socially disadvantaged communities: Structural equations approach to low-income neighbourhoods in Nigeria’, </w:t>
      </w:r>
      <w:r w:rsidRPr="00D01726">
        <w:rPr>
          <w:rFonts w:ascii="Calibri" w:hAnsi="Calibri" w:cs="Calibri"/>
          <w:i/>
          <w:iCs/>
          <w:noProof/>
        </w:rPr>
        <w:t>Journal of Transport and Health</w:t>
      </w:r>
      <w:r w:rsidRPr="00D01726">
        <w:rPr>
          <w:rFonts w:ascii="Calibri" w:hAnsi="Calibri" w:cs="Calibri"/>
          <w:noProof/>
        </w:rPr>
        <w:t>, 19(October), p. 100966. doi:10.1016/j.jth.2020.100966.</w:t>
      </w:r>
    </w:p>
    <w:p w14:paraId="55D4A04A"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Public Health Scotland (2014) </w:t>
      </w:r>
      <w:r w:rsidRPr="00D01726">
        <w:rPr>
          <w:rFonts w:ascii="Calibri" w:hAnsi="Calibri" w:cs="Calibri"/>
          <w:i/>
          <w:iCs/>
          <w:noProof/>
        </w:rPr>
        <w:t>Transport Poverty: A public health issue (Summary)</w:t>
      </w:r>
      <w:r w:rsidRPr="00D01726">
        <w:rPr>
          <w:rFonts w:ascii="Calibri" w:hAnsi="Calibri" w:cs="Calibri"/>
          <w:noProof/>
        </w:rPr>
        <w:t>. Available at: https://publichealthscotland.scot/media/24758/transport-poverty-summary_jan2024.pdf.</w:t>
      </w:r>
    </w:p>
    <w:p w14:paraId="59161B6F"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Reyes-Riveros, R. </w:t>
      </w:r>
      <w:r w:rsidRPr="00D01726">
        <w:rPr>
          <w:rFonts w:ascii="Calibri" w:hAnsi="Calibri" w:cs="Calibri"/>
          <w:i/>
          <w:iCs/>
          <w:noProof/>
        </w:rPr>
        <w:t>et al.</w:t>
      </w:r>
      <w:r w:rsidRPr="00D01726">
        <w:rPr>
          <w:rFonts w:ascii="Calibri" w:hAnsi="Calibri" w:cs="Calibri"/>
          <w:noProof/>
        </w:rPr>
        <w:t xml:space="preserve"> (2021) ‘Linking public urban green spaces and human well-being: A systematic review’, </w:t>
      </w:r>
      <w:r w:rsidRPr="00D01726">
        <w:rPr>
          <w:rFonts w:ascii="Calibri" w:hAnsi="Calibri" w:cs="Calibri"/>
          <w:i/>
          <w:iCs/>
          <w:noProof/>
        </w:rPr>
        <w:t>Urban Forestry and Urban Greening</w:t>
      </w:r>
      <w:r w:rsidRPr="00D01726">
        <w:rPr>
          <w:rFonts w:ascii="Calibri" w:hAnsi="Calibri" w:cs="Calibri"/>
          <w:noProof/>
        </w:rPr>
        <w:t>, 61(September 2020). doi:10.1016/j.ufug.2021.127105.</w:t>
      </w:r>
    </w:p>
    <w:p w14:paraId="40276863"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Roe, J.J. </w:t>
      </w:r>
      <w:r w:rsidRPr="00D01726">
        <w:rPr>
          <w:rFonts w:ascii="Calibri" w:hAnsi="Calibri" w:cs="Calibri"/>
          <w:i/>
          <w:iCs/>
          <w:noProof/>
        </w:rPr>
        <w:t>et al.</w:t>
      </w:r>
      <w:r w:rsidRPr="00D01726">
        <w:rPr>
          <w:rFonts w:ascii="Calibri" w:hAnsi="Calibri" w:cs="Calibri"/>
          <w:noProof/>
        </w:rPr>
        <w:t xml:space="preserve"> (2013) ‘Green space and stress: Evidence from cortisol measures in deprived urban communities’, </w:t>
      </w:r>
      <w:r w:rsidRPr="00D01726">
        <w:rPr>
          <w:rFonts w:ascii="Calibri" w:hAnsi="Calibri" w:cs="Calibri"/>
          <w:i/>
          <w:iCs/>
          <w:noProof/>
        </w:rPr>
        <w:t>International Journal of Environmental Research and Public Health</w:t>
      </w:r>
      <w:r w:rsidRPr="00D01726">
        <w:rPr>
          <w:rFonts w:ascii="Calibri" w:hAnsi="Calibri" w:cs="Calibri"/>
          <w:noProof/>
        </w:rPr>
        <w:t>, 10(9), pp. 4086–4103. doi:10.3390/ijerph10094086.</w:t>
      </w:r>
    </w:p>
    <w:p w14:paraId="42DC697E"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9E215B">
        <w:rPr>
          <w:rFonts w:ascii="Calibri" w:hAnsi="Calibri" w:cs="Calibri"/>
          <w:noProof/>
          <w:lang w:val="fr-FR"/>
        </w:rPr>
        <w:t xml:space="preserve">Shackleton, C.M. </w:t>
      </w:r>
      <w:r w:rsidRPr="009E215B">
        <w:rPr>
          <w:rFonts w:ascii="Calibri" w:hAnsi="Calibri" w:cs="Calibri"/>
          <w:i/>
          <w:iCs/>
          <w:noProof/>
          <w:lang w:val="fr-FR"/>
        </w:rPr>
        <w:t>et al.</w:t>
      </w:r>
      <w:r w:rsidRPr="009E215B">
        <w:rPr>
          <w:rFonts w:ascii="Calibri" w:hAnsi="Calibri" w:cs="Calibri"/>
          <w:noProof/>
          <w:lang w:val="fr-FR"/>
        </w:rPr>
        <w:t xml:space="preserve"> </w:t>
      </w:r>
      <w:r w:rsidRPr="00D01726">
        <w:rPr>
          <w:rFonts w:ascii="Calibri" w:hAnsi="Calibri" w:cs="Calibri"/>
          <w:noProof/>
        </w:rPr>
        <w:t xml:space="preserve">(2021) </w:t>
      </w:r>
      <w:r w:rsidRPr="00D01726">
        <w:rPr>
          <w:rFonts w:ascii="Calibri" w:hAnsi="Calibri" w:cs="Calibri"/>
          <w:i/>
          <w:iCs/>
          <w:noProof/>
        </w:rPr>
        <w:t>Urban Ecology in the Global South</w:t>
      </w:r>
      <w:r w:rsidRPr="00D01726">
        <w:rPr>
          <w:rFonts w:ascii="Calibri" w:hAnsi="Calibri" w:cs="Calibri"/>
          <w:noProof/>
        </w:rPr>
        <w:t>. Springer International Publishing (Cities and Nature). Available at: https://books.google.co.uk/books?id=vZYqEAAAQBAJ.</w:t>
      </w:r>
    </w:p>
    <w:p w14:paraId="1CC7E436"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Shah, P. </w:t>
      </w:r>
      <w:r w:rsidRPr="00D01726">
        <w:rPr>
          <w:rFonts w:ascii="Calibri" w:hAnsi="Calibri" w:cs="Calibri"/>
          <w:i/>
          <w:iCs/>
          <w:noProof/>
        </w:rPr>
        <w:t>et al.</w:t>
      </w:r>
      <w:r w:rsidRPr="00D01726">
        <w:rPr>
          <w:rFonts w:ascii="Calibri" w:hAnsi="Calibri" w:cs="Calibri"/>
          <w:noProof/>
        </w:rPr>
        <w:t xml:space="preserve"> (2015) ‘World - Inclusive Cities Approach Paper’, </w:t>
      </w:r>
      <w:r w:rsidRPr="00D01726">
        <w:rPr>
          <w:rFonts w:ascii="Calibri" w:hAnsi="Calibri" w:cs="Calibri"/>
          <w:i/>
          <w:iCs/>
          <w:noProof/>
        </w:rPr>
        <w:t>World bank</w:t>
      </w:r>
      <w:r w:rsidRPr="00D01726">
        <w:rPr>
          <w:rFonts w:ascii="Calibri" w:hAnsi="Calibri" w:cs="Calibri"/>
          <w:noProof/>
        </w:rPr>
        <w:t>, (May), pp. 1–86.</w:t>
      </w:r>
    </w:p>
    <w:p w14:paraId="3B8AB280"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Sietchiping, R., Permezel, M.J. and Ngomsi, C. (2012) ‘Transport and mobility in sub-Saharan African cities: An overview of practices, lessons and options for improvements’, </w:t>
      </w:r>
      <w:r w:rsidRPr="00D01726">
        <w:rPr>
          <w:rFonts w:ascii="Calibri" w:hAnsi="Calibri" w:cs="Calibri"/>
          <w:i/>
          <w:iCs/>
          <w:noProof/>
        </w:rPr>
        <w:t>Cities</w:t>
      </w:r>
      <w:r w:rsidRPr="00D01726">
        <w:rPr>
          <w:rFonts w:ascii="Calibri" w:hAnsi="Calibri" w:cs="Calibri"/>
          <w:noProof/>
        </w:rPr>
        <w:t>, 29(3), pp. 183–189. doi:10.1016/j.cities.2011.11.005.</w:t>
      </w:r>
    </w:p>
    <w:p w14:paraId="52EEABE5"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Smith, O. (2017) ‘Commute well-being differences by mode: Evidence from Portland, Oregon, USA’, </w:t>
      </w:r>
      <w:r w:rsidRPr="00D01726">
        <w:rPr>
          <w:rFonts w:ascii="Calibri" w:hAnsi="Calibri" w:cs="Calibri"/>
          <w:i/>
          <w:iCs/>
          <w:noProof/>
        </w:rPr>
        <w:t>Journal of Transport and Health</w:t>
      </w:r>
      <w:r w:rsidRPr="00D01726">
        <w:rPr>
          <w:rFonts w:ascii="Calibri" w:hAnsi="Calibri" w:cs="Calibri"/>
          <w:noProof/>
        </w:rPr>
        <w:t>, 4, pp. 246–254. doi:10.1016/j.jth.2016.08.005.</w:t>
      </w:r>
    </w:p>
    <w:p w14:paraId="29455067"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Soja, E.W. (2010) </w:t>
      </w:r>
      <w:r w:rsidRPr="00D01726">
        <w:rPr>
          <w:rFonts w:ascii="Calibri" w:hAnsi="Calibri" w:cs="Calibri"/>
          <w:i/>
          <w:iCs/>
          <w:noProof/>
        </w:rPr>
        <w:t>Seeking Spatial Justice</w:t>
      </w:r>
      <w:r w:rsidRPr="00D01726">
        <w:rPr>
          <w:rFonts w:ascii="Calibri" w:hAnsi="Calibri" w:cs="Calibri"/>
          <w:noProof/>
        </w:rPr>
        <w:t>. Minneapolis, MN: University of Minnesota Press.</w:t>
      </w:r>
    </w:p>
    <w:p w14:paraId="632A3B95"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Spray, J. </w:t>
      </w:r>
      <w:r w:rsidRPr="00D01726">
        <w:rPr>
          <w:rFonts w:ascii="Calibri" w:hAnsi="Calibri" w:cs="Calibri"/>
          <w:i/>
          <w:iCs/>
          <w:noProof/>
        </w:rPr>
        <w:t>et al.</w:t>
      </w:r>
      <w:r w:rsidRPr="00D01726">
        <w:rPr>
          <w:rFonts w:ascii="Calibri" w:hAnsi="Calibri" w:cs="Calibri"/>
          <w:noProof/>
        </w:rPr>
        <w:t xml:space="preserve"> (2022) ‘Inequitable mobilities: intersections of diversity with urban infrastructure influence mobility, health and wellbeing’, </w:t>
      </w:r>
      <w:r w:rsidRPr="00D01726">
        <w:rPr>
          <w:rFonts w:ascii="Calibri" w:hAnsi="Calibri" w:cs="Calibri"/>
          <w:i/>
          <w:iCs/>
          <w:noProof/>
        </w:rPr>
        <w:t>Cities and Health</w:t>
      </w:r>
      <w:r w:rsidRPr="00D01726">
        <w:rPr>
          <w:rFonts w:ascii="Calibri" w:hAnsi="Calibri" w:cs="Calibri"/>
          <w:noProof/>
        </w:rPr>
        <w:t>, 6(4), pp. 711–725. doi:10.1080/23748834.2020.1827881.</w:t>
      </w:r>
    </w:p>
    <w:p w14:paraId="663CBDDC"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9E215B">
        <w:rPr>
          <w:rFonts w:ascii="Calibri" w:hAnsi="Calibri" w:cs="Calibri"/>
          <w:noProof/>
          <w:lang w:val="fr-FR"/>
        </w:rPr>
        <w:t xml:space="preserve">Stanley, J.K. </w:t>
      </w:r>
      <w:r w:rsidRPr="009E215B">
        <w:rPr>
          <w:rFonts w:ascii="Calibri" w:hAnsi="Calibri" w:cs="Calibri"/>
          <w:i/>
          <w:iCs/>
          <w:noProof/>
          <w:lang w:val="fr-FR"/>
        </w:rPr>
        <w:t>et al.</w:t>
      </w:r>
      <w:r w:rsidRPr="009E215B">
        <w:rPr>
          <w:rFonts w:ascii="Calibri" w:hAnsi="Calibri" w:cs="Calibri"/>
          <w:noProof/>
          <w:lang w:val="fr-FR"/>
        </w:rPr>
        <w:t xml:space="preserve"> </w:t>
      </w:r>
      <w:r w:rsidRPr="00D01726">
        <w:rPr>
          <w:rFonts w:ascii="Calibri" w:hAnsi="Calibri" w:cs="Calibri"/>
          <w:noProof/>
        </w:rPr>
        <w:t xml:space="preserve">(2021) ‘Valuing changes in wellbeing and its relevance for transport policy’, </w:t>
      </w:r>
      <w:r w:rsidRPr="00D01726">
        <w:rPr>
          <w:rFonts w:ascii="Calibri" w:hAnsi="Calibri" w:cs="Calibri"/>
          <w:i/>
          <w:iCs/>
          <w:noProof/>
        </w:rPr>
        <w:t>Transport Policy</w:t>
      </w:r>
      <w:r w:rsidRPr="00D01726">
        <w:rPr>
          <w:rFonts w:ascii="Calibri" w:hAnsi="Calibri" w:cs="Calibri"/>
          <w:noProof/>
        </w:rPr>
        <w:t>, 110(May), pp. 16–27. doi:10.1016/j.tranpol.2021.05.017.</w:t>
      </w:r>
    </w:p>
    <w:p w14:paraId="434C8EFE"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Sun, R. and Chen, L. (2017) ‘Effects of green space dynamics on urban heat islands: Mitigation and diversification’, </w:t>
      </w:r>
      <w:r w:rsidRPr="00D01726">
        <w:rPr>
          <w:rFonts w:ascii="Calibri" w:hAnsi="Calibri" w:cs="Calibri"/>
          <w:i/>
          <w:iCs/>
          <w:noProof/>
        </w:rPr>
        <w:t>Ecosystem Services</w:t>
      </w:r>
      <w:r w:rsidRPr="00D01726">
        <w:rPr>
          <w:rFonts w:ascii="Calibri" w:hAnsi="Calibri" w:cs="Calibri"/>
          <w:noProof/>
        </w:rPr>
        <w:t>, 23(October 2016), pp. 38–46. doi:10.1016/j.ecoser.2016.11.011.</w:t>
      </w:r>
    </w:p>
    <w:p w14:paraId="6B167997"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Tajalli, M. and Hajbabaie, A. (2017) ‘On the relationships between commuting mode choice and public health’, </w:t>
      </w:r>
      <w:r w:rsidRPr="00D01726">
        <w:rPr>
          <w:rFonts w:ascii="Calibri" w:hAnsi="Calibri" w:cs="Calibri"/>
          <w:i/>
          <w:iCs/>
          <w:noProof/>
        </w:rPr>
        <w:t>Journal of Transport and Health</w:t>
      </w:r>
      <w:r w:rsidRPr="00D01726">
        <w:rPr>
          <w:rFonts w:ascii="Calibri" w:hAnsi="Calibri" w:cs="Calibri"/>
          <w:noProof/>
        </w:rPr>
        <w:t>, 4, pp. 267–277. doi:10.1016/j.jth.2016.12.007.</w:t>
      </w:r>
    </w:p>
    <w:p w14:paraId="58439575"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The Mathare Slums Community Association (2024) </w:t>
      </w:r>
      <w:r w:rsidRPr="00D01726">
        <w:rPr>
          <w:rFonts w:ascii="Calibri" w:hAnsi="Calibri" w:cs="Calibri"/>
          <w:i/>
          <w:iCs/>
          <w:noProof/>
        </w:rPr>
        <w:t>History of Mathare</w:t>
      </w:r>
      <w:r w:rsidRPr="00D01726">
        <w:rPr>
          <w:rFonts w:ascii="Calibri" w:hAnsi="Calibri" w:cs="Calibri"/>
          <w:noProof/>
        </w:rPr>
        <w:t>. Available at: https://mathare.org/history-of-mathare/ (Accessed: 30 August 2024).</w:t>
      </w:r>
    </w:p>
    <w:p w14:paraId="33C9903B"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Thondoo, M. </w:t>
      </w:r>
      <w:r w:rsidRPr="00D01726">
        <w:rPr>
          <w:rFonts w:ascii="Calibri" w:hAnsi="Calibri" w:cs="Calibri"/>
          <w:i/>
          <w:iCs/>
          <w:noProof/>
        </w:rPr>
        <w:t>et al.</w:t>
      </w:r>
      <w:r w:rsidRPr="00D01726">
        <w:rPr>
          <w:rFonts w:ascii="Calibri" w:hAnsi="Calibri" w:cs="Calibri"/>
          <w:noProof/>
        </w:rPr>
        <w:t xml:space="preserve"> (2020) ‘Small cities, big needs: Urban transport planning in cities of developing countries’, </w:t>
      </w:r>
      <w:r w:rsidRPr="00D01726">
        <w:rPr>
          <w:rFonts w:ascii="Calibri" w:hAnsi="Calibri" w:cs="Calibri"/>
          <w:i/>
          <w:iCs/>
          <w:noProof/>
        </w:rPr>
        <w:t>Journal of Transport and Health</w:t>
      </w:r>
      <w:r w:rsidRPr="00D01726">
        <w:rPr>
          <w:rFonts w:ascii="Calibri" w:hAnsi="Calibri" w:cs="Calibri"/>
          <w:noProof/>
        </w:rPr>
        <w:t>, 19(August), pp. 1–14. doi:10.1016/j.jth.2020.100944.</w:t>
      </w:r>
    </w:p>
    <w:p w14:paraId="56AF0265"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United Nations (2018) </w:t>
      </w:r>
      <w:r w:rsidRPr="00D01726">
        <w:rPr>
          <w:rFonts w:ascii="Calibri" w:hAnsi="Calibri" w:cs="Calibri"/>
          <w:i/>
          <w:iCs/>
          <w:noProof/>
        </w:rPr>
        <w:t>World Urbanization Prospects 2018</w:t>
      </w:r>
      <w:r w:rsidRPr="00D01726">
        <w:rPr>
          <w:rFonts w:ascii="Calibri" w:hAnsi="Calibri" w:cs="Calibri"/>
          <w:noProof/>
        </w:rPr>
        <w:t xml:space="preserve">, </w:t>
      </w:r>
      <w:r w:rsidRPr="00D01726">
        <w:rPr>
          <w:rFonts w:ascii="Calibri" w:hAnsi="Calibri" w:cs="Calibri"/>
          <w:i/>
          <w:iCs/>
          <w:noProof/>
        </w:rPr>
        <w:t>Department of Economic and Social Affairs. World Population Prospects 2018.</w:t>
      </w:r>
      <w:r w:rsidRPr="00D01726">
        <w:rPr>
          <w:rFonts w:ascii="Calibri" w:hAnsi="Calibri" w:cs="Calibri"/>
          <w:noProof/>
        </w:rPr>
        <w:t xml:space="preserve"> Available at: https://population.un.org/wup/.</w:t>
      </w:r>
    </w:p>
    <w:p w14:paraId="12FBCA2A"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Verlinghieri, E. and Schwanen, T. (2020) ‘Transport and mobility justice’, </w:t>
      </w:r>
      <w:r w:rsidRPr="00D01726">
        <w:rPr>
          <w:rFonts w:ascii="Calibri" w:hAnsi="Calibri" w:cs="Calibri"/>
          <w:i/>
          <w:iCs/>
          <w:noProof/>
        </w:rPr>
        <w:t>Journal of Transport Geography</w:t>
      </w:r>
      <w:r w:rsidRPr="00D01726">
        <w:rPr>
          <w:rFonts w:ascii="Calibri" w:hAnsi="Calibri" w:cs="Calibri"/>
          <w:noProof/>
        </w:rPr>
        <w:t>, 87(July).</w:t>
      </w:r>
    </w:p>
    <w:p w14:paraId="60876F31"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Wang, Q. </w:t>
      </w:r>
      <w:r w:rsidRPr="00D01726">
        <w:rPr>
          <w:rFonts w:ascii="Calibri" w:hAnsi="Calibri" w:cs="Calibri"/>
          <w:i/>
          <w:iCs/>
          <w:noProof/>
        </w:rPr>
        <w:t>et al.</w:t>
      </w:r>
      <w:r w:rsidRPr="00D01726">
        <w:rPr>
          <w:rFonts w:ascii="Calibri" w:hAnsi="Calibri" w:cs="Calibri"/>
          <w:noProof/>
        </w:rPr>
        <w:t xml:space="preserve"> (2019) ‘The impacts of urbanization on fine particulate matter (PM2.5) concentrations: Empirical evidence from 135 countries worldwide’, </w:t>
      </w:r>
      <w:r w:rsidRPr="00D01726">
        <w:rPr>
          <w:rFonts w:ascii="Calibri" w:hAnsi="Calibri" w:cs="Calibri"/>
          <w:i/>
          <w:iCs/>
          <w:noProof/>
        </w:rPr>
        <w:t>Environmental Pollution</w:t>
      </w:r>
      <w:r w:rsidRPr="00D01726">
        <w:rPr>
          <w:rFonts w:ascii="Calibri" w:hAnsi="Calibri" w:cs="Calibri"/>
          <w:noProof/>
        </w:rPr>
        <w:t>, 247, pp. 989–998. doi:10.1016/j.envpol.2019.01.086.</w:t>
      </w:r>
    </w:p>
    <w:p w14:paraId="46C1A502"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Ward Thompson, C. </w:t>
      </w:r>
      <w:r w:rsidRPr="00D01726">
        <w:rPr>
          <w:rFonts w:ascii="Calibri" w:hAnsi="Calibri" w:cs="Calibri"/>
          <w:i/>
          <w:iCs/>
          <w:noProof/>
        </w:rPr>
        <w:t>et al.</w:t>
      </w:r>
      <w:r w:rsidRPr="00D01726">
        <w:rPr>
          <w:rFonts w:ascii="Calibri" w:hAnsi="Calibri" w:cs="Calibri"/>
          <w:noProof/>
        </w:rPr>
        <w:t xml:space="preserve"> (2012) ‘More green space is linked to less stress in deprived communities: Evidence from salivary cortisol patterns’, </w:t>
      </w:r>
      <w:r w:rsidRPr="00D01726">
        <w:rPr>
          <w:rFonts w:ascii="Calibri" w:hAnsi="Calibri" w:cs="Calibri"/>
          <w:i/>
          <w:iCs/>
          <w:noProof/>
        </w:rPr>
        <w:t>Landscape and Urban Planning</w:t>
      </w:r>
      <w:r w:rsidRPr="00D01726">
        <w:rPr>
          <w:rFonts w:ascii="Calibri" w:hAnsi="Calibri" w:cs="Calibri"/>
          <w:noProof/>
        </w:rPr>
        <w:t>, 105(3), pp. 221–229. doi:10.1016/j.landurbplan.2011.12.015.</w:t>
      </w:r>
    </w:p>
    <w:p w14:paraId="0DE42162"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lastRenderedPageBreak/>
        <w:t xml:space="preserve">Western, M. and Tomaszewski, W. (2016) ‘Subjective wellbeing, objective wellbeing and inequality in Australia’, </w:t>
      </w:r>
      <w:r w:rsidRPr="00D01726">
        <w:rPr>
          <w:rFonts w:ascii="Calibri" w:hAnsi="Calibri" w:cs="Calibri"/>
          <w:i/>
          <w:iCs/>
          <w:noProof/>
        </w:rPr>
        <w:t>PLoS ONE</w:t>
      </w:r>
      <w:r w:rsidRPr="00D01726">
        <w:rPr>
          <w:rFonts w:ascii="Calibri" w:hAnsi="Calibri" w:cs="Calibri"/>
          <w:noProof/>
        </w:rPr>
        <w:t>, 11(10), pp. 1–20. doi:10.1371/journal.pone.0163345.</w:t>
      </w:r>
    </w:p>
    <w:p w14:paraId="03E17669"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World Bank (2023) </w:t>
      </w:r>
      <w:r w:rsidRPr="00D01726">
        <w:rPr>
          <w:rFonts w:ascii="Calibri" w:hAnsi="Calibri" w:cs="Calibri"/>
          <w:i/>
          <w:iCs/>
          <w:noProof/>
        </w:rPr>
        <w:t>Poverty &amp; Equity Brief, Africa Eastern &amp; Southern, Kenya</w:t>
      </w:r>
      <w:r w:rsidRPr="00D01726">
        <w:rPr>
          <w:rFonts w:ascii="Calibri" w:hAnsi="Calibri" w:cs="Calibri"/>
          <w:noProof/>
        </w:rPr>
        <w:t xml:space="preserve">, </w:t>
      </w:r>
      <w:r w:rsidRPr="00D01726">
        <w:rPr>
          <w:rFonts w:ascii="Calibri" w:hAnsi="Calibri" w:cs="Calibri"/>
          <w:i/>
          <w:iCs/>
          <w:noProof/>
        </w:rPr>
        <w:t>World Bank Annual Report Brief, Equity</w:t>
      </w:r>
      <w:r w:rsidRPr="00D01726">
        <w:rPr>
          <w:rFonts w:ascii="Calibri" w:hAnsi="Calibri" w:cs="Calibri"/>
          <w:noProof/>
        </w:rPr>
        <w:t>. Available at: povertydata.worldbank.org.</w:t>
      </w:r>
    </w:p>
    <w:p w14:paraId="7B884A65"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World Health Organization (WHO) (2018) </w:t>
      </w:r>
      <w:r w:rsidRPr="00D01726">
        <w:rPr>
          <w:rFonts w:ascii="Calibri" w:hAnsi="Calibri" w:cs="Calibri"/>
          <w:i/>
          <w:iCs/>
          <w:noProof/>
        </w:rPr>
        <w:t>Global status report on road safety 2018</w:t>
      </w:r>
      <w:r w:rsidRPr="00D01726">
        <w:rPr>
          <w:rFonts w:ascii="Calibri" w:hAnsi="Calibri" w:cs="Calibri"/>
          <w:noProof/>
        </w:rPr>
        <w:t>. Geneva.</w:t>
      </w:r>
    </w:p>
    <w:p w14:paraId="369B03FF"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World Health Organization (WHO) (2021) </w:t>
      </w:r>
      <w:r w:rsidRPr="00D01726">
        <w:rPr>
          <w:rFonts w:ascii="Calibri" w:hAnsi="Calibri" w:cs="Calibri"/>
          <w:i/>
          <w:iCs/>
          <w:noProof/>
        </w:rPr>
        <w:t>WHO global air quality guidelines</w:t>
      </w:r>
      <w:r w:rsidRPr="00D01726">
        <w:rPr>
          <w:rFonts w:ascii="Calibri" w:hAnsi="Calibri" w:cs="Calibri"/>
          <w:noProof/>
        </w:rPr>
        <w:t xml:space="preserve">, </w:t>
      </w:r>
      <w:r w:rsidRPr="00D01726">
        <w:rPr>
          <w:rFonts w:ascii="Calibri" w:hAnsi="Calibri" w:cs="Calibri"/>
          <w:i/>
          <w:iCs/>
          <w:noProof/>
        </w:rPr>
        <w:t>Particulate matter (PM2.5 and PM10), ozone, nitrogen dioxide, sulfur dioxide and carbon monoxide</w:t>
      </w:r>
      <w:r w:rsidRPr="00D01726">
        <w:rPr>
          <w:rFonts w:ascii="Calibri" w:hAnsi="Calibri" w:cs="Calibri"/>
          <w:noProof/>
        </w:rPr>
        <w:t>.</w:t>
      </w:r>
    </w:p>
    <w:p w14:paraId="73F5187D"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World Health Organization (WHO) (2022) </w:t>
      </w:r>
      <w:r w:rsidRPr="00D01726">
        <w:rPr>
          <w:rFonts w:ascii="Calibri" w:hAnsi="Calibri" w:cs="Calibri"/>
          <w:i/>
          <w:iCs/>
          <w:noProof/>
        </w:rPr>
        <w:t>Kenya launches road safety initiative to reduce crashes</w:t>
      </w:r>
      <w:r w:rsidRPr="00D01726">
        <w:rPr>
          <w:rFonts w:ascii="Calibri" w:hAnsi="Calibri" w:cs="Calibri"/>
          <w:noProof/>
        </w:rPr>
        <w:t>. Available at: https://www.afro.who.int/countries/kenya/news/kenya-launches-road-safety-initiative-reduce-crashes (Accessed: 26 September 2024).</w:t>
      </w:r>
    </w:p>
    <w:p w14:paraId="1CB95EDC"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World Health Organization (WHO) (2023) </w:t>
      </w:r>
      <w:r w:rsidRPr="00D01726">
        <w:rPr>
          <w:rFonts w:ascii="Calibri" w:hAnsi="Calibri" w:cs="Calibri"/>
          <w:i/>
          <w:iCs/>
          <w:noProof/>
        </w:rPr>
        <w:t>Health and Well-Being</w:t>
      </w:r>
      <w:r w:rsidRPr="00D01726">
        <w:rPr>
          <w:rFonts w:ascii="Calibri" w:hAnsi="Calibri" w:cs="Calibri"/>
          <w:noProof/>
        </w:rPr>
        <w:t xml:space="preserve">, </w:t>
      </w:r>
      <w:r w:rsidRPr="00D01726">
        <w:rPr>
          <w:rFonts w:ascii="Calibri" w:hAnsi="Calibri" w:cs="Calibri"/>
          <w:i/>
          <w:iCs/>
          <w:noProof/>
        </w:rPr>
        <w:t>THE GLOBAL HEALTH OBSERVATORY: Explore a world of health data</w:t>
      </w:r>
      <w:r w:rsidRPr="00D01726">
        <w:rPr>
          <w:rFonts w:ascii="Calibri" w:hAnsi="Calibri" w:cs="Calibri"/>
          <w:noProof/>
        </w:rPr>
        <w:t>. Available at: https://www.who.int/data/gho/data/major-themes/health-and-well-being#:~:text=Mental health is a state,to his or her community. (Accessed: 20 December 2023).</w:t>
      </w:r>
    </w:p>
    <w:p w14:paraId="0E78E3AF"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World Health Organization (WHO) (no date) </w:t>
      </w:r>
      <w:r w:rsidRPr="00D01726">
        <w:rPr>
          <w:rFonts w:ascii="Calibri" w:hAnsi="Calibri" w:cs="Calibri"/>
          <w:i/>
          <w:iCs/>
          <w:noProof/>
        </w:rPr>
        <w:t>Mental health of adolescents</w:t>
      </w:r>
      <w:r w:rsidRPr="00D01726">
        <w:rPr>
          <w:rFonts w:ascii="Calibri" w:hAnsi="Calibri" w:cs="Calibri"/>
          <w:noProof/>
        </w:rPr>
        <w:t>. Available at: https://www.who.int/news-room/fact-sheets/detail/adolescent-mental-health (Accessed: 26 September 2024).</w:t>
      </w:r>
    </w:p>
    <w:p w14:paraId="4EC3682C" w14:textId="77777777" w:rsidR="00D01726" w:rsidRPr="00D01726" w:rsidRDefault="00D01726" w:rsidP="00D01726">
      <w:pPr>
        <w:widowControl w:val="0"/>
        <w:autoSpaceDE w:val="0"/>
        <w:autoSpaceDN w:val="0"/>
        <w:adjustRightInd w:val="0"/>
        <w:spacing w:line="240" w:lineRule="auto"/>
        <w:rPr>
          <w:rFonts w:ascii="Calibri" w:hAnsi="Calibri" w:cs="Calibri"/>
          <w:noProof/>
        </w:rPr>
      </w:pPr>
      <w:r w:rsidRPr="00D01726">
        <w:rPr>
          <w:rFonts w:ascii="Calibri" w:hAnsi="Calibri" w:cs="Calibri"/>
          <w:noProof/>
        </w:rPr>
        <w:t xml:space="preserve">Zuniga-Teran, A.A. and Gerlak, A.K. (2019) ‘A multidisciplinary approach to analyzing questions of justice issues in urban greenspace’, </w:t>
      </w:r>
      <w:r w:rsidRPr="00D01726">
        <w:rPr>
          <w:rFonts w:ascii="Calibri" w:hAnsi="Calibri" w:cs="Calibri"/>
          <w:i/>
          <w:iCs/>
          <w:noProof/>
        </w:rPr>
        <w:t>Sustainability (Switzerland)</w:t>
      </w:r>
      <w:r w:rsidRPr="00D01726">
        <w:rPr>
          <w:rFonts w:ascii="Calibri" w:hAnsi="Calibri" w:cs="Calibri"/>
          <w:noProof/>
        </w:rPr>
        <w:t>, 11(11), pp. 1–22. doi:10.3390/su11113055.</w:t>
      </w:r>
    </w:p>
    <w:p w14:paraId="5EC2EC21" w14:textId="77777777" w:rsidR="007A1DFD" w:rsidRDefault="00000000">
      <w:r>
        <w:fldChar w:fldCharType="end"/>
      </w:r>
    </w:p>
    <w:sectPr w:rsidR="007A1DFD" w:rsidSect="00000984">
      <w:headerReference w:type="default" r:id="rId21"/>
      <w:footerReference w:type="default" r:id="rId2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D46647" w14:textId="77777777" w:rsidR="005E0ECB" w:rsidRDefault="005E0ECB">
      <w:pPr>
        <w:spacing w:line="240" w:lineRule="auto"/>
      </w:pPr>
      <w:r>
        <w:separator/>
      </w:r>
    </w:p>
  </w:endnote>
  <w:endnote w:type="continuationSeparator" w:id="0">
    <w:p w14:paraId="08869269" w14:textId="77777777" w:rsidR="005E0ECB" w:rsidRDefault="005E0ECB">
      <w:pPr>
        <w:spacing w:line="240" w:lineRule="auto"/>
      </w:pPr>
      <w:r>
        <w:continuationSeparator/>
      </w:r>
    </w:p>
  </w:endnote>
  <w:endnote w:type="continuationNotice" w:id="1">
    <w:p w14:paraId="274E6FF6" w14:textId="77777777" w:rsidR="005E0ECB" w:rsidRDefault="005E0EC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DengXian Light">
    <w:altName w:val="Segoe Prin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97361775"/>
      <w:docPartObj>
        <w:docPartGallery w:val="AutoText"/>
      </w:docPartObj>
    </w:sdtPr>
    <w:sdtContent>
      <w:p w14:paraId="2EC6324A" w14:textId="77777777" w:rsidR="007A1DFD" w:rsidRDefault="00000000">
        <w:pPr>
          <w:pStyle w:val="Footer"/>
          <w:jc w:val="center"/>
        </w:pPr>
        <w:r>
          <w:fldChar w:fldCharType="begin"/>
        </w:r>
        <w:r>
          <w:instrText xml:space="preserve"> PAGE   \* MERGEFORMAT </w:instrText>
        </w:r>
        <w:r>
          <w:fldChar w:fldCharType="separate"/>
        </w:r>
        <w:r>
          <w:t>2</w:t>
        </w:r>
        <w:r>
          <w:fldChar w:fldCharType="end"/>
        </w:r>
      </w:p>
    </w:sdtContent>
  </w:sdt>
  <w:p w14:paraId="6E18347C" w14:textId="77777777" w:rsidR="007A1DFD" w:rsidRDefault="007A1D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EC0B22" w14:textId="77777777" w:rsidR="005E0ECB" w:rsidRDefault="005E0ECB">
      <w:pPr>
        <w:spacing w:after="0"/>
      </w:pPr>
      <w:r>
        <w:separator/>
      </w:r>
    </w:p>
  </w:footnote>
  <w:footnote w:type="continuationSeparator" w:id="0">
    <w:p w14:paraId="793BAD0C" w14:textId="77777777" w:rsidR="005E0ECB" w:rsidRDefault="005E0ECB">
      <w:pPr>
        <w:spacing w:after="0"/>
      </w:pPr>
      <w:r>
        <w:continuationSeparator/>
      </w:r>
    </w:p>
  </w:footnote>
  <w:footnote w:type="continuationNotice" w:id="1">
    <w:p w14:paraId="6F760410" w14:textId="77777777" w:rsidR="005E0ECB" w:rsidRDefault="005E0EC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27CEC" w14:textId="77777777" w:rsidR="003B5CDC" w:rsidRDefault="003B5C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32F35"/>
    <w:multiLevelType w:val="multilevel"/>
    <w:tmpl w:val="00932F35"/>
    <w:lvl w:ilvl="0">
      <w:start w:val="1"/>
      <w:numFmt w:val="bullet"/>
      <w:lvlText w:val=""/>
      <w:lvlJc w:val="left"/>
      <w:pPr>
        <w:ind w:left="720" w:hanging="360"/>
      </w:pPr>
      <w:rPr>
        <w:rFonts w:ascii="Symbol" w:hAnsi="Symbol" w:hint="default"/>
      </w:rPr>
    </w:lvl>
    <w:lvl w:ilvl="1">
      <w:numFmt w:val="bullet"/>
      <w:lvlText w:val="•"/>
      <w:lvlJc w:val="left"/>
      <w:pPr>
        <w:ind w:left="1800" w:hanging="720"/>
      </w:pPr>
      <w:rPr>
        <w:rFonts w:ascii="Calibri" w:eastAsiaTheme="minorHAnsi" w:hAnsi="Calibri" w:cs="Calibri"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90F6EB4"/>
    <w:multiLevelType w:val="hybridMultilevel"/>
    <w:tmpl w:val="5FFE32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FDC7923"/>
    <w:multiLevelType w:val="multilevel"/>
    <w:tmpl w:val="4FDC792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51586BA6"/>
    <w:multiLevelType w:val="multilevel"/>
    <w:tmpl w:val="51586BA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785D5E04"/>
    <w:multiLevelType w:val="multilevel"/>
    <w:tmpl w:val="785D5E0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num w:numId="1" w16cid:durableId="1940794841">
    <w:abstractNumId w:val="0"/>
  </w:num>
  <w:num w:numId="2" w16cid:durableId="513305487">
    <w:abstractNumId w:val="2"/>
  </w:num>
  <w:num w:numId="3" w16cid:durableId="196042124">
    <w:abstractNumId w:val="4"/>
  </w:num>
  <w:num w:numId="4" w16cid:durableId="1504516206">
    <w:abstractNumId w:val="3"/>
  </w:num>
  <w:num w:numId="5" w16cid:durableId="449099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noPunctuationKerning/>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0254"/>
    <w:rsid w:val="00000984"/>
    <w:rsid w:val="0000317F"/>
    <w:rsid w:val="00010F1A"/>
    <w:rsid w:val="00013300"/>
    <w:rsid w:val="00021ADC"/>
    <w:rsid w:val="00022921"/>
    <w:rsid w:val="00023EE2"/>
    <w:rsid w:val="00027226"/>
    <w:rsid w:val="00030B9A"/>
    <w:rsid w:val="00031318"/>
    <w:rsid w:val="000354EA"/>
    <w:rsid w:val="00046FCF"/>
    <w:rsid w:val="00063A32"/>
    <w:rsid w:val="0006523D"/>
    <w:rsid w:val="00070254"/>
    <w:rsid w:val="00072100"/>
    <w:rsid w:val="00073E91"/>
    <w:rsid w:val="0007500C"/>
    <w:rsid w:val="00082382"/>
    <w:rsid w:val="00082D43"/>
    <w:rsid w:val="000923E2"/>
    <w:rsid w:val="00097287"/>
    <w:rsid w:val="00097BC4"/>
    <w:rsid w:val="000A0A4F"/>
    <w:rsid w:val="000A0FE3"/>
    <w:rsid w:val="000A64E0"/>
    <w:rsid w:val="000B5048"/>
    <w:rsid w:val="000B5636"/>
    <w:rsid w:val="000B7513"/>
    <w:rsid w:val="000F1783"/>
    <w:rsid w:val="000F1F86"/>
    <w:rsid w:val="0010105E"/>
    <w:rsid w:val="00102577"/>
    <w:rsid w:val="00105BB0"/>
    <w:rsid w:val="00122F70"/>
    <w:rsid w:val="00124009"/>
    <w:rsid w:val="0013622B"/>
    <w:rsid w:val="00137B06"/>
    <w:rsid w:val="001417E8"/>
    <w:rsid w:val="00142B36"/>
    <w:rsid w:val="00155B54"/>
    <w:rsid w:val="001666C6"/>
    <w:rsid w:val="001747DD"/>
    <w:rsid w:val="00180A99"/>
    <w:rsid w:val="001A1A69"/>
    <w:rsid w:val="001B32C0"/>
    <w:rsid w:val="001B45B3"/>
    <w:rsid w:val="001C3CF8"/>
    <w:rsid w:val="001D7608"/>
    <w:rsid w:val="001E033D"/>
    <w:rsid w:val="002003B4"/>
    <w:rsid w:val="00210086"/>
    <w:rsid w:val="0022305C"/>
    <w:rsid w:val="00224F72"/>
    <w:rsid w:val="00225803"/>
    <w:rsid w:val="00251090"/>
    <w:rsid w:val="002528BC"/>
    <w:rsid w:val="002543C0"/>
    <w:rsid w:val="00255708"/>
    <w:rsid w:val="00274AED"/>
    <w:rsid w:val="0029673C"/>
    <w:rsid w:val="002A2127"/>
    <w:rsid w:val="002A5812"/>
    <w:rsid w:val="002A619C"/>
    <w:rsid w:val="002B6187"/>
    <w:rsid w:val="002D1F70"/>
    <w:rsid w:val="002D31B8"/>
    <w:rsid w:val="002D4962"/>
    <w:rsid w:val="002D6EAF"/>
    <w:rsid w:val="002D76EE"/>
    <w:rsid w:val="002D7D45"/>
    <w:rsid w:val="002E2A2C"/>
    <w:rsid w:val="002F1694"/>
    <w:rsid w:val="002F54EB"/>
    <w:rsid w:val="00306F43"/>
    <w:rsid w:val="00310659"/>
    <w:rsid w:val="003115AE"/>
    <w:rsid w:val="003130C0"/>
    <w:rsid w:val="00322522"/>
    <w:rsid w:val="00324374"/>
    <w:rsid w:val="003247AB"/>
    <w:rsid w:val="003277AB"/>
    <w:rsid w:val="003362DA"/>
    <w:rsid w:val="00337504"/>
    <w:rsid w:val="00344EC4"/>
    <w:rsid w:val="00347181"/>
    <w:rsid w:val="00350C9C"/>
    <w:rsid w:val="00351156"/>
    <w:rsid w:val="00371342"/>
    <w:rsid w:val="00373001"/>
    <w:rsid w:val="003738A0"/>
    <w:rsid w:val="003744B7"/>
    <w:rsid w:val="003757F7"/>
    <w:rsid w:val="003818BA"/>
    <w:rsid w:val="003870BD"/>
    <w:rsid w:val="00390359"/>
    <w:rsid w:val="003979B4"/>
    <w:rsid w:val="003A6AD2"/>
    <w:rsid w:val="003A7921"/>
    <w:rsid w:val="003B5CDC"/>
    <w:rsid w:val="003C66A6"/>
    <w:rsid w:val="003D225C"/>
    <w:rsid w:val="003D3E61"/>
    <w:rsid w:val="003D519F"/>
    <w:rsid w:val="003F0813"/>
    <w:rsid w:val="003F7AA2"/>
    <w:rsid w:val="004001AC"/>
    <w:rsid w:val="0040360E"/>
    <w:rsid w:val="00403931"/>
    <w:rsid w:val="00404DCC"/>
    <w:rsid w:val="00415965"/>
    <w:rsid w:val="00423474"/>
    <w:rsid w:val="00424ED7"/>
    <w:rsid w:val="0042558C"/>
    <w:rsid w:val="00433649"/>
    <w:rsid w:val="0043506D"/>
    <w:rsid w:val="00446A1A"/>
    <w:rsid w:val="004471B1"/>
    <w:rsid w:val="00475EFE"/>
    <w:rsid w:val="004860E5"/>
    <w:rsid w:val="00491B26"/>
    <w:rsid w:val="004A45E8"/>
    <w:rsid w:val="004C0E2E"/>
    <w:rsid w:val="004D1267"/>
    <w:rsid w:val="004D14BA"/>
    <w:rsid w:val="004D2C01"/>
    <w:rsid w:val="004D4B57"/>
    <w:rsid w:val="004D5B2D"/>
    <w:rsid w:val="004F63EB"/>
    <w:rsid w:val="005050AE"/>
    <w:rsid w:val="00510E87"/>
    <w:rsid w:val="005229EB"/>
    <w:rsid w:val="00540D40"/>
    <w:rsid w:val="00543CF2"/>
    <w:rsid w:val="00547580"/>
    <w:rsid w:val="00552538"/>
    <w:rsid w:val="00572519"/>
    <w:rsid w:val="00572870"/>
    <w:rsid w:val="00572EA7"/>
    <w:rsid w:val="005750BE"/>
    <w:rsid w:val="005813C5"/>
    <w:rsid w:val="005820AB"/>
    <w:rsid w:val="0058479F"/>
    <w:rsid w:val="00594F7A"/>
    <w:rsid w:val="005B09F5"/>
    <w:rsid w:val="005B503D"/>
    <w:rsid w:val="005B617A"/>
    <w:rsid w:val="005B68AE"/>
    <w:rsid w:val="005C07C8"/>
    <w:rsid w:val="005C3B59"/>
    <w:rsid w:val="005D0134"/>
    <w:rsid w:val="005D4882"/>
    <w:rsid w:val="005E028A"/>
    <w:rsid w:val="005E0ECB"/>
    <w:rsid w:val="005E44C5"/>
    <w:rsid w:val="00600986"/>
    <w:rsid w:val="00605200"/>
    <w:rsid w:val="006257DF"/>
    <w:rsid w:val="006279E2"/>
    <w:rsid w:val="00642335"/>
    <w:rsid w:val="0064278E"/>
    <w:rsid w:val="0064469A"/>
    <w:rsid w:val="0064673F"/>
    <w:rsid w:val="00661BC2"/>
    <w:rsid w:val="00662E7F"/>
    <w:rsid w:val="006721C9"/>
    <w:rsid w:val="00681106"/>
    <w:rsid w:val="00690C12"/>
    <w:rsid w:val="006944C6"/>
    <w:rsid w:val="00697E47"/>
    <w:rsid w:val="006A0131"/>
    <w:rsid w:val="006C21FC"/>
    <w:rsid w:val="006C58B4"/>
    <w:rsid w:val="006C626D"/>
    <w:rsid w:val="006D08A4"/>
    <w:rsid w:val="006D76D1"/>
    <w:rsid w:val="006E1494"/>
    <w:rsid w:val="006E1535"/>
    <w:rsid w:val="006E2A44"/>
    <w:rsid w:val="006E5966"/>
    <w:rsid w:val="006E5F6E"/>
    <w:rsid w:val="00701449"/>
    <w:rsid w:val="007345F4"/>
    <w:rsid w:val="00741CC1"/>
    <w:rsid w:val="00745DE1"/>
    <w:rsid w:val="0074774A"/>
    <w:rsid w:val="0075184A"/>
    <w:rsid w:val="0075313B"/>
    <w:rsid w:val="0076133D"/>
    <w:rsid w:val="0076407E"/>
    <w:rsid w:val="00766779"/>
    <w:rsid w:val="0077508F"/>
    <w:rsid w:val="007761EA"/>
    <w:rsid w:val="00782989"/>
    <w:rsid w:val="00783185"/>
    <w:rsid w:val="007866DC"/>
    <w:rsid w:val="007903B6"/>
    <w:rsid w:val="0079603F"/>
    <w:rsid w:val="00797B91"/>
    <w:rsid w:val="007A1DFD"/>
    <w:rsid w:val="007A1F08"/>
    <w:rsid w:val="007B3876"/>
    <w:rsid w:val="007D59CF"/>
    <w:rsid w:val="007D6E03"/>
    <w:rsid w:val="007E0858"/>
    <w:rsid w:val="007E202D"/>
    <w:rsid w:val="007E3FD1"/>
    <w:rsid w:val="007E6B5C"/>
    <w:rsid w:val="007F26E4"/>
    <w:rsid w:val="007F76D2"/>
    <w:rsid w:val="00804EE4"/>
    <w:rsid w:val="00807D50"/>
    <w:rsid w:val="00814D3F"/>
    <w:rsid w:val="00816DE3"/>
    <w:rsid w:val="008179E4"/>
    <w:rsid w:val="00821040"/>
    <w:rsid w:val="00822E51"/>
    <w:rsid w:val="00824B99"/>
    <w:rsid w:val="00840AB7"/>
    <w:rsid w:val="00841CB6"/>
    <w:rsid w:val="008455C8"/>
    <w:rsid w:val="008476CD"/>
    <w:rsid w:val="00847DD5"/>
    <w:rsid w:val="00850DCC"/>
    <w:rsid w:val="00861703"/>
    <w:rsid w:val="00870668"/>
    <w:rsid w:val="00871D8C"/>
    <w:rsid w:val="008808BF"/>
    <w:rsid w:val="00883FC4"/>
    <w:rsid w:val="008939B9"/>
    <w:rsid w:val="0089446D"/>
    <w:rsid w:val="00895C7A"/>
    <w:rsid w:val="008C09FD"/>
    <w:rsid w:val="008C20E7"/>
    <w:rsid w:val="008C2E3D"/>
    <w:rsid w:val="008D0D2E"/>
    <w:rsid w:val="008D4346"/>
    <w:rsid w:val="008D4646"/>
    <w:rsid w:val="008D5B07"/>
    <w:rsid w:val="008E15BA"/>
    <w:rsid w:val="008E268E"/>
    <w:rsid w:val="008E307D"/>
    <w:rsid w:val="008E4E8B"/>
    <w:rsid w:val="008F469F"/>
    <w:rsid w:val="00912771"/>
    <w:rsid w:val="00914C91"/>
    <w:rsid w:val="009254A0"/>
    <w:rsid w:val="009332D6"/>
    <w:rsid w:val="00942132"/>
    <w:rsid w:val="0095328F"/>
    <w:rsid w:val="009612DA"/>
    <w:rsid w:val="00962513"/>
    <w:rsid w:val="00962DC7"/>
    <w:rsid w:val="00967DE7"/>
    <w:rsid w:val="00971912"/>
    <w:rsid w:val="00976C42"/>
    <w:rsid w:val="00980AC4"/>
    <w:rsid w:val="00991DCA"/>
    <w:rsid w:val="009A7C4A"/>
    <w:rsid w:val="009B750D"/>
    <w:rsid w:val="009B7659"/>
    <w:rsid w:val="009D0186"/>
    <w:rsid w:val="009D1E16"/>
    <w:rsid w:val="009E20B4"/>
    <w:rsid w:val="009E215B"/>
    <w:rsid w:val="009E23F2"/>
    <w:rsid w:val="009E54D5"/>
    <w:rsid w:val="009F3FE5"/>
    <w:rsid w:val="009F52F7"/>
    <w:rsid w:val="009F53CB"/>
    <w:rsid w:val="00A04491"/>
    <w:rsid w:val="00A076FD"/>
    <w:rsid w:val="00A12EAB"/>
    <w:rsid w:val="00A14A1E"/>
    <w:rsid w:val="00A336E4"/>
    <w:rsid w:val="00A36C8D"/>
    <w:rsid w:val="00A375FC"/>
    <w:rsid w:val="00A37FC1"/>
    <w:rsid w:val="00A567BB"/>
    <w:rsid w:val="00A601FC"/>
    <w:rsid w:val="00A715ED"/>
    <w:rsid w:val="00A80876"/>
    <w:rsid w:val="00A8230B"/>
    <w:rsid w:val="00A96317"/>
    <w:rsid w:val="00AA0EDF"/>
    <w:rsid w:val="00AB0227"/>
    <w:rsid w:val="00AB1288"/>
    <w:rsid w:val="00AB5F09"/>
    <w:rsid w:val="00AD2E59"/>
    <w:rsid w:val="00AE054D"/>
    <w:rsid w:val="00AF0DAC"/>
    <w:rsid w:val="00AF357E"/>
    <w:rsid w:val="00AF6DDA"/>
    <w:rsid w:val="00B27EA6"/>
    <w:rsid w:val="00B32E3C"/>
    <w:rsid w:val="00B40FA7"/>
    <w:rsid w:val="00B539D7"/>
    <w:rsid w:val="00B56E79"/>
    <w:rsid w:val="00B6038F"/>
    <w:rsid w:val="00B649A0"/>
    <w:rsid w:val="00B677FF"/>
    <w:rsid w:val="00B74AC5"/>
    <w:rsid w:val="00B756FA"/>
    <w:rsid w:val="00B855D5"/>
    <w:rsid w:val="00BA0D7F"/>
    <w:rsid w:val="00BA4BDB"/>
    <w:rsid w:val="00BB250D"/>
    <w:rsid w:val="00BB4B17"/>
    <w:rsid w:val="00BB73A7"/>
    <w:rsid w:val="00BD1E2E"/>
    <w:rsid w:val="00BD563D"/>
    <w:rsid w:val="00BE0B4D"/>
    <w:rsid w:val="00C133EE"/>
    <w:rsid w:val="00C216B8"/>
    <w:rsid w:val="00C23FD7"/>
    <w:rsid w:val="00C2622B"/>
    <w:rsid w:val="00C35E49"/>
    <w:rsid w:val="00C36765"/>
    <w:rsid w:val="00C40741"/>
    <w:rsid w:val="00C46B09"/>
    <w:rsid w:val="00C5733D"/>
    <w:rsid w:val="00C65701"/>
    <w:rsid w:val="00C714B9"/>
    <w:rsid w:val="00C818A8"/>
    <w:rsid w:val="00C87746"/>
    <w:rsid w:val="00C956CD"/>
    <w:rsid w:val="00CA22BB"/>
    <w:rsid w:val="00CA5F93"/>
    <w:rsid w:val="00CB32D0"/>
    <w:rsid w:val="00CB74BD"/>
    <w:rsid w:val="00CC2BF0"/>
    <w:rsid w:val="00CC428B"/>
    <w:rsid w:val="00CE02C7"/>
    <w:rsid w:val="00CE2D58"/>
    <w:rsid w:val="00CF7417"/>
    <w:rsid w:val="00D01726"/>
    <w:rsid w:val="00D071F9"/>
    <w:rsid w:val="00D1117E"/>
    <w:rsid w:val="00D20309"/>
    <w:rsid w:val="00D3183E"/>
    <w:rsid w:val="00D43C77"/>
    <w:rsid w:val="00D44817"/>
    <w:rsid w:val="00D458C3"/>
    <w:rsid w:val="00D52C36"/>
    <w:rsid w:val="00D52E61"/>
    <w:rsid w:val="00D53B6F"/>
    <w:rsid w:val="00D60CA1"/>
    <w:rsid w:val="00D63536"/>
    <w:rsid w:val="00D645C6"/>
    <w:rsid w:val="00D6701C"/>
    <w:rsid w:val="00D72D76"/>
    <w:rsid w:val="00D73F1E"/>
    <w:rsid w:val="00D75194"/>
    <w:rsid w:val="00D84E69"/>
    <w:rsid w:val="00D927D2"/>
    <w:rsid w:val="00D93B91"/>
    <w:rsid w:val="00D977E4"/>
    <w:rsid w:val="00DB7919"/>
    <w:rsid w:val="00DC4A64"/>
    <w:rsid w:val="00DC509C"/>
    <w:rsid w:val="00DC765C"/>
    <w:rsid w:val="00DD2D75"/>
    <w:rsid w:val="00DF4ABB"/>
    <w:rsid w:val="00E03B1C"/>
    <w:rsid w:val="00E143EB"/>
    <w:rsid w:val="00E314C1"/>
    <w:rsid w:val="00E3702F"/>
    <w:rsid w:val="00E456FA"/>
    <w:rsid w:val="00E4607A"/>
    <w:rsid w:val="00E52450"/>
    <w:rsid w:val="00E7125A"/>
    <w:rsid w:val="00E75614"/>
    <w:rsid w:val="00E8068E"/>
    <w:rsid w:val="00E83B5F"/>
    <w:rsid w:val="00E83ECC"/>
    <w:rsid w:val="00E86257"/>
    <w:rsid w:val="00EA2487"/>
    <w:rsid w:val="00EB1EF0"/>
    <w:rsid w:val="00EC0B3A"/>
    <w:rsid w:val="00EC4F1A"/>
    <w:rsid w:val="00ED6424"/>
    <w:rsid w:val="00EE0208"/>
    <w:rsid w:val="00EE2CA6"/>
    <w:rsid w:val="00EE71D1"/>
    <w:rsid w:val="00EF11BE"/>
    <w:rsid w:val="00EF18D5"/>
    <w:rsid w:val="00EF3D36"/>
    <w:rsid w:val="00EF64D1"/>
    <w:rsid w:val="00F02F7B"/>
    <w:rsid w:val="00F062D3"/>
    <w:rsid w:val="00F23FDF"/>
    <w:rsid w:val="00F346DC"/>
    <w:rsid w:val="00F352B0"/>
    <w:rsid w:val="00F35C7C"/>
    <w:rsid w:val="00F42E99"/>
    <w:rsid w:val="00F43CFE"/>
    <w:rsid w:val="00F4445C"/>
    <w:rsid w:val="00F45C81"/>
    <w:rsid w:val="00F720A8"/>
    <w:rsid w:val="00F7385E"/>
    <w:rsid w:val="00F75A67"/>
    <w:rsid w:val="00F81A4C"/>
    <w:rsid w:val="00F8306B"/>
    <w:rsid w:val="00F842B6"/>
    <w:rsid w:val="00F85DF6"/>
    <w:rsid w:val="00F90972"/>
    <w:rsid w:val="00F91995"/>
    <w:rsid w:val="00F94C8A"/>
    <w:rsid w:val="00FA3364"/>
    <w:rsid w:val="00FB70C4"/>
    <w:rsid w:val="00FD00D5"/>
    <w:rsid w:val="00FD44ED"/>
    <w:rsid w:val="00FF55C2"/>
    <w:rsid w:val="5BC359D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46B8366"/>
  <w15:docId w15:val="{C709FE09-62FB-4ABF-A1FE-936B13317B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lsdException w:name="footer"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864" w:themeColor="accent1" w:themeShade="80"/>
      <w:sz w:val="24"/>
      <w:szCs w:val="24"/>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styleId="FollowedHyperlink">
    <w:name w:val="FollowedHyperlink"/>
    <w:basedOn w:val="DefaultParagraphFont"/>
    <w:uiPriority w:val="99"/>
    <w:semiHidden/>
    <w:unhideWhenUsed/>
    <w:qFormat/>
    <w:rPr>
      <w:color w:val="954F72" w:themeColor="followedHyperlink"/>
      <w:u w:val="single"/>
    </w:rPr>
  </w:style>
  <w:style w:type="paragraph" w:styleId="Footer">
    <w:name w:val="footer"/>
    <w:basedOn w:val="Normal"/>
    <w:link w:val="FooterChar"/>
    <w:uiPriority w:val="99"/>
    <w:unhideWhenUsed/>
    <w:pPr>
      <w:tabs>
        <w:tab w:val="center" w:pos="4513"/>
        <w:tab w:val="right" w:pos="9026"/>
      </w:tabs>
      <w:spacing w:after="0" w:line="240" w:lineRule="auto"/>
    </w:p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styleId="Hyperlink">
    <w:name w:val="Hyperlink"/>
    <w:basedOn w:val="DefaultParagraphFont"/>
    <w:uiPriority w:val="99"/>
    <w:unhideWhenUsed/>
    <w:qFormat/>
    <w:rPr>
      <w:color w:val="0563C1" w:themeColor="hyperlink"/>
      <w:u w:val="single"/>
    </w:rPr>
  </w:style>
  <w:style w:type="character" w:styleId="LineNumber">
    <w:name w:val="line number"/>
    <w:basedOn w:val="DefaultParagraphFont"/>
    <w:uiPriority w:val="99"/>
    <w:semiHidden/>
    <w:unhideWhenUsed/>
    <w:qFormat/>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qFormat/>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uiPriority w:val="9"/>
    <w:qFormat/>
    <w:rPr>
      <w:rFonts w:asciiTheme="majorHAnsi" w:eastAsiaTheme="majorEastAsia" w:hAnsiTheme="majorHAnsi" w:cstheme="majorBidi"/>
      <w:color w:val="1F3864" w:themeColor="accent1" w:themeShade="80"/>
      <w:sz w:val="24"/>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F5496" w:themeColor="accent1" w:themeShade="BF"/>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customStyle="1" w:styleId="paragraph">
    <w:name w:val="paragraph"/>
    <w:basedOn w:val="Normal"/>
    <w:qFormat/>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style>
  <w:style w:type="character" w:customStyle="1" w:styleId="eop">
    <w:name w:val="eop"/>
    <w:basedOn w:val="DefaultParagraphFont"/>
  </w:style>
  <w:style w:type="character" w:customStyle="1" w:styleId="TitleChar">
    <w:name w:val="Title Char"/>
    <w:basedOn w:val="DefaultParagraphFont"/>
    <w:link w:val="Title"/>
    <w:uiPriority w:val="10"/>
    <w:qFormat/>
    <w:rPr>
      <w:rFonts w:asciiTheme="majorHAnsi" w:eastAsiaTheme="majorEastAsia" w:hAnsiTheme="majorHAnsi" w:cstheme="majorBidi"/>
      <w:spacing w:val="-10"/>
      <w:kern w:val="28"/>
      <w:sz w:val="56"/>
      <w:szCs w:val="56"/>
    </w:rPr>
  </w:style>
  <w:style w:type="table" w:customStyle="1" w:styleId="GridTable5Dark-Accent51">
    <w:name w:val="Grid Table 5 Dark - Accent 51"/>
    <w:basedOn w:val="TableNormal"/>
    <w:uiPriority w:val="50"/>
    <w:qFormat/>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customStyle="1" w:styleId="CommentTextChar">
    <w:name w:val="Comment Text Char"/>
    <w:basedOn w:val="DefaultParagraphFont"/>
    <w:link w:val="CommentText"/>
    <w:uiPriority w:val="99"/>
    <w:qFormat/>
    <w:rPr>
      <w:sz w:val="20"/>
      <w:szCs w:val="20"/>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Revision">
    <w:name w:val="Revision"/>
    <w:hidden/>
    <w:uiPriority w:val="99"/>
    <w:unhideWhenUsed/>
    <w:rsid w:val="00CC2BF0"/>
    <w:rPr>
      <w:rFonts w:asciiTheme="minorHAnsi" w:eastAsiaTheme="minorHAnsi" w:hAnsiTheme="minorHAnsi" w:cstheme="minorBidi"/>
      <w:sz w:val="22"/>
      <w:szCs w:val="22"/>
      <w:lang w:eastAsia="en-US"/>
    </w:rPr>
  </w:style>
  <w:style w:type="paragraph" w:styleId="FootnoteText">
    <w:name w:val="footnote text"/>
    <w:basedOn w:val="Normal"/>
    <w:link w:val="FootnoteTextChar"/>
    <w:uiPriority w:val="99"/>
    <w:semiHidden/>
    <w:unhideWhenUsed/>
    <w:rsid w:val="0037134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71342"/>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371342"/>
    <w:rPr>
      <w:vertAlign w:val="superscript"/>
    </w:rPr>
  </w:style>
  <w:style w:type="table" w:styleId="PlainTable3">
    <w:name w:val="Plain Table 3"/>
    <w:basedOn w:val="TableNormal"/>
    <w:uiPriority w:val="43"/>
    <w:rsid w:val="00EF64D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7165644">
      <w:bodyDiv w:val="1"/>
      <w:marLeft w:val="0"/>
      <w:marRight w:val="0"/>
      <w:marTop w:val="0"/>
      <w:marBottom w:val="0"/>
      <w:divBdr>
        <w:top w:val="none" w:sz="0" w:space="0" w:color="auto"/>
        <w:left w:val="none" w:sz="0" w:space="0" w:color="auto"/>
        <w:bottom w:val="none" w:sz="0" w:space="0" w:color="auto"/>
        <w:right w:val="none" w:sz="0" w:space="0" w:color="auto"/>
      </w:divBdr>
    </w:div>
    <w:div w:id="18797788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77C4C9D-1061-4B28-8C0B-A0359BE38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34565</Words>
  <Characters>197022</Characters>
  <Application>Microsoft Office Word</Application>
  <DocSecurity>0</DocSecurity>
  <Lines>1641</Lines>
  <Paragraphs>462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Steve Cinderby</dc:creator>
  <cp:lastModifiedBy>Steve Cinderby</cp:lastModifiedBy>
  <cp:revision>3</cp:revision>
  <dcterms:created xsi:type="dcterms:W3CDTF">2025-07-16T08:08:00Z</dcterms:created>
  <dcterms:modified xsi:type="dcterms:W3CDTF">2025-07-16T08:11:00Z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http://www.zotero.org/styles/energy-research-and-social-science</vt:lpwstr>
  </property>
  <property fmtid="{D5CDD505-2E9C-101B-9397-08002B2CF9AE}" pid="13" name="Mendeley Recent Style Name 5_1">
    <vt:lpwstr>Energy Research &amp; Social Science</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9th edition</vt:lpwstr>
  </property>
  <property fmtid="{D5CDD505-2E9C-101B-9397-08002B2CF9AE}" pid="22" name="Mendeley Document_1">
    <vt:lpwstr>True</vt:lpwstr>
  </property>
  <property fmtid="{D5CDD505-2E9C-101B-9397-08002B2CF9AE}" pid="23" name="Mendeley Unique User Id_1">
    <vt:lpwstr>33db2a59-fddf-3f49-862d-6b89b02b2922</vt:lpwstr>
  </property>
  <property fmtid="{D5CDD505-2E9C-101B-9397-08002B2CF9AE}" pid="24" name="Mendeley Citation Style_1">
    <vt:lpwstr>http://www.zotero.org/styles/harvard1</vt:lpwstr>
  </property>
  <property fmtid="{D5CDD505-2E9C-101B-9397-08002B2CF9AE}" pid="25" name="KSOProductBuildVer">
    <vt:lpwstr>1033-12.2.0.19805</vt:lpwstr>
  </property>
  <property fmtid="{D5CDD505-2E9C-101B-9397-08002B2CF9AE}" pid="26" name="ICV">
    <vt:lpwstr>31084BD9F1C34324B325ADA18661BD35_13</vt:lpwstr>
  </property>
  <property fmtid="{D5CDD505-2E9C-101B-9397-08002B2CF9AE}" pid="27" name="ZOTERO_PREF_1">
    <vt:lpwstr>&lt;data data-version="3" zotero-version="7.0.11"&gt;&lt;session id="X3FV1N90"/&gt;&lt;style id="http://www.zotero.org/styles/elsevier-harvard" hasBibliography="1" bibliographyStyleHasBeenSet="0"/&gt;&lt;prefs&gt;&lt;pref name="fieldType" value="Field"/&gt;&lt;/prefs&gt;&lt;/data&gt;</vt:lpwstr>
  </property>
</Properties>
</file>