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59E4A7" w14:textId="006EA82D" w:rsidR="00270A2B" w:rsidRDefault="00270A2B" w:rsidP="00E00CB5">
      <w:pPr>
        <w:spacing w:line="240" w:lineRule="auto"/>
        <w:rPr>
          <w:b/>
          <w:sz w:val="28"/>
          <w:szCs w:val="28"/>
        </w:rPr>
      </w:pPr>
      <w:r>
        <w:rPr>
          <w:b/>
          <w:sz w:val="28"/>
          <w:szCs w:val="28"/>
        </w:rPr>
        <w:t>Are vulnerable neighbourhoods left behind? Urban cooling disparit</w:t>
      </w:r>
      <w:r w:rsidR="00F77F17">
        <w:rPr>
          <w:b/>
          <w:sz w:val="28"/>
          <w:szCs w:val="28"/>
        </w:rPr>
        <w:t>ies</w:t>
      </w:r>
      <w:r>
        <w:rPr>
          <w:b/>
          <w:sz w:val="28"/>
          <w:szCs w:val="28"/>
        </w:rPr>
        <w:t xml:space="preserve"> from greenspace inequality in Antananarivo, Madagascar</w:t>
      </w:r>
    </w:p>
    <w:p w14:paraId="0B1D005B" w14:textId="54DDAC92" w:rsidR="00F35AF8" w:rsidRDefault="00F35AF8" w:rsidP="00F35AF8">
      <w:pPr>
        <w:pBdr>
          <w:top w:val="nil"/>
          <w:left w:val="nil"/>
          <w:bottom w:val="nil"/>
          <w:right w:val="nil"/>
          <w:between w:val="nil"/>
        </w:pBdr>
        <w:spacing w:line="240" w:lineRule="auto"/>
        <w:rPr>
          <w:color w:val="000000"/>
          <w:sz w:val="24"/>
          <w:szCs w:val="24"/>
        </w:rPr>
      </w:pPr>
      <w:r>
        <w:rPr>
          <w:color w:val="000000"/>
          <w:sz w:val="24"/>
          <w:szCs w:val="24"/>
        </w:rPr>
        <w:t xml:space="preserve">Rui Han </w:t>
      </w:r>
      <w:r>
        <w:rPr>
          <w:color w:val="000000"/>
          <w:sz w:val="24"/>
          <w:szCs w:val="24"/>
          <w:vertAlign w:val="superscript"/>
        </w:rPr>
        <w:t>a, *</w:t>
      </w:r>
      <w:r>
        <w:rPr>
          <w:color w:val="000000"/>
          <w:sz w:val="24"/>
          <w:szCs w:val="24"/>
        </w:rPr>
        <w:t xml:space="preserve">, </w:t>
      </w:r>
      <w:r w:rsidR="00923773">
        <w:rPr>
          <w:color w:val="000000"/>
          <w:sz w:val="24"/>
          <w:szCs w:val="24"/>
        </w:rPr>
        <w:t xml:space="preserve">Robert A. Marchant </w:t>
      </w:r>
      <w:r w:rsidR="00923773">
        <w:rPr>
          <w:color w:val="000000"/>
          <w:sz w:val="24"/>
          <w:szCs w:val="24"/>
          <w:vertAlign w:val="superscript"/>
        </w:rPr>
        <w:t>a</w:t>
      </w:r>
      <w:r w:rsidR="006A539D">
        <w:rPr>
          <w:color w:val="000000"/>
          <w:sz w:val="24"/>
          <w:szCs w:val="24"/>
          <w:vertAlign w:val="superscript"/>
        </w:rPr>
        <w:t xml:space="preserve">, </w:t>
      </w:r>
      <w:r w:rsidR="00846A77">
        <w:rPr>
          <w:color w:val="000000"/>
          <w:sz w:val="24"/>
          <w:szCs w:val="24"/>
          <w:vertAlign w:val="superscript"/>
        </w:rPr>
        <w:t>b</w:t>
      </w:r>
      <w:r w:rsidR="00846A77" w:rsidRPr="00846A77">
        <w:rPr>
          <w:color w:val="000000"/>
          <w:sz w:val="24"/>
          <w:szCs w:val="24"/>
        </w:rPr>
        <w:t xml:space="preserve"> </w:t>
      </w:r>
      <w:r w:rsidR="00846A77">
        <w:rPr>
          <w:color w:val="000000"/>
          <w:sz w:val="24"/>
          <w:szCs w:val="24"/>
        </w:rPr>
        <w:t xml:space="preserve">Jessica P.R. Thorn </w:t>
      </w:r>
      <w:proofErr w:type="spellStart"/>
      <w:proofErr w:type="gramStart"/>
      <w:r w:rsidR="00846A77">
        <w:rPr>
          <w:color w:val="000000"/>
          <w:sz w:val="24"/>
          <w:szCs w:val="24"/>
          <w:vertAlign w:val="superscript"/>
        </w:rPr>
        <w:t>c,d</w:t>
      </w:r>
      <w:proofErr w:type="gramEnd"/>
      <w:r w:rsidR="005F521B">
        <w:rPr>
          <w:color w:val="000000"/>
          <w:sz w:val="24"/>
          <w:szCs w:val="24"/>
          <w:vertAlign w:val="superscript"/>
        </w:rPr>
        <w:t>,e</w:t>
      </w:r>
      <w:proofErr w:type="spellEnd"/>
    </w:p>
    <w:p w14:paraId="72A34B71" w14:textId="77777777" w:rsidR="00F35AF8" w:rsidRDefault="00F35AF8" w:rsidP="00F35AF8">
      <w:pPr>
        <w:pBdr>
          <w:top w:val="nil"/>
          <w:left w:val="nil"/>
          <w:bottom w:val="nil"/>
          <w:right w:val="nil"/>
          <w:between w:val="nil"/>
        </w:pBdr>
        <w:spacing w:after="0" w:line="240" w:lineRule="auto"/>
        <w:rPr>
          <w:i/>
          <w:color w:val="000000"/>
          <w:sz w:val="20"/>
          <w:szCs w:val="20"/>
        </w:rPr>
      </w:pPr>
      <w:r>
        <w:rPr>
          <w:i/>
          <w:color w:val="000000"/>
          <w:sz w:val="20"/>
          <w:szCs w:val="20"/>
        </w:rPr>
        <w:t>a Department of Environment and Geography, University of York, YO10 5NG, UK</w:t>
      </w:r>
    </w:p>
    <w:p w14:paraId="5AF438CA" w14:textId="77777777" w:rsidR="00846A77" w:rsidRDefault="00846A77" w:rsidP="00846A77">
      <w:pPr>
        <w:pBdr>
          <w:top w:val="nil"/>
          <w:left w:val="nil"/>
          <w:bottom w:val="nil"/>
          <w:right w:val="nil"/>
          <w:between w:val="nil"/>
        </w:pBdr>
        <w:spacing w:after="0" w:line="240" w:lineRule="auto"/>
        <w:rPr>
          <w:i/>
          <w:color w:val="000000"/>
          <w:sz w:val="20"/>
          <w:szCs w:val="20"/>
        </w:rPr>
      </w:pPr>
      <w:r>
        <w:rPr>
          <w:i/>
          <w:color w:val="000000"/>
          <w:sz w:val="20"/>
          <w:szCs w:val="20"/>
        </w:rPr>
        <w:t xml:space="preserve">b </w:t>
      </w:r>
      <w:r w:rsidRPr="006A539D">
        <w:rPr>
          <w:i/>
          <w:color w:val="000000"/>
          <w:sz w:val="20"/>
          <w:szCs w:val="20"/>
        </w:rPr>
        <w:t>Faculty of Environment and Resource Studies, Mahidol University, 73170, Thailand</w:t>
      </w:r>
    </w:p>
    <w:p w14:paraId="7D922A94" w14:textId="49680C4C" w:rsidR="00F35AF8" w:rsidRDefault="00846A77" w:rsidP="00F35AF8">
      <w:pPr>
        <w:pBdr>
          <w:top w:val="nil"/>
          <w:left w:val="nil"/>
          <w:bottom w:val="nil"/>
          <w:right w:val="nil"/>
          <w:between w:val="nil"/>
        </w:pBdr>
        <w:spacing w:after="0" w:line="240" w:lineRule="auto"/>
        <w:rPr>
          <w:i/>
          <w:sz w:val="20"/>
          <w:szCs w:val="20"/>
        </w:rPr>
      </w:pPr>
      <w:r>
        <w:rPr>
          <w:i/>
          <w:color w:val="000000"/>
          <w:sz w:val="20"/>
          <w:szCs w:val="20"/>
        </w:rPr>
        <w:t>c</w:t>
      </w:r>
      <w:r w:rsidR="00F35AF8">
        <w:rPr>
          <w:i/>
          <w:color w:val="000000"/>
          <w:sz w:val="20"/>
          <w:szCs w:val="20"/>
        </w:rPr>
        <w:t xml:space="preserve"> </w:t>
      </w:r>
      <w:r w:rsidR="00F35AF8">
        <w:rPr>
          <w:i/>
          <w:sz w:val="20"/>
          <w:szCs w:val="20"/>
        </w:rPr>
        <w:t>Centre for Environmental Policy, Imperial College London, UK, SW71NE</w:t>
      </w:r>
    </w:p>
    <w:p w14:paraId="6B786BC5" w14:textId="55D2E2DA" w:rsidR="00F35AF8" w:rsidRDefault="00846A77" w:rsidP="005F521B">
      <w:pPr>
        <w:pBdr>
          <w:top w:val="nil"/>
          <w:left w:val="nil"/>
          <w:bottom w:val="nil"/>
          <w:right w:val="nil"/>
          <w:between w:val="nil"/>
        </w:pBdr>
        <w:spacing w:after="0" w:line="240" w:lineRule="auto"/>
        <w:rPr>
          <w:i/>
          <w:color w:val="000000"/>
          <w:sz w:val="20"/>
          <w:szCs w:val="20"/>
        </w:rPr>
      </w:pPr>
      <w:r>
        <w:rPr>
          <w:i/>
          <w:sz w:val="20"/>
          <w:szCs w:val="20"/>
        </w:rPr>
        <w:t>d</w:t>
      </w:r>
      <w:r w:rsidR="00F35AF8">
        <w:rPr>
          <w:i/>
          <w:sz w:val="20"/>
          <w:szCs w:val="20"/>
        </w:rPr>
        <w:t xml:space="preserve"> </w:t>
      </w:r>
      <w:r w:rsidR="00F35AF8">
        <w:rPr>
          <w:i/>
          <w:color w:val="000000"/>
          <w:sz w:val="20"/>
          <w:szCs w:val="20"/>
        </w:rPr>
        <w:t>School of Geography and Sustainable Development, University of St Andrews, KY16 9AL, UK</w:t>
      </w:r>
    </w:p>
    <w:p w14:paraId="75CE2B14" w14:textId="0FFB3518" w:rsidR="003C5F6C" w:rsidRDefault="005F521B" w:rsidP="003C5F6C">
      <w:pPr>
        <w:pBdr>
          <w:top w:val="nil"/>
          <w:left w:val="nil"/>
          <w:bottom w:val="nil"/>
          <w:right w:val="nil"/>
          <w:between w:val="nil"/>
        </w:pBdr>
        <w:spacing w:after="0" w:line="240" w:lineRule="auto"/>
        <w:rPr>
          <w:i/>
          <w:color w:val="000000"/>
          <w:sz w:val="20"/>
          <w:szCs w:val="20"/>
        </w:rPr>
      </w:pPr>
      <w:r>
        <w:rPr>
          <w:i/>
          <w:sz w:val="20"/>
          <w:szCs w:val="20"/>
        </w:rPr>
        <w:t>e</w:t>
      </w:r>
      <w:r w:rsidR="00F35AF8">
        <w:rPr>
          <w:i/>
          <w:sz w:val="20"/>
          <w:szCs w:val="20"/>
        </w:rPr>
        <w:t xml:space="preserve"> </w:t>
      </w:r>
      <w:r w:rsidR="00F35AF8">
        <w:rPr>
          <w:i/>
          <w:color w:val="000000"/>
          <w:sz w:val="20"/>
          <w:szCs w:val="20"/>
        </w:rPr>
        <w:t>Department of Environmental Sciences, University of Namibia, 13301, Namibia</w:t>
      </w:r>
    </w:p>
    <w:p w14:paraId="29751C76" w14:textId="77777777" w:rsidR="00EE5989" w:rsidRDefault="00EE5989" w:rsidP="003C5F6C">
      <w:pPr>
        <w:pBdr>
          <w:top w:val="nil"/>
          <w:left w:val="nil"/>
          <w:bottom w:val="nil"/>
          <w:right w:val="nil"/>
          <w:between w:val="nil"/>
        </w:pBdr>
        <w:spacing w:after="0" w:line="240" w:lineRule="auto"/>
      </w:pPr>
    </w:p>
    <w:p w14:paraId="448C3375" w14:textId="1F37601C" w:rsidR="00835FFD" w:rsidRDefault="00000000" w:rsidP="00116ED2">
      <w:pPr>
        <w:pBdr>
          <w:top w:val="nil"/>
          <w:left w:val="nil"/>
          <w:bottom w:val="nil"/>
          <w:right w:val="nil"/>
          <w:between w:val="nil"/>
        </w:pBdr>
        <w:spacing w:line="240" w:lineRule="auto"/>
        <w:jc w:val="both"/>
      </w:pPr>
      <w:r>
        <w:rPr>
          <w:b/>
          <w:color w:val="000000"/>
        </w:rPr>
        <w:t>Abstract:</w:t>
      </w:r>
      <w:r>
        <w:rPr>
          <w:color w:val="000000"/>
        </w:rPr>
        <w:t xml:space="preserve"> The escalation of urbanization contributes significantly to </w:t>
      </w:r>
      <w:r>
        <w:t xml:space="preserve">urban heat in both affluent and impoverished neighbourhoods. </w:t>
      </w:r>
      <w:r w:rsidR="00EF195D">
        <w:t xml:space="preserve">Community </w:t>
      </w:r>
      <w:r>
        <w:t xml:space="preserve">thermal vulnerability is often characterised by socio-demographic composition, with little consideration as places where people are unequally exposed to </w:t>
      </w:r>
      <w:r w:rsidR="00EE34E2">
        <w:t>greenspace and</w:t>
      </w:r>
      <w:r w:rsidR="007B0741">
        <w:t xml:space="preserve"> how they</w:t>
      </w:r>
      <w:r w:rsidR="00324ECF">
        <w:t xml:space="preserve"> </w:t>
      </w:r>
      <w:r w:rsidR="00EF195D">
        <w:t>associate</w:t>
      </w:r>
      <w:r w:rsidR="007B0741">
        <w:t xml:space="preserve"> with</w:t>
      </w:r>
      <w:r w:rsidR="00EE34E2">
        <w:t xml:space="preserve"> cooling disparities</w:t>
      </w:r>
      <w:r>
        <w:t xml:space="preserve">. </w:t>
      </w:r>
      <w:r w:rsidR="00EE34E2">
        <w:t>Combining land surface temperature, t</w:t>
      </w:r>
      <w:r>
        <w:t xml:space="preserve">his Antananarivo case study </w:t>
      </w:r>
      <w:r w:rsidR="00406221">
        <w:t>employed</w:t>
      </w:r>
      <w:r>
        <w:t xml:space="preserve"> </w:t>
      </w:r>
      <w:r w:rsidR="00031C4C">
        <w:t xml:space="preserve">greenspace exposure </w:t>
      </w:r>
      <w:r>
        <w:t xml:space="preserve">Gini coefficient to map </w:t>
      </w:r>
      <w:r w:rsidR="00EE34E2" w:rsidRPr="00B6594F">
        <w:t xml:space="preserve">the locations of vulnerable </w:t>
      </w:r>
      <w:r w:rsidR="003C5F6C" w:rsidRPr="00B6594F">
        <w:t>neighbourhoods</w:t>
      </w:r>
      <w:r w:rsidR="003C5F6C">
        <w:t xml:space="preserve"> and</w:t>
      </w:r>
      <w:r w:rsidR="00EE34E2">
        <w:t xml:space="preserve"> </w:t>
      </w:r>
      <w:r>
        <w:t xml:space="preserve">evaluate how their cooling effect </w:t>
      </w:r>
      <w:r w:rsidR="003C5F6C">
        <w:t>differs</w:t>
      </w:r>
      <w:r w:rsidR="00EF195D">
        <w:t xml:space="preserve"> from</w:t>
      </w:r>
      <w:r>
        <w:t xml:space="preserve"> other</w:t>
      </w:r>
      <w:r w:rsidR="00EF195D">
        <w:t>s</w:t>
      </w:r>
      <w:r>
        <w:t xml:space="preserve">. </w:t>
      </w:r>
      <w:r w:rsidR="007362B8">
        <w:rPr>
          <w:color w:val="000000"/>
        </w:rPr>
        <w:t>Results show that nearly 25%</w:t>
      </w:r>
      <w:r w:rsidR="007362B8">
        <w:t xml:space="preserve"> neighbourhoods were unequal where values of exposure to greenspace is disproportionately higher in some </w:t>
      </w:r>
      <w:r w:rsidR="00A17FDF">
        <w:t xml:space="preserve">of </w:t>
      </w:r>
      <w:r w:rsidR="00031C4C">
        <w:t>grid cells</w:t>
      </w:r>
      <w:r w:rsidR="007362B8">
        <w:t xml:space="preserve"> than other</w:t>
      </w:r>
      <w:r w:rsidR="00A17FDF">
        <w:t>s</w:t>
      </w:r>
      <w:r w:rsidR="007362B8">
        <w:t xml:space="preserve">, raising vulnerability to urban heat. These vulnerable neighbourhoods exhibited an average 0.01°C greater cooling effect, compared to other neighbourhoods. Specifically, main cooling role for vulnerable neighbourhoods is agricultural land with a </w:t>
      </w:r>
      <w:r w:rsidR="007362B8">
        <w:rPr>
          <w:color w:val="010205"/>
        </w:rPr>
        <w:t xml:space="preserve">1% </w:t>
      </w:r>
      <w:r w:rsidR="00031C4C">
        <w:rPr>
          <w:color w:val="010205"/>
        </w:rPr>
        <w:t xml:space="preserve">of agricultural land </w:t>
      </w:r>
      <w:r w:rsidR="007362B8">
        <w:rPr>
          <w:color w:val="010205"/>
        </w:rPr>
        <w:t xml:space="preserve">increase </w:t>
      </w:r>
      <w:r w:rsidR="00031C4C">
        <w:rPr>
          <w:color w:val="010205"/>
        </w:rPr>
        <w:t>leading</w:t>
      </w:r>
      <w:r w:rsidR="007362B8">
        <w:rPr>
          <w:color w:val="010205"/>
        </w:rPr>
        <w:t xml:space="preserve"> to a 0.02-0.03°C temperature reduction in the day. </w:t>
      </w:r>
      <w:r w:rsidR="007362B8">
        <w:t xml:space="preserve">Comparatively, the cooling effect for the rest of more equal neighbourhoods relies on non-agricultural greenspace with 1% coverage increase </w:t>
      </w:r>
      <w:r w:rsidR="00A17FDF">
        <w:t>resulting in</w:t>
      </w:r>
      <w:r w:rsidR="007362B8">
        <w:t xml:space="preserve"> a 0.01-0.02</w:t>
      </w:r>
      <w:r w:rsidR="007362B8">
        <w:rPr>
          <w:color w:val="010205"/>
        </w:rPr>
        <w:t xml:space="preserve">°C temperature reduction at night. Meanwhile, </w:t>
      </w:r>
      <w:r w:rsidR="007362B8">
        <w:t>the cooling</w:t>
      </w:r>
      <w:r w:rsidR="007362B8" w:rsidRPr="00240444">
        <w:t xml:space="preserve"> threshold</w:t>
      </w:r>
      <w:r w:rsidR="007362B8">
        <w:t xml:space="preserve"> of </w:t>
      </w:r>
      <w:r w:rsidR="007362B8" w:rsidRPr="00240444">
        <w:t>62</w:t>
      </w:r>
      <w:r w:rsidR="007362B8">
        <w:t>% and 78</w:t>
      </w:r>
      <w:r w:rsidR="007362B8" w:rsidRPr="00240444">
        <w:t xml:space="preserve">% </w:t>
      </w:r>
      <w:r w:rsidR="007362B8">
        <w:t>for greenspace land cover in equal neighbourhoods emerged from cooling models in 2017 and 2022, which estimated to reduce average</w:t>
      </w:r>
      <w:r w:rsidR="007362B8" w:rsidRPr="00365E56">
        <w:t xml:space="preserve"> </w:t>
      </w:r>
      <w:r w:rsidR="007362B8">
        <w:t>0.78</w:t>
      </w:r>
      <w:r w:rsidR="007362B8" w:rsidRPr="00365E56">
        <w:t>°C</w:t>
      </w:r>
      <w:r w:rsidR="007362B8">
        <w:t xml:space="preserve">, </w:t>
      </w:r>
      <w:r w:rsidR="007362B8" w:rsidRPr="00365E56">
        <w:t>1.24°C</w:t>
      </w:r>
      <w:r w:rsidR="007362B8">
        <w:t xml:space="preserve"> nighttime temperature</w:t>
      </w:r>
      <w:r w:rsidR="00031C4C">
        <w:t xml:space="preserve"> </w:t>
      </w:r>
      <w:r w:rsidR="00031C4C" w:rsidRPr="00365E56">
        <w:t xml:space="preserve">to shift </w:t>
      </w:r>
      <w:r w:rsidR="00031C4C">
        <w:t xml:space="preserve">these vulnerable neighbourhoods experiencing </w:t>
      </w:r>
      <w:r w:rsidR="00031C4C" w:rsidRPr="00365E56">
        <w:t xml:space="preserve">the highest temperature to </w:t>
      </w:r>
      <w:r w:rsidR="00031C4C">
        <w:t xml:space="preserve">a more </w:t>
      </w:r>
      <w:r w:rsidR="00031C4C" w:rsidRPr="00365E56">
        <w:t xml:space="preserve">comfortable </w:t>
      </w:r>
      <w:r w:rsidR="00031C4C">
        <w:t>range</w:t>
      </w:r>
      <w:r w:rsidR="00031C4C" w:rsidRPr="00365E56">
        <w:t xml:space="preserve"> </w:t>
      </w:r>
      <w:r w:rsidR="007362B8">
        <w:t xml:space="preserve">regardless of any other factors. However, there was no thresholds detected in vulnerable neighbourhoods. These cooling disparities between </w:t>
      </w:r>
      <w:r w:rsidR="00A17FDF">
        <w:t>vulnerable and equal</w:t>
      </w:r>
      <w:r w:rsidR="007362B8">
        <w:t xml:space="preserve"> neighbourhoods is influenced by factors of urbanisation and topology conditions, vegetation canopy and land cover contributions, day</w:t>
      </w:r>
      <w:r w:rsidR="00A17FDF">
        <w:t>-to-night</w:t>
      </w:r>
      <w:r w:rsidR="007362B8">
        <w:t xml:space="preserve"> land surface temperature baseline variations. These cooling explanatory variations also depicted the trajectory of how neighbourhoods </w:t>
      </w:r>
      <w:r w:rsidR="00A17FDF">
        <w:t>evolve</w:t>
      </w:r>
      <w:r w:rsidR="007362B8">
        <w:t xml:space="preserve"> from equal to vulnerable ones. Our findings emphasise the contributions of equitable greenspace distributions to urban heat mitigation and adaptation, implicating cooling strategies for marginalized communities in Antananarivo and other developing cities.</w:t>
      </w:r>
    </w:p>
    <w:p w14:paraId="0157BCDF" w14:textId="5EA2D96D" w:rsidR="006012C1" w:rsidRDefault="003C5F6C" w:rsidP="00031C4C">
      <w:pPr>
        <w:pBdr>
          <w:top w:val="nil"/>
          <w:left w:val="nil"/>
          <w:bottom w:val="nil"/>
          <w:right w:val="nil"/>
          <w:between w:val="nil"/>
        </w:pBdr>
        <w:spacing w:line="240" w:lineRule="auto"/>
        <w:jc w:val="both"/>
      </w:pPr>
      <w:r>
        <w:t xml:space="preserve"> </w:t>
      </w:r>
      <w:r>
        <w:rPr>
          <w:b/>
          <w:color w:val="000000"/>
        </w:rPr>
        <w:t>Keywords:</w:t>
      </w:r>
      <w:r>
        <w:rPr>
          <w:color w:val="000000"/>
        </w:rPr>
        <w:t xml:space="preserve"> </w:t>
      </w:r>
      <w:r w:rsidR="00406221">
        <w:t xml:space="preserve">Cooling threshold; </w:t>
      </w:r>
      <w:proofErr w:type="spellStart"/>
      <w:r w:rsidR="009E61CD">
        <w:t>g</w:t>
      </w:r>
      <w:r>
        <w:t>ini</w:t>
      </w:r>
      <w:proofErr w:type="spellEnd"/>
      <w:r>
        <w:t xml:space="preserve"> coefficient; </w:t>
      </w:r>
      <w:r w:rsidR="009E61CD">
        <w:t>l</w:t>
      </w:r>
      <w:r w:rsidR="00406221">
        <w:t xml:space="preserve">and use land cover; </w:t>
      </w:r>
      <w:r w:rsidR="009E61CD">
        <w:t>l</w:t>
      </w:r>
      <w:r>
        <w:t xml:space="preserve">and surface temperature; </w:t>
      </w:r>
      <w:r w:rsidR="009E61CD">
        <w:t>n</w:t>
      </w:r>
      <w:r w:rsidR="00406221">
        <w:t>eighbourhoods scale</w:t>
      </w:r>
    </w:p>
    <w:p w14:paraId="58D3816B" w14:textId="7C04BA21" w:rsidR="005345DD" w:rsidRDefault="00000000">
      <w:pPr>
        <w:spacing w:line="240" w:lineRule="auto"/>
        <w:jc w:val="both"/>
        <w:rPr>
          <w:b/>
          <w:color w:val="000000"/>
        </w:rPr>
      </w:pPr>
      <w:r>
        <w:rPr>
          <w:b/>
          <w:color w:val="000000"/>
        </w:rPr>
        <w:t>1. Introduction</w:t>
      </w:r>
    </w:p>
    <w:p w14:paraId="67D8738D" w14:textId="46E7260A" w:rsidR="006012C1" w:rsidRDefault="00000000">
      <w:pPr>
        <w:pBdr>
          <w:top w:val="nil"/>
          <w:left w:val="nil"/>
          <w:bottom w:val="nil"/>
          <w:right w:val="nil"/>
          <w:between w:val="nil"/>
        </w:pBdr>
        <w:spacing w:line="240" w:lineRule="auto"/>
        <w:jc w:val="both"/>
        <w:rPr>
          <w:color w:val="000000"/>
        </w:rPr>
      </w:pPr>
      <w:bookmarkStart w:id="0" w:name="_heading=h.gjdgxs" w:colFirst="0" w:colLast="0"/>
      <w:bookmarkEnd w:id="0"/>
      <w:r>
        <w:rPr>
          <w:color w:val="000000"/>
        </w:rPr>
        <w:t>Urban areas, covering 3% of the Earth's land surface, are home to over 50% of the world’s population, contribut</w:t>
      </w:r>
      <w:r>
        <w:t>e</w:t>
      </w:r>
      <w:r>
        <w:rPr>
          <w:color w:val="000000"/>
        </w:rPr>
        <w:t xml:space="preserve"> up to 70% of global greenhouse gas emissions and </w:t>
      </w:r>
      <w:r>
        <w:t>consume</w:t>
      </w:r>
      <w:r>
        <w:rPr>
          <w:color w:val="000000"/>
        </w:rPr>
        <w:t xml:space="preserve"> 75% of the resources (</w:t>
      </w:r>
      <w:r>
        <w:rPr>
          <w:color w:val="0070C0"/>
        </w:rPr>
        <w:t>United Nations, 2018; Pappalardo et al., 2023</w:t>
      </w:r>
      <w:r>
        <w:rPr>
          <w:color w:val="000000"/>
        </w:rPr>
        <w:t xml:space="preserve">). </w:t>
      </w:r>
      <w:r>
        <w:t xml:space="preserve">Intensified by climate change, </w:t>
      </w:r>
      <w:r w:rsidR="00FF3C37">
        <w:rPr>
          <w:color w:val="000000"/>
        </w:rPr>
        <w:t>urban heat</w:t>
      </w:r>
      <w:r w:rsidR="00FF3C37">
        <w:t xml:space="preserve"> </w:t>
      </w:r>
      <w:r>
        <w:t>exposes residents to higher thermal stress</w:t>
      </w:r>
      <w:r w:rsidR="00FF3C37">
        <w:t xml:space="preserve"> </w:t>
      </w:r>
      <w:r w:rsidR="00FF3C37">
        <w:rPr>
          <w:color w:val="000000"/>
        </w:rPr>
        <w:t>(</w:t>
      </w:r>
      <w:proofErr w:type="spellStart"/>
      <w:r w:rsidR="00FF3C37">
        <w:rPr>
          <w:color w:val="0070C0"/>
        </w:rPr>
        <w:t>Oke</w:t>
      </w:r>
      <w:proofErr w:type="spellEnd"/>
      <w:r w:rsidR="00FF3C37">
        <w:rPr>
          <w:color w:val="0070C0"/>
        </w:rPr>
        <w:t>, 1982</w:t>
      </w:r>
      <w:r w:rsidR="00FF3C37">
        <w:rPr>
          <w:color w:val="000000"/>
        </w:rPr>
        <w:t>)</w:t>
      </w:r>
      <w:r>
        <w:t>, producing increased threat to human health and mortality (</w:t>
      </w:r>
      <w:r>
        <w:rPr>
          <w:color w:val="0563C1"/>
        </w:rPr>
        <w:t>Jay et al., 2021</w:t>
      </w:r>
      <w:r>
        <w:t>). This</w:t>
      </w:r>
      <w:r>
        <w:rPr>
          <w:color w:val="000000"/>
        </w:rPr>
        <w:t xml:space="preserve"> </w:t>
      </w:r>
      <w:r w:rsidR="00FF3C37">
        <w:rPr>
          <w:color w:val="000000"/>
        </w:rPr>
        <w:t xml:space="preserve">intensified </w:t>
      </w:r>
      <w:r>
        <w:rPr>
          <w:color w:val="000000"/>
        </w:rPr>
        <w:t xml:space="preserve">effect </w:t>
      </w:r>
      <w:r>
        <w:t xml:space="preserve">is observed globally </w:t>
      </w:r>
      <w:r>
        <w:rPr>
          <w:color w:val="000000"/>
        </w:rPr>
        <w:t>(</w:t>
      </w:r>
      <w:r>
        <w:rPr>
          <w:color w:val="0070C0"/>
        </w:rPr>
        <w:t>Liu et al., 2022</w:t>
      </w:r>
      <w:r>
        <w:rPr>
          <w:color w:val="000000"/>
        </w:rPr>
        <w:t>) and is anticipated to shift from Asia to Sub-Saharan Afric</w:t>
      </w:r>
      <w:r>
        <w:t>a by mid-</w:t>
      </w:r>
      <w:r>
        <w:rPr>
          <w:color w:val="000000"/>
        </w:rPr>
        <w:t xml:space="preserve">century due to rapidly population growth </w:t>
      </w:r>
      <w:r>
        <w:t>in Africa</w:t>
      </w:r>
      <w:r w:rsidR="00795E25">
        <w:t xml:space="preserve">n </w:t>
      </w:r>
      <w:r>
        <w:rPr>
          <w:color w:val="000000"/>
        </w:rPr>
        <w:t>(</w:t>
      </w:r>
      <w:r>
        <w:rPr>
          <w:color w:val="0070C0"/>
        </w:rPr>
        <w:t>United Nations, 2019; Peter et al., 2021; Li et al., 2022</w:t>
      </w:r>
      <w:r>
        <w:rPr>
          <w:color w:val="000000"/>
        </w:rPr>
        <w:t>) and warmer climates at low</w:t>
      </w:r>
      <w:r>
        <w:t xml:space="preserve"> latitudes (</w:t>
      </w:r>
      <w:r>
        <w:rPr>
          <w:color w:val="0563C1"/>
        </w:rPr>
        <w:t>Alizadeh et al., 2022; Li et al., 2024</w:t>
      </w:r>
      <w:r>
        <w:t>)</w:t>
      </w:r>
      <w:r>
        <w:rPr>
          <w:color w:val="000000"/>
        </w:rPr>
        <w:t xml:space="preserve">. Currently Sub-Saharan African urban areas house 472 million people, </w:t>
      </w:r>
      <w:r>
        <w:t xml:space="preserve">with this number </w:t>
      </w:r>
      <w:r>
        <w:rPr>
          <w:color w:val="000000"/>
        </w:rPr>
        <w:t xml:space="preserve">expected to double </w:t>
      </w:r>
      <w:r w:rsidR="00FF3C37">
        <w:t>by 2050</w:t>
      </w:r>
      <w:r>
        <w:rPr>
          <w:color w:val="000000"/>
        </w:rPr>
        <w:t xml:space="preserve"> and triple by 2100 (</w:t>
      </w:r>
      <w:r>
        <w:rPr>
          <w:color w:val="0070C0"/>
        </w:rPr>
        <w:t>United Nations, 2017a</w:t>
      </w:r>
      <w:r>
        <w:rPr>
          <w:color w:val="000000"/>
        </w:rPr>
        <w:t xml:space="preserve">). This rapid </w:t>
      </w:r>
      <w:r>
        <w:t xml:space="preserve">urbanisation presents significant </w:t>
      </w:r>
      <w:r>
        <w:rPr>
          <w:color w:val="000000"/>
        </w:rPr>
        <w:t>challenges, with</w:t>
      </w:r>
      <w:r>
        <w:t xml:space="preserve"> </w:t>
      </w:r>
      <w:r>
        <w:rPr>
          <w:color w:val="000000"/>
        </w:rPr>
        <w:t>70% of African cities vulnerable to climate shocks (</w:t>
      </w:r>
      <w:r>
        <w:rPr>
          <w:color w:val="0563C1"/>
        </w:rPr>
        <w:t>IPCC, 2022</w:t>
      </w:r>
      <w:r>
        <w:rPr>
          <w:color w:val="000000"/>
        </w:rPr>
        <w:t xml:space="preserve">; </w:t>
      </w:r>
      <w:proofErr w:type="spellStart"/>
      <w:r>
        <w:rPr>
          <w:color w:val="0070C0"/>
        </w:rPr>
        <w:t>Mhedhbi</w:t>
      </w:r>
      <w:proofErr w:type="spellEnd"/>
      <w:r>
        <w:rPr>
          <w:color w:val="0070C0"/>
        </w:rPr>
        <w:t xml:space="preserve"> et al., 2023</w:t>
      </w:r>
      <w:r>
        <w:rPr>
          <w:color w:val="000000"/>
        </w:rPr>
        <w:t xml:space="preserve">) and </w:t>
      </w:r>
      <w:r>
        <w:t>between 59-</w:t>
      </w:r>
      <w:r>
        <w:rPr>
          <w:color w:val="000000"/>
        </w:rPr>
        <w:t>62% of dwellers living in informal settlements without adequate green infrastructure to</w:t>
      </w:r>
      <w:r>
        <w:t xml:space="preserve"> </w:t>
      </w:r>
      <w:r w:rsidR="00FF3C37">
        <w:t>respond intensified urban heat</w:t>
      </w:r>
      <w:r>
        <w:rPr>
          <w:color w:val="000000"/>
        </w:rPr>
        <w:t xml:space="preserve"> (</w:t>
      </w:r>
      <w:proofErr w:type="spellStart"/>
      <w:r>
        <w:rPr>
          <w:color w:val="0070C0"/>
        </w:rPr>
        <w:t>Amegah</w:t>
      </w:r>
      <w:proofErr w:type="spellEnd"/>
      <w:r>
        <w:rPr>
          <w:color w:val="0070C0"/>
        </w:rPr>
        <w:t>, 2021</w:t>
      </w:r>
      <w:r>
        <w:rPr>
          <w:color w:val="000000"/>
        </w:rPr>
        <w:t>). Th</w:t>
      </w:r>
      <w:r>
        <w:t>ese trends</w:t>
      </w:r>
      <w:r>
        <w:rPr>
          <w:color w:val="000000"/>
        </w:rPr>
        <w:t xml:space="preserve"> </w:t>
      </w:r>
      <w:r>
        <w:rPr>
          <w:color w:val="000000"/>
        </w:rPr>
        <w:lastRenderedPageBreak/>
        <w:t>underscore the urgent need for urban planners to incorporate</w:t>
      </w:r>
      <w:r>
        <w:t xml:space="preserve"> </w:t>
      </w:r>
      <w:r>
        <w:rPr>
          <w:color w:val="000000"/>
        </w:rPr>
        <w:t xml:space="preserve">urban </w:t>
      </w:r>
      <w:r>
        <w:t>heat stress</w:t>
      </w:r>
      <w:r>
        <w:rPr>
          <w:color w:val="000000"/>
        </w:rPr>
        <w:t xml:space="preserve"> into climate change mitigation and adaptation during the Decade of Action (2020-2030), pursuing the Sustainable Development Goal</w:t>
      </w:r>
      <w:r>
        <w:t>s</w:t>
      </w:r>
      <w:r>
        <w:rPr>
          <w:color w:val="000000"/>
        </w:rPr>
        <w:t xml:space="preserve"> (</w:t>
      </w:r>
      <w:r>
        <w:rPr>
          <w:color w:val="0070C0"/>
        </w:rPr>
        <w:t>United Nations, 2015</w:t>
      </w:r>
      <w:r>
        <w:rPr>
          <w:color w:val="000000"/>
        </w:rPr>
        <w:t xml:space="preserve">) and the vision </w:t>
      </w:r>
      <w:r>
        <w:t xml:space="preserve">of the African Union Agenda 2063 </w:t>
      </w:r>
      <w:r>
        <w:rPr>
          <w:color w:val="000000"/>
        </w:rPr>
        <w:t>(</w:t>
      </w:r>
      <w:r>
        <w:rPr>
          <w:color w:val="0070C0"/>
        </w:rPr>
        <w:t>United Nations, 2017b</w:t>
      </w:r>
      <w:r>
        <w:rPr>
          <w:color w:val="000000"/>
        </w:rPr>
        <w:t xml:space="preserve">). </w:t>
      </w:r>
    </w:p>
    <w:p w14:paraId="27D9DB0D" w14:textId="5E8AD919" w:rsidR="006012C1" w:rsidRDefault="00000000">
      <w:pPr>
        <w:pBdr>
          <w:top w:val="nil"/>
          <w:left w:val="nil"/>
          <w:bottom w:val="nil"/>
          <w:right w:val="nil"/>
          <w:between w:val="nil"/>
        </w:pBdr>
        <w:spacing w:line="240" w:lineRule="auto"/>
        <w:jc w:val="both"/>
      </w:pPr>
      <w:r>
        <w:rPr>
          <w:color w:val="000000"/>
        </w:rPr>
        <w:t>Urban ecological space</w:t>
      </w:r>
      <w:r>
        <w:t xml:space="preserve"> that plays a key role in cooling cities can be classified into </w:t>
      </w:r>
      <w:r w:rsidR="005345DD">
        <w:t>such as</w:t>
      </w:r>
      <w:r>
        <w:t xml:space="preserve"> three categories:</w:t>
      </w:r>
      <w:r>
        <w:rPr>
          <w:color w:val="000000"/>
        </w:rPr>
        <w:t xml:space="preserve"> (</w:t>
      </w:r>
      <w:proofErr w:type="spellStart"/>
      <w:r>
        <w:rPr>
          <w:color w:val="000000"/>
        </w:rPr>
        <w:t>i</w:t>
      </w:r>
      <w:proofErr w:type="spellEnd"/>
      <w:r>
        <w:rPr>
          <w:color w:val="000000"/>
        </w:rPr>
        <w:t>) agricultural vegetated surfaces, (ii) non-agriculture green</w:t>
      </w:r>
      <w:r>
        <w:t xml:space="preserve"> infrastructure</w:t>
      </w:r>
      <w:r>
        <w:rPr>
          <w:color w:val="000000"/>
        </w:rPr>
        <w:t>, and (iii) water bod</w:t>
      </w:r>
      <w:r>
        <w:t>ies</w:t>
      </w:r>
      <w:r>
        <w:rPr>
          <w:color w:val="000000"/>
        </w:rPr>
        <w:t xml:space="preserve"> and wetlands (</w:t>
      </w:r>
      <w:r>
        <w:rPr>
          <w:color w:val="0070C0"/>
        </w:rPr>
        <w:t>Martin et al., 2024; Masoudi &amp; Tan 2019; Zhou et al., 2022</w:t>
      </w:r>
      <w:r>
        <w:rPr>
          <w:color w:val="000000"/>
        </w:rPr>
        <w:t xml:space="preserve">). </w:t>
      </w:r>
      <w:r w:rsidR="005E396B">
        <w:t>They are</w:t>
      </w:r>
      <w:r>
        <w:t xml:space="preserve"> increasingly being incorporated into cities at the neighbourhood scale to provide cooling through shading, evaporation, and energy absorption (</w:t>
      </w:r>
      <w:r>
        <w:rPr>
          <w:color w:val="0563C1"/>
        </w:rPr>
        <w:t xml:space="preserve">Wong et al., 2021; Liu </w:t>
      </w:r>
      <w:r w:rsidR="00BD06F8">
        <w:rPr>
          <w:color w:val="0563C1"/>
        </w:rPr>
        <w:t>and</w:t>
      </w:r>
      <w:r>
        <w:rPr>
          <w:color w:val="0563C1"/>
        </w:rPr>
        <w:t xml:space="preserve"> Zheng, 2024</w:t>
      </w:r>
      <w:r>
        <w:t xml:space="preserve">). Such neighbourhood-level </w:t>
      </w:r>
      <w:r w:rsidR="005E396B">
        <w:t>cooling</w:t>
      </w:r>
      <w:r>
        <w:t xml:space="preserve"> programmes offer advantages such as lower investment and simpler implementation </w:t>
      </w:r>
      <w:r w:rsidR="005345DD">
        <w:t>than</w:t>
      </w:r>
      <w:r>
        <w:t xml:space="preserve"> the large-scale green</w:t>
      </w:r>
      <w:r w:rsidR="00FF3C37">
        <w:t>ery</w:t>
      </w:r>
      <w:r>
        <w:t xml:space="preserve">. In this </w:t>
      </w:r>
      <w:r w:rsidR="003C5F6C">
        <w:t>context,</w:t>
      </w:r>
      <w:r w:rsidR="003C5F6C">
        <w:rPr>
          <w:color w:val="000000"/>
        </w:rPr>
        <w:t xml:space="preserve"> </w:t>
      </w:r>
      <w:r w:rsidR="003C5F6C" w:rsidRPr="00B7439B">
        <w:t>the</w:t>
      </w:r>
      <w:r w:rsidR="00B7439B" w:rsidRPr="00B7439B">
        <w:rPr>
          <w:color w:val="000000"/>
        </w:rPr>
        <w:t xml:space="preserve"> lower or upper threshold values of ecological space for neighbourhoods cooling effect can be calculated based on the proportion of land cover </w:t>
      </w:r>
      <w:r>
        <w:rPr>
          <w:color w:val="000000"/>
        </w:rPr>
        <w:t>(</w:t>
      </w:r>
      <w:r>
        <w:rPr>
          <w:color w:val="0070C0"/>
        </w:rPr>
        <w:t>Yu et al., 2020</w:t>
      </w:r>
      <w:r>
        <w:rPr>
          <w:color w:val="000000"/>
        </w:rPr>
        <w:t xml:space="preserve">). However, studies on </w:t>
      </w:r>
      <w:r>
        <w:t>cooling values have generally focused on specific environments, such as within a community, a defined area or around parks (</w:t>
      </w:r>
      <w:r>
        <w:rPr>
          <w:color w:val="0070C0"/>
        </w:rPr>
        <w:t>Zhen et al., 2024</w:t>
      </w:r>
      <w:r>
        <w:t xml:space="preserve">). </w:t>
      </w:r>
      <w:r>
        <w:rPr>
          <w:color w:val="000000"/>
        </w:rPr>
        <w:t xml:space="preserve">For </w:t>
      </w:r>
      <w:r>
        <w:t>example</w:t>
      </w:r>
      <w:r>
        <w:rPr>
          <w:color w:val="000000"/>
        </w:rPr>
        <w:t xml:space="preserve">, </w:t>
      </w:r>
      <w:r>
        <w:rPr>
          <w:color w:val="0070C0"/>
        </w:rPr>
        <w:t xml:space="preserve">Aram et al. </w:t>
      </w:r>
      <w:r>
        <w:rPr>
          <w:color w:val="000000"/>
        </w:rPr>
        <w:t>(</w:t>
      </w:r>
      <w:r>
        <w:rPr>
          <w:color w:val="0070C0"/>
        </w:rPr>
        <w:t>2019</w:t>
      </w:r>
      <w:r>
        <w:rPr>
          <w:color w:val="000000"/>
        </w:rPr>
        <w:t xml:space="preserve">) </w:t>
      </w:r>
      <w:r>
        <w:t xml:space="preserve">identified </w:t>
      </w:r>
      <w:r>
        <w:rPr>
          <w:color w:val="000000"/>
        </w:rPr>
        <w:t>that 10 ha of</w:t>
      </w:r>
      <w:r>
        <w:t xml:space="preserve"> </w:t>
      </w:r>
      <w:r>
        <w:rPr>
          <w:color w:val="000000"/>
        </w:rPr>
        <w:t>greenspace produc</w:t>
      </w:r>
      <w:r>
        <w:t>ed</w:t>
      </w:r>
      <w:r>
        <w:rPr>
          <w:color w:val="000000"/>
        </w:rPr>
        <w:t xml:space="preserve"> a 1</w:t>
      </w:r>
      <w:r>
        <w:t>-</w:t>
      </w:r>
      <w:r>
        <w:rPr>
          <w:color w:val="000000"/>
        </w:rPr>
        <w:t xml:space="preserve">2°C cooling effect across a 350m radius. </w:t>
      </w:r>
      <w:r>
        <w:rPr>
          <w:color w:val="0070C0"/>
        </w:rPr>
        <w:t xml:space="preserve">Peng et al. </w:t>
      </w:r>
      <w:r>
        <w:rPr>
          <w:color w:val="000000"/>
        </w:rPr>
        <w:t>(</w:t>
      </w:r>
      <w:r>
        <w:rPr>
          <w:color w:val="0070C0"/>
        </w:rPr>
        <w:t>2016</w:t>
      </w:r>
      <w:r>
        <w:rPr>
          <w:color w:val="000000"/>
        </w:rPr>
        <w:t>)</w:t>
      </w:r>
      <w:r>
        <w:t xml:space="preserve"> found that green infrastructure exceeding 70% of a community's area in Beijing effectively reduced the UHI effect.</w:t>
      </w:r>
      <w:r>
        <w:rPr>
          <w:color w:val="000000"/>
        </w:rPr>
        <w:t xml:space="preserve"> </w:t>
      </w:r>
      <w:proofErr w:type="spellStart"/>
      <w:r>
        <w:rPr>
          <w:color w:val="0070C0"/>
        </w:rPr>
        <w:t>Kirschnner</w:t>
      </w:r>
      <w:proofErr w:type="spellEnd"/>
      <w:r>
        <w:rPr>
          <w:color w:val="0070C0"/>
        </w:rPr>
        <w:t xml:space="preserve"> et al. </w:t>
      </w:r>
      <w:r>
        <w:rPr>
          <w:color w:val="000000"/>
        </w:rPr>
        <w:t>(</w:t>
      </w:r>
      <w:r>
        <w:rPr>
          <w:color w:val="0070C0"/>
        </w:rPr>
        <w:t>2023</w:t>
      </w:r>
      <w:r>
        <w:rPr>
          <w:color w:val="000000"/>
        </w:rPr>
        <w:t xml:space="preserve">) </w:t>
      </w:r>
      <w:r w:rsidR="00FF3C37">
        <w:t xml:space="preserve">reviewed </w:t>
      </w:r>
      <w:r w:rsidR="001C6FDD">
        <w:t xml:space="preserve">that </w:t>
      </w:r>
      <w:r w:rsidR="001C6FDD">
        <w:rPr>
          <w:color w:val="000000"/>
        </w:rPr>
        <w:t>park</w:t>
      </w:r>
      <w:r>
        <w:rPr>
          <w:color w:val="000000"/>
        </w:rPr>
        <w:t xml:space="preserve"> </w:t>
      </w:r>
      <w:r>
        <w:t xml:space="preserve">with less </w:t>
      </w:r>
      <w:r>
        <w:rPr>
          <w:color w:val="000000"/>
        </w:rPr>
        <w:t xml:space="preserve">than 5.6 ha in Leipzig, 2-3 ha in London, 2 ha in Shanghai, and 0.49 ha in Almada had a negligible temperature reduction effect. </w:t>
      </w:r>
      <w:r>
        <w:t xml:space="preserve">So far comparisons of cooling values across </w:t>
      </w:r>
      <w:r w:rsidR="001C6FDD">
        <w:t xml:space="preserve">diverse </w:t>
      </w:r>
      <w:r>
        <w:t xml:space="preserve">neighbourhoods with different </w:t>
      </w:r>
      <w:r w:rsidR="001C6FDD">
        <w:t xml:space="preserve">gradients in </w:t>
      </w:r>
      <w:r w:rsidR="0024515A">
        <w:t xml:space="preserve">social-demographical </w:t>
      </w:r>
      <w:r w:rsidR="001C6FDD">
        <w:t xml:space="preserve">factors </w:t>
      </w:r>
      <w:r>
        <w:t xml:space="preserve">(i.e. income, </w:t>
      </w:r>
      <w:r w:rsidR="000D30AF">
        <w:t>ethnicity</w:t>
      </w:r>
      <w:r>
        <w:t>)</w:t>
      </w:r>
      <w:r w:rsidR="001C6FDD">
        <w:t>, particularly in access to</w:t>
      </w:r>
      <w:r w:rsidR="0024515A">
        <w:t xml:space="preserve"> </w:t>
      </w:r>
      <w:r>
        <w:t xml:space="preserve">natural space, have been under research. </w:t>
      </w:r>
    </w:p>
    <w:p w14:paraId="061C4684" w14:textId="6E6726ED" w:rsidR="0069575D" w:rsidRDefault="00000000" w:rsidP="0069575D">
      <w:pPr>
        <w:pBdr>
          <w:top w:val="nil"/>
          <w:left w:val="nil"/>
          <w:bottom w:val="nil"/>
          <w:right w:val="nil"/>
          <w:between w:val="nil"/>
        </w:pBdr>
        <w:spacing w:line="240" w:lineRule="auto"/>
        <w:jc w:val="both"/>
      </w:pPr>
      <w:r>
        <w:t xml:space="preserve">Moreover, intensified by socio-demographic factors, </w:t>
      </w:r>
      <w:r w:rsidR="00214CAA">
        <w:t xml:space="preserve">inequality </w:t>
      </w:r>
      <w:r>
        <w:t xml:space="preserve">of access to natural spaces becomes more pronounced </w:t>
      </w:r>
      <w:r w:rsidR="005E396B">
        <w:t>that</w:t>
      </w:r>
      <w:r>
        <w:t xml:space="preserve"> exacerbates the threat of urban heat stress (</w:t>
      </w:r>
      <w:r>
        <w:rPr>
          <w:color w:val="0070C0"/>
        </w:rPr>
        <w:t xml:space="preserve">Han et al., 2024; Wang et al., </w:t>
      </w:r>
      <w:r w:rsidR="003C5F6C">
        <w:rPr>
          <w:color w:val="0070C0"/>
        </w:rPr>
        <w:t>2024</w:t>
      </w:r>
      <w:r w:rsidR="003C5F6C">
        <w:t xml:space="preserve">; </w:t>
      </w:r>
      <w:r w:rsidR="003C5F6C">
        <w:rPr>
          <w:color w:val="0070C0"/>
        </w:rPr>
        <w:t>Chen</w:t>
      </w:r>
      <w:r>
        <w:rPr>
          <w:color w:val="0070C0"/>
        </w:rPr>
        <w:t xml:space="preserve"> et al., 2022</w:t>
      </w:r>
      <w:r w:rsidR="005E396B">
        <w:rPr>
          <w:color w:val="0070C0"/>
        </w:rPr>
        <w:t>; Robert, 2000</w:t>
      </w:r>
      <w:r>
        <w:rPr>
          <w:color w:val="000000"/>
        </w:rPr>
        <w:t xml:space="preserve">). </w:t>
      </w:r>
      <w:r w:rsidR="00486D48">
        <w:rPr>
          <w:color w:val="000000"/>
        </w:rPr>
        <w:t>F</w:t>
      </w:r>
      <w:r w:rsidR="00486D48">
        <w:t>or example</w:t>
      </w:r>
      <w:r>
        <w:t>,</w:t>
      </w:r>
      <w:r>
        <w:rPr>
          <w:color w:val="000000"/>
        </w:rPr>
        <w:t xml:space="preserve"> some strategies, such as ‘compact cities’, encourage immigrants to live in populated streets where parks can help</w:t>
      </w:r>
      <w:r>
        <w:t xml:space="preserve"> to</w:t>
      </w:r>
      <w:r>
        <w:rPr>
          <w:color w:val="000000"/>
        </w:rPr>
        <w:t xml:space="preserve"> reduce the installation </w:t>
      </w:r>
      <w:r>
        <w:t xml:space="preserve">and maintenance </w:t>
      </w:r>
      <w:r>
        <w:rPr>
          <w:color w:val="000000"/>
        </w:rPr>
        <w:t>costs</w:t>
      </w:r>
      <w:r w:rsidR="00486D48">
        <w:t>; while</w:t>
      </w:r>
      <w:r>
        <w:t xml:space="preserve"> </w:t>
      </w:r>
      <w:r w:rsidR="00486D48">
        <w:t>c</w:t>
      </w:r>
      <w:r>
        <w:rPr>
          <w:color w:val="000000"/>
        </w:rPr>
        <w:t xml:space="preserve">ongested landscapes may hinder accessibility for those who </w:t>
      </w:r>
      <w:r>
        <w:t>live</w:t>
      </w:r>
      <w:r>
        <w:rPr>
          <w:color w:val="000000"/>
        </w:rPr>
        <w:t xml:space="preserve"> in the suburbs (</w:t>
      </w:r>
      <w:r>
        <w:rPr>
          <w:color w:val="0070C0"/>
        </w:rPr>
        <w:t>Sakamoto et al., 20</w:t>
      </w:r>
      <w:r w:rsidR="00BD06F8">
        <w:rPr>
          <w:color w:val="0070C0"/>
        </w:rPr>
        <w:t>18</w:t>
      </w:r>
      <w:r>
        <w:rPr>
          <w:color w:val="000000"/>
        </w:rPr>
        <w:t xml:space="preserve">). Some suggest ecological </w:t>
      </w:r>
      <w:r w:rsidR="001C6FDD">
        <w:rPr>
          <w:color w:val="000000"/>
        </w:rPr>
        <w:t xml:space="preserve">space </w:t>
      </w:r>
      <w:r>
        <w:rPr>
          <w:color w:val="000000"/>
        </w:rPr>
        <w:t xml:space="preserve">is a ‘nice’ </w:t>
      </w:r>
      <w:r w:rsidR="003C5F6C">
        <w:rPr>
          <w:color w:val="000000"/>
        </w:rPr>
        <w:t>option,</w:t>
      </w:r>
      <w:r>
        <w:rPr>
          <w:color w:val="000000"/>
        </w:rPr>
        <w:t xml:space="preserve"> but such narratives are not always helpful (</w:t>
      </w:r>
      <w:proofErr w:type="spellStart"/>
      <w:r>
        <w:rPr>
          <w:color w:val="0070C0"/>
        </w:rPr>
        <w:t>Rigolon</w:t>
      </w:r>
      <w:proofErr w:type="spellEnd"/>
      <w:r>
        <w:rPr>
          <w:color w:val="0070C0"/>
        </w:rPr>
        <w:t xml:space="preserve"> et al., 2022</w:t>
      </w:r>
      <w:r>
        <w:rPr>
          <w:color w:val="000000"/>
        </w:rPr>
        <w:t>)</w:t>
      </w:r>
      <w:r w:rsidR="006C5A0D">
        <w:rPr>
          <w:color w:val="000000"/>
        </w:rPr>
        <w:t>;</w:t>
      </w:r>
      <w:r>
        <w:t xml:space="preserve"> </w:t>
      </w:r>
      <w:r w:rsidR="006C5A0D">
        <w:t>t</w:t>
      </w:r>
      <w:r>
        <w:t>his approach inadvertently</w:t>
      </w:r>
      <w:r>
        <w:rPr>
          <w:color w:val="000000"/>
        </w:rPr>
        <w:t xml:space="preserve"> </w:t>
      </w:r>
      <w:r>
        <w:t>disincentives</w:t>
      </w:r>
      <w:r>
        <w:rPr>
          <w:color w:val="000000"/>
        </w:rPr>
        <w:t xml:space="preserve"> government investment in socially</w:t>
      </w:r>
      <w:r>
        <w:t xml:space="preserve"> disadvantaged</w:t>
      </w:r>
      <w:r>
        <w:rPr>
          <w:color w:val="000000"/>
        </w:rPr>
        <w:t xml:space="preserve"> communities, triggering inequity (</w:t>
      </w:r>
      <w:r>
        <w:rPr>
          <w:color w:val="0070C0"/>
        </w:rPr>
        <w:t>Chen et al., 2024</w:t>
      </w:r>
      <w:r>
        <w:rPr>
          <w:color w:val="000000"/>
        </w:rPr>
        <w:t xml:space="preserve">). </w:t>
      </w:r>
      <w:bookmarkStart w:id="1" w:name="_Hlk194569626"/>
      <w:r w:rsidR="00EE5989">
        <w:rPr>
          <w:color w:val="000000"/>
        </w:rPr>
        <w:t>While t</w:t>
      </w:r>
      <w:r w:rsidR="006F6244" w:rsidRPr="00486D48">
        <w:rPr>
          <w:color w:val="000000"/>
        </w:rPr>
        <w:t xml:space="preserve">hese correlations </w:t>
      </w:r>
      <w:r w:rsidR="006F6244">
        <w:rPr>
          <w:color w:val="000000"/>
        </w:rPr>
        <w:t xml:space="preserve">between socioeconomic factors and green distribution </w:t>
      </w:r>
      <w:r w:rsidR="006F6244" w:rsidRPr="00486D48">
        <w:rPr>
          <w:color w:val="000000"/>
        </w:rPr>
        <w:t>are concerning for policy</w:t>
      </w:r>
      <w:r w:rsidR="006F6244">
        <w:rPr>
          <w:color w:val="000000"/>
        </w:rPr>
        <w:t xml:space="preserve"> </w:t>
      </w:r>
      <w:r w:rsidR="006F6244" w:rsidRPr="00486D48">
        <w:rPr>
          <w:color w:val="000000"/>
        </w:rPr>
        <w:t>makers</w:t>
      </w:r>
      <w:r w:rsidR="006F6244">
        <w:rPr>
          <w:color w:val="000000"/>
        </w:rPr>
        <w:t>, less</w:t>
      </w:r>
      <w:r w:rsidR="006F6244">
        <w:t xml:space="preserve"> attention has been </w:t>
      </w:r>
      <w:r w:rsidR="007362B8">
        <w:t>paid t</w:t>
      </w:r>
      <w:r w:rsidR="006F6244">
        <w:t xml:space="preserve">o identifying equality targets or to measure the degree of distributional </w:t>
      </w:r>
      <w:r w:rsidR="00214CAA">
        <w:t>in</w:t>
      </w:r>
      <w:r w:rsidR="006F6244">
        <w:t xml:space="preserve">equality </w:t>
      </w:r>
      <w:r w:rsidR="00EE5989">
        <w:t>in cooling</w:t>
      </w:r>
      <w:r w:rsidR="0069575D">
        <w:t xml:space="preserve"> (</w:t>
      </w:r>
      <w:r w:rsidR="0069575D">
        <w:rPr>
          <w:color w:val="0563C1"/>
        </w:rPr>
        <w:t>He et al., 2024</w:t>
      </w:r>
      <w:r w:rsidR="0069575D">
        <w:t xml:space="preserve">). In this case, we aim to shift focus from </w:t>
      </w:r>
      <w:r w:rsidR="00701569">
        <w:t>categorizing diverse neighbourhoods based on</w:t>
      </w:r>
      <w:r w:rsidR="0069575D">
        <w:t xml:space="preserve"> sociodemographic components, such as </w:t>
      </w:r>
      <w:r w:rsidR="00B25254">
        <w:t xml:space="preserve">disadvantage in </w:t>
      </w:r>
      <w:r w:rsidR="0069575D">
        <w:t xml:space="preserve">income, education, </w:t>
      </w:r>
      <w:r w:rsidR="009E1F7A">
        <w:t>age</w:t>
      </w:r>
      <w:r w:rsidR="00BF183B">
        <w:t xml:space="preserve"> </w:t>
      </w:r>
      <w:r w:rsidR="0069575D">
        <w:t>(</w:t>
      </w:r>
      <w:r w:rsidR="0069575D">
        <w:rPr>
          <w:color w:val="0070C0"/>
        </w:rPr>
        <w:t xml:space="preserve">Kim </w:t>
      </w:r>
      <w:r w:rsidR="00BD06F8">
        <w:rPr>
          <w:color w:val="0070C0"/>
        </w:rPr>
        <w:t>and</w:t>
      </w:r>
      <w:r w:rsidR="0069575D">
        <w:rPr>
          <w:color w:val="0070C0"/>
        </w:rPr>
        <w:t xml:space="preserve"> Kim, 2024; Wang et al., 2024; Mashhoodi, 2021; </w:t>
      </w:r>
      <w:proofErr w:type="spellStart"/>
      <w:r w:rsidR="0069575D">
        <w:rPr>
          <w:color w:val="0070C0"/>
        </w:rPr>
        <w:t>Sandhol</w:t>
      </w:r>
      <w:r w:rsidR="00BD06F8">
        <w:rPr>
          <w:color w:val="0070C0"/>
        </w:rPr>
        <w:t>z</w:t>
      </w:r>
      <w:proofErr w:type="spellEnd"/>
      <w:r w:rsidR="0069575D">
        <w:rPr>
          <w:color w:val="0070C0"/>
        </w:rPr>
        <w:t xml:space="preserve"> et al., 2021</w:t>
      </w:r>
      <w:r w:rsidR="0069575D">
        <w:t xml:space="preserve">), to directly examine </w:t>
      </w:r>
      <w:r w:rsidR="00701569">
        <w:t>disparit</w:t>
      </w:r>
      <w:r w:rsidR="00805CDC">
        <w:t>y</w:t>
      </w:r>
      <w:r w:rsidR="00701569">
        <w:t xml:space="preserve"> </w:t>
      </w:r>
      <w:r w:rsidR="001B1C1C">
        <w:t>of</w:t>
      </w:r>
      <w:r w:rsidR="00701569">
        <w:t xml:space="preserve"> </w:t>
      </w:r>
      <w:r w:rsidR="0069575D">
        <w:t xml:space="preserve">cooling </w:t>
      </w:r>
      <w:r w:rsidR="00805CDC">
        <w:t>efficacy</w:t>
      </w:r>
      <w:r w:rsidR="00701569">
        <w:t xml:space="preserve"> resulting from</w:t>
      </w:r>
      <w:r w:rsidR="0069575D">
        <w:t xml:space="preserve"> green</w:t>
      </w:r>
      <w:r w:rsidR="00A37FFC">
        <w:t>space</w:t>
      </w:r>
      <w:r w:rsidR="0069575D">
        <w:t xml:space="preserve"> distributional inequality. </w:t>
      </w:r>
    </w:p>
    <w:p w14:paraId="02723B15" w14:textId="27D64860" w:rsidR="007362B8" w:rsidRDefault="007362B8" w:rsidP="0069575D">
      <w:pPr>
        <w:pBdr>
          <w:top w:val="nil"/>
          <w:left w:val="nil"/>
          <w:bottom w:val="nil"/>
          <w:right w:val="nil"/>
          <w:between w:val="nil"/>
        </w:pBdr>
        <w:spacing w:line="240" w:lineRule="auto"/>
        <w:jc w:val="both"/>
      </w:pPr>
      <w:r>
        <w:t>Greenspace distributional inequality is one of three proposal dimensions of environmental injustice – i.e., procedural, recognitional, and distributional (</w:t>
      </w:r>
      <w:r w:rsidRPr="00606837">
        <w:rPr>
          <w:color w:val="0070C0"/>
        </w:rPr>
        <w:t>Grant et al., 2022</w:t>
      </w:r>
      <w:r>
        <w:t>) and is strongly tied to wellbeing (</w:t>
      </w:r>
      <w:r w:rsidRPr="00606837">
        <w:rPr>
          <w:color w:val="0070C0"/>
        </w:rPr>
        <w:t>Nesbitt et al., 2018</w:t>
      </w:r>
      <w:r>
        <w:t>). A</w:t>
      </w:r>
      <w:r w:rsidRPr="00D540EA">
        <w:t xml:space="preserve"> distributionally unequal </w:t>
      </w:r>
      <w:r>
        <w:t>neighbourhood</w:t>
      </w:r>
      <w:r w:rsidRPr="00D540EA">
        <w:t xml:space="preserve"> is one where more greenery is found in disproportionately higher numbers in</w:t>
      </w:r>
      <w:r>
        <w:t xml:space="preserve"> </w:t>
      </w:r>
      <w:r w:rsidRPr="00D540EA">
        <w:t>some</w:t>
      </w:r>
      <w:r>
        <w:t xml:space="preserve"> of this </w:t>
      </w:r>
      <w:proofErr w:type="spellStart"/>
      <w:r>
        <w:t>neighbourhoos</w:t>
      </w:r>
      <w:proofErr w:type="spellEnd"/>
      <w:r>
        <w:t>’</w:t>
      </w:r>
      <w:r w:rsidRPr="00D540EA">
        <w:t xml:space="preserve"> </w:t>
      </w:r>
      <w:r>
        <w:t xml:space="preserve">houses compared to </w:t>
      </w:r>
      <w:r w:rsidRPr="00D540EA">
        <w:t>others.</w:t>
      </w:r>
      <w:r>
        <w:t xml:space="preserve"> Gini index, originally used to measure wealth inequality and today is useful for international income comparisons (</w:t>
      </w:r>
      <w:r>
        <w:rPr>
          <w:color w:val="0563C1"/>
        </w:rPr>
        <w:t xml:space="preserve">Liu and </w:t>
      </w:r>
      <w:proofErr w:type="spellStart"/>
      <w:r>
        <w:rPr>
          <w:color w:val="0563C1"/>
        </w:rPr>
        <w:t>Gasiwirth</w:t>
      </w:r>
      <w:proofErr w:type="spellEnd"/>
      <w:r>
        <w:rPr>
          <w:color w:val="0563C1"/>
        </w:rPr>
        <w:t>, 2020</w:t>
      </w:r>
      <w:r>
        <w:t>), has been increasingly adapted to assess distributional green inequality (</w:t>
      </w:r>
      <w:r>
        <w:rPr>
          <w:color w:val="0563C1"/>
        </w:rPr>
        <w:t>Martin and Conway, 2024; Han et al., 2023</w:t>
      </w:r>
      <w:r>
        <w:t xml:space="preserve">). For example, </w:t>
      </w:r>
      <w:proofErr w:type="spellStart"/>
      <w:r w:rsidRPr="00EB5819">
        <w:rPr>
          <w:color w:val="0070C0"/>
        </w:rPr>
        <w:t>Wüstemann</w:t>
      </w:r>
      <w:proofErr w:type="spellEnd"/>
      <w:r w:rsidRPr="00161197">
        <w:rPr>
          <w:color w:val="0070C0"/>
        </w:rPr>
        <w:t xml:space="preserve"> et al </w:t>
      </w:r>
      <w:r>
        <w:t>(</w:t>
      </w:r>
      <w:r w:rsidRPr="00161197">
        <w:rPr>
          <w:color w:val="0070C0"/>
        </w:rPr>
        <w:t>2017</w:t>
      </w:r>
      <w:r>
        <w:t xml:space="preserve">) using Gini to quantify the inequality of per capita urban green area. </w:t>
      </w:r>
      <w:r w:rsidRPr="00161197">
        <w:rPr>
          <w:color w:val="0070C0"/>
        </w:rPr>
        <w:t>Chen et al</w:t>
      </w:r>
      <w:r>
        <w:t xml:space="preserve"> (</w:t>
      </w:r>
      <w:r w:rsidRPr="00161197">
        <w:rPr>
          <w:color w:val="0070C0"/>
        </w:rPr>
        <w:t>2022</w:t>
      </w:r>
      <w:r>
        <w:t xml:space="preserve">) mapped </w:t>
      </w:r>
      <w:r w:rsidRPr="00F5658E">
        <w:t>the spatially explicit inequality of human exposure to greenspace between Global South and North.</w:t>
      </w:r>
      <w:r>
        <w:t xml:space="preserve"> The Gini Index incorporating greenspace access and population data, rather than solely location </w:t>
      </w:r>
      <w:r>
        <w:rPr>
          <w:color w:val="000000"/>
        </w:rPr>
        <w:t>data</w:t>
      </w:r>
      <w:r>
        <w:t>, can assess and compare the magnitude of difference in greenspace access between individual housing structures or the overall level of inequality for neighbourhoods (</w:t>
      </w:r>
      <w:r w:rsidRPr="00161197">
        <w:rPr>
          <w:color w:val="0070C0"/>
        </w:rPr>
        <w:t>Martin et al., 2024</w:t>
      </w:r>
      <w:r>
        <w:t>).</w:t>
      </w:r>
    </w:p>
    <w:bookmarkEnd w:id="1"/>
    <w:p w14:paraId="663B2B4F" w14:textId="4104E03C" w:rsidR="00E344C8" w:rsidRDefault="006B162E" w:rsidP="007362B8">
      <w:pPr>
        <w:pBdr>
          <w:top w:val="nil"/>
          <w:left w:val="nil"/>
          <w:bottom w:val="nil"/>
          <w:right w:val="nil"/>
          <w:between w:val="nil"/>
        </w:pBdr>
        <w:spacing w:line="240" w:lineRule="auto"/>
        <w:jc w:val="both"/>
      </w:pPr>
      <w:r>
        <w:t>In this study, we go beyond</w:t>
      </w:r>
      <w:r>
        <w:rPr>
          <w:color w:val="000000"/>
        </w:rPr>
        <w:t xml:space="preserve"> </w:t>
      </w:r>
      <w:r>
        <w:t>t</w:t>
      </w:r>
      <w:r>
        <w:rPr>
          <w:color w:val="000000"/>
        </w:rPr>
        <w:t>raditional socio-demographic correlated analys</w:t>
      </w:r>
      <w:r>
        <w:t xml:space="preserve">is to adopt </w:t>
      </w:r>
      <w:r>
        <w:rPr>
          <w:color w:val="000000"/>
        </w:rPr>
        <w:t xml:space="preserve">a </w:t>
      </w:r>
      <w:r w:rsidR="00F27CD7">
        <w:rPr>
          <w:color w:val="000000"/>
        </w:rPr>
        <w:t>Gini coefficient</w:t>
      </w:r>
      <w:r>
        <w:rPr>
          <w:color w:val="000000"/>
        </w:rPr>
        <w:t xml:space="preserve"> </w:t>
      </w:r>
      <w:r>
        <w:t>perspective</w:t>
      </w:r>
      <w:r w:rsidR="00F27CD7">
        <w:t xml:space="preserve"> </w:t>
      </w:r>
      <w:r>
        <w:rPr>
          <w:color w:val="000000"/>
        </w:rPr>
        <w:t xml:space="preserve">to examine </w:t>
      </w:r>
      <w:r>
        <w:t>distribution</w:t>
      </w:r>
      <w:r w:rsidR="00EB5819">
        <w:t>al</w:t>
      </w:r>
      <w:r>
        <w:t xml:space="preserve"> inequ</w:t>
      </w:r>
      <w:r w:rsidR="001B1C1C">
        <w:t>al</w:t>
      </w:r>
      <w:r>
        <w:t xml:space="preserve">ities. Specifically, </w:t>
      </w:r>
      <w:r w:rsidR="003C24D8">
        <w:t xml:space="preserve">through </w:t>
      </w:r>
      <w:r w:rsidR="00F07C46">
        <w:t xml:space="preserve">Gini coefficient </w:t>
      </w:r>
      <w:r w:rsidR="003C24D8">
        <w:t xml:space="preserve">and </w:t>
      </w:r>
      <w:r>
        <w:lastRenderedPageBreak/>
        <w:t>land surface temperature</w:t>
      </w:r>
      <w:r w:rsidR="00850BC9">
        <w:t>,</w:t>
      </w:r>
      <w:r>
        <w:t xml:space="preserve"> </w:t>
      </w:r>
      <w:r w:rsidR="007362B8">
        <w:t>we aim to understand: (</w:t>
      </w:r>
      <w:proofErr w:type="spellStart"/>
      <w:r w:rsidR="007362B8">
        <w:t>i</w:t>
      </w:r>
      <w:proofErr w:type="spellEnd"/>
      <w:r w:rsidR="007362B8">
        <w:t xml:space="preserve">) how many neighbourhoods exhibit high greenspace exposure inequality? (ii) if these neighbourhoods overlap with the hotpots of urban heat stress? (iii) do these neighbourhoods have a smaller cooling effect and to what extent does their cooling effect differ from other neighbourhoods? </w:t>
      </w:r>
    </w:p>
    <w:p w14:paraId="1269EA51" w14:textId="77777777" w:rsidR="006012C1" w:rsidRDefault="00000000">
      <w:pPr>
        <w:pBdr>
          <w:top w:val="nil"/>
          <w:left w:val="nil"/>
          <w:bottom w:val="nil"/>
          <w:right w:val="nil"/>
          <w:between w:val="nil"/>
        </w:pBdr>
        <w:spacing w:line="240" w:lineRule="auto"/>
        <w:rPr>
          <w:b/>
        </w:rPr>
      </w:pPr>
      <w:r>
        <w:rPr>
          <w:b/>
        </w:rPr>
        <w:t xml:space="preserve">2. Methodology          </w:t>
      </w:r>
    </w:p>
    <w:p w14:paraId="044EEDE3" w14:textId="7BF63562" w:rsidR="006012C1" w:rsidRDefault="00000000">
      <w:pPr>
        <w:pBdr>
          <w:top w:val="nil"/>
          <w:left w:val="nil"/>
          <w:bottom w:val="nil"/>
          <w:right w:val="nil"/>
          <w:between w:val="nil"/>
        </w:pBdr>
        <w:spacing w:line="240" w:lineRule="auto"/>
        <w:rPr>
          <w:b/>
        </w:rPr>
      </w:pPr>
      <w:r>
        <w:rPr>
          <w:b/>
        </w:rPr>
        <w:t xml:space="preserve">2.1 </w:t>
      </w:r>
      <w:r w:rsidR="008B1115">
        <w:rPr>
          <w:b/>
        </w:rPr>
        <w:t>Case s</w:t>
      </w:r>
      <w:r>
        <w:rPr>
          <w:b/>
        </w:rPr>
        <w:t xml:space="preserve">tudy </w:t>
      </w:r>
      <w:r w:rsidR="008B1115">
        <w:rPr>
          <w:b/>
        </w:rPr>
        <w:t>site</w:t>
      </w:r>
    </w:p>
    <w:p w14:paraId="6308C360" w14:textId="438F7398" w:rsidR="006012C1" w:rsidRDefault="00000000">
      <w:pPr>
        <w:spacing w:line="240" w:lineRule="auto"/>
        <w:jc w:val="both"/>
      </w:pPr>
      <w:r>
        <w:t>Madagascar, an island nation with unparalleled biodiversity and significant natural wealth, is heavily reliant on natural resources for its economy (</w:t>
      </w:r>
      <w:r>
        <w:rPr>
          <w:color w:val="0563C1"/>
        </w:rPr>
        <w:t>World Bank, 20</w:t>
      </w:r>
      <w:r w:rsidR="00BD06F8">
        <w:rPr>
          <w:color w:val="0563C1"/>
        </w:rPr>
        <w:t>20</w:t>
      </w:r>
      <w:r>
        <w:t xml:space="preserve">). In 2023, extreme poverty affected 80.7% of the population on less than USD 2.15 per day. Wealth is unevenly distributed, especially in urban areas, with </w:t>
      </w:r>
      <w:r w:rsidR="00EF1417">
        <w:t xml:space="preserve">capital </w:t>
      </w:r>
      <w:r>
        <w:t>Antananarivo’s Gini coefficient for household income reaching 0.452 in 2016 - among the highest in developing countries (</w:t>
      </w:r>
      <w:r>
        <w:rPr>
          <w:color w:val="0563C1"/>
        </w:rPr>
        <w:t>World Bank, 202</w:t>
      </w:r>
      <w:r w:rsidR="00BD06F8">
        <w:rPr>
          <w:color w:val="0563C1"/>
        </w:rPr>
        <w:t>0</w:t>
      </w:r>
      <w:r>
        <w:t>).</w:t>
      </w:r>
      <w:r w:rsidR="00EF1417">
        <w:t xml:space="preserve"> According to </w:t>
      </w:r>
      <w:r w:rsidR="00EF1417">
        <w:rPr>
          <w:color w:val="0070C0"/>
        </w:rPr>
        <w:t>Eckstein, et al., 2021,</w:t>
      </w:r>
      <w:r w:rsidR="00EF1417">
        <w:t xml:space="preserve"> Madagascar is one of the world’s most vulnerable countries to climate change and the top three Sub-Saharan African countries likely to experience extreme weather events in 2020.</w:t>
      </w:r>
    </w:p>
    <w:p w14:paraId="6BC82AA9" w14:textId="2CDCD120" w:rsidR="00F3625A" w:rsidRDefault="00000000">
      <w:pPr>
        <w:spacing w:line="240" w:lineRule="auto"/>
        <w:jc w:val="both"/>
      </w:pPr>
      <w:r>
        <w:t>Antananarivo is undergoing rapid urbanisation (</w:t>
      </w:r>
      <w:proofErr w:type="spellStart"/>
      <w:r>
        <w:rPr>
          <w:color w:val="0563C1"/>
        </w:rPr>
        <w:t>Ramiaramanana</w:t>
      </w:r>
      <w:proofErr w:type="spellEnd"/>
      <w:r>
        <w:rPr>
          <w:color w:val="0563C1"/>
        </w:rPr>
        <w:t xml:space="preserve"> </w:t>
      </w:r>
      <w:r w:rsidR="00BD06F8">
        <w:rPr>
          <w:color w:val="0563C1"/>
        </w:rPr>
        <w:t>and</w:t>
      </w:r>
      <w:r>
        <w:rPr>
          <w:color w:val="0563C1"/>
        </w:rPr>
        <w:t xml:space="preserve"> Teller, 2021</w:t>
      </w:r>
      <w:r>
        <w:t>). The city’s population, estimated at 4 million in 2024, is projected to double by 2050 (</w:t>
      </w:r>
      <w:r>
        <w:rPr>
          <w:color w:val="0070C0"/>
        </w:rPr>
        <w:t>Healy, 2017</w:t>
      </w:r>
      <w:r w:rsidR="009E7438">
        <w:t xml:space="preserve">; </w:t>
      </w:r>
      <w:r>
        <w:rPr>
          <w:color w:val="0563C1"/>
        </w:rPr>
        <w:t>World Bank, 202</w:t>
      </w:r>
      <w:r w:rsidR="00BD06F8">
        <w:rPr>
          <w:color w:val="0563C1"/>
        </w:rPr>
        <w:t>0</w:t>
      </w:r>
      <w:r>
        <w:t xml:space="preserve">). Cities are account for 75% of national GDP </w:t>
      </w:r>
      <w:r w:rsidR="00EF1417">
        <w:t xml:space="preserve">and home to about half of a country's urban population </w:t>
      </w:r>
      <w:r>
        <w:t>(</w:t>
      </w:r>
      <w:r>
        <w:rPr>
          <w:color w:val="0563C1"/>
        </w:rPr>
        <w:t>Xavier, 2012</w:t>
      </w:r>
      <w:r>
        <w:t>). UN Habitat estimates that the Urban Commune of Antananarivo (UCA) population grows by 5% annually adding about 100,000 people each year. The UCA is one of the world’s most densely populated urban areas, with around 22,000 inhabitants per km² (</w:t>
      </w:r>
      <w:r>
        <w:rPr>
          <w:color w:val="0070C0"/>
        </w:rPr>
        <w:t xml:space="preserve">World Bank, 2020; </w:t>
      </w:r>
      <w:proofErr w:type="spellStart"/>
      <w:r>
        <w:rPr>
          <w:color w:val="0070C0"/>
        </w:rPr>
        <w:t>Frodella</w:t>
      </w:r>
      <w:proofErr w:type="spellEnd"/>
      <w:r>
        <w:rPr>
          <w:color w:val="0070C0"/>
        </w:rPr>
        <w:t xml:space="preserve"> et al., 2021</w:t>
      </w:r>
      <w:r>
        <w:t>). As settlements extend, unplanned, improvised housing has emerged and about 70% of these settlements are informal (</w:t>
      </w:r>
      <w:r>
        <w:rPr>
          <w:color w:val="0070C0"/>
        </w:rPr>
        <w:t>UNEP, 2021; Aubry et al., 2012</w:t>
      </w:r>
      <w:r>
        <w:t xml:space="preserve">). Rapid urbanisation and climate vulnerability are further placing increasing pressure on the city’s limited infrastructure and services. </w:t>
      </w:r>
    </w:p>
    <w:p w14:paraId="6305F038" w14:textId="2ED23C4E" w:rsidR="00A64361" w:rsidRDefault="007C52B1">
      <w:pPr>
        <w:spacing w:line="240" w:lineRule="auto"/>
        <w:jc w:val="center"/>
        <w:rPr>
          <w:b/>
          <w:color w:val="000000"/>
        </w:rPr>
      </w:pPr>
      <w:r>
        <w:rPr>
          <w:noProof/>
        </w:rPr>
        <w:drawing>
          <wp:inline distT="0" distB="0" distL="0" distR="0" wp14:anchorId="6AD7C117" wp14:editId="22B08157">
            <wp:extent cx="4688958" cy="4087743"/>
            <wp:effectExtent l="0" t="0" r="0" b="8255"/>
            <wp:docPr id="1051280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11998" cy="4107829"/>
                    </a:xfrm>
                    <a:prstGeom prst="rect">
                      <a:avLst/>
                    </a:prstGeom>
                    <a:noFill/>
                    <a:ln>
                      <a:noFill/>
                    </a:ln>
                  </pic:spPr>
                </pic:pic>
              </a:graphicData>
            </a:graphic>
          </wp:inline>
        </w:drawing>
      </w:r>
    </w:p>
    <w:p w14:paraId="3B08A8E3" w14:textId="19AB7DCD" w:rsidR="006012C1" w:rsidRDefault="00000000">
      <w:pPr>
        <w:spacing w:line="240" w:lineRule="auto"/>
        <w:jc w:val="center"/>
        <w:rPr>
          <w:color w:val="000000"/>
        </w:rPr>
      </w:pPr>
      <w:r>
        <w:rPr>
          <w:b/>
          <w:color w:val="000000"/>
        </w:rPr>
        <w:t>Figure 1.</w:t>
      </w:r>
      <w:r>
        <w:rPr>
          <w:color w:val="000000"/>
        </w:rPr>
        <w:t xml:space="preserve"> Map of the </w:t>
      </w:r>
      <w:r>
        <w:t>study area and</w:t>
      </w:r>
      <w:r>
        <w:rPr>
          <w:color w:val="000000"/>
        </w:rPr>
        <w:t xml:space="preserve"> land use land cover in 2017 and 2022 (</w:t>
      </w:r>
      <w:r>
        <w:rPr>
          <w:color w:val="0070C0"/>
        </w:rPr>
        <w:t>Dupuy et al., 2023</w:t>
      </w:r>
      <w:r>
        <w:rPr>
          <w:color w:val="000000"/>
        </w:rPr>
        <w:t xml:space="preserve">) </w:t>
      </w:r>
    </w:p>
    <w:p w14:paraId="5231D8F6" w14:textId="4F0A0F8C" w:rsidR="00DC3CF5" w:rsidRPr="00DC3CF5" w:rsidRDefault="00DC3CF5" w:rsidP="00DC3CF5">
      <w:pPr>
        <w:spacing w:line="240" w:lineRule="auto"/>
        <w:jc w:val="both"/>
      </w:pPr>
      <w:r>
        <w:lastRenderedPageBreak/>
        <w:t>Existing studies on urban green infrastructure and temperature regulation services span at least 20 countries and 74 cities in Sub-Saharan Africa, but none in Antananarivo (</w:t>
      </w:r>
      <w:r>
        <w:rPr>
          <w:color w:val="0563C1"/>
        </w:rPr>
        <w:t>Du Toit et al., 2018</w:t>
      </w:r>
      <w:r>
        <w:t xml:space="preserve">). This study focuses on Greater Antananarivo, covering urban and peri-urban areas across 598 km², including the districts of </w:t>
      </w:r>
      <w:proofErr w:type="spellStart"/>
      <w:r>
        <w:t>Avaradrano</w:t>
      </w:r>
      <w:proofErr w:type="spellEnd"/>
      <w:r>
        <w:t xml:space="preserve"> in the centre, Arrondissement to the east, </w:t>
      </w:r>
      <w:proofErr w:type="spellStart"/>
      <w:r>
        <w:t>Ambohideratrimo</w:t>
      </w:r>
      <w:proofErr w:type="spellEnd"/>
      <w:r>
        <w:t xml:space="preserve"> to the north, and </w:t>
      </w:r>
      <w:proofErr w:type="spellStart"/>
      <w:r>
        <w:t>Atsimondrao</w:t>
      </w:r>
      <w:proofErr w:type="spellEnd"/>
      <w:r>
        <w:t xml:space="preserve"> to the south (</w:t>
      </w:r>
      <w:r>
        <w:rPr>
          <w:color w:val="0070C0"/>
        </w:rPr>
        <w:t>Fig. 1</w:t>
      </w:r>
      <w:r>
        <w:t>). The study area has an average elevation of 1,310 m, and experiences temperatures ranging from 20-30°C during the wet season (November to April) and 15-20°C during the dry season (May to October) (</w:t>
      </w:r>
      <w:proofErr w:type="spellStart"/>
      <w:r w:rsidRPr="00A47C0C">
        <w:rPr>
          <w:color w:val="0070C0"/>
        </w:rPr>
        <w:t>Randriamarolaza</w:t>
      </w:r>
      <w:proofErr w:type="spellEnd"/>
      <w:r w:rsidRPr="00A47C0C">
        <w:rPr>
          <w:color w:val="0070C0"/>
        </w:rPr>
        <w:t xml:space="preserve"> et al. 2022</w:t>
      </w:r>
      <w:r>
        <w:t>).</w:t>
      </w:r>
    </w:p>
    <w:p w14:paraId="5643E39B" w14:textId="77777777" w:rsidR="006012C1" w:rsidRDefault="00000000">
      <w:pPr>
        <w:pBdr>
          <w:top w:val="nil"/>
          <w:left w:val="nil"/>
          <w:bottom w:val="nil"/>
          <w:right w:val="nil"/>
          <w:between w:val="nil"/>
        </w:pBdr>
        <w:spacing w:line="240" w:lineRule="auto"/>
        <w:jc w:val="both"/>
        <w:rPr>
          <w:b/>
          <w:color w:val="000000"/>
        </w:rPr>
      </w:pPr>
      <w:r>
        <w:rPr>
          <w:b/>
          <w:color w:val="000000"/>
        </w:rPr>
        <w:t xml:space="preserve">2.2 Data collection and processing </w:t>
      </w:r>
    </w:p>
    <w:p w14:paraId="057F94AB" w14:textId="58233EA8" w:rsidR="006012C1" w:rsidRDefault="00000000">
      <w:pPr>
        <w:pBdr>
          <w:top w:val="nil"/>
          <w:left w:val="nil"/>
          <w:bottom w:val="nil"/>
          <w:right w:val="nil"/>
          <w:between w:val="nil"/>
        </w:pBdr>
        <w:spacing w:line="240" w:lineRule="auto"/>
        <w:jc w:val="both"/>
        <w:rPr>
          <w:color w:val="000000"/>
        </w:rPr>
      </w:pPr>
      <w:r>
        <w:rPr>
          <w:color w:val="000000"/>
        </w:rPr>
        <w:t xml:space="preserve">Land </w:t>
      </w:r>
      <w:r>
        <w:t>u</w:t>
      </w:r>
      <w:r>
        <w:rPr>
          <w:color w:val="000000"/>
        </w:rPr>
        <w:t xml:space="preserve">se </w:t>
      </w:r>
      <w:r>
        <w:t>l</w:t>
      </w:r>
      <w:r>
        <w:rPr>
          <w:color w:val="000000"/>
        </w:rPr>
        <w:t xml:space="preserve">and </w:t>
      </w:r>
      <w:r>
        <w:t>c</w:t>
      </w:r>
      <w:r>
        <w:rPr>
          <w:color w:val="000000"/>
        </w:rPr>
        <w:t xml:space="preserve">over for 2017 and 2022 was sourced from </w:t>
      </w:r>
      <w:r>
        <w:rPr>
          <w:color w:val="0563C1"/>
        </w:rPr>
        <w:t>Dupuy et al.</w:t>
      </w:r>
      <w:r>
        <w:t xml:space="preserve"> (</w:t>
      </w:r>
      <w:r>
        <w:rPr>
          <w:color w:val="0563C1"/>
        </w:rPr>
        <w:t>2022, 2023</w:t>
      </w:r>
      <w:r>
        <w:rPr>
          <w:color w:val="000000"/>
        </w:rPr>
        <w:t>). This dataset was generated using a combination of a very high spatial resolution Pleiades Image (0.5m and 2m), the high spatial resolution</w:t>
      </w:r>
      <w:r>
        <w:t xml:space="preserve"> </w:t>
      </w:r>
      <w:r>
        <w:rPr>
          <w:color w:val="000000"/>
        </w:rPr>
        <w:t xml:space="preserve">image </w:t>
      </w:r>
      <w:r>
        <w:t>(10 m and 20 m)</w:t>
      </w:r>
      <w:r>
        <w:rPr>
          <w:color w:val="000000"/>
        </w:rPr>
        <w:t xml:space="preserve"> time series Sentinel-2, and Landsat-8 with a spatial resolution of 15 m for the panchromatic band and 30 m for the multispectral bands (</w:t>
      </w:r>
      <w:r>
        <w:rPr>
          <w:color w:val="0070C0"/>
        </w:rPr>
        <w:t>Dupuy et al., 2020</w:t>
      </w:r>
      <w:r>
        <w:rPr>
          <w:color w:val="000000"/>
        </w:rPr>
        <w:t xml:space="preserve">). </w:t>
      </w:r>
      <w:r w:rsidR="00EF1417">
        <w:rPr>
          <w:color w:val="000000"/>
        </w:rPr>
        <w:t>Based on a global database of administrative unit-based census information (</w:t>
      </w:r>
      <w:r w:rsidR="00EF1417">
        <w:rPr>
          <w:color w:val="0563C1"/>
        </w:rPr>
        <w:t>Llyod et al., 2019</w:t>
      </w:r>
      <w:r w:rsidR="00EF1417">
        <w:rPr>
          <w:color w:val="000000"/>
        </w:rPr>
        <w:t>), t</w:t>
      </w:r>
      <w:r>
        <w:rPr>
          <w:color w:val="000000"/>
        </w:rPr>
        <w:t>he top-to-down un</w:t>
      </w:r>
      <w:r>
        <w:t>constrained modelling projection of p</w:t>
      </w:r>
      <w:r>
        <w:rPr>
          <w:color w:val="000000"/>
        </w:rPr>
        <w:t xml:space="preserve">opulation </w:t>
      </w:r>
      <w:r>
        <w:t>numbers for 100 x 100 m grid cell</w:t>
      </w:r>
      <w:r>
        <w:rPr>
          <w:color w:val="000000"/>
        </w:rPr>
        <w:t xml:space="preserve"> </w:t>
      </w:r>
      <w:r w:rsidR="00D45E1C">
        <w:rPr>
          <w:color w:val="000000"/>
        </w:rPr>
        <w:t>in</w:t>
      </w:r>
      <w:r>
        <w:rPr>
          <w:color w:val="000000"/>
        </w:rPr>
        <w:t xml:space="preserve"> 2017 and 202</w:t>
      </w:r>
      <w:r>
        <w:t>0</w:t>
      </w:r>
      <w:r w:rsidR="00D45E1C">
        <w:t xml:space="preserve"> </w:t>
      </w:r>
      <w:r>
        <w:rPr>
          <w:color w:val="000000"/>
        </w:rPr>
        <w:t>were used to represent the estimated total number of people at 100m spatial resolution</w:t>
      </w:r>
      <w:r w:rsidR="00EF1417">
        <w:rPr>
          <w:color w:val="000000"/>
        </w:rPr>
        <w:t>, through</w:t>
      </w:r>
      <w:r w:rsidR="002D4537">
        <w:rPr>
          <w:color w:val="000000"/>
        </w:rPr>
        <w:t xml:space="preserve"> </w:t>
      </w:r>
      <w:proofErr w:type="spellStart"/>
      <w:r w:rsidR="00EF1417">
        <w:rPr>
          <w:color w:val="0563C1"/>
        </w:rPr>
        <w:t>WorldPop</w:t>
      </w:r>
      <w:proofErr w:type="spellEnd"/>
      <w:r w:rsidR="00EF1417">
        <w:rPr>
          <w:color w:val="0563C1"/>
        </w:rPr>
        <w:t xml:space="preserve"> </w:t>
      </w:r>
      <w:r w:rsidR="002D4537" w:rsidRPr="002D4537">
        <w:t>(</w:t>
      </w:r>
      <w:r w:rsidR="00EF1417">
        <w:rPr>
          <w:color w:val="0563C1"/>
        </w:rPr>
        <w:t>2020</w:t>
      </w:r>
      <w:r w:rsidR="00EF1417">
        <w:rPr>
          <w:color w:val="000000"/>
        </w:rPr>
        <w:t>).</w:t>
      </w:r>
    </w:p>
    <w:p w14:paraId="5AB96C84" w14:textId="4C6D3E7C" w:rsidR="0038298E" w:rsidRDefault="00000000" w:rsidP="00C33676">
      <w:pPr>
        <w:pBdr>
          <w:top w:val="nil"/>
          <w:left w:val="nil"/>
          <w:bottom w:val="nil"/>
          <w:right w:val="nil"/>
          <w:between w:val="nil"/>
        </w:pBdr>
        <w:spacing w:line="240" w:lineRule="auto"/>
        <w:jc w:val="both"/>
        <w:rPr>
          <w:color w:val="000000"/>
        </w:rPr>
      </w:pPr>
      <w:r>
        <w:rPr>
          <w:color w:val="000000"/>
        </w:rPr>
        <w:t xml:space="preserve">Multi-sensor fusion was used to detect the </w:t>
      </w:r>
      <w:r w:rsidR="003708EC">
        <w:rPr>
          <w:color w:val="000000"/>
        </w:rPr>
        <w:t>Land surface temperature (LST)</w:t>
      </w:r>
      <w:r>
        <w:rPr>
          <w:color w:val="000000"/>
        </w:rPr>
        <w:t xml:space="preserve">. Four sets of the eight-day daily MODIS/Terra (MOD11A2) and MODIS/Aqua (MYD11A2) images in February were applied to retrieve the LST, representing Greater Antananarivo’s hot month average temperature in 2017 and 2022, through </w:t>
      </w:r>
      <w:r>
        <w:rPr>
          <w:color w:val="0563C1"/>
        </w:rPr>
        <w:t xml:space="preserve">NASA </w:t>
      </w:r>
      <w:r>
        <w:t>(</w:t>
      </w:r>
      <w:r>
        <w:rPr>
          <w:color w:val="0563C1"/>
        </w:rPr>
        <w:t>2023</w:t>
      </w:r>
      <w:r>
        <w:t>)</w:t>
      </w:r>
      <w:r>
        <w:rPr>
          <w:color w:val="000000"/>
        </w:rPr>
        <w:t xml:space="preserve">. MODIS Terra captures daily LST at 10:30 and 22:30, </w:t>
      </w:r>
      <w:r w:rsidR="002D4537">
        <w:rPr>
          <w:color w:val="000000"/>
        </w:rPr>
        <w:t>and</w:t>
      </w:r>
      <w:r>
        <w:rPr>
          <w:color w:val="000000"/>
        </w:rPr>
        <w:t xml:space="preserve"> MODIS Aqua targets 01:30 and 13:30 LST. The original remote sensed LST images suffered from noise impact and data gaps due to undesirable weather conditions, atmospheric and radiation interferences, or sensor malfunctioning (</w:t>
      </w:r>
      <w:r>
        <w:rPr>
          <w:color w:val="0070C0"/>
        </w:rPr>
        <w:t>Li et al., 2013</w:t>
      </w:r>
      <w:r>
        <w:rPr>
          <w:color w:val="000000"/>
        </w:rPr>
        <w:t xml:space="preserve">). </w:t>
      </w:r>
      <w:r>
        <w:t>T</w:t>
      </w:r>
      <w:r>
        <w:rPr>
          <w:color w:val="000000"/>
        </w:rPr>
        <w:t>his study adopted the Multi-Task Gaussian Process Model (MTGP) to smooth noise and fill in missing data. The MTGP assumes the LST of coarse resolution to be a satisfactory proxy of variation of near surface temperature (</w:t>
      </w:r>
      <w:r>
        <w:rPr>
          <w:color w:val="0070C0"/>
        </w:rPr>
        <w:t>Coutts et al., 2016, Yang et al., 2020</w:t>
      </w:r>
      <w:r>
        <w:rPr>
          <w:color w:val="000000"/>
        </w:rPr>
        <w:t>).</w:t>
      </w:r>
    </w:p>
    <w:p w14:paraId="318E6D18" w14:textId="77777777" w:rsidR="006012C1" w:rsidRDefault="00000000" w:rsidP="008978C7">
      <w:pPr>
        <w:pBdr>
          <w:top w:val="nil"/>
          <w:left w:val="nil"/>
          <w:bottom w:val="nil"/>
          <w:right w:val="nil"/>
          <w:between w:val="nil"/>
        </w:pBdr>
        <w:spacing w:after="0" w:line="240" w:lineRule="auto"/>
        <w:jc w:val="center"/>
        <w:rPr>
          <w:color w:val="000000"/>
        </w:rPr>
      </w:pPr>
      <w:r>
        <w:rPr>
          <w:noProof/>
        </w:rPr>
        <w:drawing>
          <wp:inline distT="114300" distB="114300" distL="114300" distR="114300" wp14:anchorId="7C61C5CF" wp14:editId="00D62259">
            <wp:extent cx="5709684" cy="3232150"/>
            <wp:effectExtent l="0" t="0" r="5715" b="6350"/>
            <wp:docPr id="21003107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10"/>
                    <a:srcRect r="2283"/>
                    <a:stretch/>
                  </pic:blipFill>
                  <pic:spPr bwMode="auto">
                    <a:xfrm>
                      <a:off x="0" y="0"/>
                      <a:ext cx="5733283" cy="3245509"/>
                    </a:xfrm>
                    <a:prstGeom prst="rect">
                      <a:avLst/>
                    </a:prstGeom>
                    <a:ln>
                      <a:noFill/>
                    </a:ln>
                    <a:extLst>
                      <a:ext uri="{53640926-AAD7-44D8-BBD7-CCE9431645EC}">
                        <a14:shadowObscured xmlns:a14="http://schemas.microsoft.com/office/drawing/2010/main"/>
                      </a:ext>
                    </a:extLst>
                  </pic:spPr>
                </pic:pic>
              </a:graphicData>
            </a:graphic>
          </wp:inline>
        </w:drawing>
      </w:r>
    </w:p>
    <w:p w14:paraId="3FFC0A96" w14:textId="77777777" w:rsidR="006012C1" w:rsidRDefault="00000000">
      <w:pPr>
        <w:pBdr>
          <w:top w:val="nil"/>
          <w:left w:val="nil"/>
          <w:bottom w:val="nil"/>
          <w:right w:val="nil"/>
          <w:between w:val="nil"/>
        </w:pBdr>
        <w:spacing w:line="240" w:lineRule="auto"/>
        <w:jc w:val="both"/>
        <w:rPr>
          <w:color w:val="000000"/>
        </w:rPr>
      </w:pPr>
      <w:r>
        <w:rPr>
          <w:b/>
          <w:color w:val="000000"/>
        </w:rPr>
        <w:t>Figure 2</w:t>
      </w:r>
      <w:r>
        <w:rPr>
          <w:color w:val="000000"/>
        </w:rPr>
        <w:t xml:space="preserve">. </w:t>
      </w:r>
      <w:r>
        <w:t xml:space="preserve">The modelling </w:t>
      </w:r>
      <w:r>
        <w:rPr>
          <w:color w:val="000000"/>
        </w:rPr>
        <w:t xml:space="preserve">process of the Multi-Task Gaussian Process (MTGP) </w:t>
      </w:r>
      <w:r>
        <w:t>based on original</w:t>
      </w:r>
      <w:r>
        <w:rPr>
          <w:color w:val="000000"/>
        </w:rPr>
        <w:t xml:space="preserve"> Land Surface Temperature (LST) images: (a) </w:t>
      </w:r>
      <w:r>
        <w:t>original 8-day</w:t>
      </w:r>
      <w:r>
        <w:rPr>
          <w:color w:val="000000"/>
        </w:rPr>
        <w:t xml:space="preserve"> LST of Aqua (MYD11A2) image with 1</w:t>
      </w:r>
      <w:r>
        <w:t xml:space="preserve"> k</w:t>
      </w:r>
      <w:r>
        <w:rPr>
          <w:color w:val="000000"/>
        </w:rPr>
        <w:t xml:space="preserve">m resolution at 01:30 on 18-25th February, 2022; (b) the MTGP </w:t>
      </w:r>
      <w:r>
        <w:t xml:space="preserve">modelling fill in missing data </w:t>
      </w:r>
      <w:r>
        <w:rPr>
          <w:color w:val="000000"/>
        </w:rPr>
        <w:t>a</w:t>
      </w:r>
      <w:r>
        <w:t xml:space="preserve">nd improved image resolution from 1 km to </w:t>
      </w:r>
      <w:r>
        <w:rPr>
          <w:color w:val="000000"/>
        </w:rPr>
        <w:t>500 m; (c) MTGP modelling process predictions were located within the 2-standard-deviation range; and (d) validation of LST prediction.</w:t>
      </w:r>
    </w:p>
    <w:p w14:paraId="56D935D3" w14:textId="6EDDD592" w:rsidR="00DC3CF5" w:rsidRDefault="00DC3CF5">
      <w:pPr>
        <w:pBdr>
          <w:top w:val="nil"/>
          <w:left w:val="nil"/>
          <w:bottom w:val="nil"/>
          <w:right w:val="nil"/>
          <w:between w:val="nil"/>
        </w:pBdr>
        <w:spacing w:line="240" w:lineRule="auto"/>
        <w:jc w:val="both"/>
        <w:rPr>
          <w:color w:val="000000"/>
        </w:rPr>
      </w:pPr>
      <w:r>
        <w:rPr>
          <w:color w:val="000000"/>
        </w:rPr>
        <w:lastRenderedPageBreak/>
        <w:t xml:space="preserve">As shown in </w:t>
      </w:r>
      <w:r>
        <w:rPr>
          <w:color w:val="0070C0"/>
        </w:rPr>
        <w:t>Fig. 2</w:t>
      </w:r>
      <w:r>
        <w:rPr>
          <w:color w:val="000000"/>
        </w:rPr>
        <w:t>, an example of original LST image and MTGP-predicted LST image demonstrates that the recovery process filled the missing values and popularised the resolution of the image by a factor of two. This modelling process was repeated 10,000 times to ensure robustness (</w:t>
      </w:r>
      <w:r>
        <w:rPr>
          <w:color w:val="0070C0"/>
        </w:rPr>
        <w:t>Pipia et al., 2021</w:t>
      </w:r>
      <w:r>
        <w:rPr>
          <w:color w:val="000000"/>
        </w:rPr>
        <w:t>). In this case, the missing data was filled and the spatial resolution of 1</w:t>
      </w:r>
      <w:r>
        <w:t xml:space="preserve"> k</w:t>
      </w:r>
      <w:r>
        <w:rPr>
          <w:color w:val="000000"/>
        </w:rPr>
        <w:t xml:space="preserve">m in the original LST image was popularised to be 500m in the MTGP-predicted LST image. The predictions were mostly within </w:t>
      </w:r>
      <w:r>
        <w:t xml:space="preserve">two </w:t>
      </w:r>
      <w:r>
        <w:rPr>
          <w:color w:val="000000"/>
        </w:rPr>
        <w:t>standard</w:t>
      </w:r>
      <w:r>
        <w:t xml:space="preserve"> </w:t>
      </w:r>
      <w:r>
        <w:rPr>
          <w:color w:val="000000"/>
        </w:rPr>
        <w:t xml:space="preserve">deviations, </w:t>
      </w:r>
      <w:r>
        <w:t xml:space="preserve">indicating that </w:t>
      </w:r>
      <w:r>
        <w:rPr>
          <w:color w:val="000000"/>
        </w:rPr>
        <w:t xml:space="preserve">the difference between original temperature and predicted temperature images was acceptable, with an </w:t>
      </w:r>
      <m:oMath>
        <m:sSup>
          <m:sSupPr>
            <m:ctrlPr>
              <w:rPr>
                <w:rFonts w:ascii="Cambria Math" w:eastAsia="Cambria Math" w:hAnsi="Cambria Math" w:cs="Cambria Math"/>
                <w:color w:val="000000"/>
              </w:rPr>
            </m:ctrlPr>
          </m:sSupPr>
          <m:e>
            <m:r>
              <w:rPr>
                <w:rFonts w:ascii="Cambria Math" w:eastAsia="Cambria Math" w:hAnsi="Cambria Math" w:cs="Cambria Math"/>
                <w:color w:val="000000"/>
              </w:rPr>
              <m:t>r</m:t>
            </m:r>
          </m:e>
          <m:sup>
            <m:r>
              <w:rPr>
                <w:rFonts w:ascii="Cambria Math" w:eastAsia="Cambria Math" w:hAnsi="Cambria Math" w:cs="Cambria Math"/>
                <w:color w:val="000000"/>
              </w:rPr>
              <m:t>2</m:t>
            </m:r>
          </m:sup>
        </m:sSup>
      </m:oMath>
      <w:r>
        <w:rPr>
          <w:color w:val="000000"/>
        </w:rPr>
        <w:t xml:space="preserve"> of 0.9439. </w:t>
      </w:r>
      <w:r w:rsidRPr="00C12AA2">
        <w:rPr>
          <w:color w:val="000000"/>
        </w:rPr>
        <w:t xml:space="preserve">Additionally, green metrics based on the Normalized Difference Vegetation Index (NDVI) at a 100 m × 100 m resolution were employed </w:t>
      </w:r>
      <w:r>
        <w:rPr>
          <w:color w:val="000000"/>
        </w:rPr>
        <w:t xml:space="preserve">in this study </w:t>
      </w:r>
      <w:r w:rsidRPr="00C12AA2">
        <w:rPr>
          <w:color w:val="000000"/>
        </w:rPr>
        <w:t>(</w:t>
      </w:r>
      <w:r w:rsidRPr="00BD06F8">
        <w:rPr>
          <w:color w:val="0070C0"/>
        </w:rPr>
        <w:t>Copernicus, 2023</w:t>
      </w:r>
      <w:r w:rsidRPr="00C12AA2">
        <w:rPr>
          <w:color w:val="000000"/>
        </w:rPr>
        <w:t xml:space="preserve">). To minimize uncertainty caused by cloud cover and shadows in the NDVI composition, clear-sky Sentinel-2 images from March 1st, </w:t>
      </w:r>
      <w:proofErr w:type="gramStart"/>
      <w:r w:rsidRPr="00C12AA2">
        <w:rPr>
          <w:color w:val="000000"/>
        </w:rPr>
        <w:t>2017</w:t>
      </w:r>
      <w:proofErr w:type="gramEnd"/>
      <w:r w:rsidRPr="00C12AA2">
        <w:rPr>
          <w:color w:val="000000"/>
        </w:rPr>
        <w:t xml:space="preserve"> and 2022 were selected, as they were the clearest and most </w:t>
      </w:r>
      <w:r>
        <w:rPr>
          <w:color w:val="000000"/>
        </w:rPr>
        <w:t xml:space="preserve">appropriate. This </w:t>
      </w:r>
      <w:r w:rsidRPr="00C12AA2">
        <w:rPr>
          <w:color w:val="000000"/>
        </w:rPr>
        <w:t>align</w:t>
      </w:r>
      <w:r>
        <w:rPr>
          <w:color w:val="000000"/>
        </w:rPr>
        <w:t>ed</w:t>
      </w:r>
      <w:r w:rsidRPr="00C12AA2">
        <w:rPr>
          <w:color w:val="000000"/>
        </w:rPr>
        <w:t xml:space="preserve"> well with the latent LST time series</w:t>
      </w:r>
      <w:r>
        <w:rPr>
          <w:color w:val="000000"/>
        </w:rPr>
        <w:t>.</w:t>
      </w:r>
    </w:p>
    <w:p w14:paraId="55B82F78" w14:textId="0B7A5BBF" w:rsidR="00161197" w:rsidRPr="00F51BFA" w:rsidRDefault="00161197" w:rsidP="008B1115">
      <w:pPr>
        <w:pBdr>
          <w:top w:val="nil"/>
          <w:left w:val="nil"/>
          <w:bottom w:val="nil"/>
          <w:right w:val="nil"/>
          <w:between w:val="nil"/>
        </w:pBdr>
        <w:spacing w:line="240" w:lineRule="auto"/>
        <w:jc w:val="both"/>
        <w:rPr>
          <w:b/>
          <w:bCs/>
        </w:rPr>
      </w:pPr>
      <w:bookmarkStart w:id="2" w:name="_Hlk194597077"/>
      <w:r w:rsidRPr="00F51BFA">
        <w:rPr>
          <w:b/>
          <w:bCs/>
        </w:rPr>
        <w:t>2.3.</w:t>
      </w:r>
      <w:r w:rsidR="008B1115">
        <w:rPr>
          <w:b/>
          <w:bCs/>
        </w:rPr>
        <w:t xml:space="preserve"> </w:t>
      </w:r>
      <w:r w:rsidRPr="00F51BFA">
        <w:rPr>
          <w:b/>
          <w:bCs/>
        </w:rPr>
        <w:t>Gini coefficient calculation</w:t>
      </w:r>
    </w:p>
    <w:p w14:paraId="75726810" w14:textId="0932A416" w:rsidR="00123521" w:rsidRDefault="00A17FDF" w:rsidP="00A17FDF">
      <w:pPr>
        <w:pBdr>
          <w:top w:val="nil"/>
          <w:left w:val="nil"/>
          <w:bottom w:val="nil"/>
          <w:right w:val="nil"/>
          <w:between w:val="nil"/>
        </w:pBdr>
        <w:spacing w:after="120" w:line="240" w:lineRule="auto"/>
        <w:jc w:val="both"/>
        <w:rPr>
          <w:color w:val="000000"/>
        </w:rPr>
      </w:pPr>
      <w:r>
        <w:t>F</w:t>
      </w:r>
      <w:r w:rsidR="00123521">
        <w:t xml:space="preserve">ollowing the methodology of </w:t>
      </w:r>
      <w:r w:rsidR="00123521">
        <w:rPr>
          <w:color w:val="0070C0"/>
        </w:rPr>
        <w:t xml:space="preserve">Chen et al. </w:t>
      </w:r>
      <w:r w:rsidR="00123521" w:rsidRPr="00D34850">
        <w:rPr>
          <w:color w:val="000000" w:themeColor="text1"/>
        </w:rPr>
        <w:t>(</w:t>
      </w:r>
      <w:r w:rsidR="00123521">
        <w:rPr>
          <w:color w:val="0070C0"/>
        </w:rPr>
        <w:t>2022</w:t>
      </w:r>
      <w:r w:rsidR="00123521" w:rsidRPr="00D34850">
        <w:rPr>
          <w:color w:val="000000" w:themeColor="text1"/>
        </w:rPr>
        <w:t>)</w:t>
      </w:r>
      <w:r w:rsidR="00123521">
        <w:rPr>
          <w:color w:val="0070C0"/>
        </w:rPr>
        <w:t xml:space="preserve"> </w:t>
      </w:r>
      <w:r w:rsidR="00123521">
        <w:t xml:space="preserve">as applied by </w:t>
      </w:r>
      <w:r w:rsidR="00123521">
        <w:rPr>
          <w:color w:val="0070C0"/>
        </w:rPr>
        <w:t xml:space="preserve">Song et al. </w:t>
      </w:r>
      <w:r w:rsidR="00123521">
        <w:t>(</w:t>
      </w:r>
      <w:r w:rsidR="00123521">
        <w:rPr>
          <w:color w:val="0070C0"/>
        </w:rPr>
        <w:t>2021</w:t>
      </w:r>
      <w:r w:rsidR="00123521">
        <w:t>), this study extracted non-agricultural green</w:t>
      </w:r>
      <w:r w:rsidR="00CB6317">
        <w:t xml:space="preserve">space </w:t>
      </w:r>
      <w:r w:rsidR="00123521">
        <w:t>– i.e., forest and trees, shrubland and grassland - to evaluate Gini coefficient results. Gini coefficient is used to quantify the magnitude of inequality in greenspace exposure, which</w:t>
      </w:r>
      <w:r w:rsidR="00123521" w:rsidRPr="00125A5D">
        <w:rPr>
          <w:color w:val="000000"/>
        </w:rPr>
        <w:t xml:space="preserve"> is mathematically derived from the Lorenz curve</w:t>
      </w:r>
      <w:r w:rsidR="00123521">
        <w:rPr>
          <w:color w:val="000000"/>
        </w:rPr>
        <w:t xml:space="preserve"> (</w:t>
      </w:r>
      <w:r w:rsidR="00123521" w:rsidRPr="00167C78">
        <w:rPr>
          <w:color w:val="0070C0"/>
        </w:rPr>
        <w:t xml:space="preserve">Fig. S1 </w:t>
      </w:r>
      <w:r w:rsidR="00123521" w:rsidRPr="00D34850">
        <w:rPr>
          <w:color w:val="000000" w:themeColor="text1"/>
        </w:rPr>
        <w:t>in</w:t>
      </w:r>
      <w:r w:rsidR="00123521" w:rsidRPr="00167C78">
        <w:rPr>
          <w:color w:val="0070C0"/>
        </w:rPr>
        <w:t xml:space="preserve"> Appendix</w:t>
      </w:r>
      <w:r w:rsidR="00123521">
        <w:rPr>
          <w:color w:val="0070C0"/>
        </w:rPr>
        <w:t>)</w:t>
      </w:r>
      <w:r w:rsidR="00123521" w:rsidRPr="00125A5D">
        <w:rPr>
          <w:color w:val="000000"/>
        </w:rPr>
        <w:t>.</w:t>
      </w:r>
      <w:r w:rsidR="00123521">
        <w:rPr>
          <w:color w:val="000000"/>
        </w:rPr>
        <w:t xml:space="preserve"> </w:t>
      </w:r>
      <w:r w:rsidR="00123521" w:rsidRPr="00451CE0">
        <w:rPr>
          <w:color w:val="000000"/>
        </w:rPr>
        <w:t xml:space="preserve">In </w:t>
      </w:r>
      <w:r w:rsidR="00123521">
        <w:rPr>
          <w:color w:val="000000"/>
        </w:rPr>
        <w:t>our study</w:t>
      </w:r>
      <w:r w:rsidR="00123521" w:rsidRPr="00451CE0">
        <w:rPr>
          <w:color w:val="000000"/>
        </w:rPr>
        <w:t xml:space="preserve">, the calculation of Gini coefficient </w:t>
      </w:r>
      <w:r w:rsidR="00123521">
        <w:rPr>
          <w:color w:val="000000"/>
        </w:rPr>
        <w:t>at neighbourhood scale</w:t>
      </w:r>
      <w:r w:rsidR="00123521" w:rsidRPr="00451CE0">
        <w:rPr>
          <w:color w:val="000000"/>
        </w:rPr>
        <w:t xml:space="preserve"> </w:t>
      </w:r>
      <w:r w:rsidR="00123521">
        <w:rPr>
          <w:color w:val="000000"/>
        </w:rPr>
        <w:t>calculated</w:t>
      </w:r>
      <w:r w:rsidR="00123521" w:rsidRPr="00451CE0">
        <w:rPr>
          <w:color w:val="000000"/>
        </w:rPr>
        <w:t xml:space="preserve"> </w:t>
      </w:r>
      <w:r w:rsidR="00123521">
        <w:rPr>
          <w:color w:val="000000"/>
        </w:rPr>
        <w:t xml:space="preserve">using the following </w:t>
      </w:r>
      <w:r w:rsidR="00123521" w:rsidRPr="00451CE0">
        <w:rPr>
          <w:color w:val="000000"/>
        </w:rPr>
        <w:t xml:space="preserve">three steps. </w:t>
      </w:r>
    </w:p>
    <w:p w14:paraId="410F3668" w14:textId="733997B6" w:rsidR="00123521" w:rsidRDefault="00123521" w:rsidP="00123521">
      <w:pPr>
        <w:pBdr>
          <w:top w:val="nil"/>
          <w:left w:val="nil"/>
          <w:bottom w:val="nil"/>
          <w:right w:val="nil"/>
          <w:between w:val="nil"/>
        </w:pBdr>
        <w:spacing w:after="120" w:line="240" w:lineRule="auto"/>
        <w:jc w:val="both"/>
        <w:rPr>
          <w:color w:val="000000"/>
        </w:rPr>
      </w:pPr>
      <w:r w:rsidRPr="00451CE0">
        <w:rPr>
          <w:color w:val="000000"/>
        </w:rPr>
        <w:t>Firstly, we defined a neighbourhood as a 500m×500m pixel.</w:t>
      </w:r>
      <w:r>
        <w:rPr>
          <w:color w:val="000000"/>
        </w:rPr>
        <w:t xml:space="preserve"> </w:t>
      </w:r>
      <w:r>
        <w:t>The</w:t>
      </w:r>
      <w:r>
        <w:rPr>
          <w:color w:val="000000"/>
        </w:rPr>
        <w:t xml:space="preserve"> 500m×500m pixel representing one neighbourhood align</w:t>
      </w:r>
      <w:r>
        <w:t>s</w:t>
      </w:r>
      <w:r>
        <w:rPr>
          <w:color w:val="000000"/>
        </w:rPr>
        <w:t xml:space="preserve"> with the MTGP-</w:t>
      </w:r>
      <w:r>
        <w:t xml:space="preserve">projected </w:t>
      </w:r>
      <w:r>
        <w:rPr>
          <w:color w:val="000000"/>
        </w:rPr>
        <w:t>LST resolution, and each neighbourhood consists of 25 gride cells (</w:t>
      </w:r>
      <w:r>
        <w:rPr>
          <w:color w:val="0070C0"/>
        </w:rPr>
        <w:t>Fig. 3c</w:t>
      </w:r>
      <w:r>
        <w:rPr>
          <w:color w:val="000000"/>
        </w:rPr>
        <w:t xml:space="preserve">). A grid cell </w:t>
      </w:r>
      <w:r w:rsidR="00CB6317">
        <w:rPr>
          <w:color w:val="000000"/>
        </w:rPr>
        <w:t>comprises</w:t>
      </w:r>
      <w:r>
        <w:rPr>
          <w:color w:val="000000"/>
        </w:rPr>
        <w:t xml:space="preserve"> is </w:t>
      </w:r>
      <w:r>
        <w:t>a</w:t>
      </w:r>
      <w:r>
        <w:rPr>
          <w:color w:val="000000"/>
        </w:rPr>
        <w:t xml:space="preserve"> 100m×100m pixel (</w:t>
      </w:r>
      <w:r>
        <w:rPr>
          <w:color w:val="0070C0"/>
        </w:rPr>
        <w:t>Fig. 3a</w:t>
      </w:r>
      <w:r>
        <w:rPr>
          <w:color w:val="000000"/>
        </w:rPr>
        <w:t>), c</w:t>
      </w:r>
      <w:r>
        <w:t>orresponding to</w:t>
      </w:r>
      <w:r>
        <w:rPr>
          <w:color w:val="000000"/>
        </w:rPr>
        <w:t xml:space="preserve"> population data resolution. </w:t>
      </w:r>
    </w:p>
    <w:p w14:paraId="7FA712B6" w14:textId="77777777" w:rsidR="00123521" w:rsidRDefault="00123521" w:rsidP="00123521">
      <w:pPr>
        <w:pBdr>
          <w:top w:val="nil"/>
          <w:left w:val="nil"/>
          <w:bottom w:val="nil"/>
          <w:right w:val="nil"/>
          <w:between w:val="nil"/>
        </w:pBdr>
        <w:spacing w:after="120" w:line="240" w:lineRule="auto"/>
        <w:jc w:val="both"/>
        <w:rPr>
          <w:color w:val="000000"/>
        </w:rPr>
      </w:pPr>
      <w:r>
        <w:rPr>
          <w:color w:val="000000"/>
        </w:rPr>
        <w:t>Secondly, we</w:t>
      </w:r>
      <w:r w:rsidRPr="004B6277">
        <w:rPr>
          <w:color w:val="000000"/>
        </w:rPr>
        <w:t xml:space="preserve"> calculate</w:t>
      </w:r>
      <w:r>
        <w:rPr>
          <w:color w:val="000000"/>
        </w:rPr>
        <w:t>d</w:t>
      </w:r>
      <w:r w:rsidRPr="004B6277">
        <w:rPr>
          <w:color w:val="000000"/>
        </w:rPr>
        <w:t xml:space="preserve"> the </w:t>
      </w:r>
      <w:r>
        <w:rPr>
          <w:color w:val="000000"/>
        </w:rPr>
        <w:t xml:space="preserve">greenspace access </w:t>
      </w:r>
      <w:r w:rsidRPr="004B6277">
        <w:rPr>
          <w:color w:val="000000"/>
        </w:rPr>
        <w:t xml:space="preserve">and </w:t>
      </w:r>
      <w:r>
        <w:rPr>
          <w:color w:val="000000"/>
        </w:rPr>
        <w:t xml:space="preserve">greenspace </w:t>
      </w:r>
      <w:r w:rsidRPr="004B6277">
        <w:rPr>
          <w:color w:val="000000"/>
        </w:rPr>
        <w:t>exposure values for</w:t>
      </w:r>
      <w:r>
        <w:rPr>
          <w:color w:val="000000"/>
        </w:rPr>
        <w:t xml:space="preserve"> 25 </w:t>
      </w:r>
      <w:r w:rsidRPr="004B6277">
        <w:rPr>
          <w:color w:val="000000"/>
        </w:rPr>
        <w:t xml:space="preserve">individual </w:t>
      </w:r>
      <w:r>
        <w:rPr>
          <w:color w:val="000000"/>
        </w:rPr>
        <w:t xml:space="preserve">grid cells in each neighbourhood. </w:t>
      </w:r>
      <w:r>
        <w:t xml:space="preserve">Greenspace access value refers as the total percentage of forests, trees, shrubland, and grassland within a grid cell’s accessible buffer zone </w:t>
      </w:r>
      <w:r>
        <w:rPr>
          <w:color w:val="000000"/>
        </w:rPr>
        <w:t>(</w:t>
      </w:r>
      <w:r w:rsidRPr="00AD3EA3">
        <w:rPr>
          <w:color w:val="0070C0"/>
        </w:rPr>
        <w:t>Fig. 3b</w:t>
      </w:r>
      <w:r>
        <w:rPr>
          <w:color w:val="000000"/>
        </w:rPr>
        <w:t>)</w:t>
      </w:r>
      <w:r>
        <w:t xml:space="preserve">. A value of 100% (best) and 0% (worst) indicates full and no greenspace coverage within the grid cell’s access radius, respectively. Greenspace exposure value is a composite metric that incorporates greenspace access area and population data to indicate how many people are exposed to how much greenspace area for this grid cell. </w:t>
      </w:r>
      <w:r>
        <w:rPr>
          <w:color w:val="000000"/>
        </w:rPr>
        <w:t>T</w:t>
      </w:r>
      <w:r>
        <w:t xml:space="preserve">he equation of calculating greenspace exposure is interpreted as Eq. (S2) in </w:t>
      </w:r>
      <w:r>
        <w:rPr>
          <w:color w:val="0070C0"/>
        </w:rPr>
        <w:t>Appendix</w:t>
      </w:r>
      <w:r>
        <w:rPr>
          <w:color w:val="000000"/>
        </w:rPr>
        <w:t xml:space="preserve">. </w:t>
      </w:r>
    </w:p>
    <w:p w14:paraId="4785D5A4" w14:textId="502FA15D" w:rsidR="00123521" w:rsidRDefault="00123521" w:rsidP="00123521">
      <w:pPr>
        <w:pBdr>
          <w:top w:val="nil"/>
          <w:left w:val="nil"/>
          <w:bottom w:val="nil"/>
          <w:right w:val="nil"/>
          <w:between w:val="nil"/>
        </w:pBdr>
        <w:spacing w:after="120" w:line="240" w:lineRule="auto"/>
        <w:jc w:val="both"/>
        <w:rPr>
          <w:color w:val="000000"/>
        </w:rPr>
      </w:pPr>
      <w:r>
        <w:rPr>
          <w:color w:val="000000"/>
        </w:rPr>
        <w:t>Thirdly,</w:t>
      </w:r>
      <w:r>
        <w:t xml:space="preserve"> w</w:t>
      </w:r>
      <w:r w:rsidRPr="001F0174">
        <w:t xml:space="preserve">e </w:t>
      </w:r>
      <w:r>
        <w:t xml:space="preserve">upscaled from grid cell level to neighbourhood level to </w:t>
      </w:r>
      <w:r w:rsidRPr="001F0174">
        <w:t xml:space="preserve">compute </w:t>
      </w:r>
      <w:r>
        <w:t>a</w:t>
      </w:r>
      <w:r w:rsidRPr="001F0174">
        <w:t xml:space="preserve"> Gini coefficient</w:t>
      </w:r>
      <w:r>
        <w:t xml:space="preserve"> (0~1)</w:t>
      </w:r>
      <w:r w:rsidRPr="001F0174">
        <w:t xml:space="preserve"> for each neighbourhood based on greenspace exposure values </w:t>
      </w:r>
      <w:r>
        <w:t>from</w:t>
      </w:r>
      <w:r w:rsidRPr="001F0174">
        <w:t xml:space="preserve"> </w:t>
      </w:r>
      <w:r>
        <w:t xml:space="preserve">corresponding </w:t>
      </w:r>
      <w:r w:rsidRPr="001F0174">
        <w:t xml:space="preserve">25 individual </w:t>
      </w:r>
      <w:r>
        <w:t xml:space="preserve">grid cells. </w:t>
      </w:r>
      <w:r>
        <w:rPr>
          <w:color w:val="000000"/>
        </w:rPr>
        <w:t xml:space="preserve">R Studio version 4.3.2 </w:t>
      </w:r>
      <w:r>
        <w:t>with</w:t>
      </w:r>
      <w:r>
        <w:rPr>
          <w:color w:val="000000"/>
        </w:rPr>
        <w:t xml:space="preserve"> code snippers </w:t>
      </w:r>
      <w:r>
        <w:t xml:space="preserve">from </w:t>
      </w:r>
      <w:r>
        <w:rPr>
          <w:color w:val="0070C0"/>
        </w:rPr>
        <w:t xml:space="preserve">Chen et al. </w:t>
      </w:r>
      <w:r w:rsidRPr="008F5674">
        <w:t>(</w:t>
      </w:r>
      <w:r>
        <w:rPr>
          <w:color w:val="0070C0"/>
        </w:rPr>
        <w:t>2022</w:t>
      </w:r>
      <w:r w:rsidRPr="008F5674">
        <w:t>)</w:t>
      </w:r>
      <w:r>
        <w:t xml:space="preserve"> was applied to calculate, as</w:t>
      </w:r>
      <w:r w:rsidR="00CB6317">
        <w:t xml:space="preserve"> first page of</w:t>
      </w:r>
      <w:r>
        <w:t xml:space="preserve"> </w:t>
      </w:r>
      <w:r>
        <w:rPr>
          <w:color w:val="0070C0"/>
        </w:rPr>
        <w:t>Appendix</w:t>
      </w:r>
      <w:r>
        <w:t xml:space="preserve">. A </w:t>
      </w:r>
      <w:r>
        <w:rPr>
          <w:color w:val="000000"/>
        </w:rPr>
        <w:t xml:space="preserve">higher Gini coefficient indicates a higher inequality in greenspace exposure. In other words, this is a neighbourhood where greenspace exposure </w:t>
      </w:r>
      <w:r w:rsidRPr="00D540EA">
        <w:t>is found in disproportionately higher</w:t>
      </w:r>
      <w:r>
        <w:t xml:space="preserve"> values</w:t>
      </w:r>
      <w:r w:rsidRPr="00D540EA">
        <w:t xml:space="preserve"> in some </w:t>
      </w:r>
      <w:r>
        <w:t>grid cells</w:t>
      </w:r>
      <w:r w:rsidRPr="00D540EA">
        <w:t xml:space="preserve"> over others</w:t>
      </w:r>
      <w:r>
        <w:t xml:space="preserve">, as examples in </w:t>
      </w:r>
      <w:r w:rsidRPr="000E0762">
        <w:rPr>
          <w:color w:val="0070C0"/>
        </w:rPr>
        <w:t>Fig. 3d</w:t>
      </w:r>
      <w:r>
        <w:rPr>
          <w:color w:val="0070C0"/>
        </w:rPr>
        <w:t xml:space="preserve"> </w:t>
      </w:r>
      <w:r>
        <w:rPr>
          <w:color w:val="000000"/>
        </w:rPr>
        <w:t>(</w:t>
      </w:r>
      <w:r>
        <w:rPr>
          <w:color w:val="0070C0"/>
        </w:rPr>
        <w:t>Guan et al., 2023</w:t>
      </w:r>
      <w:r>
        <w:rPr>
          <w:color w:val="000000"/>
        </w:rPr>
        <w:t>)</w:t>
      </w:r>
      <w:r>
        <w:t xml:space="preserve">. </w:t>
      </w:r>
    </w:p>
    <w:p w14:paraId="37948C9F" w14:textId="77777777" w:rsidR="007C52B1" w:rsidRDefault="00123521" w:rsidP="00123521">
      <w:pPr>
        <w:pBdr>
          <w:top w:val="nil"/>
          <w:left w:val="nil"/>
          <w:bottom w:val="nil"/>
          <w:right w:val="nil"/>
          <w:between w:val="nil"/>
        </w:pBdr>
        <w:spacing w:line="240" w:lineRule="auto"/>
        <w:jc w:val="both"/>
      </w:pPr>
      <w:r>
        <w:t>A</w:t>
      </w:r>
      <w:r w:rsidRPr="00F8472A">
        <w:t xml:space="preserve"> 300m </w:t>
      </w:r>
      <w:r>
        <w:t xml:space="preserve">was selected as </w:t>
      </w:r>
      <w:r w:rsidRPr="00F8472A">
        <w:t>buffer radius</w:t>
      </w:r>
      <w:r>
        <w:t xml:space="preserve"> to calculate the accessible greenspace area for individual grid cells</w:t>
      </w:r>
      <w:r w:rsidRPr="00F8472A">
        <w:t>. To assess</w:t>
      </w:r>
      <w:r>
        <w:t xml:space="preserve"> sensitivity</w:t>
      </w:r>
      <w:r w:rsidRPr="00F8472A">
        <w:t xml:space="preserve">, </w:t>
      </w:r>
      <w:r>
        <w:t xml:space="preserve">greenspace access and greenspace exposure values </w:t>
      </w:r>
      <w:r w:rsidRPr="00F8472A">
        <w:t xml:space="preserve">for each </w:t>
      </w:r>
      <w:r>
        <w:t>grid cell</w:t>
      </w:r>
      <w:r w:rsidRPr="00F8472A">
        <w:t xml:space="preserve"> across the city were calculated using four different buffer </w:t>
      </w:r>
      <w:r>
        <w:t>radiuses which estimated within 15-min walk distance: 100m (</w:t>
      </w:r>
      <w:r>
        <w:rPr>
          <w:color w:val="3174AF"/>
        </w:rPr>
        <w:t>Chen et al., 2022</w:t>
      </w:r>
      <w:r>
        <w:t>), 300m (</w:t>
      </w:r>
      <w:r>
        <w:rPr>
          <w:color w:val="0070C0"/>
        </w:rPr>
        <w:t xml:space="preserve">Guan et al., 2023), </w:t>
      </w:r>
      <w:r>
        <w:t>500m (</w:t>
      </w:r>
      <w:r>
        <w:rPr>
          <w:color w:val="0070C0"/>
        </w:rPr>
        <w:t>Wang et al., 2019</w:t>
      </w:r>
      <w:r>
        <w:t>) and 700m (</w:t>
      </w:r>
      <w:r>
        <w:rPr>
          <w:color w:val="0070C0"/>
        </w:rPr>
        <w:t>Trust for Public Land, 2022</w:t>
      </w:r>
      <w:r>
        <w:t xml:space="preserve">). Thus, a </w:t>
      </w:r>
      <w:r w:rsidRPr="00F8472A">
        <w:t xml:space="preserve">Gini coefficient </w:t>
      </w:r>
      <w:r>
        <w:t>for each neighbourhood could be calculated. Four times of Gini results across Antananarivo’s neighbourhoods were significantly different due to radius change, particularly between radius of 100m and 300m as the Kruskal-</w:t>
      </w:r>
      <w:proofErr w:type="spellStart"/>
      <w:r>
        <w:t>wallis</w:t>
      </w:r>
      <w:proofErr w:type="spellEnd"/>
      <w:r>
        <w:t xml:space="preserve"> test (</w:t>
      </w:r>
      <w:r>
        <w:rPr>
          <w:i/>
        </w:rPr>
        <w:t xml:space="preserve">p </w:t>
      </w:r>
      <w:r>
        <w:t>&lt;0.05) (</w:t>
      </w:r>
      <w:r>
        <w:rPr>
          <w:color w:val="0070C0"/>
        </w:rPr>
        <w:t xml:space="preserve">Fig. S2 </w:t>
      </w:r>
      <w:r w:rsidRPr="00D34850">
        <w:rPr>
          <w:color w:val="000000" w:themeColor="text1"/>
        </w:rPr>
        <w:t>in</w:t>
      </w:r>
      <w:r>
        <w:rPr>
          <w:color w:val="0070C0"/>
        </w:rPr>
        <w:t xml:space="preserve"> Appendix</w:t>
      </w:r>
      <w:r>
        <w:t>). Therefore, a radius of 300m was found to be most appropriate for Gini coefficient analysis in Antananarivo.</w:t>
      </w:r>
      <w:bookmarkEnd w:id="2"/>
    </w:p>
    <w:p w14:paraId="2F33267B" w14:textId="0A08D92D" w:rsidR="006012C1" w:rsidRDefault="007C52B1" w:rsidP="00123521">
      <w:pPr>
        <w:pBdr>
          <w:top w:val="nil"/>
          <w:left w:val="nil"/>
          <w:bottom w:val="nil"/>
          <w:right w:val="nil"/>
          <w:between w:val="nil"/>
        </w:pBdr>
        <w:spacing w:line="240" w:lineRule="auto"/>
        <w:jc w:val="both"/>
        <w:rPr>
          <w:color w:val="000000"/>
        </w:rPr>
      </w:pPr>
      <w:r>
        <w:rPr>
          <w:noProof/>
          <w:color w:val="000000"/>
        </w:rPr>
        <w:lastRenderedPageBreak/>
        <w:drawing>
          <wp:inline distT="0" distB="0" distL="0" distR="0" wp14:anchorId="7B983074" wp14:editId="39C307A3">
            <wp:extent cx="5720080" cy="4061460"/>
            <wp:effectExtent l="0" t="0" r="0" b="0"/>
            <wp:docPr id="11607168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0080" cy="4061460"/>
                    </a:xfrm>
                    <a:prstGeom prst="rect">
                      <a:avLst/>
                    </a:prstGeom>
                    <a:noFill/>
                    <a:ln>
                      <a:noFill/>
                    </a:ln>
                  </pic:spPr>
                </pic:pic>
              </a:graphicData>
            </a:graphic>
          </wp:inline>
        </w:drawing>
      </w:r>
    </w:p>
    <w:p w14:paraId="74EEDD5A" w14:textId="37BFB45E" w:rsidR="006012C1" w:rsidRDefault="00000000" w:rsidP="008A6073">
      <w:pPr>
        <w:pBdr>
          <w:top w:val="nil"/>
          <w:left w:val="nil"/>
          <w:bottom w:val="nil"/>
          <w:right w:val="nil"/>
          <w:between w:val="nil"/>
        </w:pBdr>
        <w:spacing w:before="160" w:line="240" w:lineRule="auto"/>
        <w:jc w:val="both"/>
        <w:rPr>
          <w:color w:val="000000"/>
        </w:rPr>
      </w:pPr>
      <w:r>
        <w:rPr>
          <w:b/>
        </w:rPr>
        <w:t>Figure 3</w:t>
      </w:r>
      <w:r>
        <w:rPr>
          <w:color w:val="000000"/>
        </w:rPr>
        <w:t xml:space="preserve">. </w:t>
      </w:r>
      <w:r>
        <w:t>D</w:t>
      </w:r>
      <w:r>
        <w:rPr>
          <w:color w:val="000000"/>
        </w:rPr>
        <w:t xml:space="preserve">iagram of (a) a </w:t>
      </w:r>
      <w:r w:rsidR="00123521">
        <w:t>grid cell</w:t>
      </w:r>
      <w:r>
        <w:rPr>
          <w:color w:val="000000"/>
        </w:rPr>
        <w:t xml:space="preserve"> unit, (b) </w:t>
      </w:r>
      <w:r>
        <w:t>access to greenspace at radiuses of 100m, 300m, 500m, 700m</w:t>
      </w:r>
      <w:r>
        <w:rPr>
          <w:color w:val="000000"/>
        </w:rPr>
        <w:t xml:space="preserve">, (c) a neighbourhood </w:t>
      </w:r>
      <w:r>
        <w:t xml:space="preserve">consists of 25 </w:t>
      </w:r>
      <w:r w:rsidR="00123521">
        <w:t>grid cells</w:t>
      </w:r>
      <w:r>
        <w:rPr>
          <w:color w:val="000000"/>
        </w:rPr>
        <w:t xml:space="preserve">, and (d) </w:t>
      </w:r>
      <w:r>
        <w:t>an</w:t>
      </w:r>
      <w:r>
        <w:rPr>
          <w:color w:val="000000"/>
        </w:rPr>
        <w:t xml:space="preserve"> example of Gini coefficient with different greenspace patterns, </w:t>
      </w:r>
      <w:r>
        <w:t xml:space="preserve">as applied by </w:t>
      </w:r>
      <w:r>
        <w:rPr>
          <w:color w:val="0070C0"/>
        </w:rPr>
        <w:t xml:space="preserve">Guan et al. </w:t>
      </w:r>
      <w:r>
        <w:t>(</w:t>
      </w:r>
      <w:r>
        <w:rPr>
          <w:color w:val="0070C0"/>
        </w:rPr>
        <w:t>2023</w:t>
      </w:r>
      <w:r>
        <w:rPr>
          <w:color w:val="010205"/>
        </w:rPr>
        <w:t>)</w:t>
      </w:r>
      <w:r>
        <w:rPr>
          <w:color w:val="000000"/>
        </w:rPr>
        <w:t>.</w:t>
      </w:r>
    </w:p>
    <w:p w14:paraId="00AA187D" w14:textId="77777777" w:rsidR="00D77989" w:rsidRPr="00F51BFA" w:rsidRDefault="00D77989" w:rsidP="00D77989">
      <w:pPr>
        <w:pBdr>
          <w:top w:val="nil"/>
          <w:left w:val="nil"/>
          <w:bottom w:val="nil"/>
          <w:right w:val="nil"/>
          <w:between w:val="nil"/>
        </w:pBdr>
        <w:spacing w:line="240" w:lineRule="auto"/>
        <w:jc w:val="both"/>
        <w:rPr>
          <w:b/>
        </w:rPr>
      </w:pPr>
      <w:r w:rsidRPr="00F51BFA">
        <w:rPr>
          <w:b/>
        </w:rPr>
        <w:t>2.</w:t>
      </w:r>
      <w:r>
        <w:rPr>
          <w:b/>
        </w:rPr>
        <w:t>4</w:t>
      </w:r>
      <w:r w:rsidRPr="00F51BFA">
        <w:rPr>
          <w:b/>
        </w:rPr>
        <w:t xml:space="preserve"> Neighbourhoods definitio</w:t>
      </w:r>
      <w:r>
        <w:rPr>
          <w:b/>
        </w:rPr>
        <w:t>n</w:t>
      </w:r>
    </w:p>
    <w:p w14:paraId="050D2123" w14:textId="6B208EB0" w:rsidR="00D77989" w:rsidRPr="00D77989" w:rsidRDefault="00D77989" w:rsidP="00D77989">
      <w:pPr>
        <w:pBdr>
          <w:top w:val="nil"/>
          <w:left w:val="nil"/>
          <w:bottom w:val="nil"/>
          <w:right w:val="nil"/>
          <w:between w:val="nil"/>
        </w:pBdr>
        <w:spacing w:line="240" w:lineRule="auto"/>
        <w:jc w:val="both"/>
      </w:pPr>
      <w:r>
        <w:t>The Jenks natural-break classification method (</w:t>
      </w:r>
      <w:r>
        <w:rPr>
          <w:color w:val="0563C1"/>
        </w:rPr>
        <w:t>Jenks, 1967</w:t>
      </w:r>
      <w:r>
        <w:t>)</w:t>
      </w:r>
      <w:r w:rsidRPr="003708EC">
        <w:t xml:space="preserve"> </w:t>
      </w:r>
      <w:r>
        <w:t>was used to group Gini coefficient results, as</w:t>
      </w:r>
      <w:r w:rsidRPr="00655A5F">
        <w:t xml:space="preserve"> it optimally identifies natural groupings within the data by minimizing within-class variance and maximizing between-class variance</w:t>
      </w:r>
      <w:r>
        <w:t>. Subsequently,</w:t>
      </w:r>
      <w:r w:rsidRPr="00953E2E">
        <w:t xml:space="preserve"> Kruskal-Wallis and Spearman analyses indicated a significant association between Gini coefficient groupings and latent LST, revealing notable disparities in LST variation when </w:t>
      </w:r>
      <w:r>
        <w:t>Gini coefficients</w:t>
      </w:r>
      <w:r w:rsidRPr="00953E2E">
        <w:t xml:space="preserve"> were categorized into two groups (</w:t>
      </w:r>
      <w:r w:rsidRPr="00953E2E">
        <w:rPr>
          <w:i/>
          <w:iCs/>
        </w:rPr>
        <w:t>p</w:t>
      </w:r>
      <w:r w:rsidRPr="00953E2E">
        <w:t>&lt;0.0</w:t>
      </w:r>
      <w:r>
        <w:t>1</w:t>
      </w:r>
      <w:r w:rsidRPr="00953E2E">
        <w:t xml:space="preserve">), compared to one or </w:t>
      </w:r>
      <w:r>
        <w:t>multiple (i.e. three)</w:t>
      </w:r>
      <w:r w:rsidRPr="00953E2E">
        <w:t xml:space="preserve"> types (</w:t>
      </w:r>
      <w:r w:rsidRPr="00953E2E">
        <w:rPr>
          <w:i/>
          <w:iCs/>
        </w:rPr>
        <w:t>p</w:t>
      </w:r>
      <w:r w:rsidRPr="00953E2E">
        <w:t>&gt;0.05)</w:t>
      </w:r>
      <w:r>
        <w:t xml:space="preserve"> (</w:t>
      </w:r>
      <w:r w:rsidRPr="002522DA">
        <w:rPr>
          <w:color w:val="0070C0"/>
        </w:rPr>
        <w:t>Table S3</w:t>
      </w:r>
      <w:r>
        <w:t>)</w:t>
      </w:r>
      <w:r w:rsidRPr="00953E2E">
        <w:t>.</w:t>
      </w:r>
      <w:r>
        <w:t xml:space="preserve"> As determined groups, neighbourhoods with a higher Gini (Gini&gt;0.38) are considered as the first type.  In such neighbourhood, </w:t>
      </w:r>
      <w:r>
        <w:rPr>
          <w:color w:val="000000"/>
        </w:rPr>
        <w:t xml:space="preserve">greenspace exposure </w:t>
      </w:r>
      <w:r w:rsidRPr="00D540EA">
        <w:t>is disproportionately higher</w:t>
      </w:r>
      <w:r>
        <w:t xml:space="preserve"> </w:t>
      </w:r>
      <w:r w:rsidRPr="00D540EA">
        <w:t xml:space="preserve">in some </w:t>
      </w:r>
      <w:r>
        <w:t>grid cells</w:t>
      </w:r>
      <w:r w:rsidRPr="00D540EA">
        <w:t xml:space="preserve"> over others</w:t>
      </w:r>
      <w:r>
        <w:t xml:space="preserve">, labelled as "vulnerable neighbourhoods". Conversely, neighbourhoods with Gini &lt;0.38 are classified as second type where </w:t>
      </w:r>
      <w:r>
        <w:rPr>
          <w:color w:val="000000"/>
        </w:rPr>
        <w:t xml:space="preserve">greenspace exposure </w:t>
      </w:r>
      <w:r w:rsidRPr="00D540EA">
        <w:t xml:space="preserve">is </w:t>
      </w:r>
      <w:r>
        <w:t>relatively even in values across</w:t>
      </w:r>
      <w:r w:rsidRPr="00D77989">
        <w:t xml:space="preserve"> </w:t>
      </w:r>
      <w:r>
        <w:t xml:space="preserve">grid cells, categorized as "equal neighbourhoods". </w:t>
      </w:r>
    </w:p>
    <w:p w14:paraId="36F8FC0B" w14:textId="5CF33B03" w:rsidR="007777EA" w:rsidRDefault="00101A96" w:rsidP="007777EA">
      <w:pPr>
        <w:pBdr>
          <w:top w:val="nil"/>
          <w:left w:val="nil"/>
          <w:bottom w:val="nil"/>
          <w:right w:val="nil"/>
          <w:between w:val="nil"/>
        </w:pBdr>
        <w:spacing w:line="240" w:lineRule="auto"/>
        <w:jc w:val="both"/>
        <w:rPr>
          <w:b/>
          <w:color w:val="000000"/>
        </w:rPr>
      </w:pPr>
      <w:r>
        <w:rPr>
          <w:b/>
          <w:color w:val="000000"/>
        </w:rPr>
        <w:t>2.</w:t>
      </w:r>
      <w:r w:rsidR="008B1115">
        <w:rPr>
          <w:b/>
          <w:color w:val="000000"/>
        </w:rPr>
        <w:t>5</w:t>
      </w:r>
      <w:r>
        <w:rPr>
          <w:b/>
          <w:color w:val="000000"/>
        </w:rPr>
        <w:t xml:space="preserve"> </w:t>
      </w:r>
      <w:r w:rsidR="007777EA">
        <w:rPr>
          <w:b/>
          <w:color w:val="000000"/>
        </w:rPr>
        <w:t>Neighbourhoods c</w:t>
      </w:r>
      <w:r>
        <w:rPr>
          <w:b/>
          <w:color w:val="000000"/>
        </w:rPr>
        <w:t xml:space="preserve">ooling </w:t>
      </w:r>
      <w:r w:rsidR="008B1115">
        <w:rPr>
          <w:b/>
          <w:color w:val="000000"/>
        </w:rPr>
        <w:t>efficiency and threshold</w:t>
      </w:r>
    </w:p>
    <w:p w14:paraId="79549DB5" w14:textId="1967315C" w:rsidR="00C07063" w:rsidRDefault="00C07063" w:rsidP="00C07063">
      <w:pPr>
        <w:pBdr>
          <w:top w:val="nil"/>
          <w:left w:val="nil"/>
          <w:bottom w:val="nil"/>
          <w:right w:val="nil"/>
          <w:between w:val="nil"/>
        </w:pBdr>
        <w:spacing w:line="240" w:lineRule="auto"/>
        <w:jc w:val="both"/>
      </w:pPr>
      <w:r>
        <w:t>Four steps were employed to detect the cooling disparities between vulnerable and equal neighbourhoods. First, a suite of variables was used to examine the characteristics of neighbourhoods, and their associations with LST. The seven variables included: urbanization level (percentage of build-up area), population size, altitude, NDVI, greenspace</w:t>
      </w:r>
      <w:r w:rsidR="00CB6317">
        <w:t xml:space="preserve"> percentage</w:t>
      </w:r>
      <w:r>
        <w:t xml:space="preserve"> (forest and tree cover, shrubland and grassland), agriculture </w:t>
      </w:r>
      <w:r w:rsidR="00CB6317">
        <w:t>land percentage</w:t>
      </w:r>
      <w:r>
        <w:t>, and water</w:t>
      </w:r>
      <w:r w:rsidR="00123521">
        <w:t xml:space="preserve"> </w:t>
      </w:r>
      <w:r>
        <w:t>bodies and wetlands</w:t>
      </w:r>
      <w:r w:rsidR="00CB6317">
        <w:t xml:space="preserve"> percentage</w:t>
      </w:r>
      <w:r>
        <w:t>. Pearson’s correlation was calculated to assess their relationship with LST.</w:t>
      </w:r>
      <w:r w:rsidRPr="00134E97">
        <w:t xml:space="preserve"> </w:t>
      </w:r>
      <w:r>
        <w:t>Variables with a p-value less than 0.05 would be identified</w:t>
      </w:r>
      <w:r w:rsidR="009D0F35">
        <w:t xml:space="preserve"> (</w:t>
      </w:r>
      <w:r w:rsidR="009D0F35" w:rsidRPr="00CB6317">
        <w:rPr>
          <w:color w:val="0070C0"/>
        </w:rPr>
        <w:t>Andrade, 2019</w:t>
      </w:r>
      <w:r w:rsidR="009D0F35">
        <w:t>)</w:t>
      </w:r>
      <w:r>
        <w:t xml:space="preserve">. Second, collinearity was tested among these identified variables. The variables with </w:t>
      </w:r>
      <w:r w:rsidR="00CB6317" w:rsidRPr="00CB6317">
        <w:t xml:space="preserve">Variance Inflation Factor </w:t>
      </w:r>
      <w:r w:rsidR="00CB6317">
        <w:t>(</w:t>
      </w:r>
      <w:r>
        <w:t>VIF</w:t>
      </w:r>
      <w:r w:rsidR="00CB6317">
        <w:t>)</w:t>
      </w:r>
      <w:r>
        <w:t xml:space="preserve"> value less than 10 suggest no multi-collinearity among them. Third, the multiple linear regression models based on ordinary leas</w:t>
      </w:r>
      <w:r w:rsidR="00123521">
        <w:t>t</w:t>
      </w:r>
      <w:r>
        <w:t xml:space="preserve"> square was </w:t>
      </w:r>
      <w:r>
        <w:lastRenderedPageBreak/>
        <w:t>empl</w:t>
      </w:r>
      <w:r w:rsidR="00123521">
        <w:t>oy</w:t>
      </w:r>
      <w:r>
        <w:t xml:space="preserve">ed to investigate the association between variables (VIF&lt;10) and LST in both equal and vulnerable neighbourhoods based on rule of </w:t>
      </w:r>
      <m:oMath>
        <m:sSup>
          <m:sSupPr>
            <m:ctrlPr>
              <w:rPr>
                <w:rFonts w:ascii="Cambria Math" w:hAnsi="Cambria Math"/>
                <w:i/>
              </w:rPr>
            </m:ctrlPr>
          </m:sSupPr>
          <m:e>
            <m:r>
              <w:rPr>
                <w:rFonts w:ascii="Cambria Math" w:hAnsi="Cambria Math"/>
              </w:rPr>
              <m:t>r</m:t>
            </m:r>
          </m:e>
          <m:sup>
            <m:r>
              <w:rPr>
                <w:rFonts w:ascii="Cambria Math" w:hAnsi="Cambria Math"/>
              </w:rPr>
              <m:t>2</m:t>
            </m:r>
          </m:sup>
        </m:sSup>
      </m:oMath>
      <w:r>
        <w:t xml:space="preserve">&gt;0.25 and </w:t>
      </w:r>
      <w:r w:rsidRPr="00CB6317">
        <w:rPr>
          <w:i/>
          <w:iCs/>
        </w:rPr>
        <w:t>p</w:t>
      </w:r>
      <w:r>
        <w:t>&lt;0.01 (</w:t>
      </w:r>
      <w:r w:rsidRPr="00FB3A52">
        <w:rPr>
          <w:color w:val="0070C0"/>
        </w:rPr>
        <w:t>Han et al. 2020</w:t>
      </w:r>
      <w:r>
        <w:t xml:space="preserve">). </w:t>
      </w:r>
    </w:p>
    <w:p w14:paraId="45AC4056" w14:textId="3D2E35AB" w:rsidR="002664A5" w:rsidRPr="00407C88" w:rsidRDefault="00FB3A52" w:rsidP="002664A5">
      <w:pPr>
        <w:pBdr>
          <w:top w:val="nil"/>
          <w:left w:val="nil"/>
          <w:bottom w:val="nil"/>
          <w:right w:val="nil"/>
          <w:between w:val="nil"/>
        </w:pBdr>
        <w:spacing w:after="120" w:line="240" w:lineRule="auto"/>
        <w:jc w:val="both"/>
        <w:rPr>
          <w:color w:val="000000"/>
        </w:rPr>
      </w:pPr>
      <w:r>
        <w:t xml:space="preserve">Finally, </w:t>
      </w:r>
      <w:r w:rsidR="00101A96">
        <w:t>increasing ecological space tends to reduce in LST in a linear or logarithmic fashion</w:t>
      </w:r>
      <w:r w:rsidR="00334900">
        <w:t>. This</w:t>
      </w:r>
      <w:r w:rsidR="00101A96">
        <w:rPr>
          <w:color w:val="000000"/>
        </w:rPr>
        <w:t xml:space="preserve"> linear or logarithmic relationship between an influencing factor (x) and LST (y) </w:t>
      </w:r>
      <w:proofErr w:type="gramStart"/>
      <w:r w:rsidR="00123521">
        <w:rPr>
          <w:color w:val="000000"/>
        </w:rPr>
        <w:t xml:space="preserve">is </w:t>
      </w:r>
      <w:r w:rsidR="00334900">
        <w:rPr>
          <w:color w:val="000000"/>
        </w:rPr>
        <w:t>able to</w:t>
      </w:r>
      <w:proofErr w:type="gramEnd"/>
      <w:r w:rsidR="00101A96">
        <w:rPr>
          <w:color w:val="000000"/>
        </w:rPr>
        <w:t xml:space="preserve"> identify </w:t>
      </w:r>
      <w:r w:rsidR="00101A96">
        <w:t>the absolute threshold of cooling (</w:t>
      </w:r>
      <w:proofErr w:type="spellStart"/>
      <w:r w:rsidR="00101A96">
        <w:t>ToCabs</w:t>
      </w:r>
      <w:proofErr w:type="spellEnd"/>
      <w:r w:rsidR="00101A96">
        <w:t>)</w:t>
      </w:r>
      <w:r w:rsidR="00D32F9C">
        <w:t xml:space="preserve"> (</w:t>
      </w:r>
      <w:r w:rsidR="00D32F9C">
        <w:rPr>
          <w:color w:val="0070C0"/>
        </w:rPr>
        <w:t>Zhou et al. 2022</w:t>
      </w:r>
      <w:r w:rsidR="00D32F9C">
        <w:t>)</w:t>
      </w:r>
      <w:r w:rsidR="00101A96">
        <w:rPr>
          <w:color w:val="000000"/>
        </w:rPr>
        <w:t xml:space="preserve">. In this case, we </w:t>
      </w:r>
      <w:r w:rsidR="00D9718B">
        <w:rPr>
          <w:color w:val="000000"/>
        </w:rPr>
        <w:t xml:space="preserve">detected </w:t>
      </w:r>
      <w:r w:rsidR="00123521">
        <w:rPr>
          <w:color w:val="000000"/>
        </w:rPr>
        <w:t xml:space="preserve">the </w:t>
      </w:r>
      <w:r w:rsidR="00A50029">
        <w:rPr>
          <w:color w:val="000000"/>
        </w:rPr>
        <w:t xml:space="preserve">dominant cooling role of </w:t>
      </w:r>
      <w:r w:rsidR="00101A96">
        <w:rPr>
          <w:color w:val="000000"/>
        </w:rPr>
        <w:t xml:space="preserve">ecological space coverage </w:t>
      </w:r>
      <w:r w:rsidR="00D32F9C">
        <w:rPr>
          <w:color w:val="000000"/>
        </w:rPr>
        <w:t xml:space="preserve">from multiple linear regression models </w:t>
      </w:r>
      <w:r w:rsidR="00101A96">
        <w:rPr>
          <w:color w:val="000000"/>
        </w:rPr>
        <w:t xml:space="preserve">as the influencing factor (x). </w:t>
      </w:r>
      <w:proofErr w:type="spellStart"/>
      <w:r w:rsidR="00101A96">
        <w:rPr>
          <w:color w:val="000000"/>
        </w:rPr>
        <w:t>ToCabs</w:t>
      </w:r>
      <w:proofErr w:type="spellEnd"/>
      <w:r w:rsidR="00101A96">
        <w:rPr>
          <w:color w:val="000000"/>
        </w:rPr>
        <w:t xml:space="preserve"> represents the intersection between the temperature reference line (Tref) and the trend line, indicating that effective cooling (</w:t>
      </w:r>
      <w:r w:rsidR="00101A96">
        <w:rPr>
          <w:rFonts w:ascii="Cambria Math" w:eastAsia="Cambria Math" w:hAnsi="Cambria Math" w:cs="Cambria Math"/>
          <w:color w:val="000000"/>
        </w:rPr>
        <w:t>△</w:t>
      </w:r>
      <w:r w:rsidR="00101A96">
        <w:rPr>
          <w:color w:val="000000"/>
        </w:rPr>
        <w:t xml:space="preserve">T &gt;0) </w:t>
      </w:r>
      <w:r w:rsidR="00101A96">
        <w:t xml:space="preserve">is assured </w:t>
      </w:r>
      <w:r w:rsidR="00101A96">
        <w:rPr>
          <w:color w:val="000000"/>
        </w:rPr>
        <w:t>when ecological space coverage surpasses</w:t>
      </w:r>
      <w:r w:rsidR="00101A96">
        <w:t xml:space="preserve"> </w:t>
      </w:r>
      <w:r w:rsidR="00101A96">
        <w:rPr>
          <w:color w:val="000000"/>
        </w:rPr>
        <w:t xml:space="preserve">this point, irrespective of other factors. In other words, effective LST cooling becomes a “certainty” once </w:t>
      </w:r>
      <w:r w:rsidR="00D9718B">
        <w:rPr>
          <w:color w:val="000000"/>
        </w:rPr>
        <w:t xml:space="preserve">dominant </w:t>
      </w:r>
      <w:r w:rsidR="00101A96">
        <w:rPr>
          <w:color w:val="000000"/>
        </w:rPr>
        <w:t xml:space="preserve">ecological space coverage reaches </w:t>
      </w:r>
      <w:proofErr w:type="spellStart"/>
      <w:r w:rsidR="00101A96">
        <w:rPr>
          <w:color w:val="000000"/>
        </w:rPr>
        <w:t>ToCabs</w:t>
      </w:r>
      <w:proofErr w:type="spellEnd"/>
      <w:r w:rsidR="00A50029">
        <w:rPr>
          <w:color w:val="000000"/>
        </w:rPr>
        <w:t xml:space="preserve">, </w:t>
      </w:r>
      <w:r w:rsidR="00D9718B">
        <w:rPr>
          <w:color w:val="000000"/>
        </w:rPr>
        <w:t xml:space="preserve">shown </w:t>
      </w:r>
      <w:r w:rsidR="00A50029">
        <w:t xml:space="preserve">as </w:t>
      </w:r>
      <w:r w:rsidR="00D9718B" w:rsidRPr="00D9718B">
        <w:rPr>
          <w:color w:val="0070C0"/>
        </w:rPr>
        <w:t xml:space="preserve">Fig.4 </w:t>
      </w:r>
      <w:r w:rsidR="00D9718B">
        <w:t>in the</w:t>
      </w:r>
      <w:r w:rsidR="00A50029">
        <w:t xml:space="preserve"> box of cooling threshold detection</w:t>
      </w:r>
      <w:r w:rsidR="00101A96">
        <w:rPr>
          <w:color w:val="000000"/>
        </w:rPr>
        <w:t>.</w:t>
      </w:r>
      <w:r w:rsidR="00407C88">
        <w:rPr>
          <w:color w:val="000000"/>
        </w:rPr>
        <w:t xml:space="preserve"> Additionally, </w:t>
      </w:r>
      <w:r w:rsidR="00407C88">
        <w:t>LST was divided into three levels - low, medium, and high based on the Jenks natural-break classification approach (</w:t>
      </w:r>
      <w:r w:rsidR="00407C88">
        <w:rPr>
          <w:color w:val="0563C1"/>
        </w:rPr>
        <w:t>Jenks, 1967</w:t>
      </w:r>
      <w:r w:rsidR="00407C88">
        <w:t xml:space="preserve">). </w:t>
      </w:r>
      <w:r w:rsidR="00101A96">
        <w:t xml:space="preserve">Tref was defined as the LST threshold between the boundary high and medium levels. Consequently, neighbourhoods with temperatures classified as low or medium (below Tref) are considered </w:t>
      </w:r>
      <w:r w:rsidR="002B148D">
        <w:t xml:space="preserve">more </w:t>
      </w:r>
      <w:r w:rsidR="00101A96">
        <w:t>comfortable</w:t>
      </w:r>
      <w:r w:rsidR="00A50029">
        <w:t xml:space="preserve"> compared to neighbourhoods with temperature above Tref</w:t>
      </w:r>
      <w:r w:rsidR="00101A96">
        <w:t xml:space="preserve">. </w:t>
      </w:r>
      <w:r w:rsidR="00C07063">
        <w:t>The overall flow chart of</w:t>
      </w:r>
      <w:r w:rsidR="00C07063" w:rsidRPr="002A5FA4">
        <w:t xml:space="preserve"> analytical procedures </w:t>
      </w:r>
      <w:r w:rsidR="00C07063">
        <w:t xml:space="preserve">in this study is described </w:t>
      </w:r>
      <w:r w:rsidR="00375C1C">
        <w:t>in</w:t>
      </w:r>
      <w:r w:rsidR="00C07063">
        <w:t xml:space="preserve"> </w:t>
      </w:r>
      <w:r w:rsidR="00C07063" w:rsidRPr="00D4755A">
        <w:rPr>
          <w:color w:val="0070C0"/>
        </w:rPr>
        <w:t>Fig. 4</w:t>
      </w:r>
      <w:r w:rsidR="00C07063">
        <w:t xml:space="preserve">. </w:t>
      </w:r>
    </w:p>
    <w:p w14:paraId="3E072FD8" w14:textId="0EBA8F5B" w:rsidR="002664A5" w:rsidRDefault="0065653B" w:rsidP="00D4755A">
      <w:pPr>
        <w:pBdr>
          <w:top w:val="nil"/>
          <w:left w:val="nil"/>
          <w:bottom w:val="nil"/>
          <w:right w:val="nil"/>
          <w:between w:val="nil"/>
        </w:pBdr>
        <w:spacing w:after="120" w:line="240" w:lineRule="auto"/>
        <w:jc w:val="both"/>
      </w:pPr>
      <w:r>
        <w:rPr>
          <w:noProof/>
        </w:rPr>
        <w:drawing>
          <wp:inline distT="0" distB="0" distL="0" distR="0" wp14:anchorId="1F54A8F8" wp14:editId="1E77C8CE">
            <wp:extent cx="5725795" cy="5008245"/>
            <wp:effectExtent l="0" t="0" r="8255" b="1905"/>
            <wp:docPr id="5184657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25795" cy="5008245"/>
                    </a:xfrm>
                    <a:prstGeom prst="rect">
                      <a:avLst/>
                    </a:prstGeom>
                    <a:noFill/>
                    <a:ln>
                      <a:noFill/>
                    </a:ln>
                  </pic:spPr>
                </pic:pic>
              </a:graphicData>
            </a:graphic>
          </wp:inline>
        </w:drawing>
      </w:r>
    </w:p>
    <w:p w14:paraId="7C43B17F" w14:textId="77777777" w:rsidR="002664A5" w:rsidRDefault="002664A5" w:rsidP="002664A5">
      <w:pPr>
        <w:spacing w:line="240" w:lineRule="auto"/>
        <w:jc w:val="center"/>
        <w:rPr>
          <w:b/>
          <w:color w:val="000000"/>
        </w:rPr>
      </w:pPr>
      <w:r>
        <w:rPr>
          <w:b/>
        </w:rPr>
        <w:t>Figure 4</w:t>
      </w:r>
      <w:r>
        <w:t>. The methodological flow chart of this study.</w:t>
      </w:r>
    </w:p>
    <w:p w14:paraId="110DC70B" w14:textId="2579ACC9" w:rsidR="006012C1" w:rsidRDefault="00000000">
      <w:pPr>
        <w:pBdr>
          <w:top w:val="nil"/>
          <w:left w:val="nil"/>
          <w:bottom w:val="nil"/>
          <w:right w:val="nil"/>
          <w:between w:val="nil"/>
        </w:pBdr>
        <w:spacing w:line="240" w:lineRule="auto"/>
        <w:jc w:val="both"/>
        <w:rPr>
          <w:b/>
          <w:color w:val="000000"/>
        </w:rPr>
      </w:pPr>
      <w:r>
        <w:rPr>
          <w:b/>
          <w:color w:val="000000"/>
        </w:rPr>
        <w:t>3. Results</w:t>
      </w:r>
    </w:p>
    <w:p w14:paraId="108AB196" w14:textId="35D00843" w:rsidR="006012C1" w:rsidRDefault="00000000">
      <w:pPr>
        <w:pBdr>
          <w:top w:val="nil"/>
          <w:left w:val="nil"/>
          <w:bottom w:val="nil"/>
          <w:right w:val="nil"/>
          <w:between w:val="nil"/>
        </w:pBdr>
        <w:spacing w:line="240" w:lineRule="auto"/>
        <w:jc w:val="both"/>
        <w:rPr>
          <w:b/>
          <w:color w:val="000000"/>
        </w:rPr>
      </w:pPr>
      <w:r>
        <w:rPr>
          <w:b/>
          <w:color w:val="000000"/>
        </w:rPr>
        <w:t>3.</w:t>
      </w:r>
      <w:r w:rsidR="002E35D0">
        <w:rPr>
          <w:b/>
          <w:color w:val="000000"/>
        </w:rPr>
        <w:t>1</w:t>
      </w:r>
      <w:r>
        <w:rPr>
          <w:b/>
          <w:color w:val="000000"/>
        </w:rPr>
        <w:t xml:space="preserve"> Greenspace exposure inequ</w:t>
      </w:r>
      <w:r w:rsidR="00683266">
        <w:rPr>
          <w:b/>
          <w:color w:val="000000"/>
        </w:rPr>
        <w:t>al</w:t>
      </w:r>
      <w:r>
        <w:rPr>
          <w:b/>
          <w:color w:val="000000"/>
        </w:rPr>
        <w:t>ity</w:t>
      </w:r>
    </w:p>
    <w:p w14:paraId="2221F7C8" w14:textId="0F00B8DB" w:rsidR="006012C1" w:rsidRDefault="00487379">
      <w:pPr>
        <w:pBdr>
          <w:top w:val="nil"/>
          <w:left w:val="nil"/>
          <w:bottom w:val="nil"/>
          <w:right w:val="nil"/>
          <w:between w:val="nil"/>
        </w:pBdr>
        <w:spacing w:line="240" w:lineRule="auto"/>
        <w:jc w:val="both"/>
        <w:rPr>
          <w:color w:val="000000"/>
        </w:rPr>
      </w:pPr>
      <w:bookmarkStart w:id="3" w:name="_heading=h.k6qhvpim4jyh" w:colFirst="0" w:colLast="0"/>
      <w:bookmarkEnd w:id="3"/>
      <w:r>
        <w:rPr>
          <w:color w:val="000000"/>
        </w:rPr>
        <w:lastRenderedPageBreak/>
        <w:t xml:space="preserve">As </w:t>
      </w:r>
      <w:r>
        <w:rPr>
          <w:color w:val="0563C1"/>
        </w:rPr>
        <w:t xml:space="preserve">Fig. </w:t>
      </w:r>
      <w:r w:rsidR="00861F8E">
        <w:rPr>
          <w:color w:val="0563C1"/>
        </w:rPr>
        <w:t>5</w:t>
      </w:r>
      <w:r>
        <w:rPr>
          <w:color w:val="000000"/>
        </w:rPr>
        <w:t xml:space="preserve">, 78% and 58% of the </w:t>
      </w:r>
      <w:r w:rsidR="00123521">
        <w:rPr>
          <w:color w:val="000000"/>
        </w:rPr>
        <w:t>grid cells</w:t>
      </w:r>
      <w:r>
        <w:rPr>
          <w:color w:val="000000"/>
        </w:rPr>
        <w:t xml:space="preserve"> ha</w:t>
      </w:r>
      <w:r>
        <w:t>d</w:t>
      </w:r>
      <w:r>
        <w:rPr>
          <w:color w:val="000000"/>
        </w:rPr>
        <w:t xml:space="preserve"> greenspace access below 50% and 25%, respectively in 2022. </w:t>
      </w:r>
      <w:r w:rsidR="00683266">
        <w:rPr>
          <w:color w:val="000000"/>
        </w:rPr>
        <w:t>E</w:t>
      </w:r>
      <w:r w:rsidR="00914A66" w:rsidRPr="00914A66">
        <w:rPr>
          <w:color w:val="000000"/>
        </w:rPr>
        <w:t>astern, northern, southern, and central districts</w:t>
      </w:r>
      <w:r w:rsidR="00683266">
        <w:rPr>
          <w:color w:val="000000"/>
        </w:rPr>
        <w:t xml:space="preserve"> had</w:t>
      </w:r>
      <w:r w:rsidR="00914A66" w:rsidRPr="00914A66">
        <w:rPr>
          <w:color w:val="000000"/>
        </w:rPr>
        <w:t xml:space="preserve"> the average greenspace access </w:t>
      </w:r>
      <w:r w:rsidR="00683266">
        <w:rPr>
          <w:color w:val="000000"/>
        </w:rPr>
        <w:t>as</w:t>
      </w:r>
      <w:r w:rsidR="00914A66" w:rsidRPr="00914A66">
        <w:rPr>
          <w:color w:val="000000"/>
        </w:rPr>
        <w:t xml:space="preserve"> 35%, 30%, 19%, and 11%</w:t>
      </w:r>
      <w:r w:rsidR="00683266">
        <w:rPr>
          <w:color w:val="000000"/>
        </w:rPr>
        <w:t>,</w:t>
      </w:r>
      <w:r w:rsidR="00914A66" w:rsidRPr="00914A66">
        <w:rPr>
          <w:color w:val="000000"/>
        </w:rPr>
        <w:t xml:space="preserve"> respectively, </w:t>
      </w:r>
      <w:r w:rsidR="00683266">
        <w:rPr>
          <w:color w:val="000000"/>
        </w:rPr>
        <w:t>and</w:t>
      </w:r>
      <w:r w:rsidR="00914A66" w:rsidRPr="00914A66">
        <w:rPr>
          <w:color w:val="000000"/>
        </w:rPr>
        <w:t xml:space="preserve"> greenspace exposure values </w:t>
      </w:r>
      <w:r w:rsidR="00683266">
        <w:rPr>
          <w:color w:val="000000"/>
        </w:rPr>
        <w:t>as</w:t>
      </w:r>
      <w:r w:rsidR="00914A66" w:rsidRPr="00914A66">
        <w:rPr>
          <w:color w:val="000000"/>
        </w:rPr>
        <w:t xml:space="preserve"> 24%, 8%, 15%, and 26%</w:t>
      </w:r>
      <w:r w:rsidR="00DC18CC">
        <w:rPr>
          <w:color w:val="000000"/>
        </w:rPr>
        <w:t xml:space="preserve"> (</w:t>
      </w:r>
      <w:r w:rsidR="00DC18CC">
        <w:rPr>
          <w:color w:val="0563C1"/>
        </w:rPr>
        <w:t>Table S</w:t>
      </w:r>
      <w:r w:rsidR="00EE31E3">
        <w:rPr>
          <w:color w:val="0563C1"/>
        </w:rPr>
        <w:t>1</w:t>
      </w:r>
      <w:r w:rsidR="00DC18CC">
        <w:rPr>
          <w:color w:val="000000"/>
        </w:rPr>
        <w:t>)</w:t>
      </w:r>
      <w:r w:rsidR="00914A66" w:rsidRPr="00914A66">
        <w:rPr>
          <w:color w:val="000000"/>
        </w:rPr>
        <w:t>.</w:t>
      </w:r>
      <w:r w:rsidR="00DC18CC">
        <w:rPr>
          <w:color w:val="000000"/>
        </w:rPr>
        <w:t xml:space="preserve"> </w:t>
      </w:r>
      <w:r w:rsidR="00683266">
        <w:rPr>
          <w:color w:val="000000"/>
        </w:rPr>
        <w:t xml:space="preserve">For </w:t>
      </w:r>
      <w:r w:rsidR="00683266">
        <w:t xml:space="preserve">greenspace exposure inequality, </w:t>
      </w:r>
      <w:r>
        <w:rPr>
          <w:color w:val="000000"/>
        </w:rPr>
        <w:t xml:space="preserve">most neighbourhoods (77%) have </w:t>
      </w:r>
      <w:r>
        <w:t>a</w:t>
      </w:r>
      <w:r>
        <w:rPr>
          <w:color w:val="000000"/>
        </w:rPr>
        <w:t xml:space="preserve"> Gini coefficient </w:t>
      </w:r>
      <w:r>
        <w:t xml:space="preserve">below </w:t>
      </w:r>
      <w:r>
        <w:rPr>
          <w:color w:val="000000"/>
        </w:rPr>
        <w:t>0.38</w:t>
      </w:r>
      <w:r w:rsidR="00DC18CC">
        <w:rPr>
          <w:color w:val="000000"/>
        </w:rPr>
        <w:t>, indicating relatively equitable greenspace exposure</w:t>
      </w:r>
      <w:r>
        <w:rPr>
          <w:color w:val="000000"/>
        </w:rPr>
        <w:t xml:space="preserve">. Yet, a significant minority (23%) </w:t>
      </w:r>
      <w:r>
        <w:t xml:space="preserve">of </w:t>
      </w:r>
      <w:r>
        <w:rPr>
          <w:color w:val="000000"/>
        </w:rPr>
        <w:t>neighbourhoods</w:t>
      </w:r>
      <w:r>
        <w:t xml:space="preserve"> showed inequitable greenspace exposure </w:t>
      </w:r>
      <w:r>
        <w:rPr>
          <w:color w:val="000000"/>
        </w:rPr>
        <w:t xml:space="preserve">(Gini&gt;0.38). </w:t>
      </w:r>
      <w:r w:rsidR="00683266">
        <w:t>The average Gini coefficient at districts were 0.36 in</w:t>
      </w:r>
      <w:r>
        <w:rPr>
          <w:color w:val="000000"/>
        </w:rPr>
        <w:t xml:space="preserve"> </w:t>
      </w:r>
      <w:r w:rsidR="00683266">
        <w:rPr>
          <w:color w:val="000000"/>
        </w:rPr>
        <w:t xml:space="preserve">the </w:t>
      </w:r>
      <w:r w:rsidR="00DF01A5">
        <w:rPr>
          <w:color w:val="000000"/>
        </w:rPr>
        <w:t>centre</w:t>
      </w:r>
      <w:r>
        <w:rPr>
          <w:color w:val="000000"/>
        </w:rPr>
        <w:t xml:space="preserve">, </w:t>
      </w:r>
      <w:r w:rsidR="00683266">
        <w:rPr>
          <w:color w:val="000000"/>
        </w:rPr>
        <w:t xml:space="preserve">0.28 in the </w:t>
      </w:r>
      <w:r>
        <w:rPr>
          <w:color w:val="000000"/>
        </w:rPr>
        <w:t>south</w:t>
      </w:r>
      <w:r w:rsidR="00683266">
        <w:rPr>
          <w:color w:val="000000"/>
        </w:rPr>
        <w:t>, 0.20 in the</w:t>
      </w:r>
      <w:r>
        <w:rPr>
          <w:color w:val="000000"/>
        </w:rPr>
        <w:t xml:space="preserve"> north</w:t>
      </w:r>
      <w:r w:rsidR="00683266">
        <w:rPr>
          <w:color w:val="000000"/>
        </w:rPr>
        <w:t>, and 0.18 in</w:t>
      </w:r>
      <w:r>
        <w:rPr>
          <w:color w:val="000000"/>
        </w:rPr>
        <w:t xml:space="preserve"> </w:t>
      </w:r>
      <w:r w:rsidR="00DF01A5">
        <w:rPr>
          <w:color w:val="000000"/>
        </w:rPr>
        <w:t xml:space="preserve">the </w:t>
      </w:r>
      <w:r w:rsidR="00683266">
        <w:rPr>
          <w:color w:val="000000"/>
        </w:rPr>
        <w:t>east</w:t>
      </w:r>
      <w:r>
        <w:rPr>
          <w:color w:val="000000"/>
        </w:rPr>
        <w:t xml:space="preserve">. </w:t>
      </w:r>
      <w:r w:rsidR="0006675B">
        <w:rPr>
          <w:color w:val="000000"/>
        </w:rPr>
        <w:t>Similar</w:t>
      </w:r>
      <w:r>
        <w:rPr>
          <w:color w:val="000000"/>
        </w:rPr>
        <w:t xml:space="preserve"> </w:t>
      </w:r>
      <w:r w:rsidR="0006675B">
        <w:rPr>
          <w:color w:val="000000"/>
        </w:rPr>
        <w:t xml:space="preserve">districts </w:t>
      </w:r>
      <w:r>
        <w:rPr>
          <w:color w:val="000000"/>
        </w:rPr>
        <w:t xml:space="preserve">pattern </w:t>
      </w:r>
      <w:r w:rsidR="00DC18CC">
        <w:rPr>
          <w:color w:val="000000"/>
        </w:rPr>
        <w:t>w</w:t>
      </w:r>
      <w:r w:rsidR="0006675B">
        <w:rPr>
          <w:color w:val="000000"/>
        </w:rPr>
        <w:t>as</w:t>
      </w:r>
      <w:r>
        <w:rPr>
          <w:color w:val="000000"/>
        </w:rPr>
        <w:t xml:space="preserve"> observed in 2017 (</w:t>
      </w:r>
      <w:r>
        <w:rPr>
          <w:color w:val="0563C1"/>
        </w:rPr>
        <w:t>Table S</w:t>
      </w:r>
      <w:r w:rsidR="00EE31E3">
        <w:rPr>
          <w:color w:val="0563C1"/>
        </w:rPr>
        <w:t>1</w:t>
      </w:r>
      <w:r>
        <w:rPr>
          <w:color w:val="000000"/>
        </w:rPr>
        <w:t>)</w:t>
      </w:r>
      <w:r w:rsidR="0006675B">
        <w:rPr>
          <w:color w:val="000000"/>
        </w:rPr>
        <w:t xml:space="preserve"> that </w:t>
      </w:r>
      <w:r>
        <w:rPr>
          <w:color w:val="000000"/>
        </w:rPr>
        <w:t>74% o</w:t>
      </w:r>
      <w:r>
        <w:t xml:space="preserve">f neighbourhoods </w:t>
      </w:r>
      <w:r w:rsidR="00DC18CC">
        <w:t>ha</w:t>
      </w:r>
      <w:r w:rsidR="006F7CB4">
        <w:t>d</w:t>
      </w:r>
      <w:r w:rsidR="00DC18CC">
        <w:t xml:space="preserve"> Gini coefficient less than 0.38</w:t>
      </w:r>
      <w:r>
        <w:rPr>
          <w:color w:val="000000"/>
        </w:rPr>
        <w:t xml:space="preserve"> and </w:t>
      </w:r>
      <w:r>
        <w:t xml:space="preserve">26% of neighbourhoods </w:t>
      </w:r>
      <w:r w:rsidR="006F7CB4">
        <w:t>were</w:t>
      </w:r>
      <w:r>
        <w:t xml:space="preserve"> </w:t>
      </w:r>
      <w:r w:rsidR="00DC18CC">
        <w:t>Gini &gt;0.38</w:t>
      </w:r>
      <w:r w:rsidR="0006675B">
        <w:t xml:space="preserve">, with </w:t>
      </w:r>
      <w:r w:rsidR="0006675B">
        <w:rPr>
          <w:color w:val="000000"/>
        </w:rPr>
        <w:t>a downtrend in Gini coefficient from urban periphery to city centre</w:t>
      </w:r>
      <w:r>
        <w:rPr>
          <w:color w:val="000000"/>
        </w:rPr>
        <w:t xml:space="preserve">. </w:t>
      </w:r>
      <w:r w:rsidR="0006675B">
        <w:t>However,</w:t>
      </w:r>
      <w:r>
        <w:t xml:space="preserve"> greenspace exposure </w:t>
      </w:r>
      <w:r w:rsidR="006F7CB4">
        <w:t xml:space="preserve">was more equable </w:t>
      </w:r>
      <w:r>
        <w:t xml:space="preserve">at </w:t>
      </w:r>
      <w:r>
        <w:rPr>
          <w:color w:val="000000"/>
        </w:rPr>
        <w:t>city level</w:t>
      </w:r>
      <w:r>
        <w:t xml:space="preserve"> </w:t>
      </w:r>
      <w:r w:rsidR="006F7CB4">
        <w:t xml:space="preserve">as Gini </w:t>
      </w:r>
      <w:r>
        <w:rPr>
          <w:color w:val="000000"/>
        </w:rPr>
        <w:t>decreased from 0.662 in 2017 to 0.648 in 2022.</w:t>
      </w:r>
    </w:p>
    <w:p w14:paraId="7C4DA4E9" w14:textId="3CD7FDD2" w:rsidR="006012C1" w:rsidRDefault="00000000" w:rsidP="00EB3207">
      <w:pPr>
        <w:pBdr>
          <w:top w:val="nil"/>
          <w:left w:val="nil"/>
          <w:bottom w:val="nil"/>
          <w:right w:val="nil"/>
          <w:between w:val="nil"/>
        </w:pBdr>
        <w:spacing w:line="240" w:lineRule="auto"/>
        <w:jc w:val="both"/>
        <w:rPr>
          <w:color w:val="000000"/>
        </w:rPr>
      </w:pPr>
      <w:r>
        <w:rPr>
          <w:noProof/>
        </w:rPr>
        <w:drawing>
          <wp:inline distT="114300" distB="114300" distL="114300" distR="114300" wp14:anchorId="509E3D49" wp14:editId="5ABD6076">
            <wp:extent cx="5499100" cy="3399805"/>
            <wp:effectExtent l="0" t="0" r="6350" b="0"/>
            <wp:docPr id="21003107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5504887" cy="3403383"/>
                    </a:xfrm>
                    <a:prstGeom prst="rect">
                      <a:avLst/>
                    </a:prstGeom>
                    <a:ln/>
                  </pic:spPr>
                </pic:pic>
              </a:graphicData>
            </a:graphic>
          </wp:inline>
        </w:drawing>
      </w:r>
      <w:r>
        <w:rPr>
          <w:b/>
        </w:rPr>
        <w:t xml:space="preserve">Figure </w:t>
      </w:r>
      <w:r w:rsidR="00861F8E">
        <w:rPr>
          <w:b/>
        </w:rPr>
        <w:t>5</w:t>
      </w:r>
      <w:r>
        <w:rPr>
          <w:b/>
        </w:rPr>
        <w:t>.</w:t>
      </w:r>
      <w:r>
        <w:t xml:space="preserve"> The diagram of (a) greenspace coverage, (b) greenspace access, (c) populatio</w:t>
      </w:r>
      <w:r>
        <w:rPr>
          <w:color w:val="000000"/>
        </w:rPr>
        <w:t xml:space="preserve">n distribution, (d) </w:t>
      </w:r>
      <w:r>
        <w:t>greenspace</w:t>
      </w:r>
      <w:r>
        <w:rPr>
          <w:color w:val="000000"/>
        </w:rPr>
        <w:t xml:space="preserve"> exposure, and (e) Gini coefficient in 20</w:t>
      </w:r>
      <w:r>
        <w:t>17</w:t>
      </w:r>
      <w:r>
        <w:rPr>
          <w:color w:val="000000"/>
        </w:rPr>
        <w:t xml:space="preserve"> and 20</w:t>
      </w:r>
      <w:r>
        <w:t>22</w:t>
      </w:r>
      <w:r>
        <w:rPr>
          <w:color w:val="000000"/>
        </w:rPr>
        <w:t>.</w:t>
      </w:r>
      <w:r w:rsidR="00190F27">
        <w:rPr>
          <w:color w:val="000000"/>
        </w:rPr>
        <w:t xml:space="preserve"> </w:t>
      </w:r>
      <w:r w:rsidR="004F3E04">
        <w:rPr>
          <w:color w:val="000000"/>
        </w:rPr>
        <w:t>Background w</w:t>
      </w:r>
      <w:r w:rsidR="004F3E04" w:rsidRPr="00190F27">
        <w:rPr>
          <w:color w:val="000000"/>
        </w:rPr>
        <w:t xml:space="preserve">hite areas </w:t>
      </w:r>
      <w:r w:rsidR="0063708F">
        <w:rPr>
          <w:color w:val="000000"/>
        </w:rPr>
        <w:t xml:space="preserve">in (c), (e), (f) </w:t>
      </w:r>
      <w:r w:rsidR="004F3E04" w:rsidRPr="00190F27">
        <w:rPr>
          <w:color w:val="000000"/>
        </w:rPr>
        <w:t>indicate regions with no data.</w:t>
      </w:r>
    </w:p>
    <w:p w14:paraId="399533FA" w14:textId="1D3DEFB0" w:rsidR="002E35D0" w:rsidRDefault="002E35D0" w:rsidP="002E35D0">
      <w:pPr>
        <w:pBdr>
          <w:top w:val="nil"/>
          <w:left w:val="nil"/>
          <w:bottom w:val="nil"/>
          <w:right w:val="nil"/>
          <w:between w:val="nil"/>
        </w:pBdr>
        <w:spacing w:line="240" w:lineRule="auto"/>
        <w:jc w:val="both"/>
        <w:rPr>
          <w:b/>
          <w:color w:val="000000"/>
        </w:rPr>
      </w:pPr>
      <w:r>
        <w:rPr>
          <w:b/>
          <w:color w:val="000000"/>
        </w:rPr>
        <w:t>3.</w:t>
      </w:r>
      <w:r w:rsidR="0044191E">
        <w:rPr>
          <w:b/>
          <w:color w:val="000000"/>
        </w:rPr>
        <w:t>2</w:t>
      </w:r>
      <w:r>
        <w:rPr>
          <w:b/>
          <w:color w:val="000000"/>
        </w:rPr>
        <w:t xml:space="preserve"> </w:t>
      </w:r>
      <w:r w:rsidR="0031683A">
        <w:rPr>
          <w:b/>
          <w:color w:val="000000"/>
        </w:rPr>
        <w:t>Latent l</w:t>
      </w:r>
      <w:r>
        <w:rPr>
          <w:b/>
          <w:color w:val="000000"/>
        </w:rPr>
        <w:t>and s</w:t>
      </w:r>
      <w:r>
        <w:rPr>
          <w:b/>
        </w:rPr>
        <w:t xml:space="preserve">urface </w:t>
      </w:r>
      <w:r>
        <w:rPr>
          <w:b/>
          <w:color w:val="000000"/>
        </w:rPr>
        <w:t>temperature</w:t>
      </w:r>
      <w:r w:rsidR="00166514">
        <w:rPr>
          <w:b/>
          <w:color w:val="000000"/>
        </w:rPr>
        <w:t xml:space="preserve"> </w:t>
      </w:r>
    </w:p>
    <w:p w14:paraId="2BF7CFB8" w14:textId="048AA9DB" w:rsidR="002E35D0" w:rsidRDefault="002E35D0" w:rsidP="00166514">
      <w:pPr>
        <w:pBdr>
          <w:top w:val="nil"/>
          <w:left w:val="nil"/>
          <w:bottom w:val="nil"/>
          <w:right w:val="nil"/>
          <w:between w:val="nil"/>
        </w:pBdr>
        <w:spacing w:before="120" w:after="120" w:line="240" w:lineRule="auto"/>
        <w:jc w:val="both"/>
        <w:rPr>
          <w:color w:val="000000"/>
        </w:rPr>
      </w:pPr>
      <w:r>
        <w:rPr>
          <w:color w:val="000000"/>
        </w:rPr>
        <w:t>In 2022, air temperatures at 13:30 during the hot-dry season were, on average, 15.84°C warmer than at night. Specifically, temperature increased from 17.24</w:t>
      </w:r>
      <w:r>
        <w:rPr>
          <w:rFonts w:ascii="Cambria Math" w:eastAsia="Cambria Math" w:hAnsi="Cambria Math" w:cs="Cambria Math"/>
          <w:color w:val="000000"/>
        </w:rPr>
        <w:t>℃</w:t>
      </w:r>
      <w:r>
        <w:rPr>
          <w:color w:val="000000"/>
        </w:rPr>
        <w:t xml:space="preserve"> at 01:30 to 28.11</w:t>
      </w:r>
      <w:r>
        <w:rPr>
          <w:rFonts w:ascii="Cambria Math" w:eastAsia="Cambria Math" w:hAnsi="Cambria Math" w:cs="Cambria Math"/>
          <w:color w:val="000000"/>
        </w:rPr>
        <w:t>℃</w:t>
      </w:r>
      <w:r>
        <w:rPr>
          <w:color w:val="000000"/>
        </w:rPr>
        <w:t xml:space="preserve"> at 10:30, reaching a peak of 33.08</w:t>
      </w:r>
      <w:r>
        <w:rPr>
          <w:rFonts w:ascii="Cambria Math" w:eastAsia="Cambria Math" w:hAnsi="Cambria Math" w:cs="Cambria Math"/>
          <w:color w:val="000000"/>
        </w:rPr>
        <w:t>℃</w:t>
      </w:r>
      <w:r>
        <w:rPr>
          <w:color w:val="000000"/>
        </w:rPr>
        <w:t xml:space="preserve"> at 13:30, and decreased to 17.54</w:t>
      </w:r>
      <w:r>
        <w:rPr>
          <w:rFonts w:ascii="Cambria Math" w:eastAsia="Cambria Math" w:hAnsi="Cambria Math" w:cs="Cambria Math"/>
          <w:color w:val="000000"/>
        </w:rPr>
        <w:t>℃</w:t>
      </w:r>
      <w:r>
        <w:rPr>
          <w:color w:val="000000"/>
        </w:rPr>
        <w:t xml:space="preserve"> by 22:30 (</w:t>
      </w:r>
      <w:r>
        <w:rPr>
          <w:color w:val="0563C1"/>
        </w:rPr>
        <w:t>Table S</w:t>
      </w:r>
      <w:r w:rsidR="009458B8">
        <w:rPr>
          <w:color w:val="0563C1"/>
        </w:rPr>
        <w:t>2</w:t>
      </w:r>
      <w:r>
        <w:rPr>
          <w:color w:val="000000"/>
        </w:rPr>
        <w:t xml:space="preserve">). Simultaneously, temperature varied by </w:t>
      </w:r>
      <w:r w:rsidR="001E409E">
        <w:rPr>
          <w:color w:val="000000"/>
        </w:rPr>
        <w:t xml:space="preserve">an average of </w:t>
      </w:r>
      <w:r>
        <w:rPr>
          <w:color w:val="000000"/>
        </w:rPr>
        <w:t>2.38</w:t>
      </w:r>
      <w:r>
        <w:rPr>
          <w:rFonts w:ascii="Cambria Math" w:eastAsia="Cambria Math" w:hAnsi="Cambria Math" w:cs="Cambria Math"/>
          <w:color w:val="000000"/>
        </w:rPr>
        <w:t>℃</w:t>
      </w:r>
      <w:r>
        <w:rPr>
          <w:color w:val="000000"/>
        </w:rPr>
        <w:t xml:space="preserve"> among </w:t>
      </w:r>
      <w:r w:rsidR="001E409E">
        <w:rPr>
          <w:color w:val="000000"/>
        </w:rPr>
        <w:t xml:space="preserve">four </w:t>
      </w:r>
      <w:r>
        <w:rPr>
          <w:color w:val="000000"/>
        </w:rPr>
        <w:t xml:space="preserve">districts </w:t>
      </w:r>
      <w:r w:rsidR="001E409E">
        <w:rPr>
          <w:color w:val="000000"/>
        </w:rPr>
        <w:t xml:space="preserve">and by 10.15 </w:t>
      </w:r>
      <w:r w:rsidR="001E409E">
        <w:rPr>
          <w:rFonts w:ascii="Cambria Math" w:eastAsia="Cambria Math" w:hAnsi="Cambria Math" w:cs="Cambria Math"/>
          <w:color w:val="000000"/>
        </w:rPr>
        <w:t>℃</w:t>
      </w:r>
      <w:r w:rsidR="001E409E">
        <w:rPr>
          <w:color w:val="000000"/>
        </w:rPr>
        <w:t xml:space="preserve"> </w:t>
      </w:r>
      <w:r w:rsidR="001E409E">
        <w:t xml:space="preserve">between </w:t>
      </w:r>
      <w:r w:rsidR="001E409E">
        <w:rPr>
          <w:color w:val="000000"/>
        </w:rPr>
        <w:t xml:space="preserve">urban and periphery’s neighbourhoods </w:t>
      </w:r>
      <w:r>
        <w:rPr>
          <w:color w:val="000000"/>
        </w:rPr>
        <w:t>at 13:30. LST hotspots</w:t>
      </w:r>
      <w:r>
        <w:t>, representing t</w:t>
      </w:r>
      <w:r>
        <w:rPr>
          <w:color w:val="000000"/>
        </w:rPr>
        <w:t>he in</w:t>
      </w:r>
      <w:r>
        <w:t>direct influence of latent heat flux on land surface temperature,</w:t>
      </w:r>
      <w:r>
        <w:rPr>
          <w:color w:val="000000"/>
        </w:rPr>
        <w:t xml:space="preserve"> were identified in the central district</w:t>
      </w:r>
      <w:r>
        <w:t xml:space="preserve">, ranging from </w:t>
      </w:r>
      <w:r>
        <w:rPr>
          <w:color w:val="000000"/>
        </w:rPr>
        <w:t>29.18 to 34.37</w:t>
      </w:r>
      <w:r>
        <w:rPr>
          <w:rFonts w:ascii="Cambria Math" w:eastAsia="Cambria Math" w:hAnsi="Cambria Math" w:cs="Cambria Math"/>
          <w:color w:val="000000"/>
        </w:rPr>
        <w:t>℃</w:t>
      </w:r>
      <w:r>
        <w:rPr>
          <w:color w:val="000000"/>
        </w:rPr>
        <w:t xml:space="preserve"> </w:t>
      </w:r>
      <w:r w:rsidR="001E409E">
        <w:rPr>
          <w:color w:val="000000"/>
        </w:rPr>
        <w:t>in</w:t>
      </w:r>
      <w:r>
        <w:rPr>
          <w:color w:val="000000"/>
        </w:rPr>
        <w:t xml:space="preserve"> the day, and from 17.75 to 18.80°C at night. </w:t>
      </w:r>
      <w:r w:rsidR="00FE02C7">
        <w:rPr>
          <w:color w:val="000000"/>
        </w:rPr>
        <w:t xml:space="preserve">In contrast, </w:t>
      </w:r>
      <w:r>
        <w:rPr>
          <w:color w:val="000000"/>
        </w:rPr>
        <w:t xml:space="preserve">cold spots </w:t>
      </w:r>
      <w:r>
        <w:t xml:space="preserve">were identified </w:t>
      </w:r>
      <w:r>
        <w:rPr>
          <w:color w:val="000000"/>
        </w:rPr>
        <w:t>in the northern district</w:t>
      </w:r>
      <w:r w:rsidR="00FE02C7">
        <w:rPr>
          <w:color w:val="000000"/>
        </w:rPr>
        <w:t xml:space="preserve"> in the day</w:t>
      </w:r>
      <w:r>
        <w:rPr>
          <w:color w:val="000000"/>
        </w:rPr>
        <w:t xml:space="preserve">, </w:t>
      </w:r>
      <w:r w:rsidRPr="00E2431F">
        <w:rPr>
          <w:color w:val="000000"/>
        </w:rPr>
        <w:t>where daytime temperatures</w:t>
      </w:r>
      <w:r w:rsidR="001E409E">
        <w:rPr>
          <w:color w:val="000000"/>
        </w:rPr>
        <w:t xml:space="preserve"> </w:t>
      </w:r>
      <w:r w:rsidRPr="00E2431F">
        <w:rPr>
          <w:color w:val="000000"/>
        </w:rPr>
        <w:t xml:space="preserve">were approximately 2°C lower than </w:t>
      </w:r>
      <w:r>
        <w:rPr>
          <w:color w:val="000000"/>
        </w:rPr>
        <w:t>LST hotpots</w:t>
      </w:r>
      <w:r w:rsidRPr="00E2431F">
        <w:rPr>
          <w:color w:val="000000"/>
        </w:rPr>
        <w:t xml:space="preserve"> areas, </w:t>
      </w:r>
      <w:r>
        <w:rPr>
          <w:color w:val="000000"/>
        </w:rPr>
        <w:t xml:space="preserve">ranging from 27.51 to 31.99°C. At night, cold spots </w:t>
      </w:r>
      <w:r>
        <w:t xml:space="preserve">were </w:t>
      </w:r>
      <w:r w:rsidR="001E409E">
        <w:t xml:space="preserve">differently </w:t>
      </w:r>
      <w:r>
        <w:t xml:space="preserve">identified in </w:t>
      </w:r>
      <w:r>
        <w:rPr>
          <w:color w:val="000000"/>
        </w:rPr>
        <w:t>the eastern district, where nighttime temperatures were about 1.5</w:t>
      </w:r>
      <w:r w:rsidRPr="00E2431F">
        <w:rPr>
          <w:color w:val="000000"/>
        </w:rPr>
        <w:t>°C</w:t>
      </w:r>
      <w:r>
        <w:rPr>
          <w:color w:val="000000"/>
        </w:rPr>
        <w:t xml:space="preserve"> lower than LST hotspots area, ranging from 16.52 to 16.92°C (</w:t>
      </w:r>
      <w:r>
        <w:rPr>
          <w:color w:val="0070C0"/>
        </w:rPr>
        <w:t xml:space="preserve">Fig. </w:t>
      </w:r>
      <w:r w:rsidR="00861F8E">
        <w:rPr>
          <w:color w:val="0070C0"/>
        </w:rPr>
        <w:t>6</w:t>
      </w:r>
      <w:r>
        <w:rPr>
          <w:color w:val="000000"/>
        </w:rPr>
        <w:t>).</w:t>
      </w:r>
      <w:r w:rsidR="005C63ED">
        <w:rPr>
          <w:color w:val="000000"/>
        </w:rPr>
        <w:t xml:space="preserve"> </w:t>
      </w:r>
      <w:r w:rsidR="001E409E">
        <w:rPr>
          <w:color w:val="000000"/>
        </w:rPr>
        <w:t>Similar</w:t>
      </w:r>
      <w:r>
        <w:rPr>
          <w:color w:val="000000"/>
        </w:rPr>
        <w:t xml:space="preserve"> variations were observed in 2017</w:t>
      </w:r>
      <w:r>
        <w:t>. However, the</w:t>
      </w:r>
      <w:r>
        <w:rPr>
          <w:color w:val="000000"/>
        </w:rPr>
        <w:t xml:space="preserve"> average temperature in 2017 was higher than in 2022 as in</w:t>
      </w:r>
      <w:r>
        <w:t xml:space="preserve">dicated by a </w:t>
      </w:r>
      <w:r>
        <w:rPr>
          <w:color w:val="000000"/>
        </w:rPr>
        <w:t>one-factor ANOVA test (</w:t>
      </w:r>
      <w:r>
        <w:rPr>
          <w:i/>
          <w:color w:val="000000"/>
        </w:rPr>
        <w:t>p</w:t>
      </w:r>
      <w:r>
        <w:rPr>
          <w:color w:val="000000"/>
        </w:rPr>
        <w:t>&lt;0.05). Temperature record</w:t>
      </w:r>
      <w:r>
        <w:t xml:space="preserve">s </w:t>
      </w:r>
      <w:r>
        <w:rPr>
          <w:color w:val="000000"/>
        </w:rPr>
        <w:t xml:space="preserve">from 2013 to 2022 validated a peak in air temperatures occurring in 2017, with increases observed before this year and decreased thereafter </w:t>
      </w:r>
      <w:r>
        <w:t>(</w:t>
      </w:r>
      <w:r>
        <w:rPr>
          <w:color w:val="0563C1"/>
        </w:rPr>
        <w:t>Fig. S3</w:t>
      </w:r>
      <w:r>
        <w:rPr>
          <w:color w:val="000000"/>
        </w:rPr>
        <w:t xml:space="preserve">). </w:t>
      </w:r>
    </w:p>
    <w:p w14:paraId="6093CD27" w14:textId="77777777" w:rsidR="002E35D0" w:rsidRDefault="002E35D0" w:rsidP="002E35D0">
      <w:pPr>
        <w:pBdr>
          <w:top w:val="nil"/>
          <w:left w:val="nil"/>
          <w:bottom w:val="nil"/>
          <w:right w:val="nil"/>
          <w:between w:val="nil"/>
        </w:pBdr>
        <w:spacing w:after="0" w:line="240" w:lineRule="auto"/>
        <w:jc w:val="center"/>
        <w:rPr>
          <w:color w:val="000000"/>
        </w:rPr>
      </w:pPr>
      <w:r>
        <w:rPr>
          <w:noProof/>
        </w:rPr>
        <w:lastRenderedPageBreak/>
        <w:drawing>
          <wp:inline distT="114300" distB="114300" distL="114300" distR="114300" wp14:anchorId="2077318F" wp14:editId="49FCDD02">
            <wp:extent cx="5635625" cy="3454394"/>
            <wp:effectExtent l="0" t="0" r="3175" b="0"/>
            <wp:docPr id="2100310715" name="image7.png" descr="A group of maps of different colors&#10;&#10;AI-generated content may be incorrect."/>
            <wp:cNvGraphicFramePr/>
            <a:graphic xmlns:a="http://schemas.openxmlformats.org/drawingml/2006/main">
              <a:graphicData uri="http://schemas.openxmlformats.org/drawingml/2006/picture">
                <pic:pic xmlns:pic="http://schemas.openxmlformats.org/drawingml/2006/picture">
                  <pic:nvPicPr>
                    <pic:cNvPr id="2100310715" name="image7.png" descr="A group of maps of different colors&#10;&#10;AI-generated content may be incorrect."/>
                    <pic:cNvPicPr preferRelativeResize="0"/>
                  </pic:nvPicPr>
                  <pic:blipFill>
                    <a:blip r:embed="rId14"/>
                    <a:srcRect/>
                    <a:stretch>
                      <a:fillRect/>
                    </a:stretch>
                  </pic:blipFill>
                  <pic:spPr>
                    <a:xfrm>
                      <a:off x="0" y="0"/>
                      <a:ext cx="5668899" cy="3474790"/>
                    </a:xfrm>
                    <a:prstGeom prst="rect">
                      <a:avLst/>
                    </a:prstGeom>
                    <a:ln/>
                  </pic:spPr>
                </pic:pic>
              </a:graphicData>
            </a:graphic>
          </wp:inline>
        </w:drawing>
      </w:r>
    </w:p>
    <w:p w14:paraId="21324469" w14:textId="4B57F72C" w:rsidR="002E35D0" w:rsidRDefault="002E35D0" w:rsidP="002E35D0">
      <w:pPr>
        <w:pBdr>
          <w:top w:val="nil"/>
          <w:left w:val="nil"/>
          <w:bottom w:val="nil"/>
          <w:right w:val="nil"/>
          <w:between w:val="nil"/>
        </w:pBdr>
        <w:spacing w:line="240" w:lineRule="auto"/>
        <w:jc w:val="center"/>
        <w:rPr>
          <w:color w:val="000000"/>
        </w:rPr>
      </w:pPr>
      <w:r>
        <w:rPr>
          <w:b/>
          <w:color w:val="000000"/>
        </w:rPr>
        <w:t xml:space="preserve">Figure </w:t>
      </w:r>
      <w:r w:rsidR="00861F8E">
        <w:rPr>
          <w:b/>
          <w:color w:val="000000"/>
        </w:rPr>
        <w:t>6</w:t>
      </w:r>
      <w:r>
        <w:rPr>
          <w:color w:val="000000"/>
        </w:rPr>
        <w:t>. The average latent LST at 10:30, 13:30, 22:30, and 01:30 in February 2017 and 2022.</w:t>
      </w:r>
    </w:p>
    <w:p w14:paraId="48F1CA89" w14:textId="77777777" w:rsidR="00262F3A" w:rsidRDefault="00262F3A" w:rsidP="00262F3A">
      <w:pPr>
        <w:pBdr>
          <w:top w:val="nil"/>
          <w:left w:val="nil"/>
          <w:bottom w:val="nil"/>
          <w:right w:val="nil"/>
          <w:between w:val="nil"/>
        </w:pBdr>
        <w:spacing w:line="240" w:lineRule="auto"/>
        <w:jc w:val="both"/>
        <w:rPr>
          <w:b/>
        </w:rPr>
      </w:pPr>
      <w:r>
        <w:rPr>
          <w:b/>
        </w:rPr>
        <w:t>3.3 Characteristics of neighbourhoods</w:t>
      </w:r>
    </w:p>
    <w:p w14:paraId="6BE1B968" w14:textId="77777777" w:rsidR="006C4B85" w:rsidRDefault="006C4B85" w:rsidP="006C4B85">
      <w:pPr>
        <w:spacing w:line="240" w:lineRule="auto"/>
        <w:jc w:val="both"/>
      </w:pPr>
      <w:r>
        <w:t>The LST varied among neighbourhoods, especially between vulnerable (Gini&gt;0.38) and equal (Gini&lt;0.38) neighbourhoods based on the Kruskal-</w:t>
      </w:r>
      <w:proofErr w:type="spellStart"/>
      <w:r>
        <w:t>wallis</w:t>
      </w:r>
      <w:proofErr w:type="spellEnd"/>
      <w:r>
        <w:t xml:space="preserve"> test of </w:t>
      </w:r>
      <w:r>
        <w:rPr>
          <w:i/>
        </w:rPr>
        <w:t>p</w:t>
      </w:r>
      <w:r>
        <w:t>&lt;0.05 (</w:t>
      </w:r>
      <w:r>
        <w:rPr>
          <w:color w:val="0070C0"/>
        </w:rPr>
        <w:t>Table S3</w:t>
      </w:r>
      <w:r>
        <w:t>). At night, equal neighbourhoods were generally located in the colder highlands in the eastern district. Meanwhile, vulnerable neighbourhoods were generally located in the LST hotspots in the western area. In the day, however</w:t>
      </w:r>
      <w:r w:rsidRPr="004E5D8B">
        <w:t>,</w:t>
      </w:r>
      <w:r>
        <w:t xml:space="preserve"> vulnerable neighbourhoods in the northern valley exhibited lowest temperature (</w:t>
      </w:r>
      <w:r w:rsidRPr="002522DA">
        <w:rPr>
          <w:color w:val="0070C0"/>
        </w:rPr>
        <w:t>Fig. 7</w:t>
      </w:r>
      <w:r>
        <w:rPr>
          <w:color w:val="0070C0"/>
        </w:rPr>
        <w:t>a,</w:t>
      </w:r>
      <w:r>
        <w:t xml:space="preserve"> </w:t>
      </w:r>
      <w:r>
        <w:rPr>
          <w:color w:val="0563C1"/>
        </w:rPr>
        <w:t>Fig. S4</w:t>
      </w:r>
      <w:r>
        <w:t xml:space="preserve"> for 2017). </w:t>
      </w:r>
    </w:p>
    <w:p w14:paraId="4D92BFE5" w14:textId="77777777" w:rsidR="006C4B85" w:rsidRDefault="006C4B85" w:rsidP="006C4B85">
      <w:pPr>
        <w:spacing w:line="240" w:lineRule="auto"/>
        <w:jc w:val="both"/>
      </w:pPr>
      <w:r>
        <w:t xml:space="preserve">Several differences were identified between equal and vulnerable neighbourhoods. As illustrated in </w:t>
      </w:r>
      <w:r w:rsidRPr="0025520A">
        <w:rPr>
          <w:color w:val="0070C0"/>
        </w:rPr>
        <w:t>Fig.7</w:t>
      </w:r>
      <w:r>
        <w:rPr>
          <w:color w:val="0070C0"/>
        </w:rPr>
        <w:t>b</w:t>
      </w:r>
      <w:r>
        <w:t xml:space="preserve">, vulnerable neighbourhoods exhibit a higher level of urbanisation and are more densely populated than equal ones. Agricultural land has been encroached across all neighbourhoods. Importantly, green infrastructure declined in vulnerable neighbourhoods, while equal neighbourhoods observed an increased in green coverage. Consequently, the greenness of NDVI decreased in vulnerable and increased in equal ones over time. Overall, equal neighbourhoods </w:t>
      </w:r>
      <w:r w:rsidRPr="007752E4">
        <w:t>are located at higher altitudes</w:t>
      </w:r>
      <w:r>
        <w:t xml:space="preserve">, featured by significant greenspace and high NDVI values. In contrast, vulnerable neighbourhoods, generally located in </w:t>
      </w:r>
      <w:r w:rsidRPr="007752E4">
        <w:t xml:space="preserve">lower </w:t>
      </w:r>
      <w:r>
        <w:t xml:space="preserve">altitude, maintain more agricultural land and lower NDVI values. </w:t>
      </w:r>
    </w:p>
    <w:p w14:paraId="11D88A70" w14:textId="77777777" w:rsidR="006C4B85" w:rsidRDefault="006C4B85" w:rsidP="006C4B85">
      <w:pPr>
        <w:spacing w:line="240" w:lineRule="auto"/>
        <w:jc w:val="both"/>
      </w:pPr>
      <w:r>
        <w:t xml:space="preserve">Two parallel trajectories are possible. The first (shown in green arrow in Fig.7c), is with urbanisation trends and population growth, neighbourhoods with initially large, consolidated greenspace get fragmented and transformed to a mixed landscape dominated by impervious surfaces (stage 1 in trajectory 1, </w:t>
      </w:r>
      <w:r w:rsidRPr="00714084">
        <w:rPr>
          <w:color w:val="0070C0"/>
        </w:rPr>
        <w:t>Fig. 7</w:t>
      </w:r>
      <w:r>
        <w:rPr>
          <w:color w:val="0070C0"/>
        </w:rPr>
        <w:t>c</w:t>
      </w:r>
      <w:r>
        <w:t xml:space="preserve">). Greenspace become more scattered and reduced with the further growth of informal settlements, resulting in vulnerable neighbourhoods (stage 2 in trajectory 1, </w:t>
      </w:r>
      <w:r w:rsidRPr="00714084">
        <w:rPr>
          <w:color w:val="0070C0"/>
        </w:rPr>
        <w:t>Fig. 7</w:t>
      </w:r>
      <w:r>
        <w:rPr>
          <w:color w:val="0070C0"/>
        </w:rPr>
        <w:t>c</w:t>
      </w:r>
      <w:r>
        <w:t>). The second</w:t>
      </w:r>
      <w:r w:rsidRPr="00AE433F">
        <w:t xml:space="preserve"> </w:t>
      </w:r>
      <w:r>
        <w:t xml:space="preserve">(shown in orange arrow in Fig.7c), is where abundant greenspace is encroached by farmland, driven by intensified food demand and rural-to-urban migration (stage 1 in trajectory 2, </w:t>
      </w:r>
      <w:r w:rsidRPr="00714084">
        <w:rPr>
          <w:color w:val="0070C0"/>
        </w:rPr>
        <w:t>Fig. 7</w:t>
      </w:r>
      <w:r>
        <w:rPr>
          <w:color w:val="0070C0"/>
        </w:rPr>
        <w:t>c</w:t>
      </w:r>
      <w:r>
        <w:t xml:space="preserve">). After the stage of urban expansion at the cost of farmland, neighbourhoods further transition to be populated, urbanised, and unequal access to diminishing green infrastructure (stage 2 in trajectory 2, </w:t>
      </w:r>
      <w:r w:rsidRPr="00714084">
        <w:rPr>
          <w:color w:val="0070C0"/>
        </w:rPr>
        <w:t>Fig. 7</w:t>
      </w:r>
      <w:r>
        <w:rPr>
          <w:color w:val="0070C0"/>
        </w:rPr>
        <w:t>c</w:t>
      </w:r>
      <w:r>
        <w:t xml:space="preserve">). </w:t>
      </w:r>
    </w:p>
    <w:p w14:paraId="3EC7C49D" w14:textId="391D0B39" w:rsidR="00262F3A" w:rsidRDefault="0065653B" w:rsidP="00262F3A">
      <w:pPr>
        <w:spacing w:after="0" w:line="276" w:lineRule="auto"/>
        <w:jc w:val="both"/>
        <w:rPr>
          <w:b/>
        </w:rPr>
      </w:pPr>
      <w:r>
        <w:rPr>
          <w:b/>
          <w:noProof/>
        </w:rPr>
        <w:lastRenderedPageBreak/>
        <w:drawing>
          <wp:inline distT="0" distB="0" distL="0" distR="0" wp14:anchorId="10BD6085" wp14:editId="2EA247FD">
            <wp:extent cx="5718810" cy="6760210"/>
            <wp:effectExtent l="0" t="0" r="0" b="2540"/>
            <wp:docPr id="6652657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18810" cy="6760210"/>
                    </a:xfrm>
                    <a:prstGeom prst="rect">
                      <a:avLst/>
                    </a:prstGeom>
                    <a:noFill/>
                    <a:ln>
                      <a:noFill/>
                    </a:ln>
                  </pic:spPr>
                </pic:pic>
              </a:graphicData>
            </a:graphic>
          </wp:inline>
        </w:drawing>
      </w:r>
    </w:p>
    <w:p w14:paraId="74F44EB6" w14:textId="563C4185" w:rsidR="00262F3A" w:rsidRDefault="00262F3A" w:rsidP="006C4B85">
      <w:pPr>
        <w:spacing w:after="120" w:line="240" w:lineRule="auto"/>
        <w:jc w:val="both"/>
        <w:rPr>
          <w:b/>
          <w:color w:val="000000"/>
        </w:rPr>
      </w:pPr>
      <w:r>
        <w:rPr>
          <w:b/>
        </w:rPr>
        <w:t>Figure 7</w:t>
      </w:r>
      <w:r>
        <w:t>. Land surface temperature difference and neighbourhoods characteristics: (</w:t>
      </w:r>
      <w:r w:rsidR="0065653B">
        <w:t>a</w:t>
      </w:r>
      <w:r>
        <w:t>) latent land surface temperature in the day (10:30, 13:30) and at night (22:30, 01:30) in 2022; (b) differences of vulnerable and equal neighbourhoods in characteristics of</w:t>
      </w:r>
      <w:r w:rsidR="0065653B" w:rsidRPr="0065653B">
        <w:t xml:space="preserve"> </w:t>
      </w:r>
      <w:r w:rsidR="0065653B">
        <w:t xml:space="preserve">urbanisation level, population number, altitude, NDVI, green infrastructure and agricultural land percentage; (c) two trajectories of neighbourhoods shifting from greenspace exposure equal condition to unequal status. </w:t>
      </w:r>
      <w:r>
        <w:t xml:space="preserve"> </w:t>
      </w:r>
    </w:p>
    <w:p w14:paraId="75EBE187" w14:textId="77777777" w:rsidR="00262F3A" w:rsidRDefault="00262F3A" w:rsidP="00262F3A">
      <w:pPr>
        <w:pBdr>
          <w:top w:val="nil"/>
          <w:left w:val="nil"/>
          <w:bottom w:val="nil"/>
          <w:right w:val="nil"/>
          <w:between w:val="nil"/>
        </w:pBdr>
        <w:spacing w:line="240" w:lineRule="auto"/>
        <w:jc w:val="both"/>
        <w:rPr>
          <w:b/>
        </w:rPr>
      </w:pPr>
      <w:r>
        <w:rPr>
          <w:b/>
          <w:color w:val="000000"/>
        </w:rPr>
        <w:t>3.4</w:t>
      </w:r>
      <w:r>
        <w:rPr>
          <w:b/>
        </w:rPr>
        <w:t xml:space="preserve"> Cooling variables between neighbourhoods </w:t>
      </w:r>
    </w:p>
    <w:p w14:paraId="7F074E70" w14:textId="696FB330" w:rsidR="00913ECF" w:rsidRDefault="00913ECF" w:rsidP="00913ECF">
      <w:pPr>
        <w:spacing w:line="240" w:lineRule="auto"/>
        <w:jc w:val="both"/>
      </w:pPr>
      <w:r>
        <w:t xml:space="preserve">Our study used a regression model to detect the relationship between neighbourhoods’ characteristics and LST </w:t>
      </w:r>
      <w:r w:rsidR="0065653B">
        <w:t xml:space="preserve">at </w:t>
      </w:r>
      <w:r>
        <w:t>10:30, 13:30</w:t>
      </w:r>
      <w:r w:rsidR="0065653B">
        <w:t xml:space="preserve">, </w:t>
      </w:r>
      <w:r>
        <w:t xml:space="preserve">22:30, </w:t>
      </w:r>
      <w:r w:rsidR="0065653B">
        <w:t xml:space="preserve">and </w:t>
      </w:r>
      <w:r>
        <w:t xml:space="preserve">01:30. We found </w:t>
      </w:r>
      <w:r w:rsidRPr="00426477">
        <w:t>that</w:t>
      </w:r>
      <w:r>
        <w:t xml:space="preserve"> for the vulnerable neighbourhoods,</w:t>
      </w:r>
      <w:r w:rsidRPr="00426477">
        <w:t xml:space="preserve"> </w:t>
      </w:r>
      <w:r>
        <w:t xml:space="preserve">LST reduction modelling was </w:t>
      </w:r>
      <w:r w:rsidRPr="00426477">
        <w:t>more significant</w:t>
      </w:r>
      <w:r>
        <w:t xml:space="preserve">ly </w:t>
      </w:r>
      <w:r w:rsidRPr="00426477">
        <w:t>identified</w:t>
      </w:r>
      <w:r>
        <w:t xml:space="preserve"> in the day (10:30, 13:30) (</w:t>
      </w:r>
      <m:oMath>
        <m:sSup>
          <m:sSupPr>
            <m:ctrlPr>
              <w:rPr>
                <w:rFonts w:ascii="Cambria Math" w:hAnsi="Cambria Math"/>
                <w:i/>
                <w:sz w:val="20"/>
                <w:szCs w:val="20"/>
              </w:rPr>
            </m:ctrlPr>
          </m:sSupPr>
          <m:e>
            <m:r>
              <w:rPr>
                <w:rFonts w:ascii="Cambria Math" w:hAnsi="Cambria Math"/>
                <w:sz w:val="20"/>
                <w:szCs w:val="20"/>
              </w:rPr>
              <m:t>r</m:t>
            </m:r>
          </m:e>
          <m:sup>
            <m:r>
              <w:rPr>
                <w:rFonts w:ascii="Cambria Math" w:hAnsi="Cambria Math"/>
                <w:sz w:val="20"/>
                <w:szCs w:val="20"/>
              </w:rPr>
              <m:t>2</m:t>
            </m:r>
          </m:sup>
        </m:sSup>
      </m:oMath>
      <w:r>
        <w:rPr>
          <w:sz w:val="20"/>
          <w:szCs w:val="20"/>
        </w:rPr>
        <w:t>&gt;</w:t>
      </w:r>
      <w:r w:rsidRPr="008D5728">
        <w:rPr>
          <w:sz w:val="20"/>
          <w:szCs w:val="20"/>
        </w:rPr>
        <w:t>0.</w:t>
      </w:r>
      <w:r>
        <w:rPr>
          <w:sz w:val="20"/>
          <w:szCs w:val="20"/>
        </w:rPr>
        <w:t>25</w:t>
      </w:r>
      <w:r w:rsidRPr="008D5728">
        <w:rPr>
          <w:sz w:val="20"/>
          <w:szCs w:val="20"/>
        </w:rPr>
        <w:t xml:space="preserve">, </w:t>
      </w:r>
      <w:r w:rsidRPr="008D5728">
        <w:rPr>
          <w:i/>
          <w:iCs/>
          <w:sz w:val="20"/>
          <w:szCs w:val="20"/>
        </w:rPr>
        <w:t>p</w:t>
      </w:r>
      <w:r w:rsidRPr="008D5728">
        <w:rPr>
          <w:sz w:val="20"/>
          <w:szCs w:val="20"/>
        </w:rPr>
        <w:t>&lt;0.01</w:t>
      </w:r>
      <w:r>
        <w:rPr>
          <w:sz w:val="20"/>
          <w:szCs w:val="20"/>
        </w:rPr>
        <w:t xml:space="preserve">) </w:t>
      </w:r>
      <w:r>
        <w:t>(</w:t>
      </w:r>
      <w:r>
        <w:rPr>
          <w:color w:val="0070C0"/>
        </w:rPr>
        <w:t>Ta</w:t>
      </w:r>
      <w:r w:rsidRPr="00955E28">
        <w:rPr>
          <w:color w:val="0070C0"/>
        </w:rPr>
        <w:t xml:space="preserve">ble </w:t>
      </w:r>
      <w:r>
        <w:rPr>
          <w:color w:val="0070C0"/>
        </w:rPr>
        <w:t>S4</w:t>
      </w:r>
      <w:r>
        <w:t>)</w:t>
      </w:r>
      <w:r>
        <w:rPr>
          <w:sz w:val="20"/>
          <w:szCs w:val="20"/>
        </w:rPr>
        <w:t xml:space="preserve">, </w:t>
      </w:r>
      <w:r>
        <w:t>comparing to at night (22:30, 01:30) (</w:t>
      </w:r>
      <m:oMath>
        <m:sSup>
          <m:sSupPr>
            <m:ctrlPr>
              <w:rPr>
                <w:rFonts w:ascii="Cambria Math" w:hAnsi="Cambria Math"/>
                <w:i/>
                <w:sz w:val="20"/>
                <w:szCs w:val="20"/>
              </w:rPr>
            </m:ctrlPr>
          </m:sSupPr>
          <m:e>
            <m:r>
              <w:rPr>
                <w:rFonts w:ascii="Cambria Math" w:hAnsi="Cambria Math"/>
                <w:sz w:val="20"/>
                <w:szCs w:val="20"/>
              </w:rPr>
              <m:t>r</m:t>
            </m:r>
          </m:e>
          <m:sup>
            <m:r>
              <w:rPr>
                <w:rFonts w:ascii="Cambria Math" w:hAnsi="Cambria Math"/>
                <w:sz w:val="20"/>
                <w:szCs w:val="20"/>
              </w:rPr>
              <m:t>2</m:t>
            </m:r>
          </m:sup>
        </m:sSup>
      </m:oMath>
      <w:r>
        <w:rPr>
          <w:sz w:val="20"/>
          <w:szCs w:val="20"/>
        </w:rPr>
        <w:t>&lt;0.25</w:t>
      </w:r>
      <w:r w:rsidRPr="008D5728">
        <w:rPr>
          <w:sz w:val="20"/>
          <w:szCs w:val="20"/>
        </w:rPr>
        <w:t xml:space="preserve">, </w:t>
      </w:r>
      <w:r w:rsidRPr="008D5728">
        <w:rPr>
          <w:i/>
          <w:iCs/>
          <w:sz w:val="20"/>
          <w:szCs w:val="20"/>
        </w:rPr>
        <w:t>p</w:t>
      </w:r>
      <w:r w:rsidRPr="008D5728">
        <w:rPr>
          <w:sz w:val="20"/>
          <w:szCs w:val="20"/>
        </w:rPr>
        <w:t>&lt;0.01</w:t>
      </w:r>
      <w:r>
        <w:rPr>
          <w:sz w:val="20"/>
          <w:szCs w:val="20"/>
        </w:rPr>
        <w:t xml:space="preserve">) </w:t>
      </w:r>
      <w:r>
        <w:t>(</w:t>
      </w:r>
      <w:r>
        <w:rPr>
          <w:color w:val="0070C0"/>
        </w:rPr>
        <w:t>Ta</w:t>
      </w:r>
      <w:r w:rsidRPr="00955E28">
        <w:rPr>
          <w:color w:val="0070C0"/>
        </w:rPr>
        <w:t xml:space="preserve">ble </w:t>
      </w:r>
      <w:r>
        <w:rPr>
          <w:color w:val="0070C0"/>
        </w:rPr>
        <w:t>S5</w:t>
      </w:r>
      <w:r>
        <w:t>)</w:t>
      </w:r>
      <w:r>
        <w:rPr>
          <w:sz w:val="20"/>
          <w:szCs w:val="20"/>
        </w:rPr>
        <w:t>.</w:t>
      </w:r>
      <w:r>
        <w:t xml:space="preserve"> In this case, the cooling variables for the vulnerable neighbourhoods during the day were </w:t>
      </w:r>
      <w:r w:rsidR="00EB33C0">
        <w:t xml:space="preserve">recognised as </w:t>
      </w:r>
      <w:r>
        <w:lastRenderedPageBreak/>
        <w:t xml:space="preserve">agricultural land, water bodies and wetland, which contribute more than 25% explanation to the cooling </w:t>
      </w:r>
      <w:r w:rsidR="00EB33C0">
        <w:t>modelling</w:t>
      </w:r>
      <w:r>
        <w:t xml:space="preserve">, as model 1: </w:t>
      </w:r>
    </w:p>
    <w:p w14:paraId="5659185F" w14:textId="77777777" w:rsidR="00913ECF" w:rsidRPr="009B3AD0" w:rsidRDefault="00913ECF" w:rsidP="00913ECF">
      <w:pPr>
        <w:spacing w:after="0" w:line="240" w:lineRule="auto"/>
        <w:jc w:val="both"/>
      </w:pPr>
      <m:oMath>
        <m:r>
          <w:rPr>
            <w:rFonts w:ascii="Cambria Math" w:hAnsi="Cambria Math"/>
          </w:rPr>
          <m:t xml:space="preserve">y=35.774 </m:t>
        </m:r>
        <m:sSub>
          <m:sSubPr>
            <m:ctrlPr>
              <w:rPr>
                <w:rFonts w:ascii="Cambria Math" w:hAnsi="Cambria Math"/>
                <w:i/>
              </w:rPr>
            </m:ctrlPr>
          </m:sSubPr>
          <m:e>
            <m:r>
              <w:rPr>
                <w:rFonts w:ascii="Cambria Math" w:hAnsi="Cambria Math"/>
              </w:rPr>
              <m:t>- 0.026x</m:t>
            </m:r>
          </m:e>
          <m:sub>
            <m:r>
              <w:rPr>
                <w:rFonts w:ascii="Cambria Math" w:hAnsi="Cambria Math"/>
              </w:rPr>
              <m:t>agri</m:t>
            </m:r>
          </m:sub>
        </m:sSub>
        <m:r>
          <w:rPr>
            <w:rFonts w:ascii="Cambria Math" w:hAnsi="Cambria Math"/>
          </w:rPr>
          <m:t>+0.002</m:t>
        </m:r>
        <m:sSub>
          <m:sSubPr>
            <m:ctrlPr>
              <w:rPr>
                <w:rFonts w:ascii="Cambria Math" w:hAnsi="Cambria Math"/>
                <w:i/>
              </w:rPr>
            </m:ctrlPr>
          </m:sSubPr>
          <m:e>
            <m:r>
              <w:rPr>
                <w:rFonts w:ascii="Cambria Math" w:hAnsi="Cambria Math"/>
              </w:rPr>
              <m:t>x</m:t>
            </m:r>
          </m:e>
          <m:sub>
            <m:r>
              <w:rPr>
                <w:rFonts w:ascii="Cambria Math" w:hAnsi="Cambria Math"/>
              </w:rPr>
              <m:t>pop</m:t>
            </m:r>
          </m:sub>
        </m:sSub>
      </m:oMath>
      <w:r w:rsidRPr="009B3AD0">
        <w:t xml:space="preserve">  (</w:t>
      </w:r>
      <m:oMath>
        <m:sSup>
          <m:sSupPr>
            <m:ctrlPr>
              <w:rPr>
                <w:rFonts w:ascii="Cambria Math" w:hAnsi="Cambria Math"/>
                <w:i/>
              </w:rPr>
            </m:ctrlPr>
          </m:sSupPr>
          <m:e>
            <m:r>
              <w:rPr>
                <w:rFonts w:ascii="Cambria Math" w:hAnsi="Cambria Math"/>
              </w:rPr>
              <m:t>r</m:t>
            </m:r>
          </m:e>
          <m:sup>
            <m:r>
              <w:rPr>
                <w:rFonts w:ascii="Cambria Math" w:hAnsi="Cambria Math"/>
              </w:rPr>
              <m:t>2</m:t>
            </m:r>
          </m:sup>
        </m:sSup>
      </m:oMath>
      <w:r w:rsidRPr="00913ECF">
        <w:t xml:space="preserve">=0.418, </w:t>
      </w:r>
      <w:r w:rsidRPr="00913ECF">
        <w:rPr>
          <w:i/>
          <w:iCs/>
        </w:rPr>
        <w:t>p</w:t>
      </w:r>
      <w:r w:rsidRPr="00913ECF">
        <w:t>&lt;0.01, at 10:30 in 2017)</w:t>
      </w:r>
    </w:p>
    <w:p w14:paraId="3308CDC1" w14:textId="77777777" w:rsidR="00913ECF" w:rsidRPr="00913ECF" w:rsidRDefault="00913ECF" w:rsidP="00913ECF">
      <w:pPr>
        <w:spacing w:after="0" w:line="240" w:lineRule="auto"/>
        <w:jc w:val="both"/>
      </w:pPr>
      <m:oMath>
        <m:r>
          <w:rPr>
            <w:rFonts w:ascii="Cambria Math" w:hAnsi="Cambria Math"/>
          </w:rPr>
          <m:t xml:space="preserve">y=31.784 </m:t>
        </m:r>
        <m:sSub>
          <m:sSubPr>
            <m:ctrlPr>
              <w:rPr>
                <w:rFonts w:ascii="Cambria Math" w:hAnsi="Cambria Math"/>
                <w:i/>
              </w:rPr>
            </m:ctrlPr>
          </m:sSubPr>
          <m:e>
            <m:r>
              <w:rPr>
                <w:rFonts w:ascii="Cambria Math" w:hAnsi="Cambria Math"/>
              </w:rPr>
              <m:t>- 0.024x</m:t>
            </m:r>
          </m:e>
          <m:sub>
            <m:r>
              <w:rPr>
                <w:rFonts w:ascii="Cambria Math" w:hAnsi="Cambria Math"/>
              </w:rPr>
              <m:t>agri</m:t>
            </m:r>
          </m:sub>
        </m:sSub>
        <m:r>
          <w:rPr>
            <w:rFonts w:ascii="Cambria Math" w:hAnsi="Cambria Math"/>
          </w:rPr>
          <m:t>+0.003</m:t>
        </m:r>
        <m:sSub>
          <m:sSubPr>
            <m:ctrlPr>
              <w:rPr>
                <w:rFonts w:ascii="Cambria Math" w:hAnsi="Cambria Math"/>
                <w:i/>
              </w:rPr>
            </m:ctrlPr>
          </m:sSubPr>
          <m:e>
            <m:r>
              <w:rPr>
                <w:rFonts w:ascii="Cambria Math" w:hAnsi="Cambria Math"/>
              </w:rPr>
              <m:t>x</m:t>
            </m:r>
          </m:e>
          <m:sub>
            <m:r>
              <w:rPr>
                <w:rFonts w:ascii="Cambria Math" w:hAnsi="Cambria Math"/>
              </w:rPr>
              <m:t>pop</m:t>
            </m:r>
          </m:sub>
        </m:sSub>
      </m:oMath>
      <w:r w:rsidRPr="009B3AD0">
        <w:t xml:space="preserve">  (</w:t>
      </w:r>
      <m:oMath>
        <m:sSup>
          <m:sSupPr>
            <m:ctrlPr>
              <w:rPr>
                <w:rFonts w:ascii="Cambria Math" w:hAnsi="Cambria Math"/>
                <w:i/>
              </w:rPr>
            </m:ctrlPr>
          </m:sSupPr>
          <m:e>
            <m:r>
              <w:rPr>
                <w:rFonts w:ascii="Cambria Math" w:hAnsi="Cambria Math"/>
              </w:rPr>
              <m:t>r</m:t>
            </m:r>
          </m:e>
          <m:sup>
            <m:r>
              <w:rPr>
                <w:rFonts w:ascii="Cambria Math" w:hAnsi="Cambria Math"/>
              </w:rPr>
              <m:t>2</m:t>
            </m:r>
          </m:sup>
        </m:sSup>
      </m:oMath>
      <w:r w:rsidRPr="00913ECF">
        <w:t xml:space="preserve">=0.450, </w:t>
      </w:r>
      <w:r w:rsidRPr="00913ECF">
        <w:rPr>
          <w:i/>
          <w:iCs/>
        </w:rPr>
        <w:t>p</w:t>
      </w:r>
      <w:r w:rsidRPr="00913ECF">
        <w:t>&lt;0.01, at 13:30 in 2017)</w:t>
      </w:r>
    </w:p>
    <w:p w14:paraId="73CA2566" w14:textId="77777777" w:rsidR="00913ECF" w:rsidRPr="00913ECF" w:rsidRDefault="00913ECF" w:rsidP="00913ECF">
      <w:pPr>
        <w:spacing w:after="0" w:line="240" w:lineRule="auto"/>
        <w:jc w:val="both"/>
      </w:pPr>
      <m:oMath>
        <m:r>
          <w:rPr>
            <w:rFonts w:ascii="Cambria Math" w:hAnsi="Cambria Math"/>
          </w:rPr>
          <m:t xml:space="preserve">y=29.321 </m:t>
        </m:r>
        <m:sSub>
          <m:sSubPr>
            <m:ctrlPr>
              <w:rPr>
                <w:rFonts w:ascii="Cambria Math" w:hAnsi="Cambria Math"/>
                <w:i/>
              </w:rPr>
            </m:ctrlPr>
          </m:sSubPr>
          <m:e>
            <m:r>
              <w:rPr>
                <w:rFonts w:ascii="Cambria Math" w:hAnsi="Cambria Math"/>
              </w:rPr>
              <m:t>- 0.026x</m:t>
            </m:r>
          </m:e>
          <m:sub>
            <m:r>
              <w:rPr>
                <w:rFonts w:ascii="Cambria Math" w:hAnsi="Cambria Math"/>
              </w:rPr>
              <m:t>agri</m:t>
            </m:r>
          </m:sub>
        </m:sSub>
        <m:r>
          <w:rPr>
            <w:rFonts w:ascii="Cambria Math" w:hAnsi="Cambria Math"/>
          </w:rPr>
          <m:t>+0.002</m:t>
        </m:r>
        <m:sSub>
          <m:sSubPr>
            <m:ctrlPr>
              <w:rPr>
                <w:rFonts w:ascii="Cambria Math" w:hAnsi="Cambria Math"/>
                <w:i/>
              </w:rPr>
            </m:ctrlPr>
          </m:sSubPr>
          <m:e>
            <m:r>
              <w:rPr>
                <w:rFonts w:ascii="Cambria Math" w:hAnsi="Cambria Math"/>
              </w:rPr>
              <m:t>x</m:t>
            </m:r>
          </m:e>
          <m:sub>
            <m:r>
              <w:rPr>
                <w:rFonts w:ascii="Cambria Math" w:hAnsi="Cambria Math"/>
              </w:rPr>
              <m:t>pop</m:t>
            </m:r>
          </m:sub>
        </m:sSub>
        <m:r>
          <w:rPr>
            <w:rFonts w:ascii="Cambria Math" w:hAnsi="Cambria Math"/>
          </w:rPr>
          <m:t>-0.013</m:t>
        </m:r>
        <m:sSub>
          <m:sSubPr>
            <m:ctrlPr>
              <w:rPr>
                <w:rFonts w:ascii="Cambria Math" w:hAnsi="Cambria Math"/>
                <w:i/>
              </w:rPr>
            </m:ctrlPr>
          </m:sSubPr>
          <m:e>
            <m:r>
              <w:rPr>
                <w:rFonts w:ascii="Cambria Math" w:hAnsi="Cambria Math"/>
              </w:rPr>
              <m:t>x</m:t>
            </m:r>
          </m:e>
          <m:sub>
            <m:r>
              <w:rPr>
                <w:rFonts w:ascii="Cambria Math" w:hAnsi="Cambria Math"/>
              </w:rPr>
              <m:t>water</m:t>
            </m:r>
          </m:sub>
        </m:sSub>
      </m:oMath>
      <w:r w:rsidRPr="009B3AD0">
        <w:t xml:space="preserve"> </w:t>
      </w:r>
      <w:r w:rsidRPr="00913ECF">
        <w:t xml:space="preserve"> (</w:t>
      </w:r>
      <m:oMath>
        <m:sSup>
          <m:sSupPr>
            <m:ctrlPr>
              <w:rPr>
                <w:rFonts w:ascii="Cambria Math" w:hAnsi="Cambria Math"/>
                <w:i/>
              </w:rPr>
            </m:ctrlPr>
          </m:sSupPr>
          <m:e>
            <m:r>
              <w:rPr>
                <w:rFonts w:ascii="Cambria Math" w:hAnsi="Cambria Math"/>
              </w:rPr>
              <m:t>r</m:t>
            </m:r>
          </m:e>
          <m:sup>
            <m:r>
              <w:rPr>
                <w:rFonts w:ascii="Cambria Math" w:hAnsi="Cambria Math"/>
              </w:rPr>
              <m:t>2</m:t>
            </m:r>
          </m:sup>
        </m:sSup>
      </m:oMath>
      <w:r w:rsidRPr="00913ECF">
        <w:t xml:space="preserve">=0.291, </w:t>
      </w:r>
      <w:r w:rsidRPr="00913ECF">
        <w:rPr>
          <w:i/>
          <w:iCs/>
        </w:rPr>
        <w:t>p</w:t>
      </w:r>
      <w:r w:rsidRPr="00913ECF">
        <w:t xml:space="preserve">&lt;0.01, at 10:30 in 2022) </w:t>
      </w:r>
    </w:p>
    <w:p w14:paraId="2D09B46A" w14:textId="77777777" w:rsidR="00913ECF" w:rsidRPr="00913ECF" w:rsidRDefault="00913ECF" w:rsidP="00913ECF">
      <w:pPr>
        <w:spacing w:after="120" w:line="240" w:lineRule="auto"/>
        <w:jc w:val="both"/>
      </w:pPr>
      <m:oMath>
        <m:r>
          <w:rPr>
            <w:rFonts w:ascii="Cambria Math" w:hAnsi="Cambria Math"/>
          </w:rPr>
          <m:t xml:space="preserve">y=29.321 </m:t>
        </m:r>
        <m:sSub>
          <m:sSubPr>
            <m:ctrlPr>
              <w:rPr>
                <w:rFonts w:ascii="Cambria Math" w:hAnsi="Cambria Math"/>
                <w:i/>
              </w:rPr>
            </m:ctrlPr>
          </m:sSubPr>
          <m:e>
            <m:r>
              <w:rPr>
                <w:rFonts w:ascii="Cambria Math" w:hAnsi="Cambria Math"/>
              </w:rPr>
              <m:t>- 0.026x</m:t>
            </m:r>
          </m:e>
          <m:sub>
            <m:r>
              <w:rPr>
                <w:rFonts w:ascii="Cambria Math" w:hAnsi="Cambria Math"/>
              </w:rPr>
              <m:t>agri</m:t>
            </m:r>
          </m:sub>
        </m:sSub>
        <m:r>
          <w:rPr>
            <w:rFonts w:ascii="Cambria Math" w:hAnsi="Cambria Math"/>
          </w:rPr>
          <m:t>+0.002</m:t>
        </m:r>
        <m:sSub>
          <m:sSubPr>
            <m:ctrlPr>
              <w:rPr>
                <w:rFonts w:ascii="Cambria Math" w:hAnsi="Cambria Math"/>
                <w:i/>
              </w:rPr>
            </m:ctrlPr>
          </m:sSubPr>
          <m:e>
            <m:r>
              <w:rPr>
                <w:rFonts w:ascii="Cambria Math" w:hAnsi="Cambria Math"/>
              </w:rPr>
              <m:t>x</m:t>
            </m:r>
          </m:e>
          <m:sub>
            <m:r>
              <w:rPr>
                <w:rFonts w:ascii="Cambria Math" w:hAnsi="Cambria Math"/>
              </w:rPr>
              <m:t>pop</m:t>
            </m:r>
          </m:sub>
        </m:sSub>
        <m:r>
          <w:rPr>
            <w:rFonts w:ascii="Cambria Math" w:hAnsi="Cambria Math"/>
          </w:rPr>
          <m:t>-0.013</m:t>
        </m:r>
        <m:sSub>
          <m:sSubPr>
            <m:ctrlPr>
              <w:rPr>
                <w:rFonts w:ascii="Cambria Math" w:hAnsi="Cambria Math"/>
                <w:i/>
              </w:rPr>
            </m:ctrlPr>
          </m:sSubPr>
          <m:e>
            <m:r>
              <w:rPr>
                <w:rFonts w:ascii="Cambria Math" w:hAnsi="Cambria Math"/>
              </w:rPr>
              <m:t>x</m:t>
            </m:r>
          </m:e>
          <m:sub>
            <m:r>
              <w:rPr>
                <w:rFonts w:ascii="Cambria Math" w:hAnsi="Cambria Math"/>
              </w:rPr>
              <m:t>water</m:t>
            </m:r>
          </m:sub>
        </m:sSub>
      </m:oMath>
      <w:r w:rsidRPr="009B3AD0">
        <w:t xml:space="preserve"> </w:t>
      </w:r>
      <w:r w:rsidRPr="00913ECF">
        <w:t xml:space="preserve"> (</w:t>
      </w:r>
      <m:oMath>
        <m:sSup>
          <m:sSupPr>
            <m:ctrlPr>
              <w:rPr>
                <w:rFonts w:ascii="Cambria Math" w:hAnsi="Cambria Math"/>
                <w:i/>
              </w:rPr>
            </m:ctrlPr>
          </m:sSupPr>
          <m:e>
            <m:r>
              <w:rPr>
                <w:rFonts w:ascii="Cambria Math" w:hAnsi="Cambria Math"/>
              </w:rPr>
              <m:t>r</m:t>
            </m:r>
          </m:e>
          <m:sup>
            <m:r>
              <w:rPr>
                <w:rFonts w:ascii="Cambria Math" w:hAnsi="Cambria Math"/>
              </w:rPr>
              <m:t>2</m:t>
            </m:r>
          </m:sup>
        </m:sSup>
      </m:oMath>
      <w:r w:rsidRPr="00913ECF">
        <w:t xml:space="preserve">= 0.302, </w:t>
      </w:r>
      <w:r w:rsidRPr="00913ECF">
        <w:rPr>
          <w:i/>
          <w:iCs/>
        </w:rPr>
        <w:t>p</w:t>
      </w:r>
      <w:r w:rsidRPr="00913ECF">
        <w:t xml:space="preserve">&lt;0.01, at 13:30 in 2022) </w:t>
      </w:r>
    </w:p>
    <w:p w14:paraId="685B11CF" w14:textId="043C8850" w:rsidR="00913ECF" w:rsidRDefault="00913ECF" w:rsidP="00913ECF">
      <w:pPr>
        <w:spacing w:line="240" w:lineRule="auto"/>
        <w:jc w:val="both"/>
      </w:pPr>
      <w:r>
        <w:t>For equal neighbourhoods, the variables explained the LST reduction were significantly identified at night (</w:t>
      </w:r>
      <m:oMath>
        <m:sSup>
          <m:sSupPr>
            <m:ctrlPr>
              <w:rPr>
                <w:rFonts w:ascii="Cambria Math" w:hAnsi="Cambria Math"/>
                <w:i/>
                <w:sz w:val="20"/>
                <w:szCs w:val="20"/>
              </w:rPr>
            </m:ctrlPr>
          </m:sSupPr>
          <m:e>
            <m:r>
              <w:rPr>
                <w:rFonts w:ascii="Cambria Math" w:hAnsi="Cambria Math"/>
                <w:sz w:val="20"/>
                <w:szCs w:val="20"/>
              </w:rPr>
              <m:t>r</m:t>
            </m:r>
          </m:e>
          <m:sup>
            <m:r>
              <w:rPr>
                <w:rFonts w:ascii="Cambria Math" w:hAnsi="Cambria Math"/>
                <w:sz w:val="20"/>
                <w:szCs w:val="20"/>
              </w:rPr>
              <m:t>2</m:t>
            </m:r>
          </m:sup>
        </m:sSup>
      </m:oMath>
      <w:r>
        <w:rPr>
          <w:sz w:val="20"/>
          <w:szCs w:val="20"/>
        </w:rPr>
        <w:t>&gt;</w:t>
      </w:r>
      <w:r w:rsidRPr="008D5728">
        <w:rPr>
          <w:sz w:val="20"/>
          <w:szCs w:val="20"/>
        </w:rPr>
        <w:t>0.</w:t>
      </w:r>
      <w:r>
        <w:rPr>
          <w:sz w:val="20"/>
          <w:szCs w:val="20"/>
        </w:rPr>
        <w:t>25</w:t>
      </w:r>
      <w:r w:rsidRPr="008D5728">
        <w:rPr>
          <w:sz w:val="20"/>
          <w:szCs w:val="20"/>
        </w:rPr>
        <w:t xml:space="preserve">, </w:t>
      </w:r>
      <w:r w:rsidRPr="008D5728">
        <w:rPr>
          <w:i/>
          <w:iCs/>
          <w:sz w:val="20"/>
          <w:szCs w:val="20"/>
        </w:rPr>
        <w:t>p</w:t>
      </w:r>
      <w:r w:rsidRPr="008D5728">
        <w:rPr>
          <w:sz w:val="20"/>
          <w:szCs w:val="20"/>
        </w:rPr>
        <w:t>&lt;0.01</w:t>
      </w:r>
      <w:r>
        <w:rPr>
          <w:sz w:val="20"/>
          <w:szCs w:val="20"/>
        </w:rPr>
        <w:t xml:space="preserve">) </w:t>
      </w:r>
      <w:r>
        <w:t>(</w:t>
      </w:r>
      <w:r>
        <w:rPr>
          <w:color w:val="0070C0"/>
        </w:rPr>
        <w:t>Ta</w:t>
      </w:r>
      <w:r w:rsidRPr="00955E28">
        <w:rPr>
          <w:color w:val="0070C0"/>
        </w:rPr>
        <w:t xml:space="preserve">ble </w:t>
      </w:r>
      <w:r>
        <w:rPr>
          <w:color w:val="0070C0"/>
        </w:rPr>
        <w:t>S7</w:t>
      </w:r>
      <w:r>
        <w:t>)</w:t>
      </w:r>
      <w:r>
        <w:rPr>
          <w:sz w:val="20"/>
          <w:szCs w:val="20"/>
        </w:rPr>
        <w:t>,</w:t>
      </w:r>
      <w:r>
        <w:t xml:space="preserve"> comparing to in the day (</w:t>
      </w:r>
      <m:oMath>
        <m:sSup>
          <m:sSupPr>
            <m:ctrlPr>
              <w:rPr>
                <w:rFonts w:ascii="Cambria Math" w:hAnsi="Cambria Math"/>
                <w:i/>
                <w:sz w:val="20"/>
                <w:szCs w:val="20"/>
              </w:rPr>
            </m:ctrlPr>
          </m:sSupPr>
          <m:e>
            <m:r>
              <w:rPr>
                <w:rFonts w:ascii="Cambria Math" w:hAnsi="Cambria Math"/>
                <w:sz w:val="20"/>
                <w:szCs w:val="20"/>
              </w:rPr>
              <m:t>r</m:t>
            </m:r>
          </m:e>
          <m:sup>
            <m:r>
              <w:rPr>
                <w:rFonts w:ascii="Cambria Math" w:hAnsi="Cambria Math"/>
                <w:sz w:val="20"/>
                <w:szCs w:val="20"/>
              </w:rPr>
              <m:t>2</m:t>
            </m:r>
          </m:sup>
        </m:sSup>
      </m:oMath>
      <w:r>
        <w:rPr>
          <w:sz w:val="20"/>
          <w:szCs w:val="20"/>
        </w:rPr>
        <w:t>&lt;</w:t>
      </w:r>
      <w:r w:rsidRPr="008D5728">
        <w:rPr>
          <w:sz w:val="20"/>
          <w:szCs w:val="20"/>
        </w:rPr>
        <w:t>0.</w:t>
      </w:r>
      <w:r>
        <w:rPr>
          <w:sz w:val="20"/>
          <w:szCs w:val="20"/>
        </w:rPr>
        <w:t>25</w:t>
      </w:r>
      <w:r w:rsidRPr="008D5728">
        <w:rPr>
          <w:sz w:val="20"/>
          <w:szCs w:val="20"/>
        </w:rPr>
        <w:t xml:space="preserve">, </w:t>
      </w:r>
      <w:r w:rsidRPr="008D5728">
        <w:rPr>
          <w:i/>
          <w:iCs/>
          <w:sz w:val="20"/>
          <w:szCs w:val="20"/>
        </w:rPr>
        <w:t>p</w:t>
      </w:r>
      <w:r w:rsidRPr="008D5728">
        <w:rPr>
          <w:sz w:val="20"/>
          <w:szCs w:val="20"/>
        </w:rPr>
        <w:t>&lt;0.01</w:t>
      </w:r>
      <w:r>
        <w:rPr>
          <w:sz w:val="20"/>
          <w:szCs w:val="20"/>
        </w:rPr>
        <w:t xml:space="preserve">) </w:t>
      </w:r>
      <w:r>
        <w:t>(</w:t>
      </w:r>
      <w:r>
        <w:rPr>
          <w:color w:val="0070C0"/>
        </w:rPr>
        <w:t>Ta</w:t>
      </w:r>
      <w:r w:rsidRPr="00955E28">
        <w:rPr>
          <w:color w:val="0070C0"/>
        </w:rPr>
        <w:t xml:space="preserve">ble </w:t>
      </w:r>
      <w:r>
        <w:rPr>
          <w:color w:val="0070C0"/>
        </w:rPr>
        <w:t>S6</w:t>
      </w:r>
      <w:r>
        <w:t xml:space="preserve">). At night, LST reduction modelling was contributed </w:t>
      </w:r>
      <w:r w:rsidR="00EB33C0">
        <w:t xml:space="preserve">over 25% </w:t>
      </w:r>
      <w:r>
        <w:t xml:space="preserve">by factors of greenspace coverage, agricultural land cover, and altitude variation, as model 2: </w:t>
      </w:r>
    </w:p>
    <w:p w14:paraId="08C72119" w14:textId="3500AF47" w:rsidR="00913ECF" w:rsidRPr="009B3AD0" w:rsidRDefault="00913ECF" w:rsidP="00913ECF">
      <w:pPr>
        <w:spacing w:after="0" w:line="240" w:lineRule="auto"/>
        <w:jc w:val="both"/>
      </w:pPr>
      <m:oMath>
        <m:r>
          <w:rPr>
            <w:rFonts w:ascii="Cambria Math" w:hAnsi="Cambria Math"/>
          </w:rPr>
          <m:t>y=</m:t>
        </m:r>
        <m:sSub>
          <m:sSubPr>
            <m:ctrlPr>
              <w:rPr>
                <w:rFonts w:ascii="Cambria Math" w:hAnsi="Cambria Math"/>
                <w:i/>
              </w:rPr>
            </m:ctrlPr>
          </m:sSubPr>
          <m:e>
            <m:r>
              <w:rPr>
                <w:rFonts w:ascii="Cambria Math" w:hAnsi="Cambria Math"/>
              </w:rPr>
              <m:t>26.690-0.012x</m:t>
            </m:r>
          </m:e>
          <m:sub>
            <m:r>
              <w:rPr>
                <w:rFonts w:ascii="Cambria Math" w:hAnsi="Cambria Math"/>
              </w:rPr>
              <m:t>green</m:t>
            </m:r>
          </m:sub>
        </m:sSub>
        <m:sSub>
          <m:sSubPr>
            <m:ctrlPr>
              <w:rPr>
                <w:rFonts w:ascii="Cambria Math" w:hAnsi="Cambria Math"/>
                <w:i/>
              </w:rPr>
            </m:ctrlPr>
          </m:sSubPr>
          <m:e>
            <m:r>
              <w:rPr>
                <w:rFonts w:ascii="Cambria Math" w:hAnsi="Cambria Math"/>
              </w:rPr>
              <m:t>- 0.009x</m:t>
            </m:r>
          </m:e>
          <m:sub>
            <m:r>
              <w:rPr>
                <w:rFonts w:ascii="Cambria Math" w:hAnsi="Cambria Math"/>
              </w:rPr>
              <m:t>agri</m:t>
            </m:r>
          </m:sub>
        </m:sSub>
        <m:sSub>
          <m:sSubPr>
            <m:ctrlPr>
              <w:rPr>
                <w:rFonts w:ascii="Cambria Math" w:hAnsi="Cambria Math"/>
                <w:i/>
              </w:rPr>
            </m:ctrlPr>
          </m:sSubPr>
          <m:e>
            <m:r>
              <w:rPr>
                <w:rFonts w:ascii="Cambria Math" w:hAnsi="Cambria Math"/>
              </w:rPr>
              <m:t>+ 0.006x</m:t>
            </m:r>
          </m:e>
          <m:sub>
            <m:r>
              <w:rPr>
                <w:rFonts w:ascii="Cambria Math" w:hAnsi="Cambria Math"/>
              </w:rPr>
              <m:t>dem</m:t>
            </m:r>
          </m:sub>
        </m:sSub>
      </m:oMath>
      <w:r w:rsidRPr="00913ECF">
        <w:t xml:space="preserve">  (</w:t>
      </w:r>
      <m:oMath>
        <m:sSup>
          <m:sSupPr>
            <m:ctrlPr>
              <w:rPr>
                <w:rFonts w:ascii="Cambria Math" w:hAnsi="Cambria Math"/>
                <w:i/>
              </w:rPr>
            </m:ctrlPr>
          </m:sSupPr>
          <m:e>
            <m:r>
              <w:rPr>
                <w:rFonts w:ascii="Cambria Math" w:hAnsi="Cambria Math"/>
              </w:rPr>
              <m:t>r</m:t>
            </m:r>
          </m:e>
          <m:sup>
            <m:r>
              <w:rPr>
                <w:rFonts w:ascii="Cambria Math" w:hAnsi="Cambria Math"/>
              </w:rPr>
              <m:t>2</m:t>
            </m:r>
          </m:sup>
        </m:sSup>
      </m:oMath>
      <w:r w:rsidRPr="00913ECF">
        <w:t xml:space="preserve">=0.387, </w:t>
      </w:r>
      <w:r w:rsidRPr="00913ECF">
        <w:rPr>
          <w:i/>
          <w:iCs/>
        </w:rPr>
        <w:t>p</w:t>
      </w:r>
      <w:r w:rsidRPr="00913ECF">
        <w:t>&lt;0.01, at 22:30 in 2017)</w:t>
      </w:r>
    </w:p>
    <w:p w14:paraId="5A4D68F6" w14:textId="71BEAF7B" w:rsidR="00913ECF" w:rsidRPr="009B3AD0" w:rsidRDefault="00913ECF" w:rsidP="00913ECF">
      <w:pPr>
        <w:spacing w:after="0"/>
        <w:jc w:val="both"/>
      </w:pPr>
      <m:oMath>
        <m:r>
          <w:rPr>
            <w:rFonts w:ascii="Cambria Math" w:hAnsi="Cambria Math"/>
          </w:rPr>
          <m:t>y=</m:t>
        </m:r>
        <m:sSub>
          <m:sSubPr>
            <m:ctrlPr>
              <w:rPr>
                <w:rFonts w:ascii="Cambria Math" w:hAnsi="Cambria Math"/>
                <w:i/>
              </w:rPr>
            </m:ctrlPr>
          </m:sSubPr>
          <m:e>
            <m:r>
              <w:rPr>
                <w:rFonts w:ascii="Cambria Math" w:hAnsi="Cambria Math"/>
              </w:rPr>
              <m:t>22.756-0.012x</m:t>
            </m:r>
          </m:e>
          <m:sub>
            <m:r>
              <w:rPr>
                <w:rFonts w:ascii="Cambria Math" w:hAnsi="Cambria Math"/>
              </w:rPr>
              <m:t>green</m:t>
            </m:r>
          </m:sub>
        </m:sSub>
        <m:sSub>
          <m:sSubPr>
            <m:ctrlPr>
              <w:rPr>
                <w:rFonts w:ascii="Cambria Math" w:hAnsi="Cambria Math"/>
                <w:i/>
              </w:rPr>
            </m:ctrlPr>
          </m:sSubPr>
          <m:e>
            <m:r>
              <w:rPr>
                <w:rFonts w:ascii="Cambria Math" w:hAnsi="Cambria Math"/>
              </w:rPr>
              <m:t>- 0.009x</m:t>
            </m:r>
          </m:e>
          <m:sub>
            <m:r>
              <w:rPr>
                <w:rFonts w:ascii="Cambria Math" w:hAnsi="Cambria Math"/>
              </w:rPr>
              <m:t>agri</m:t>
            </m:r>
          </m:sub>
        </m:sSub>
        <m:sSub>
          <m:sSubPr>
            <m:ctrlPr>
              <w:rPr>
                <w:rFonts w:ascii="Cambria Math" w:hAnsi="Cambria Math"/>
                <w:i/>
              </w:rPr>
            </m:ctrlPr>
          </m:sSubPr>
          <m:e>
            <m:r>
              <w:rPr>
                <w:rFonts w:ascii="Cambria Math" w:hAnsi="Cambria Math"/>
              </w:rPr>
              <m:t>+ 0.004x</m:t>
            </m:r>
          </m:e>
          <m:sub>
            <m:r>
              <w:rPr>
                <w:rFonts w:ascii="Cambria Math" w:hAnsi="Cambria Math"/>
              </w:rPr>
              <m:t>dem</m:t>
            </m:r>
          </m:sub>
        </m:sSub>
      </m:oMath>
      <w:r w:rsidRPr="009B3AD0">
        <w:t xml:space="preserve">  </w:t>
      </w:r>
      <w:r w:rsidRPr="00913ECF">
        <w:t>(</w:t>
      </w:r>
      <m:oMath>
        <m:sSup>
          <m:sSupPr>
            <m:ctrlPr>
              <w:rPr>
                <w:rFonts w:ascii="Cambria Math" w:hAnsi="Cambria Math"/>
                <w:i/>
              </w:rPr>
            </m:ctrlPr>
          </m:sSupPr>
          <m:e>
            <m:r>
              <w:rPr>
                <w:rFonts w:ascii="Cambria Math" w:hAnsi="Cambria Math"/>
              </w:rPr>
              <m:t>r</m:t>
            </m:r>
          </m:e>
          <m:sup>
            <m:r>
              <w:rPr>
                <w:rFonts w:ascii="Cambria Math" w:hAnsi="Cambria Math"/>
              </w:rPr>
              <m:t>2</m:t>
            </m:r>
          </m:sup>
        </m:sSup>
      </m:oMath>
      <w:r w:rsidRPr="00913ECF">
        <w:t xml:space="preserve">=0.387, </w:t>
      </w:r>
      <w:r w:rsidRPr="00913ECF">
        <w:rPr>
          <w:i/>
          <w:iCs/>
        </w:rPr>
        <w:t>p</w:t>
      </w:r>
      <w:r w:rsidRPr="00913ECF">
        <w:t>&lt;0.01, at 01:30 in 2017)</w:t>
      </w:r>
    </w:p>
    <w:p w14:paraId="66C09E00" w14:textId="1B7096C1" w:rsidR="00913ECF" w:rsidRPr="009B3AD0" w:rsidRDefault="00913ECF" w:rsidP="00913ECF">
      <w:pPr>
        <w:spacing w:after="0"/>
        <w:jc w:val="both"/>
      </w:pPr>
      <m:oMath>
        <m:r>
          <w:rPr>
            <w:rFonts w:ascii="Cambria Math" w:hAnsi="Cambria Math"/>
          </w:rPr>
          <m:t xml:space="preserve">y=22.512 </m:t>
        </m:r>
        <m:sSub>
          <m:sSubPr>
            <m:ctrlPr>
              <w:rPr>
                <w:rFonts w:ascii="Cambria Math" w:hAnsi="Cambria Math"/>
                <w:i/>
              </w:rPr>
            </m:ctrlPr>
          </m:sSubPr>
          <m:e>
            <m:r>
              <w:rPr>
                <w:rFonts w:ascii="Cambria Math" w:hAnsi="Cambria Math"/>
              </w:rPr>
              <m:t>- 0.011x</m:t>
            </m:r>
          </m:e>
          <m:sub>
            <m:r>
              <w:rPr>
                <w:rFonts w:ascii="Cambria Math" w:hAnsi="Cambria Math"/>
              </w:rPr>
              <m:t>green</m:t>
            </m:r>
          </m:sub>
        </m:sSub>
        <m:r>
          <w:rPr>
            <w:rFonts w:ascii="Cambria Math" w:hAnsi="Cambria Math"/>
          </w:rPr>
          <m:t>-0.0013</m:t>
        </m:r>
        <m:sSub>
          <m:sSubPr>
            <m:ctrlPr>
              <w:rPr>
                <w:rFonts w:ascii="Cambria Math" w:hAnsi="Cambria Math"/>
                <w:i/>
              </w:rPr>
            </m:ctrlPr>
          </m:sSubPr>
          <m:e>
            <m:r>
              <w:rPr>
                <w:rFonts w:ascii="Cambria Math" w:hAnsi="Cambria Math"/>
              </w:rPr>
              <m:t>x</m:t>
            </m:r>
          </m:e>
          <m:sub>
            <m:r>
              <w:rPr>
                <w:rFonts w:ascii="Cambria Math" w:hAnsi="Cambria Math"/>
              </w:rPr>
              <m:t>agri</m:t>
            </m:r>
          </m:sub>
        </m:sSub>
        <m:r>
          <w:rPr>
            <w:rFonts w:ascii="Cambria Math" w:hAnsi="Cambria Math"/>
          </w:rPr>
          <m:t>-0.004</m:t>
        </m:r>
        <m:sSub>
          <m:sSubPr>
            <m:ctrlPr>
              <w:rPr>
                <w:rFonts w:ascii="Cambria Math" w:hAnsi="Cambria Math"/>
                <w:i/>
              </w:rPr>
            </m:ctrlPr>
          </m:sSubPr>
          <m:e>
            <m:r>
              <w:rPr>
                <w:rFonts w:ascii="Cambria Math" w:hAnsi="Cambria Math"/>
              </w:rPr>
              <m:t>x</m:t>
            </m:r>
          </m:e>
          <m:sub>
            <m:r>
              <w:rPr>
                <w:rFonts w:ascii="Cambria Math" w:hAnsi="Cambria Math"/>
              </w:rPr>
              <m:t>dem</m:t>
            </m:r>
          </m:sub>
        </m:sSub>
      </m:oMath>
      <w:r w:rsidRPr="00913ECF">
        <w:t xml:space="preserve"> </w:t>
      </w:r>
      <w:r>
        <w:t xml:space="preserve"> </w:t>
      </w:r>
      <w:r w:rsidRPr="00913ECF">
        <w:t>(</w:t>
      </w:r>
      <m:oMath>
        <m:sSup>
          <m:sSupPr>
            <m:ctrlPr>
              <w:rPr>
                <w:rFonts w:ascii="Cambria Math" w:hAnsi="Cambria Math"/>
                <w:i/>
              </w:rPr>
            </m:ctrlPr>
          </m:sSupPr>
          <m:e>
            <m:r>
              <w:rPr>
                <w:rFonts w:ascii="Cambria Math" w:hAnsi="Cambria Math"/>
              </w:rPr>
              <m:t>r</m:t>
            </m:r>
          </m:e>
          <m:sup>
            <m:r>
              <w:rPr>
                <w:rFonts w:ascii="Cambria Math" w:hAnsi="Cambria Math"/>
              </w:rPr>
              <m:t>2</m:t>
            </m:r>
          </m:sup>
        </m:sSup>
      </m:oMath>
      <w:r w:rsidRPr="00913ECF">
        <w:t xml:space="preserve">=0.300, </w:t>
      </w:r>
      <w:r w:rsidRPr="00913ECF">
        <w:rPr>
          <w:i/>
          <w:iCs/>
        </w:rPr>
        <w:t>p</w:t>
      </w:r>
      <w:r w:rsidRPr="00913ECF">
        <w:t>&lt;0.01, at 22:30 in 2022)</w:t>
      </w:r>
    </w:p>
    <w:p w14:paraId="3A51DD1D" w14:textId="29AE2B1E" w:rsidR="00913ECF" w:rsidRPr="00913ECF" w:rsidRDefault="00913ECF" w:rsidP="00913ECF">
      <w:pPr>
        <w:jc w:val="both"/>
      </w:pPr>
      <m:oMath>
        <m:r>
          <w:rPr>
            <w:rFonts w:ascii="Cambria Math" w:hAnsi="Cambria Math"/>
          </w:rPr>
          <m:t xml:space="preserve">y=22.988 </m:t>
        </m:r>
        <m:sSub>
          <m:sSubPr>
            <m:ctrlPr>
              <w:rPr>
                <w:rFonts w:ascii="Cambria Math" w:hAnsi="Cambria Math"/>
                <w:i/>
              </w:rPr>
            </m:ctrlPr>
          </m:sSubPr>
          <m:e>
            <m:r>
              <w:rPr>
                <w:rFonts w:ascii="Cambria Math" w:hAnsi="Cambria Math"/>
              </w:rPr>
              <m:t>- 0.014x</m:t>
            </m:r>
          </m:e>
          <m:sub>
            <m:r>
              <w:rPr>
                <w:rFonts w:ascii="Cambria Math" w:hAnsi="Cambria Math"/>
              </w:rPr>
              <m:t>green</m:t>
            </m:r>
          </m:sub>
        </m:sSub>
        <m:r>
          <w:rPr>
            <w:rFonts w:ascii="Cambria Math" w:hAnsi="Cambria Math"/>
          </w:rPr>
          <m:t>- 0.0</m:t>
        </m:r>
        <m:r>
          <w:rPr>
            <w:rFonts w:ascii="Cambria Math" w:hAnsi="Cambria Math"/>
          </w:rPr>
          <m:t>0</m:t>
        </m:r>
        <m:r>
          <w:rPr>
            <w:rFonts w:ascii="Cambria Math" w:hAnsi="Cambria Math"/>
          </w:rPr>
          <m:t>13</m:t>
        </m:r>
        <m:sSub>
          <m:sSubPr>
            <m:ctrlPr>
              <w:rPr>
                <w:rFonts w:ascii="Cambria Math" w:hAnsi="Cambria Math"/>
                <w:i/>
              </w:rPr>
            </m:ctrlPr>
          </m:sSubPr>
          <m:e>
            <m:r>
              <w:rPr>
                <w:rFonts w:ascii="Cambria Math" w:hAnsi="Cambria Math"/>
              </w:rPr>
              <m:t>x</m:t>
            </m:r>
          </m:e>
          <m:sub>
            <m:r>
              <w:rPr>
                <w:rFonts w:ascii="Cambria Math" w:hAnsi="Cambria Math"/>
              </w:rPr>
              <m:t>agri</m:t>
            </m:r>
          </m:sub>
        </m:sSub>
        <m:r>
          <w:rPr>
            <w:rFonts w:ascii="Cambria Math" w:hAnsi="Cambria Math"/>
          </w:rPr>
          <m:t>-0.004</m:t>
        </m:r>
        <m:sSub>
          <m:sSubPr>
            <m:ctrlPr>
              <w:rPr>
                <w:rFonts w:ascii="Cambria Math" w:hAnsi="Cambria Math"/>
                <w:i/>
              </w:rPr>
            </m:ctrlPr>
          </m:sSubPr>
          <m:e>
            <m:r>
              <w:rPr>
                <w:rFonts w:ascii="Cambria Math" w:hAnsi="Cambria Math"/>
              </w:rPr>
              <m:t>x</m:t>
            </m:r>
          </m:e>
          <m:sub>
            <m:r>
              <w:rPr>
                <w:rFonts w:ascii="Cambria Math" w:hAnsi="Cambria Math"/>
              </w:rPr>
              <m:t>dem</m:t>
            </m:r>
          </m:sub>
        </m:sSub>
      </m:oMath>
      <w:r w:rsidRPr="009B3AD0">
        <w:t xml:space="preserve"> </w:t>
      </w:r>
      <w:r>
        <w:t xml:space="preserve">  </w:t>
      </w:r>
      <w:r w:rsidRPr="00913ECF">
        <w:t>(</w:t>
      </w:r>
      <m:oMath>
        <m:sSup>
          <m:sSupPr>
            <m:ctrlPr>
              <w:rPr>
                <w:rFonts w:ascii="Cambria Math" w:hAnsi="Cambria Math"/>
                <w:i/>
              </w:rPr>
            </m:ctrlPr>
          </m:sSupPr>
          <m:e>
            <m:r>
              <w:rPr>
                <w:rFonts w:ascii="Cambria Math" w:hAnsi="Cambria Math"/>
              </w:rPr>
              <m:t>r</m:t>
            </m:r>
          </m:e>
          <m:sup>
            <m:r>
              <w:rPr>
                <w:rFonts w:ascii="Cambria Math" w:hAnsi="Cambria Math"/>
              </w:rPr>
              <m:t>2</m:t>
            </m:r>
          </m:sup>
        </m:sSup>
      </m:oMath>
      <w:r w:rsidRPr="00913ECF">
        <w:t xml:space="preserve">=0.366, </w:t>
      </w:r>
      <w:r w:rsidRPr="00913ECF">
        <w:rPr>
          <w:i/>
          <w:iCs/>
        </w:rPr>
        <w:t>p</w:t>
      </w:r>
      <w:r w:rsidRPr="00913ECF">
        <w:t xml:space="preserve">&lt;0.01, at </w:t>
      </w:r>
      <w:r w:rsidR="007C52B1">
        <w:t>01</w:t>
      </w:r>
      <w:r w:rsidRPr="00913ECF">
        <w:t>:30 in 2022)</w:t>
      </w:r>
    </w:p>
    <w:p w14:paraId="563C3722" w14:textId="3BCC66B2" w:rsidR="000705A1" w:rsidRDefault="000705A1">
      <w:pPr>
        <w:pBdr>
          <w:top w:val="nil"/>
          <w:left w:val="nil"/>
          <w:bottom w:val="nil"/>
          <w:right w:val="nil"/>
          <w:between w:val="nil"/>
        </w:pBdr>
        <w:spacing w:line="240" w:lineRule="auto"/>
        <w:jc w:val="both"/>
        <w:rPr>
          <w:b/>
        </w:rPr>
      </w:pPr>
      <w:r>
        <w:rPr>
          <w:b/>
        </w:rPr>
        <w:t>3.</w:t>
      </w:r>
      <w:r w:rsidR="00444D57">
        <w:rPr>
          <w:b/>
        </w:rPr>
        <w:t>5</w:t>
      </w:r>
      <w:r w:rsidR="00E27427">
        <w:rPr>
          <w:b/>
        </w:rPr>
        <w:t xml:space="preserve"> </w:t>
      </w:r>
      <w:r w:rsidR="00444D57">
        <w:rPr>
          <w:b/>
        </w:rPr>
        <w:t>C</w:t>
      </w:r>
      <w:r>
        <w:rPr>
          <w:b/>
        </w:rPr>
        <w:t xml:space="preserve">ooling </w:t>
      </w:r>
      <w:r w:rsidR="0031683A">
        <w:rPr>
          <w:b/>
        </w:rPr>
        <w:t xml:space="preserve">thresholds </w:t>
      </w:r>
      <w:r w:rsidR="00B909C2">
        <w:rPr>
          <w:b/>
        </w:rPr>
        <w:t xml:space="preserve">between neighbourhoods </w:t>
      </w:r>
    </w:p>
    <w:p w14:paraId="1D485C6B" w14:textId="79556CBD" w:rsidR="00262F3A" w:rsidRPr="00262F3A" w:rsidRDefault="00262F3A" w:rsidP="00262F3A">
      <w:pPr>
        <w:spacing w:line="240" w:lineRule="auto"/>
        <w:jc w:val="both"/>
      </w:pPr>
      <w:r>
        <w:rPr>
          <w:color w:val="000000"/>
        </w:rPr>
        <w:t xml:space="preserve">As detected in model 1 and model 2, the dominant cooling spaces are agricultural land and greenspace. Regardless of other factors, </w:t>
      </w:r>
      <w:r>
        <w:t>LST was negatively correlated with agricultural land during the day and greenspace at night (</w:t>
      </w:r>
      <w:r>
        <w:rPr>
          <w:i/>
        </w:rPr>
        <w:t xml:space="preserve">p </w:t>
      </w:r>
      <w:r>
        <w:t>&lt;0.05) (</w:t>
      </w:r>
      <w:r>
        <w:rPr>
          <w:color w:val="0070C0"/>
        </w:rPr>
        <w:t>Fig. S5</w:t>
      </w:r>
      <w:r>
        <w:t>). We extract</w:t>
      </w:r>
      <w:r w:rsidR="00EB33C0">
        <w:t>ed</w:t>
      </w:r>
      <w:r>
        <w:t xml:space="preserve"> these dominant cooling roles of agricultural land for the daytime and greenspace for the nighttime to detect their cooling thresholds. </w:t>
      </w:r>
    </w:p>
    <w:p w14:paraId="29F9443A" w14:textId="13AF9BC1" w:rsidR="006012C1" w:rsidRDefault="00310BB3" w:rsidP="00200AEB">
      <w:pPr>
        <w:pBdr>
          <w:top w:val="nil"/>
          <w:left w:val="nil"/>
          <w:bottom w:val="nil"/>
          <w:right w:val="nil"/>
          <w:between w:val="nil"/>
        </w:pBdr>
        <w:spacing w:line="240" w:lineRule="auto"/>
        <w:jc w:val="both"/>
      </w:pPr>
      <w:r>
        <w:rPr>
          <w:color w:val="000000"/>
        </w:rPr>
        <w:t xml:space="preserve">As </w:t>
      </w:r>
      <w:r>
        <w:rPr>
          <w:color w:val="0070C0"/>
        </w:rPr>
        <w:t>Fig.8</w:t>
      </w:r>
      <w:r>
        <w:rPr>
          <w:color w:val="000000"/>
        </w:rPr>
        <w:t xml:space="preserve">, </w:t>
      </w:r>
      <w:r w:rsidR="00552584">
        <w:rPr>
          <w:color w:val="000000"/>
        </w:rPr>
        <w:t>cooling effect for equal neighbourhoods was pronounced at night (</w:t>
      </w:r>
      <m:oMath>
        <m:sSup>
          <m:sSupPr>
            <m:ctrlPr>
              <w:rPr>
                <w:rFonts w:ascii="Cambria Math" w:hAnsi="Cambria Math"/>
                <w:i/>
                <w:sz w:val="20"/>
                <w:szCs w:val="20"/>
              </w:rPr>
            </m:ctrlPr>
          </m:sSupPr>
          <m:e>
            <m:r>
              <w:rPr>
                <w:rFonts w:ascii="Cambria Math" w:hAnsi="Cambria Math"/>
                <w:sz w:val="20"/>
                <w:szCs w:val="20"/>
              </w:rPr>
              <m:t>r</m:t>
            </m:r>
          </m:e>
          <m:sup>
            <m:r>
              <w:rPr>
                <w:rFonts w:ascii="Cambria Math" w:hAnsi="Cambria Math"/>
                <w:sz w:val="20"/>
                <w:szCs w:val="20"/>
              </w:rPr>
              <m:t>2</m:t>
            </m:r>
          </m:sup>
        </m:sSup>
      </m:oMath>
      <w:r w:rsidR="00552584">
        <w:rPr>
          <w:color w:val="000000"/>
        </w:rPr>
        <w:t xml:space="preserve">&gt;0.25, </w:t>
      </w:r>
      <w:r w:rsidR="00552584" w:rsidRPr="008D5728">
        <w:rPr>
          <w:i/>
          <w:iCs/>
          <w:sz w:val="20"/>
          <w:szCs w:val="20"/>
        </w:rPr>
        <w:t>p</w:t>
      </w:r>
      <w:r w:rsidR="00552584" w:rsidRPr="008D5728">
        <w:rPr>
          <w:sz w:val="20"/>
          <w:szCs w:val="20"/>
        </w:rPr>
        <w:t>&lt;0.01</w:t>
      </w:r>
      <w:r w:rsidR="00552584">
        <w:rPr>
          <w:color w:val="000000"/>
        </w:rPr>
        <w:t>) in contrast to the daytime (</w:t>
      </w:r>
      <m:oMath>
        <m:sSup>
          <m:sSupPr>
            <m:ctrlPr>
              <w:rPr>
                <w:rFonts w:ascii="Cambria Math" w:hAnsi="Cambria Math"/>
                <w:i/>
                <w:sz w:val="20"/>
                <w:szCs w:val="20"/>
              </w:rPr>
            </m:ctrlPr>
          </m:sSupPr>
          <m:e>
            <m:r>
              <w:rPr>
                <w:rFonts w:ascii="Cambria Math" w:hAnsi="Cambria Math"/>
                <w:sz w:val="20"/>
                <w:szCs w:val="20"/>
              </w:rPr>
              <m:t>r</m:t>
            </m:r>
          </m:e>
          <m:sup>
            <m:r>
              <w:rPr>
                <w:rFonts w:ascii="Cambria Math" w:hAnsi="Cambria Math"/>
                <w:sz w:val="20"/>
                <w:szCs w:val="20"/>
              </w:rPr>
              <m:t>2</m:t>
            </m:r>
          </m:sup>
        </m:sSup>
      </m:oMath>
      <w:r w:rsidR="00552584">
        <w:rPr>
          <w:color w:val="000000"/>
        </w:rPr>
        <w:t xml:space="preserve">&lt;0.25, </w:t>
      </w:r>
      <w:r w:rsidR="00552584" w:rsidRPr="008D5728">
        <w:rPr>
          <w:i/>
          <w:iCs/>
          <w:sz w:val="20"/>
          <w:szCs w:val="20"/>
        </w:rPr>
        <w:t>p</w:t>
      </w:r>
      <w:r w:rsidR="00552584" w:rsidRPr="008D5728">
        <w:rPr>
          <w:sz w:val="20"/>
          <w:szCs w:val="20"/>
        </w:rPr>
        <w:t>&lt;0.01</w:t>
      </w:r>
      <w:r w:rsidR="00552584">
        <w:rPr>
          <w:color w:val="000000"/>
        </w:rPr>
        <w:t>)</w:t>
      </w:r>
      <w:r>
        <w:rPr>
          <w:color w:val="000000"/>
        </w:rPr>
        <w:t xml:space="preserve">. </w:t>
      </w:r>
      <w:r w:rsidR="00D653E6">
        <w:rPr>
          <w:color w:val="000000"/>
        </w:rPr>
        <w:t>At night, a</w:t>
      </w:r>
      <w:r>
        <w:rPr>
          <w:color w:val="000000"/>
        </w:rPr>
        <w:t xml:space="preserve"> 1</w:t>
      </w:r>
      <w:r>
        <w:t>% increase in</w:t>
      </w:r>
      <w:r>
        <w:rPr>
          <w:color w:val="000000"/>
        </w:rPr>
        <w:t xml:space="preserve"> greenspace </w:t>
      </w:r>
      <w:r>
        <w:t xml:space="preserve">corresponds to a </w:t>
      </w:r>
      <w:r>
        <w:rPr>
          <w:color w:val="000000"/>
        </w:rPr>
        <w:t>0.0</w:t>
      </w:r>
      <w:r>
        <w:t>172°C</w:t>
      </w:r>
      <w:r w:rsidR="005C2DED">
        <w:t xml:space="preserve">, </w:t>
      </w:r>
      <w:r>
        <w:t>0.0195°C LST reduction</w:t>
      </w:r>
      <w:r w:rsidR="005C2DED">
        <w:t xml:space="preserve"> at 22:30 and 01:30</w:t>
      </w:r>
      <w:r>
        <w:t xml:space="preserve">, with a </w:t>
      </w:r>
      <w:r>
        <w:rPr>
          <w:color w:val="000000"/>
        </w:rPr>
        <w:t>threshold value of 62% detected in 2022. In other wo</w:t>
      </w:r>
      <w:r>
        <w:t>rds</w:t>
      </w:r>
      <w:r w:rsidR="00365E56">
        <w:t xml:space="preserve">, </w:t>
      </w:r>
      <w:r w:rsidR="00365E56" w:rsidRPr="00365E56">
        <w:t>increasing greenspace cover from 0% to 62% is estimated to reduce temperature by 1.24°C</w:t>
      </w:r>
      <w:r w:rsidR="00365E56">
        <w:t xml:space="preserve"> </w:t>
      </w:r>
      <w:r w:rsidR="00862543">
        <w:t xml:space="preserve">in 2022 </w:t>
      </w:r>
      <w:r w:rsidR="00365E56">
        <w:t>that</w:t>
      </w:r>
      <w:r w:rsidR="00913ECF">
        <w:t xml:space="preserve"> is</w:t>
      </w:r>
      <w:r w:rsidR="00365E56">
        <w:t xml:space="preserve"> </w:t>
      </w:r>
      <w:r w:rsidR="00365E56" w:rsidRPr="00365E56">
        <w:t xml:space="preserve">enough to shift </w:t>
      </w:r>
      <w:r w:rsidR="005E4960">
        <w:t xml:space="preserve">these </w:t>
      </w:r>
      <w:r w:rsidR="00365E56">
        <w:t>vulnerable neighbourhoods</w:t>
      </w:r>
      <w:r w:rsidR="005C2DED">
        <w:t xml:space="preserve"> </w:t>
      </w:r>
      <w:r w:rsidR="00D653E6">
        <w:t>from</w:t>
      </w:r>
      <w:r w:rsidR="005C2DED">
        <w:t xml:space="preserve"> </w:t>
      </w:r>
      <w:r w:rsidR="00365E56" w:rsidRPr="00365E56">
        <w:t xml:space="preserve">the highest temperature range (above the Tref) to </w:t>
      </w:r>
      <w:r w:rsidR="00262F3A" w:rsidRPr="00365E56">
        <w:t xml:space="preserve">comfortable </w:t>
      </w:r>
      <w:r w:rsidR="00262F3A">
        <w:t>range</w:t>
      </w:r>
      <w:r w:rsidR="00365E56" w:rsidRPr="00365E56">
        <w:t xml:space="preserve"> (below the Tref).</w:t>
      </w:r>
      <w:r w:rsidR="00200AEB">
        <w:rPr>
          <w:color w:val="000000"/>
        </w:rPr>
        <w:t xml:space="preserve"> </w:t>
      </w:r>
      <w:r>
        <w:rPr>
          <w:color w:val="000000"/>
        </w:rPr>
        <w:t xml:space="preserve">A similar observation was </w:t>
      </w:r>
      <w:r>
        <w:t>noted</w:t>
      </w:r>
      <w:r>
        <w:rPr>
          <w:color w:val="000000"/>
        </w:rPr>
        <w:t xml:space="preserve"> in 2017, where a 1% increase in greenspace</w:t>
      </w:r>
      <w:r>
        <w:t xml:space="preserve"> was associated with a</w:t>
      </w:r>
      <w:r>
        <w:rPr>
          <w:color w:val="000000"/>
        </w:rPr>
        <w:t xml:space="preserve"> 0.0113</w:t>
      </w:r>
      <w:r>
        <w:t>°C</w:t>
      </w:r>
      <w:r w:rsidR="005C2DED">
        <w:rPr>
          <w:color w:val="000000"/>
        </w:rPr>
        <w:t xml:space="preserve">, </w:t>
      </w:r>
      <w:r>
        <w:t xml:space="preserve">0.0111°C </w:t>
      </w:r>
      <w:r w:rsidR="005C2DED">
        <w:t xml:space="preserve">LST </w:t>
      </w:r>
      <w:r>
        <w:t>reduction</w:t>
      </w:r>
      <w:r w:rsidR="005C2DED">
        <w:t xml:space="preserve"> at 22:30 and 01:30</w:t>
      </w:r>
      <w:r>
        <w:rPr>
          <w:color w:val="000000"/>
        </w:rPr>
        <w:t xml:space="preserve">, with a threshold of </w:t>
      </w:r>
      <w:r>
        <w:t>7</w:t>
      </w:r>
      <w:r>
        <w:rPr>
          <w:color w:val="000000"/>
        </w:rPr>
        <w:t>8%</w:t>
      </w:r>
      <w:r w:rsidR="00862543">
        <w:rPr>
          <w:color w:val="000000"/>
        </w:rPr>
        <w:t xml:space="preserve">. </w:t>
      </w:r>
      <w:r w:rsidR="00862543">
        <w:t>I</w:t>
      </w:r>
      <w:r w:rsidR="00862543" w:rsidRPr="00365E56">
        <w:t xml:space="preserve">ncreasing greenspace cover from 0% to </w:t>
      </w:r>
      <w:r w:rsidR="00862543">
        <w:t>78</w:t>
      </w:r>
      <w:r w:rsidR="00862543" w:rsidRPr="00365E56">
        <w:t xml:space="preserve">% is estimated to reduce temperature by </w:t>
      </w:r>
      <w:r w:rsidR="00862543">
        <w:rPr>
          <w:color w:val="000000"/>
        </w:rPr>
        <w:t>0.78 reduction in 2017</w:t>
      </w:r>
      <w:r>
        <w:t xml:space="preserve">. </w:t>
      </w:r>
    </w:p>
    <w:p w14:paraId="5C918081" w14:textId="5DDE5082" w:rsidR="006012C1" w:rsidRDefault="00D653E6" w:rsidP="00485B14">
      <w:pPr>
        <w:spacing w:line="240" w:lineRule="auto"/>
        <w:jc w:val="both"/>
      </w:pPr>
      <w:r w:rsidRPr="00D653E6">
        <w:rPr>
          <w:bCs/>
        </w:rPr>
        <w:t xml:space="preserve">Conversely, </w:t>
      </w:r>
      <w:r>
        <w:t xml:space="preserve">cooling effect </w:t>
      </w:r>
      <w:r w:rsidR="005B33AA">
        <w:t xml:space="preserve">for </w:t>
      </w:r>
      <w:r>
        <w:t>vulnerable</w:t>
      </w:r>
      <w:r w:rsidR="005B33AA">
        <w:t xml:space="preserve"> neighbourhoods </w:t>
      </w:r>
      <w:r>
        <w:t xml:space="preserve">was observed </w:t>
      </w:r>
      <w:r w:rsidR="005B33AA">
        <w:t xml:space="preserve">in the day </w:t>
      </w:r>
      <w:r>
        <w:t>(</w:t>
      </w:r>
      <m:oMath>
        <m:sSup>
          <m:sSupPr>
            <m:ctrlPr>
              <w:rPr>
                <w:rFonts w:ascii="Cambria Math" w:hAnsi="Cambria Math"/>
                <w:i/>
                <w:sz w:val="20"/>
                <w:szCs w:val="20"/>
              </w:rPr>
            </m:ctrlPr>
          </m:sSupPr>
          <m:e>
            <m:r>
              <w:rPr>
                <w:rFonts w:ascii="Cambria Math" w:hAnsi="Cambria Math"/>
                <w:sz w:val="20"/>
                <w:szCs w:val="20"/>
              </w:rPr>
              <m:t>r</m:t>
            </m:r>
          </m:e>
          <m:sup>
            <m:r>
              <w:rPr>
                <w:rFonts w:ascii="Cambria Math" w:hAnsi="Cambria Math"/>
                <w:sz w:val="20"/>
                <w:szCs w:val="20"/>
              </w:rPr>
              <m:t>2</m:t>
            </m:r>
          </m:sup>
        </m:sSup>
      </m:oMath>
      <w:r>
        <w:t>&gt;0.</w:t>
      </w:r>
      <w:r w:rsidR="00187CFF">
        <w:t>2</w:t>
      </w:r>
      <w:r>
        <w:t>5</w:t>
      </w:r>
      <w:r w:rsidR="005B33AA">
        <w:t xml:space="preserve">, </w:t>
      </w:r>
      <w:r w:rsidR="005B33AA" w:rsidRPr="008D5728">
        <w:rPr>
          <w:i/>
          <w:iCs/>
          <w:sz w:val="20"/>
          <w:szCs w:val="20"/>
        </w:rPr>
        <w:t>p</w:t>
      </w:r>
      <w:r w:rsidR="005B33AA" w:rsidRPr="008D5728">
        <w:rPr>
          <w:sz w:val="20"/>
          <w:szCs w:val="20"/>
        </w:rPr>
        <w:t>&lt;0.01</w:t>
      </w:r>
      <w:r>
        <w:t>)</w:t>
      </w:r>
      <w:r w:rsidR="00212264" w:rsidRPr="00212264">
        <w:t xml:space="preserve"> </w:t>
      </w:r>
      <w:r w:rsidR="00212264">
        <w:t xml:space="preserve">comparing to </w:t>
      </w:r>
      <w:r w:rsidR="005B33AA">
        <w:t>nighttime</w:t>
      </w:r>
      <w:r w:rsidR="00212264">
        <w:t xml:space="preserve"> (</w:t>
      </w:r>
      <m:oMath>
        <m:sSup>
          <m:sSupPr>
            <m:ctrlPr>
              <w:rPr>
                <w:rFonts w:ascii="Cambria Math" w:hAnsi="Cambria Math"/>
                <w:i/>
                <w:sz w:val="20"/>
                <w:szCs w:val="20"/>
              </w:rPr>
            </m:ctrlPr>
          </m:sSupPr>
          <m:e>
            <m:r>
              <w:rPr>
                <w:rFonts w:ascii="Cambria Math" w:hAnsi="Cambria Math"/>
                <w:sz w:val="20"/>
                <w:szCs w:val="20"/>
              </w:rPr>
              <m:t>r</m:t>
            </m:r>
          </m:e>
          <m:sup>
            <m:r>
              <w:rPr>
                <w:rFonts w:ascii="Cambria Math" w:hAnsi="Cambria Math"/>
                <w:sz w:val="20"/>
                <w:szCs w:val="20"/>
              </w:rPr>
              <m:t>2</m:t>
            </m:r>
          </m:sup>
        </m:sSup>
      </m:oMath>
      <w:r w:rsidR="00212264">
        <w:t>&lt;0.</w:t>
      </w:r>
      <w:r w:rsidR="00187CFF">
        <w:t>25</w:t>
      </w:r>
      <w:r w:rsidR="005B33AA">
        <w:t xml:space="preserve">, </w:t>
      </w:r>
      <w:r w:rsidR="005B33AA" w:rsidRPr="008D5728">
        <w:rPr>
          <w:i/>
          <w:iCs/>
          <w:sz w:val="20"/>
          <w:szCs w:val="20"/>
        </w:rPr>
        <w:t>p</w:t>
      </w:r>
      <w:r w:rsidR="005B33AA" w:rsidRPr="008D5728">
        <w:rPr>
          <w:sz w:val="20"/>
          <w:szCs w:val="20"/>
        </w:rPr>
        <w:t>&lt;0.01</w:t>
      </w:r>
      <w:r w:rsidR="00212264">
        <w:t>)</w:t>
      </w:r>
      <w:r w:rsidR="005B33AA">
        <w:t xml:space="preserve">. </w:t>
      </w:r>
      <w:r w:rsidR="00E76773">
        <w:rPr>
          <w:color w:val="000000"/>
        </w:rPr>
        <w:t>Irrespective of other factors</w:t>
      </w:r>
      <w:r w:rsidR="00E76773">
        <w:t xml:space="preserve">, </w:t>
      </w:r>
      <w:r>
        <w:t xml:space="preserve">a 1% increase in agricultural </w:t>
      </w:r>
      <w:r w:rsidR="00913ECF">
        <w:t xml:space="preserve">land </w:t>
      </w:r>
      <w:r>
        <w:t>associated with a 0.0223</w:t>
      </w:r>
      <w:r>
        <w:rPr>
          <w:rFonts w:ascii="Cambria Math" w:eastAsia="Cambria Math" w:hAnsi="Cambria Math" w:cs="Cambria Math"/>
        </w:rPr>
        <w:t>℃</w:t>
      </w:r>
      <w:r w:rsidR="005C2DED">
        <w:t xml:space="preserve">, </w:t>
      </w:r>
      <w:r>
        <w:t>0.0308</w:t>
      </w:r>
      <w:r>
        <w:rPr>
          <w:rFonts w:ascii="Cambria Math" w:eastAsia="Cambria Math" w:hAnsi="Cambria Math" w:cs="Cambria Math"/>
        </w:rPr>
        <w:t>℃</w:t>
      </w:r>
      <w:r>
        <w:t xml:space="preserve"> </w:t>
      </w:r>
      <w:r w:rsidR="005C2DED">
        <w:t xml:space="preserve">LST decrease </w:t>
      </w:r>
      <w:r>
        <w:t xml:space="preserve">at </w:t>
      </w:r>
      <w:r w:rsidR="005C2DED">
        <w:t xml:space="preserve">10:30 and </w:t>
      </w:r>
      <w:r>
        <w:t>13:30</w:t>
      </w:r>
      <w:r w:rsidR="00E76773">
        <w:t xml:space="preserve"> in 2022</w:t>
      </w:r>
      <w:r>
        <w:t xml:space="preserve">. </w:t>
      </w:r>
      <w:r w:rsidR="00212264">
        <w:t>Similar trend observed in 2017, each 1% increase in agricultural coverage was associated with a 0.0237</w:t>
      </w:r>
      <w:r w:rsidR="00E76773">
        <w:rPr>
          <w:rFonts w:ascii="Cambria Math" w:eastAsia="Cambria Math" w:hAnsi="Cambria Math" w:cs="Cambria Math"/>
        </w:rPr>
        <w:t>℃</w:t>
      </w:r>
      <w:r w:rsidR="005C2DED">
        <w:t xml:space="preserve">, </w:t>
      </w:r>
      <w:r w:rsidR="00212264">
        <w:t>0.0258</w:t>
      </w:r>
      <w:r w:rsidR="00212264">
        <w:rPr>
          <w:rFonts w:ascii="Cambria Math" w:eastAsia="Cambria Math" w:hAnsi="Cambria Math" w:cs="Cambria Math"/>
        </w:rPr>
        <w:t>℃</w:t>
      </w:r>
      <w:r w:rsidR="00212264">
        <w:t xml:space="preserve"> </w:t>
      </w:r>
      <w:r w:rsidR="00E76773">
        <w:t xml:space="preserve">LST </w:t>
      </w:r>
      <w:r w:rsidR="00212264">
        <w:t xml:space="preserve">decrease </w:t>
      </w:r>
      <w:r w:rsidR="005C2DED">
        <w:t>at 10:30 and 13:30</w:t>
      </w:r>
      <w:r w:rsidR="005B33AA">
        <w:t xml:space="preserve">. However, no cooling threshold value was detected, </w:t>
      </w:r>
      <w:r w:rsidR="00485B14">
        <w:t xml:space="preserve">that means </w:t>
      </w:r>
      <w:r w:rsidR="00485B14" w:rsidRPr="00485B14">
        <w:t xml:space="preserve">no specific percentage of agricultural land ensures that all </w:t>
      </w:r>
      <w:bookmarkStart w:id="4" w:name="_Hlk196059278"/>
      <w:r w:rsidR="00485B14" w:rsidRPr="00485B14">
        <w:t xml:space="preserve">vulnerable neighbourhoods experiencing the highest temperatures (above </w:t>
      </w:r>
      <w:r w:rsidR="00485B14">
        <w:t xml:space="preserve">the </w:t>
      </w:r>
      <w:r w:rsidR="00485B14" w:rsidRPr="00485B14">
        <w:t>Tref) are brought into a more comfortable range (below Tref)</w:t>
      </w:r>
      <w:bookmarkEnd w:id="4"/>
      <w:r w:rsidR="00485B14">
        <w:t xml:space="preserve">. </w:t>
      </w:r>
    </w:p>
    <w:p w14:paraId="54FBC149" w14:textId="1D4D912B" w:rsidR="006012C1" w:rsidRDefault="007D546F">
      <w:pPr>
        <w:spacing w:before="160" w:line="240" w:lineRule="auto"/>
        <w:jc w:val="both"/>
        <w:rPr>
          <w:color w:val="000000"/>
        </w:rPr>
      </w:pPr>
      <w:r>
        <w:rPr>
          <w:noProof/>
        </w:rPr>
        <w:lastRenderedPageBreak/>
        <w:drawing>
          <wp:inline distT="0" distB="0" distL="0" distR="0" wp14:anchorId="5982D1A6" wp14:editId="5F397C88">
            <wp:extent cx="5613400" cy="6352848"/>
            <wp:effectExtent l="0" t="0" r="6350" b="0"/>
            <wp:docPr id="11406342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944" t="3851"/>
                    <a:stretch/>
                  </pic:blipFill>
                  <pic:spPr bwMode="auto">
                    <a:xfrm>
                      <a:off x="0" y="0"/>
                      <a:ext cx="5613842" cy="6353348"/>
                    </a:xfrm>
                    <a:prstGeom prst="rect">
                      <a:avLst/>
                    </a:prstGeom>
                    <a:noFill/>
                    <a:ln>
                      <a:noFill/>
                    </a:ln>
                    <a:extLst>
                      <a:ext uri="{53640926-AAD7-44D8-BBD7-CCE9431645EC}">
                        <a14:shadowObscured xmlns:a14="http://schemas.microsoft.com/office/drawing/2010/main"/>
                      </a:ext>
                    </a:extLst>
                  </pic:spPr>
                </pic:pic>
              </a:graphicData>
            </a:graphic>
          </wp:inline>
        </w:drawing>
      </w:r>
    </w:p>
    <w:p w14:paraId="5854BB84" w14:textId="3279C290" w:rsidR="000806CE" w:rsidRDefault="00000000">
      <w:pPr>
        <w:pBdr>
          <w:top w:val="nil"/>
          <w:left w:val="nil"/>
          <w:bottom w:val="nil"/>
          <w:right w:val="nil"/>
          <w:between w:val="nil"/>
        </w:pBdr>
        <w:spacing w:line="240" w:lineRule="auto"/>
        <w:jc w:val="both"/>
        <w:rPr>
          <w:color w:val="000000"/>
        </w:rPr>
      </w:pPr>
      <w:r>
        <w:rPr>
          <w:b/>
          <w:color w:val="000000"/>
        </w:rPr>
        <w:t xml:space="preserve">Figure </w:t>
      </w:r>
      <w:r w:rsidR="002101D9">
        <w:rPr>
          <w:b/>
          <w:color w:val="000000"/>
        </w:rPr>
        <w:t>8</w:t>
      </w:r>
      <w:r>
        <w:rPr>
          <w:b/>
          <w:color w:val="000000"/>
        </w:rPr>
        <w:t>.</w:t>
      </w:r>
      <w:r>
        <w:rPr>
          <w:color w:val="000000"/>
        </w:rPr>
        <w:t xml:space="preserve"> </w:t>
      </w:r>
      <w:r w:rsidR="00261365">
        <w:rPr>
          <w:color w:val="000000"/>
        </w:rPr>
        <w:t xml:space="preserve">The cooling threshold detection for </w:t>
      </w:r>
      <w:r w:rsidR="007331DF">
        <w:t>vulnerable and equal</w:t>
      </w:r>
      <w:r>
        <w:t xml:space="preserve"> neighbourhoods</w:t>
      </w:r>
      <w:r>
        <w:rPr>
          <w:color w:val="000000"/>
        </w:rPr>
        <w:t xml:space="preserve"> </w:t>
      </w:r>
      <w:r w:rsidR="007331DF">
        <w:rPr>
          <w:color w:val="000000"/>
        </w:rPr>
        <w:t>during the day and at night</w:t>
      </w:r>
      <w:r>
        <w:rPr>
          <w:color w:val="000000"/>
        </w:rPr>
        <w:t xml:space="preserve"> in 2017</w:t>
      </w:r>
      <w:r w:rsidR="00261365">
        <w:rPr>
          <w:color w:val="000000"/>
        </w:rPr>
        <w:t>,</w:t>
      </w:r>
      <w:r>
        <w:rPr>
          <w:color w:val="000000"/>
        </w:rPr>
        <w:t xml:space="preserve"> 2022.</w:t>
      </w:r>
    </w:p>
    <w:p w14:paraId="3FDDF767" w14:textId="77777777" w:rsidR="006012C1" w:rsidRDefault="00000000">
      <w:pPr>
        <w:pBdr>
          <w:top w:val="nil"/>
          <w:left w:val="nil"/>
          <w:bottom w:val="nil"/>
          <w:right w:val="nil"/>
          <w:between w:val="nil"/>
        </w:pBdr>
        <w:spacing w:line="240" w:lineRule="auto"/>
        <w:jc w:val="both"/>
        <w:rPr>
          <w:b/>
          <w:color w:val="000000"/>
        </w:rPr>
      </w:pPr>
      <w:r>
        <w:rPr>
          <w:b/>
          <w:color w:val="000000"/>
        </w:rPr>
        <w:t>4. Discussion</w:t>
      </w:r>
    </w:p>
    <w:p w14:paraId="4168FF29" w14:textId="389EB8E5" w:rsidR="006012C1" w:rsidRDefault="00000000">
      <w:pPr>
        <w:pBdr>
          <w:top w:val="nil"/>
          <w:left w:val="nil"/>
          <w:bottom w:val="nil"/>
          <w:right w:val="nil"/>
          <w:between w:val="nil"/>
        </w:pBdr>
        <w:spacing w:line="240" w:lineRule="auto"/>
        <w:jc w:val="both"/>
      </w:pPr>
      <w:r>
        <w:t>By c</w:t>
      </w:r>
      <w:r>
        <w:rPr>
          <w:color w:val="000000"/>
        </w:rPr>
        <w:t xml:space="preserve">ombining high-resolution land maps with population data, we applied Gini </w:t>
      </w:r>
      <w:r>
        <w:t>coefficients</w:t>
      </w:r>
      <w:r>
        <w:rPr>
          <w:color w:val="000000"/>
        </w:rPr>
        <w:t xml:space="preserve"> to quantify greenspace exposure inequalit</w:t>
      </w:r>
      <w:r w:rsidR="0068666E">
        <w:t>y</w:t>
      </w:r>
      <w:r>
        <w:rPr>
          <w:color w:val="000000"/>
        </w:rPr>
        <w:t xml:space="preserve"> and identif</w:t>
      </w:r>
      <w:r w:rsidR="0068666E">
        <w:t>y</w:t>
      </w:r>
      <w:r>
        <w:rPr>
          <w:color w:val="000000"/>
        </w:rPr>
        <w:t xml:space="preserve"> </w:t>
      </w:r>
      <w:r w:rsidR="000806CE">
        <w:rPr>
          <w:color w:val="000000"/>
        </w:rPr>
        <w:t xml:space="preserve">vulnerable neighbourhoods </w:t>
      </w:r>
      <w:r>
        <w:t xml:space="preserve">where </w:t>
      </w:r>
      <w:r w:rsidR="00D95D58">
        <w:rPr>
          <w:color w:val="000000"/>
        </w:rPr>
        <w:t xml:space="preserve">greenery exposure </w:t>
      </w:r>
      <w:r w:rsidR="00D95D58" w:rsidRPr="00D540EA">
        <w:t>is disproportionately higher</w:t>
      </w:r>
      <w:r w:rsidR="00D95D58">
        <w:t xml:space="preserve"> </w:t>
      </w:r>
      <w:r w:rsidR="00D95D58" w:rsidRPr="00D540EA">
        <w:t xml:space="preserve">in some </w:t>
      </w:r>
      <w:r w:rsidR="00123521">
        <w:t>grid cells</w:t>
      </w:r>
      <w:r w:rsidR="00D95D58" w:rsidRPr="00D540EA">
        <w:t xml:space="preserve"> </w:t>
      </w:r>
      <w:r w:rsidR="00D95D58">
        <w:t>than</w:t>
      </w:r>
      <w:r w:rsidR="00D95D58" w:rsidRPr="00D540EA">
        <w:t xml:space="preserve"> others</w:t>
      </w:r>
      <w:r>
        <w:rPr>
          <w:color w:val="000000"/>
        </w:rPr>
        <w:t xml:space="preserve">. </w:t>
      </w:r>
      <w:r w:rsidR="000065F8" w:rsidRPr="000065F8">
        <w:t xml:space="preserve">The </w:t>
      </w:r>
      <w:r w:rsidR="000065F8">
        <w:t>LST</w:t>
      </w:r>
      <w:r w:rsidR="000065F8" w:rsidRPr="000065F8">
        <w:t xml:space="preserve"> variation allowed us to understand </w:t>
      </w:r>
      <w:r>
        <w:rPr>
          <w:color w:val="000000"/>
        </w:rPr>
        <w:t xml:space="preserve">how </w:t>
      </w:r>
      <w:r w:rsidR="000806CE">
        <w:t>vulnerable</w:t>
      </w:r>
      <w:r w:rsidR="000806CE">
        <w:rPr>
          <w:color w:val="000000"/>
        </w:rPr>
        <w:t xml:space="preserve"> </w:t>
      </w:r>
      <w:r>
        <w:rPr>
          <w:color w:val="000000"/>
        </w:rPr>
        <w:t>neighbourhoods benefit from ecological cooling services</w:t>
      </w:r>
      <w:r w:rsidR="000806CE">
        <w:rPr>
          <w:color w:val="000000"/>
        </w:rPr>
        <w:t xml:space="preserve"> and </w:t>
      </w:r>
      <w:r w:rsidR="000806CE">
        <w:t>how this cooling effect differ</w:t>
      </w:r>
      <w:r w:rsidR="00913ECF">
        <w:t>s</w:t>
      </w:r>
      <w:r w:rsidR="000806CE">
        <w:t xml:space="preserve"> to equal neighbourhoods</w:t>
      </w:r>
      <w:r>
        <w:rPr>
          <w:color w:val="000000"/>
        </w:rPr>
        <w:t xml:space="preserve">. </w:t>
      </w:r>
      <w:r>
        <w:t>Moreover,</w:t>
      </w:r>
      <w:r>
        <w:rPr>
          <w:color w:val="000000"/>
        </w:rPr>
        <w:t xml:space="preserve"> </w:t>
      </w:r>
      <w:r w:rsidR="000065F8">
        <w:t xml:space="preserve">this is </w:t>
      </w:r>
      <w:r w:rsidR="002255A2">
        <w:t xml:space="preserve">the </w:t>
      </w:r>
      <w:r w:rsidR="000065F8">
        <w:t>first evidence</w:t>
      </w:r>
      <w:r>
        <w:rPr>
          <w:color w:val="000000"/>
        </w:rPr>
        <w:t xml:space="preserve"> </w:t>
      </w:r>
      <w:r w:rsidR="0031683A">
        <w:rPr>
          <w:color w:val="000000"/>
        </w:rPr>
        <w:t>compar</w:t>
      </w:r>
      <w:r w:rsidR="00913ECF">
        <w:rPr>
          <w:color w:val="000000"/>
        </w:rPr>
        <w:t>ing</w:t>
      </w:r>
      <w:r w:rsidR="0031683A">
        <w:rPr>
          <w:color w:val="000000"/>
        </w:rPr>
        <w:t xml:space="preserve"> </w:t>
      </w:r>
      <w:r w:rsidR="00150C8A">
        <w:t>agricultural and non-agricultural cooling</w:t>
      </w:r>
      <w:r>
        <w:t xml:space="preserve"> </w:t>
      </w:r>
      <w:r>
        <w:rPr>
          <w:color w:val="000000"/>
        </w:rPr>
        <w:t>threshold</w:t>
      </w:r>
      <w:r w:rsidR="00150C8A">
        <w:rPr>
          <w:color w:val="000000"/>
        </w:rPr>
        <w:t>s</w:t>
      </w:r>
      <w:r>
        <w:rPr>
          <w:color w:val="000000"/>
        </w:rPr>
        <w:t>, and if present, how the cooling threshold value</w:t>
      </w:r>
      <w:r w:rsidR="00150C8A">
        <w:rPr>
          <w:color w:val="000000"/>
        </w:rPr>
        <w:t>s</w:t>
      </w:r>
      <w:r>
        <w:rPr>
          <w:color w:val="000000"/>
        </w:rPr>
        <w:t xml:space="preserve"> var</w:t>
      </w:r>
      <w:r w:rsidR="00150C8A">
        <w:rPr>
          <w:color w:val="000000"/>
        </w:rPr>
        <w:t>y</w:t>
      </w:r>
      <w:r>
        <w:rPr>
          <w:color w:val="000000"/>
        </w:rPr>
        <w:t xml:space="preserve"> </w:t>
      </w:r>
      <w:r w:rsidR="00150C8A">
        <w:rPr>
          <w:color w:val="000000"/>
        </w:rPr>
        <w:t xml:space="preserve">from </w:t>
      </w:r>
      <w:r w:rsidR="00D22E52">
        <w:t>one to another</w:t>
      </w:r>
      <w:r>
        <w:rPr>
          <w:color w:val="000000"/>
        </w:rPr>
        <w:t xml:space="preserve">. </w:t>
      </w:r>
      <w:r>
        <w:t xml:space="preserve">The results can inform strategies to improve greenspace </w:t>
      </w:r>
      <w:r w:rsidR="00D361C1">
        <w:t>interactions</w:t>
      </w:r>
      <w:r w:rsidR="0068666E">
        <w:t xml:space="preserve"> and cooling capacity</w:t>
      </w:r>
      <w:r>
        <w:t xml:space="preserve"> for marginalised populations living in dense urban conditions, supporting adaptation to future heat waves.</w:t>
      </w:r>
    </w:p>
    <w:p w14:paraId="70044CEE" w14:textId="42F690EE" w:rsidR="001356BB" w:rsidRDefault="00000000">
      <w:pPr>
        <w:pBdr>
          <w:top w:val="nil"/>
          <w:left w:val="nil"/>
          <w:bottom w:val="nil"/>
          <w:right w:val="nil"/>
          <w:between w:val="nil"/>
        </w:pBdr>
        <w:spacing w:line="240" w:lineRule="auto"/>
        <w:jc w:val="both"/>
      </w:pPr>
      <w:r>
        <w:rPr>
          <w:b/>
          <w:color w:val="000000"/>
        </w:rPr>
        <w:lastRenderedPageBreak/>
        <w:t xml:space="preserve">4.1 </w:t>
      </w:r>
      <w:r w:rsidR="003D2D18">
        <w:rPr>
          <w:b/>
          <w:color w:val="000000"/>
        </w:rPr>
        <w:t xml:space="preserve">Impact of neighbourhood characteristics on greenspace inequality </w:t>
      </w:r>
    </w:p>
    <w:p w14:paraId="5C3A774F" w14:textId="77777777" w:rsidR="00B4776D" w:rsidRDefault="00B4776D" w:rsidP="00B4776D">
      <w:pPr>
        <w:spacing w:line="240" w:lineRule="auto"/>
        <w:jc w:val="both"/>
        <w:rPr>
          <w:color w:val="000000"/>
        </w:rPr>
      </w:pPr>
      <w:r>
        <w:rPr>
          <w:color w:val="000000"/>
        </w:rPr>
        <w:t xml:space="preserve">The present work found a gap in Antananarivo that only 77% neighbourhoods </w:t>
      </w:r>
      <w:r>
        <w:t>have</w:t>
      </w:r>
      <w:r>
        <w:rPr>
          <w:color w:val="000000"/>
        </w:rPr>
        <w:t xml:space="preserve"> relatively equal greenspace exposure, and a significant portion (23%) of n</w:t>
      </w:r>
      <w:r>
        <w:t xml:space="preserve">eighbourhoods show unequal </w:t>
      </w:r>
      <w:r>
        <w:rPr>
          <w:color w:val="000000"/>
        </w:rPr>
        <w:t>greenspace exposure. This raises concerns about vulnerability to hea</w:t>
      </w:r>
      <w:r>
        <w:t>t stress</w:t>
      </w:r>
      <w:r>
        <w:rPr>
          <w:color w:val="000000"/>
        </w:rPr>
        <w:t>. The equal neighbourhoods are con</w:t>
      </w:r>
      <w:r>
        <w:t xml:space="preserve">centrated in the eastern </w:t>
      </w:r>
      <w:r>
        <w:rPr>
          <w:color w:val="000000"/>
        </w:rPr>
        <w:t>district. Comparatively the vulnerable neighbourhoods span centre</w:t>
      </w:r>
      <w:r>
        <w:t xml:space="preserve">, </w:t>
      </w:r>
      <w:r>
        <w:rPr>
          <w:color w:val="000000"/>
        </w:rPr>
        <w:t xml:space="preserve">south and north districts. </w:t>
      </w:r>
    </w:p>
    <w:p w14:paraId="14C2245E" w14:textId="0E3C99FF" w:rsidR="00B4776D" w:rsidRDefault="00B4776D" w:rsidP="00B4776D">
      <w:pPr>
        <w:spacing w:line="240" w:lineRule="auto"/>
        <w:jc w:val="both"/>
      </w:pPr>
      <w:r>
        <w:rPr>
          <w:color w:val="000000"/>
        </w:rPr>
        <w:t>Several n</w:t>
      </w:r>
      <w:r>
        <w:t>eighbourhoods’ characteristics influence greenspace inequality, as follows. Vulnerable neighbourhoods experience pronounced heat stress in the city centre. This city centre is characterised by a high percentage of impervious surfaces, densely packed buildings, and limited vegetation (</w:t>
      </w:r>
      <w:proofErr w:type="spellStart"/>
      <w:r>
        <w:rPr>
          <w:color w:val="0070C0"/>
        </w:rPr>
        <w:t>Ciampalini</w:t>
      </w:r>
      <w:proofErr w:type="spellEnd"/>
      <w:r>
        <w:rPr>
          <w:color w:val="0070C0"/>
        </w:rPr>
        <w:t xml:space="preserve"> et al., 2019</w:t>
      </w:r>
      <w:r>
        <w:t>). Moving from the city centre to the southern and northern peri-urban areas, these areas are characterised by flat terrain providing good conditions to be used as rice basins. Here, original greenspace has been converted into farmland and informal settlements due to population growth and rural-to-urban migration (</w:t>
      </w:r>
      <w:r>
        <w:rPr>
          <w:color w:val="0070C0"/>
        </w:rPr>
        <w:t>Aubry et al., 2012</w:t>
      </w:r>
      <w:r>
        <w:t xml:space="preserve">). According to </w:t>
      </w:r>
      <w:r>
        <w:rPr>
          <w:color w:val="0563C1"/>
        </w:rPr>
        <w:t xml:space="preserve">World Bank </w:t>
      </w:r>
      <w:r w:rsidRPr="007960A4">
        <w:rPr>
          <w:color w:val="000000" w:themeColor="text1"/>
        </w:rPr>
        <w:t>(</w:t>
      </w:r>
      <w:r>
        <w:rPr>
          <w:color w:val="0563C1"/>
        </w:rPr>
        <w:t>2022</w:t>
      </w:r>
      <w:r w:rsidRPr="007960A4">
        <w:rPr>
          <w:color w:val="000000" w:themeColor="text1"/>
        </w:rPr>
        <w:t>),</w:t>
      </w:r>
      <w:r>
        <w:rPr>
          <w:color w:val="0563C1"/>
        </w:rPr>
        <w:t xml:space="preserve"> </w:t>
      </w:r>
      <w:r>
        <w:t>Great Antananarivo’s impervious surface has increased by 50% since 2003. Moving from the centre to the east, elevation rises with a lower population growth and a threefold higher percentage of forests and savanna (</w:t>
      </w:r>
      <w:r>
        <w:rPr>
          <w:color w:val="0070C0"/>
        </w:rPr>
        <w:t>Dupuy, 2023</w:t>
      </w:r>
      <w:r>
        <w:t xml:space="preserve">). Here, the good provision of greenspace and low urbanisation levels contributes to a quality good greenspace exposure and high justice. </w:t>
      </w:r>
    </w:p>
    <w:p w14:paraId="5013265D" w14:textId="0926802C" w:rsidR="00755BC6" w:rsidRDefault="00000000" w:rsidP="00434DCD">
      <w:pPr>
        <w:pBdr>
          <w:top w:val="nil"/>
          <w:left w:val="nil"/>
          <w:bottom w:val="nil"/>
          <w:right w:val="nil"/>
          <w:between w:val="nil"/>
        </w:pBdr>
        <w:spacing w:line="240" w:lineRule="auto"/>
        <w:jc w:val="both"/>
        <w:rPr>
          <w:b/>
          <w:color w:val="000000"/>
        </w:rPr>
      </w:pPr>
      <w:r>
        <w:rPr>
          <w:b/>
          <w:color w:val="000000"/>
        </w:rPr>
        <w:t xml:space="preserve">4.2 </w:t>
      </w:r>
      <w:r w:rsidR="001356BB">
        <w:rPr>
          <w:b/>
          <w:color w:val="000000"/>
        </w:rPr>
        <w:t xml:space="preserve">Impact of greenspace inequality on cooling effects </w:t>
      </w:r>
    </w:p>
    <w:p w14:paraId="65A6EB92" w14:textId="77777777" w:rsidR="00B4776D" w:rsidRDefault="00B4776D" w:rsidP="00B4776D">
      <w:pPr>
        <w:pBdr>
          <w:top w:val="nil"/>
          <w:left w:val="nil"/>
          <w:bottom w:val="nil"/>
          <w:right w:val="nil"/>
          <w:between w:val="nil"/>
        </w:pBdr>
        <w:spacing w:line="240" w:lineRule="auto"/>
        <w:jc w:val="both"/>
        <w:rPr>
          <w:color w:val="000000"/>
        </w:rPr>
      </w:pPr>
      <w:r>
        <w:t xml:space="preserve">Our study shifts the focus </w:t>
      </w:r>
      <w:r>
        <w:rPr>
          <w:color w:val="000000"/>
        </w:rPr>
        <w:t xml:space="preserve">from using traditional socio-demographic indicators </w:t>
      </w:r>
      <w:r>
        <w:rPr>
          <w:bCs/>
          <w:color w:val="000000"/>
        </w:rPr>
        <w:t>(</w:t>
      </w:r>
      <w:r>
        <w:rPr>
          <w:color w:val="0070C0"/>
        </w:rPr>
        <w:t>Zhou et al. 2021; Liu et al. 2023</w:t>
      </w:r>
      <w:r w:rsidRPr="00F31A94">
        <w:rPr>
          <w:color w:val="000000" w:themeColor="text1"/>
        </w:rPr>
        <w:t>)</w:t>
      </w:r>
      <w:r>
        <w:rPr>
          <w:color w:val="000000" w:themeColor="text1"/>
        </w:rPr>
        <w:t>,</w:t>
      </w:r>
      <w:r>
        <w:rPr>
          <w:color w:val="000000"/>
        </w:rPr>
        <w:t xml:space="preserve"> to investigate how greenspace inequality influences cooling effects. </w:t>
      </w:r>
      <w:r w:rsidRPr="001356BB">
        <w:rPr>
          <w:bCs/>
          <w:color w:val="000000"/>
        </w:rPr>
        <w:t>Firstly,</w:t>
      </w:r>
      <w:r>
        <w:rPr>
          <w:bCs/>
          <w:color w:val="000000"/>
        </w:rPr>
        <w:t xml:space="preserve"> we show</w:t>
      </w:r>
      <w:r w:rsidRPr="001356BB">
        <w:rPr>
          <w:bCs/>
          <w:color w:val="000000"/>
        </w:rPr>
        <w:t xml:space="preserve"> </w:t>
      </w:r>
      <w:r>
        <w:t>a</w:t>
      </w:r>
      <w:r>
        <w:rPr>
          <w:color w:val="000000"/>
        </w:rPr>
        <w:t xml:space="preserve"> 1% increase in agricultural land is associated with 0.02</w:t>
      </w:r>
      <w:r>
        <w:t>-</w:t>
      </w:r>
      <w:r>
        <w:rPr>
          <w:color w:val="000000"/>
        </w:rPr>
        <w:t>0.03</w:t>
      </w:r>
      <w:r>
        <w:rPr>
          <w:rFonts w:ascii="Cambria Math" w:eastAsia="Cambria Math" w:hAnsi="Cambria Math" w:cs="Cambria Math"/>
          <w:color w:val="000000"/>
        </w:rPr>
        <w:t>℃</w:t>
      </w:r>
      <w:r>
        <w:rPr>
          <w:color w:val="000000"/>
        </w:rPr>
        <w:t xml:space="preserve"> temperature reduction in the day</w:t>
      </w:r>
      <w:r>
        <w:rPr>
          <w:bCs/>
          <w:color w:val="000000"/>
        </w:rPr>
        <w:t xml:space="preserve">, and </w:t>
      </w:r>
      <w:r>
        <w:t>this</w:t>
      </w:r>
      <w:r>
        <w:rPr>
          <w:color w:val="000000"/>
        </w:rPr>
        <w:t xml:space="preserve"> pronounced daytime cooling effect is exhibited in v</w:t>
      </w:r>
      <w:r>
        <w:t xml:space="preserve">ulnerable </w:t>
      </w:r>
      <w:r>
        <w:rPr>
          <w:color w:val="000000"/>
        </w:rPr>
        <w:t>neighbourhoods</w:t>
      </w:r>
      <w:r>
        <w:t xml:space="preserve">. The cooling effect is driven by agriculture vegetation evapotranspiration, a process where plants release water vapour and draw heat from the surroundings </w:t>
      </w:r>
      <w:r>
        <w:rPr>
          <w:color w:val="000000"/>
        </w:rPr>
        <w:t>(</w:t>
      </w:r>
      <w:r>
        <w:rPr>
          <w:color w:val="0070C0"/>
        </w:rPr>
        <w:t>Pearlmutter et al., 2020; Chatterjee et al., 2019</w:t>
      </w:r>
      <w:r>
        <w:rPr>
          <w:color w:val="000000"/>
        </w:rPr>
        <w:t xml:space="preserve">). For example, land use for cultivating rice receives much </w:t>
      </w:r>
      <w:r>
        <w:t>water</w:t>
      </w:r>
      <w:r>
        <w:rPr>
          <w:color w:val="000000"/>
        </w:rPr>
        <w:t xml:space="preserve"> for irrigation in large </w:t>
      </w:r>
      <w:proofErr w:type="spellStart"/>
      <w:r>
        <w:rPr>
          <w:color w:val="000000"/>
        </w:rPr>
        <w:t>planations</w:t>
      </w:r>
      <w:proofErr w:type="spellEnd"/>
      <w:r>
        <w:t xml:space="preserve"> </w:t>
      </w:r>
      <w:r>
        <w:rPr>
          <w:color w:val="000000"/>
        </w:rPr>
        <w:t>(</w:t>
      </w:r>
      <w:r>
        <w:rPr>
          <w:color w:val="0070C0"/>
        </w:rPr>
        <w:t>Rakotobe et al., 2016</w:t>
      </w:r>
      <w:r>
        <w:rPr>
          <w:color w:val="000000"/>
        </w:rPr>
        <w:t xml:space="preserve">). This large amount of irrigation </w:t>
      </w:r>
      <w:r>
        <w:t xml:space="preserve">and the </w:t>
      </w:r>
      <w:r>
        <w:rPr>
          <w:color w:val="000000"/>
        </w:rPr>
        <w:t>water thermostatic effect add to mechanisms driving temperature reduction (</w:t>
      </w:r>
      <w:r>
        <w:rPr>
          <w:color w:val="0070C0"/>
        </w:rPr>
        <w:t>Du et al., 2016</w:t>
      </w:r>
      <w:r>
        <w:rPr>
          <w:color w:val="000000"/>
        </w:rPr>
        <w:t xml:space="preserve">). </w:t>
      </w:r>
    </w:p>
    <w:p w14:paraId="4FA82A5D" w14:textId="77777777" w:rsidR="00B4776D" w:rsidRDefault="00B4776D" w:rsidP="00B4776D">
      <w:pPr>
        <w:pBdr>
          <w:top w:val="nil"/>
          <w:left w:val="nil"/>
          <w:bottom w:val="nil"/>
          <w:right w:val="nil"/>
          <w:between w:val="nil"/>
        </w:pBdr>
        <w:spacing w:line="240" w:lineRule="auto"/>
        <w:jc w:val="both"/>
        <w:rPr>
          <w:bCs/>
          <w:color w:val="000000"/>
        </w:rPr>
      </w:pPr>
      <w:r>
        <w:rPr>
          <w:color w:val="000000"/>
        </w:rPr>
        <w:t xml:space="preserve">Secondly, </w:t>
      </w:r>
      <w:r>
        <w:t>a</w:t>
      </w:r>
      <w:r>
        <w:rPr>
          <w:color w:val="000000"/>
        </w:rPr>
        <w:t xml:space="preserve"> 1% increase in vegetation is associated with 0.01</w:t>
      </w:r>
      <w:r>
        <w:t>-</w:t>
      </w:r>
      <w:r>
        <w:rPr>
          <w:color w:val="000000"/>
        </w:rPr>
        <w:t>0.02</w:t>
      </w:r>
      <w:r>
        <w:rPr>
          <w:rFonts w:ascii="Cambria Math" w:eastAsia="Cambria Math" w:hAnsi="Cambria Math" w:cs="Cambria Math"/>
          <w:color w:val="000000"/>
        </w:rPr>
        <w:t>℃</w:t>
      </w:r>
      <w:r>
        <w:rPr>
          <w:color w:val="000000"/>
        </w:rPr>
        <w:t xml:space="preserve"> reduction at night, and this night</w:t>
      </w:r>
      <w:r>
        <w:t xml:space="preserve"> cooling preference was observed in the equal neighbourhoods. Trees, shrubland and grassland provide shades to reduce heat buildup, and their </w:t>
      </w:r>
      <w:r w:rsidRPr="00D6442D">
        <w:t>greening enables evapotranspiration (</w:t>
      </w:r>
      <w:r w:rsidRPr="00D6442D">
        <w:rPr>
          <w:color w:val="0070C0"/>
        </w:rPr>
        <w:t>Lai et al., 2019</w:t>
      </w:r>
      <w:r w:rsidRPr="00D6442D">
        <w:t xml:space="preserve">). However, </w:t>
      </w:r>
      <w:r>
        <w:t xml:space="preserve">vulnerable neighbourhoods </w:t>
      </w:r>
      <w:r w:rsidRPr="00D6442D">
        <w:t>showed an average 0.01</w:t>
      </w:r>
      <w:r w:rsidRPr="00D6442D">
        <w:rPr>
          <w:rFonts w:ascii="Cambria Math" w:eastAsia="Cambria Math" w:hAnsi="Cambria Math" w:cs="Cambria Math"/>
          <w:color w:val="000000"/>
        </w:rPr>
        <w:t>℃</w:t>
      </w:r>
      <w:r w:rsidRPr="00B4776D">
        <w:rPr>
          <w:rFonts w:eastAsia="Cambria Math"/>
          <w:color w:val="000000"/>
        </w:rPr>
        <w:t xml:space="preserve"> </w:t>
      </w:r>
      <w:r>
        <w:rPr>
          <w:rFonts w:eastAsia="Cambria Math"/>
          <w:color w:val="000000"/>
        </w:rPr>
        <w:t>grater</w:t>
      </w:r>
      <w:r w:rsidRPr="00B4776D">
        <w:rPr>
          <w:rFonts w:eastAsia="Cambria Math"/>
          <w:color w:val="000000"/>
        </w:rPr>
        <w:t xml:space="preserve"> cooling </w:t>
      </w:r>
      <w:r>
        <w:rPr>
          <w:rFonts w:eastAsia="Cambria Math"/>
          <w:color w:val="000000"/>
        </w:rPr>
        <w:t>effect</w:t>
      </w:r>
      <w:r w:rsidRPr="00B4776D">
        <w:rPr>
          <w:rFonts w:eastAsia="Cambria Math"/>
          <w:color w:val="000000"/>
        </w:rPr>
        <w:t xml:space="preserve"> compared to </w:t>
      </w:r>
      <w:r>
        <w:rPr>
          <w:rFonts w:eastAsia="Cambria Math"/>
          <w:color w:val="000000"/>
        </w:rPr>
        <w:t>equal</w:t>
      </w:r>
      <w:r w:rsidRPr="00B4776D">
        <w:rPr>
          <w:rFonts w:eastAsia="Cambria Math"/>
          <w:color w:val="000000"/>
        </w:rPr>
        <w:t xml:space="preserve"> neighbourhoods. This</w:t>
      </w:r>
      <w:r>
        <w:rPr>
          <w:rFonts w:eastAsia="Cambria Math"/>
          <w:color w:val="000000"/>
        </w:rPr>
        <w:t xml:space="preserve"> could </w:t>
      </w:r>
      <w:r w:rsidRPr="00B4776D">
        <w:rPr>
          <w:rFonts w:eastAsia="Cambria Math"/>
          <w:color w:val="000000"/>
        </w:rPr>
        <w:t xml:space="preserve">potentially </w:t>
      </w:r>
      <w:r>
        <w:rPr>
          <w:rFonts w:eastAsia="Cambria Math"/>
          <w:color w:val="000000"/>
        </w:rPr>
        <w:t xml:space="preserve">be </w:t>
      </w:r>
      <w:r w:rsidRPr="00B4776D">
        <w:rPr>
          <w:rFonts w:eastAsia="Cambria Math"/>
          <w:color w:val="000000"/>
        </w:rPr>
        <w:t xml:space="preserve">because </w:t>
      </w:r>
      <w:r w:rsidRPr="00D6442D">
        <w:t>equal neighbourhoods are located at a higher elevation with 60% of them having altitude</w:t>
      </w:r>
      <w:r>
        <w:t>s</w:t>
      </w:r>
      <w:r w:rsidRPr="00D6442D">
        <w:t xml:space="preserve"> of 1300-1550m compar</w:t>
      </w:r>
      <w:r>
        <w:t>ed</w:t>
      </w:r>
      <w:r w:rsidRPr="00D6442D">
        <w:t xml:space="preserve"> to vulnerable neighbourhoods </w:t>
      </w:r>
      <w:r>
        <w:t>located at</w:t>
      </w:r>
      <w:r w:rsidRPr="00D6442D">
        <w:t xml:space="preserve"> 1250m. Furthermore, LST in the day </w:t>
      </w:r>
      <w:r>
        <w:t xml:space="preserve">is </w:t>
      </w:r>
      <w:r w:rsidRPr="00D6442D">
        <w:t>higher than at night. Combining</w:t>
      </w:r>
      <w:r>
        <w:t xml:space="preserve"> day-night LST difference and altitude characteristic, equal neighbourhoods experienced a diminishing heatwave, and thus milder cooling. Additionally, water and wetland areas in equal neighbourhoods are</w:t>
      </w:r>
      <w:r w:rsidRPr="00ED142A">
        <w:t xml:space="preserve"> </w:t>
      </w:r>
      <w:r>
        <w:t xml:space="preserve">generally </w:t>
      </w:r>
      <w:r w:rsidRPr="00ED142A">
        <w:t>small</w:t>
      </w:r>
      <w:r>
        <w:t xml:space="preserve"> and</w:t>
      </w:r>
      <w:r w:rsidRPr="00ED142A">
        <w:t xml:space="preserve"> scattered</w:t>
      </w:r>
      <w:r>
        <w:t xml:space="preserve"> or are </w:t>
      </w:r>
      <w:r w:rsidRPr="00ED142A">
        <w:t xml:space="preserve">located near heat-retaining surfaces like roads or </w:t>
      </w:r>
      <w:r>
        <w:t>houses,</w:t>
      </w:r>
      <w:r w:rsidRPr="00ED142A">
        <w:t xml:space="preserve"> </w:t>
      </w:r>
      <w:r>
        <w:t xml:space="preserve">resulting in a minimal cooling performance. This is different compared to cooling </w:t>
      </w:r>
      <w:r w:rsidRPr="00AB15A4">
        <w:t xml:space="preserve">evident in vulnerable neighbourhoods </w:t>
      </w:r>
      <w:r>
        <w:t xml:space="preserve">especially </w:t>
      </w:r>
      <w:r w:rsidRPr="00AB15A4">
        <w:t xml:space="preserve">along with </w:t>
      </w:r>
      <w:r>
        <w:t xml:space="preserve">large areas of </w:t>
      </w:r>
      <w:r w:rsidRPr="00AB15A4">
        <w:t xml:space="preserve">agricultural </w:t>
      </w:r>
      <w:r>
        <w:t xml:space="preserve">irrigation. </w:t>
      </w:r>
    </w:p>
    <w:p w14:paraId="016E01F6" w14:textId="35CFE729" w:rsidR="00B4776D" w:rsidRPr="001356BB" w:rsidRDefault="00B4776D" w:rsidP="00B4776D">
      <w:pPr>
        <w:pBdr>
          <w:top w:val="nil"/>
          <w:left w:val="nil"/>
          <w:bottom w:val="nil"/>
          <w:right w:val="nil"/>
          <w:between w:val="nil"/>
        </w:pBdr>
        <w:spacing w:line="240" w:lineRule="auto"/>
        <w:jc w:val="both"/>
        <w:rPr>
          <w:color w:val="000000"/>
        </w:rPr>
      </w:pPr>
      <w:r>
        <w:t>Finally, we observed a difference in day and night cooling. This difference has been evidenced in many</w:t>
      </w:r>
      <w:r>
        <w:rPr>
          <w:color w:val="000000"/>
        </w:rPr>
        <w:t xml:space="preserve"> other locations (</w:t>
      </w:r>
      <w:r>
        <w:rPr>
          <w:color w:val="0070C0"/>
        </w:rPr>
        <w:t>Ellison et al., 2017; Hathway &amp; Sharples, 2012</w:t>
      </w:r>
      <w:r>
        <w:rPr>
          <w:color w:val="000000"/>
        </w:rPr>
        <w:t xml:space="preserve">). In Northern European urban </w:t>
      </w:r>
      <w:r>
        <w:t>systems, greenspace was found to cool the air</w:t>
      </w:r>
      <w:r>
        <w:rPr>
          <w:color w:val="000000"/>
        </w:rPr>
        <w:t xml:space="preserve"> within a 300m radius during the day and within 200</w:t>
      </w:r>
      <w:r>
        <w:t>-</w:t>
      </w:r>
      <w:r>
        <w:rPr>
          <w:color w:val="000000"/>
        </w:rPr>
        <w:t>300m at night (</w:t>
      </w:r>
      <w:r>
        <w:rPr>
          <w:color w:val="0070C0"/>
        </w:rPr>
        <w:t>Hamada &amp; Ohta, 2010</w:t>
      </w:r>
      <w:r>
        <w:rPr>
          <w:color w:val="000000"/>
        </w:rPr>
        <w:t xml:space="preserve">). A 1% increase in tree cover in </w:t>
      </w:r>
      <w:r>
        <w:t xml:space="preserve">Beijing resulted in a </w:t>
      </w:r>
      <w:r>
        <w:rPr>
          <w:color w:val="000000"/>
        </w:rPr>
        <w:t>0.026</w:t>
      </w:r>
      <w:r>
        <w:rPr>
          <w:rFonts w:ascii="Cambria Math" w:eastAsia="Cambria Math" w:hAnsi="Cambria Math" w:cs="Cambria Math"/>
          <w:color w:val="000000"/>
        </w:rPr>
        <w:t>℃</w:t>
      </w:r>
      <w:r>
        <w:rPr>
          <w:color w:val="000000"/>
        </w:rPr>
        <w:t xml:space="preserve"> temperature decrease during the day and 0.056</w:t>
      </w:r>
      <w:r>
        <w:rPr>
          <w:rFonts w:ascii="Cambria Math" w:eastAsia="Cambria Math" w:hAnsi="Cambria Math" w:cs="Cambria Math"/>
          <w:color w:val="000000"/>
        </w:rPr>
        <w:t>℃</w:t>
      </w:r>
      <w:r>
        <w:rPr>
          <w:color w:val="000000"/>
        </w:rPr>
        <w:t xml:space="preserve"> at night (</w:t>
      </w:r>
      <w:r>
        <w:rPr>
          <w:color w:val="0070C0"/>
        </w:rPr>
        <w:t>Yan &amp; Dong, 2015</w:t>
      </w:r>
      <w:r>
        <w:rPr>
          <w:color w:val="000000"/>
        </w:rPr>
        <w:t>).</w:t>
      </w:r>
      <w:r>
        <w:t xml:space="preserve"> Global average</w:t>
      </w:r>
      <w:r>
        <w:rPr>
          <w:color w:val="000000"/>
        </w:rPr>
        <w:t xml:space="preserve"> 1% increase in greenspace coverage yielded annual daytime temperature reduction of 0.06</w:t>
      </w:r>
      <w:r>
        <w:t>3</w:t>
      </w:r>
      <w:r>
        <w:rPr>
          <w:rFonts w:ascii="Cambria Math" w:eastAsia="Cambria Math" w:hAnsi="Cambria Math" w:cs="Cambria Math"/>
        </w:rPr>
        <w:t xml:space="preserve">℃ </w:t>
      </w:r>
      <w:r>
        <w:rPr>
          <w:color w:val="000000"/>
        </w:rPr>
        <w:t>and 0.007</w:t>
      </w:r>
      <w:r>
        <w:rPr>
          <w:rFonts w:ascii="Cambria Math" w:eastAsia="Cambria Math" w:hAnsi="Cambria Math" w:cs="Cambria Math"/>
        </w:rPr>
        <w:t xml:space="preserve">℃ </w:t>
      </w:r>
      <w:r>
        <w:rPr>
          <w:color w:val="000000"/>
        </w:rPr>
        <w:t>at night (</w:t>
      </w:r>
      <w:r>
        <w:rPr>
          <w:color w:val="0070C0"/>
        </w:rPr>
        <w:t xml:space="preserve">Yang et al., 2022). </w:t>
      </w:r>
      <w:r w:rsidRPr="00E64731">
        <w:rPr>
          <w:color w:val="000000"/>
        </w:rPr>
        <w:t xml:space="preserve">Our results show that a 1% increase in vegetation is associated with a 0.02–0.03°C reduction in daytime and a 0.01–0.02°C reduction at night. These findings are consistent with previously reported temperature ranges, although variations are observed in more diverse </w:t>
      </w:r>
      <w:r w:rsidRPr="00E64731">
        <w:rPr>
          <w:color w:val="000000"/>
        </w:rPr>
        <w:lastRenderedPageBreak/>
        <w:t>environments.</w:t>
      </w:r>
      <w:r>
        <w:rPr>
          <w:color w:val="000000"/>
        </w:rPr>
        <w:t xml:space="preserve"> </w:t>
      </w:r>
      <w:r>
        <w:t xml:space="preserve">For example, Antananarivo’s </w:t>
      </w:r>
      <w:r>
        <w:rPr>
          <w:color w:val="000000"/>
        </w:rPr>
        <w:t>cooling services in 2022 presented</w:t>
      </w:r>
      <w:r>
        <w:t xml:space="preserve"> a greater</w:t>
      </w:r>
      <w:r>
        <w:rPr>
          <w:color w:val="000000"/>
        </w:rPr>
        <w:t xml:space="preserve"> effect and lower thresholds compared to 2017. </w:t>
      </w:r>
      <w:r>
        <w:t xml:space="preserve">This is </w:t>
      </w:r>
      <w:proofErr w:type="spellStart"/>
      <w:r>
        <w:t>may</w:t>
      </w:r>
      <w:proofErr w:type="spellEnd"/>
      <w:r>
        <w:t xml:space="preserve"> because</w:t>
      </w:r>
      <w:r>
        <w:rPr>
          <w:color w:val="000000"/>
        </w:rPr>
        <w:t xml:space="preserve"> Antananarivo</w:t>
      </w:r>
      <w:r>
        <w:t xml:space="preserve"> experienced extreme heat</w:t>
      </w:r>
      <w:r>
        <w:rPr>
          <w:color w:val="000000"/>
        </w:rPr>
        <w:t xml:space="preserve"> in 2017. </w:t>
      </w:r>
      <w:r>
        <w:t xml:space="preserve">The severe ENSO event </w:t>
      </w:r>
      <w:r>
        <w:rPr>
          <w:color w:val="000000"/>
        </w:rPr>
        <w:t xml:space="preserve">of 2015–2016 </w:t>
      </w:r>
      <w:r>
        <w:t xml:space="preserve">caused </w:t>
      </w:r>
      <w:r>
        <w:rPr>
          <w:color w:val="000000"/>
        </w:rPr>
        <w:t>drought and temperature extremes (</w:t>
      </w:r>
      <w:proofErr w:type="spellStart"/>
      <w:r>
        <w:rPr>
          <w:color w:val="0070C0"/>
        </w:rPr>
        <w:t>Anyamba</w:t>
      </w:r>
      <w:proofErr w:type="spellEnd"/>
      <w:r>
        <w:rPr>
          <w:color w:val="0070C0"/>
        </w:rPr>
        <w:t xml:space="preserve"> et al., 2019</w:t>
      </w:r>
      <w:r>
        <w:rPr>
          <w:color w:val="000000"/>
        </w:rPr>
        <w:t xml:space="preserve">), leading to </w:t>
      </w:r>
      <w:r>
        <w:t xml:space="preserve">a temporary temperature increase before </w:t>
      </w:r>
      <w:r>
        <w:rPr>
          <w:color w:val="000000"/>
        </w:rPr>
        <w:t>2017 and decrease afterwards (</w:t>
      </w:r>
      <w:r>
        <w:rPr>
          <w:color w:val="0070C0"/>
        </w:rPr>
        <w:t>Fig. S2</w:t>
      </w:r>
      <w:r>
        <w:rPr>
          <w:color w:val="000000"/>
        </w:rPr>
        <w:t xml:space="preserve">). </w:t>
      </w:r>
      <w:r>
        <w:t xml:space="preserve">Furthermore, </w:t>
      </w:r>
      <w:r>
        <w:rPr>
          <w:color w:val="000000"/>
        </w:rPr>
        <w:t>ongoing reforestation actions</w:t>
      </w:r>
      <w:r>
        <w:t xml:space="preserve">, evidenced by an increase of </w:t>
      </w:r>
      <w:r>
        <w:rPr>
          <w:color w:val="000000"/>
        </w:rPr>
        <w:t xml:space="preserve">732ha in greenspace from </w:t>
      </w:r>
      <w:r>
        <w:t xml:space="preserve">2017 to </w:t>
      </w:r>
      <w:r>
        <w:rPr>
          <w:color w:val="000000"/>
        </w:rPr>
        <w:t>2022, have enhanced overall green canopy cover and thus preformed a greater level of temperature reduction (</w:t>
      </w:r>
      <w:r>
        <w:rPr>
          <w:color w:val="0563C1"/>
        </w:rPr>
        <w:t>Lin and Lin, 2016</w:t>
      </w:r>
      <w:r>
        <w:rPr>
          <w:color w:val="000000"/>
        </w:rPr>
        <w:t>).</w:t>
      </w:r>
    </w:p>
    <w:p w14:paraId="1C923F5E" w14:textId="14E266FA" w:rsidR="006012C1" w:rsidRDefault="001356BB">
      <w:pPr>
        <w:pBdr>
          <w:top w:val="nil"/>
          <w:left w:val="nil"/>
          <w:bottom w:val="nil"/>
          <w:right w:val="nil"/>
          <w:between w:val="nil"/>
        </w:pBdr>
        <w:spacing w:line="240" w:lineRule="auto"/>
        <w:jc w:val="both"/>
        <w:rPr>
          <w:b/>
        </w:rPr>
      </w:pPr>
      <w:r>
        <w:rPr>
          <w:color w:val="000000"/>
        </w:rPr>
        <w:t xml:space="preserve"> </w:t>
      </w:r>
      <w:r>
        <w:t xml:space="preserve"> </w:t>
      </w:r>
      <w:r>
        <w:rPr>
          <w:b/>
        </w:rPr>
        <w:t xml:space="preserve">4.3. Implications </w:t>
      </w:r>
    </w:p>
    <w:p w14:paraId="55ABAB6A" w14:textId="2C96B69F" w:rsidR="00E7018F" w:rsidRDefault="00E7018F" w:rsidP="00E7018F">
      <w:pPr>
        <w:pBdr>
          <w:top w:val="nil"/>
          <w:left w:val="nil"/>
          <w:bottom w:val="nil"/>
          <w:right w:val="nil"/>
          <w:between w:val="nil"/>
        </w:pBdr>
        <w:spacing w:line="240" w:lineRule="auto"/>
        <w:jc w:val="both"/>
        <w:rPr>
          <w:color w:val="000000"/>
        </w:rPr>
      </w:pPr>
      <w:r>
        <w:rPr>
          <w:b/>
        </w:rPr>
        <w:t xml:space="preserve">4.3.1 A target for temperature mitigation using greenspace </w:t>
      </w:r>
    </w:p>
    <w:p w14:paraId="5B248F58" w14:textId="32F10A0D" w:rsidR="00E7018F" w:rsidRDefault="00E7018F" w:rsidP="00E7018F">
      <w:pPr>
        <w:spacing w:line="240" w:lineRule="auto"/>
        <w:jc w:val="both"/>
      </w:pPr>
      <w:r>
        <w:rPr>
          <w:color w:val="000000"/>
        </w:rPr>
        <w:t xml:space="preserve">Only 42% and 22% of grid cells had accessible greenspace more than 25% and 50% within their radius environment. This </w:t>
      </w:r>
      <w:r w:rsidR="00EB33C0">
        <w:rPr>
          <w:color w:val="000000"/>
        </w:rPr>
        <w:t xml:space="preserve">greening state </w:t>
      </w:r>
      <w:r>
        <w:rPr>
          <w:color w:val="000000"/>
        </w:rPr>
        <w:t xml:space="preserve">is not meeting the recommended targets set by international green city initiatives, such as the </w:t>
      </w:r>
      <w:r w:rsidRPr="00DD38E1">
        <w:rPr>
          <w:color w:val="000000"/>
        </w:rPr>
        <w:t>Urban Nature Declaration</w:t>
      </w:r>
      <w:r>
        <w:rPr>
          <w:color w:val="000000"/>
        </w:rPr>
        <w:t xml:space="preserve"> of </w:t>
      </w:r>
      <w:r w:rsidRPr="00DD38E1">
        <w:rPr>
          <w:color w:val="000000"/>
        </w:rPr>
        <w:t xml:space="preserve">C40 </w:t>
      </w:r>
      <w:r>
        <w:rPr>
          <w:color w:val="000000"/>
        </w:rPr>
        <w:t xml:space="preserve">the </w:t>
      </w:r>
      <w:r w:rsidRPr="00DD38E1">
        <w:rPr>
          <w:color w:val="000000"/>
        </w:rPr>
        <w:t xml:space="preserve">Cities Climate Leadership Group’s 2030 </w:t>
      </w:r>
      <w:r>
        <w:rPr>
          <w:color w:val="000000"/>
        </w:rPr>
        <w:t xml:space="preserve">which </w:t>
      </w:r>
      <w:r w:rsidRPr="00DD38E1">
        <w:rPr>
          <w:color w:val="000000"/>
        </w:rPr>
        <w:t>call</w:t>
      </w:r>
      <w:r>
        <w:rPr>
          <w:color w:val="000000"/>
        </w:rPr>
        <w:t>s</w:t>
      </w:r>
      <w:r w:rsidRPr="00DD38E1">
        <w:rPr>
          <w:color w:val="000000"/>
        </w:rPr>
        <w:t xml:space="preserve"> for </w:t>
      </w:r>
      <w:r>
        <w:rPr>
          <w:color w:val="000000"/>
        </w:rPr>
        <w:t xml:space="preserve">a target of </w:t>
      </w:r>
      <w:r w:rsidRPr="00DD38E1">
        <w:rPr>
          <w:color w:val="000000"/>
        </w:rPr>
        <w:t xml:space="preserve">70% </w:t>
      </w:r>
      <w:r>
        <w:rPr>
          <w:color w:val="000000"/>
        </w:rPr>
        <w:t xml:space="preserve">of </w:t>
      </w:r>
      <w:r w:rsidRPr="00DD38E1">
        <w:rPr>
          <w:color w:val="000000"/>
        </w:rPr>
        <w:t xml:space="preserve">city </w:t>
      </w:r>
      <w:r w:rsidR="00EB33C0">
        <w:rPr>
          <w:color w:val="000000"/>
        </w:rPr>
        <w:t>communities</w:t>
      </w:r>
      <w:r w:rsidRPr="00DD38E1">
        <w:rPr>
          <w:color w:val="000000"/>
        </w:rPr>
        <w:t xml:space="preserve"> to have </w:t>
      </w:r>
      <w:r>
        <w:rPr>
          <w:color w:val="000000"/>
        </w:rPr>
        <w:t xml:space="preserve">good </w:t>
      </w:r>
      <w:r w:rsidRPr="00DD38E1">
        <w:rPr>
          <w:color w:val="000000"/>
        </w:rPr>
        <w:t>access</w:t>
      </w:r>
      <w:r>
        <w:rPr>
          <w:color w:val="000000"/>
        </w:rPr>
        <w:t>ible</w:t>
      </w:r>
      <w:r w:rsidRPr="00DD38E1">
        <w:rPr>
          <w:color w:val="000000"/>
        </w:rPr>
        <w:t xml:space="preserve"> greenery (</w:t>
      </w:r>
      <w:r w:rsidRPr="001356BB">
        <w:rPr>
          <w:color w:val="0070C0"/>
        </w:rPr>
        <w:t>Martin et al., 2024</w:t>
      </w:r>
      <w:r w:rsidRPr="00DD38E1">
        <w:rPr>
          <w:color w:val="000000"/>
        </w:rPr>
        <w:t>).</w:t>
      </w:r>
      <w:r>
        <w:rPr>
          <w:color w:val="000000"/>
        </w:rPr>
        <w:t xml:space="preserve">  These grid cells</w:t>
      </w:r>
      <w:r>
        <w:t xml:space="preserve"> are often found in vulnerable communities, </w:t>
      </w:r>
      <w:r w:rsidRPr="00F26B1C">
        <w:t>especially crucial in</w:t>
      </w:r>
      <w:r w:rsidR="00F92EE2">
        <w:t xml:space="preserve"> Antananarivo’s</w:t>
      </w:r>
      <w:r w:rsidRPr="00F26B1C">
        <w:t xml:space="preserve"> </w:t>
      </w:r>
      <w:r>
        <w:t>informal settlements which generally have a larger diurnal fluctuation, and their room temperature exceeds outdoor (</w:t>
      </w:r>
      <w:r>
        <w:rPr>
          <w:color w:val="0563C1"/>
        </w:rPr>
        <w:t>Mabuya and Scholes, 2020</w:t>
      </w:r>
      <w:r>
        <w:t>). It is necessary to develop alternative strategies for vulnerable neighbourhoods to access greenspace, such as convenient buses to parks or friendly park ticket fees. Aligned buffer laws, distance to parks or traffic time should be considered. For green projects, our cooling effectiveness values provide a provisional guidance for temperature mitigation, and our threshold provides a target for Antananarivo green actions. Meanwhile, quality of greenspace, an important factor influencing cooling effect, should also be the focus of long-term strategies (</w:t>
      </w:r>
      <w:r>
        <w:rPr>
          <w:color w:val="0563C1"/>
        </w:rPr>
        <w:t xml:space="preserve">Lin and Lin, 2016; </w:t>
      </w:r>
      <w:proofErr w:type="spellStart"/>
      <w:r>
        <w:rPr>
          <w:color w:val="0563C1"/>
        </w:rPr>
        <w:t>Stessens</w:t>
      </w:r>
      <w:proofErr w:type="spellEnd"/>
      <w:r>
        <w:rPr>
          <w:color w:val="0563C1"/>
        </w:rPr>
        <w:t xml:space="preserve"> et al., 2020</w:t>
      </w:r>
      <w:r>
        <w:t xml:space="preserve">). </w:t>
      </w:r>
    </w:p>
    <w:p w14:paraId="060D4F42" w14:textId="06FB7554" w:rsidR="00E7018F" w:rsidRDefault="00E7018F" w:rsidP="00E7018F">
      <w:pPr>
        <w:pBdr>
          <w:top w:val="nil"/>
          <w:left w:val="nil"/>
          <w:bottom w:val="nil"/>
          <w:right w:val="nil"/>
          <w:between w:val="nil"/>
        </w:pBdr>
        <w:spacing w:line="240" w:lineRule="auto"/>
        <w:jc w:val="both"/>
        <w:rPr>
          <w:b/>
        </w:rPr>
      </w:pPr>
      <w:r>
        <w:rPr>
          <w:b/>
        </w:rPr>
        <w:t xml:space="preserve">4.3.2 Governance structures that involve local communities in future greenspace design </w:t>
      </w:r>
    </w:p>
    <w:p w14:paraId="7B6D8D44" w14:textId="781898F8" w:rsidR="00E7018F" w:rsidRDefault="00E7018F" w:rsidP="00E7018F">
      <w:pPr>
        <w:pBdr>
          <w:top w:val="nil"/>
          <w:left w:val="nil"/>
          <w:bottom w:val="nil"/>
          <w:right w:val="nil"/>
          <w:between w:val="nil"/>
        </w:pBdr>
        <w:spacing w:line="240" w:lineRule="auto"/>
        <w:jc w:val="both"/>
      </w:pPr>
      <w:r>
        <w:rPr>
          <w:color w:val="000000"/>
        </w:rPr>
        <w:t xml:space="preserve">We observed the higher values in green space access comparing green space exposure across three districts (east, north, south), which are sparsely populated neighbourhoods </w:t>
      </w:r>
      <w:r>
        <w:t>(</w:t>
      </w:r>
      <w:r>
        <w:rPr>
          <w:color w:val="0563C1"/>
        </w:rPr>
        <w:t>Table S1</w:t>
      </w:r>
      <w:r>
        <w:t xml:space="preserve">). In contrast, one patch of greenspace </w:t>
      </w:r>
      <w:r>
        <w:rPr>
          <w:color w:val="000000"/>
        </w:rPr>
        <w:t>i</w:t>
      </w:r>
      <w:r>
        <w:t xml:space="preserve">n densely populated areas (centre) </w:t>
      </w:r>
      <w:r>
        <w:rPr>
          <w:color w:val="000000"/>
        </w:rPr>
        <w:t xml:space="preserve">is generally shared by </w:t>
      </w:r>
      <w:proofErr w:type="gramStart"/>
      <w:r>
        <w:rPr>
          <w:color w:val="000000"/>
        </w:rPr>
        <w:t>a large number of</w:t>
      </w:r>
      <w:proofErr w:type="gramEnd"/>
      <w:r>
        <w:rPr>
          <w:color w:val="000000"/>
        </w:rPr>
        <w:t xml:space="preserve"> p</w:t>
      </w:r>
      <w:r>
        <w:t>eople</w:t>
      </w:r>
      <w:r>
        <w:rPr>
          <w:color w:val="000000"/>
        </w:rPr>
        <w:t>, leading to ‘</w:t>
      </w:r>
      <w:r>
        <w:t>crowded’ conditions</w:t>
      </w:r>
      <w:r>
        <w:rPr>
          <w:color w:val="000000"/>
        </w:rPr>
        <w:t xml:space="preserve">. This </w:t>
      </w:r>
      <w:r>
        <w:t>requires developing robust governance structures to involve local communities who understand greenspace demand and residents’ mobility preferences – which can be incorporated into future green design (</w:t>
      </w:r>
      <w:proofErr w:type="spellStart"/>
      <w:r>
        <w:rPr>
          <w:color w:val="0563C1"/>
        </w:rPr>
        <w:t>Jaimerean</w:t>
      </w:r>
      <w:proofErr w:type="spellEnd"/>
      <w:r>
        <w:rPr>
          <w:color w:val="0563C1"/>
        </w:rPr>
        <w:t>, et al., 2021</w:t>
      </w:r>
      <w:r>
        <w:t>). Involving local communities can furthermore foster a sense of social cohesion and ownership, ensuring the area is well used, popular, recognised, and well connected (</w:t>
      </w:r>
      <w:r>
        <w:rPr>
          <w:color w:val="0563C1"/>
        </w:rPr>
        <w:t xml:space="preserve">Jennings and </w:t>
      </w:r>
      <w:proofErr w:type="spellStart"/>
      <w:r>
        <w:rPr>
          <w:color w:val="0563C1"/>
        </w:rPr>
        <w:t>Bamkole</w:t>
      </w:r>
      <w:proofErr w:type="spellEnd"/>
      <w:r>
        <w:rPr>
          <w:color w:val="0563C1"/>
        </w:rPr>
        <w:t>, 2019</w:t>
      </w:r>
      <w:r>
        <w:t xml:space="preserve">; </w:t>
      </w:r>
      <w:proofErr w:type="spellStart"/>
      <w:r>
        <w:rPr>
          <w:color w:val="0563C1"/>
        </w:rPr>
        <w:t>Jaimerean</w:t>
      </w:r>
      <w:proofErr w:type="spellEnd"/>
      <w:r>
        <w:rPr>
          <w:color w:val="0563C1"/>
        </w:rPr>
        <w:t>, et al., 2021</w:t>
      </w:r>
      <w:r>
        <w:t xml:space="preserve">). </w:t>
      </w:r>
    </w:p>
    <w:p w14:paraId="093859CE" w14:textId="6A0E57FC" w:rsidR="00E7018F" w:rsidRPr="00E7018F" w:rsidRDefault="00E7018F" w:rsidP="00E7018F">
      <w:pPr>
        <w:pBdr>
          <w:top w:val="nil"/>
          <w:left w:val="nil"/>
          <w:bottom w:val="nil"/>
          <w:right w:val="nil"/>
          <w:between w:val="nil"/>
        </w:pBdr>
        <w:spacing w:line="240" w:lineRule="auto"/>
        <w:jc w:val="both"/>
        <w:rPr>
          <w:b/>
          <w:bCs/>
        </w:rPr>
      </w:pPr>
      <w:r w:rsidRPr="00E7018F">
        <w:rPr>
          <w:b/>
          <w:bCs/>
        </w:rPr>
        <w:t xml:space="preserve">4.3.3 Rethinking the vulnerability </w:t>
      </w:r>
      <w:r>
        <w:rPr>
          <w:b/>
          <w:bCs/>
        </w:rPr>
        <w:t>for the</w:t>
      </w:r>
      <w:r w:rsidRPr="00E7018F">
        <w:rPr>
          <w:b/>
          <w:bCs/>
        </w:rPr>
        <w:t xml:space="preserve"> urban heat</w:t>
      </w:r>
      <w:r>
        <w:rPr>
          <w:b/>
          <w:bCs/>
        </w:rPr>
        <w:t xml:space="preserve"> management</w:t>
      </w:r>
    </w:p>
    <w:p w14:paraId="6054FA88" w14:textId="29B71A7E" w:rsidR="00E7018F" w:rsidRPr="00E7018F" w:rsidRDefault="00E7018F" w:rsidP="00E7018F">
      <w:pPr>
        <w:pBdr>
          <w:top w:val="nil"/>
          <w:left w:val="nil"/>
          <w:bottom w:val="nil"/>
          <w:right w:val="nil"/>
          <w:between w:val="nil"/>
        </w:pBdr>
        <w:spacing w:line="240" w:lineRule="auto"/>
        <w:jc w:val="both"/>
      </w:pPr>
      <w:r>
        <w:t xml:space="preserve">Some thinking, advantaged groups often control decisions related to the greenspace access, considering factors like the costs of planning or maintenance (Han et al. 2024). When prioritising projects to enhance community resilience against the urban heat, studies locate vulnerable neighbourhoods based on disadvantaged social-demographic characteristics. However, greenspace exposure and cooling effect is context specific. For example, some contrasting findings </w:t>
      </w:r>
      <w:r w:rsidR="00F92EE2">
        <w:t>reveal</w:t>
      </w:r>
      <w:r>
        <w:t xml:space="preserve"> that the vulnerable groups received more </w:t>
      </w:r>
      <w:r>
        <w:rPr>
          <w:rFonts w:hint="eastAsia"/>
        </w:rPr>
        <w:t>greenspace than the socially advantaged population (Xiao et al., 2017). As our study illustrates, vulnerable neighbourhoods have a 0.01</w:t>
      </w:r>
      <w:r>
        <w:rPr>
          <w:rFonts w:hint="eastAsia"/>
        </w:rPr>
        <w:t>℃</w:t>
      </w:r>
      <w:r>
        <w:rPr>
          <w:rFonts w:hint="eastAsia"/>
        </w:rPr>
        <w:t xml:space="preserve"> greater cooling effect than equal neighbourhoods. These </w:t>
      </w:r>
      <w:r w:rsidR="00F92EE2">
        <w:t xml:space="preserve">contrasting </w:t>
      </w:r>
      <w:r>
        <w:rPr>
          <w:rFonts w:hint="eastAsia"/>
        </w:rPr>
        <w:t xml:space="preserve">results contribute to a broader understanding of vulnerability </w:t>
      </w:r>
      <w:r>
        <w:t>in the further urban heat risk management especially for developing or vulnerable cities in Sub-Saharan Africa where empirical socioeconomic data may be delayed or lacking</w:t>
      </w:r>
      <w:r w:rsidR="00F92EE2">
        <w:t xml:space="preserve"> when identifying disadvantaged groups</w:t>
      </w:r>
      <w:r>
        <w:t>.</w:t>
      </w:r>
    </w:p>
    <w:p w14:paraId="7991D83E" w14:textId="7BD53673" w:rsidR="00E7018F" w:rsidRDefault="00E7018F" w:rsidP="00E7018F">
      <w:pPr>
        <w:pBdr>
          <w:top w:val="nil"/>
          <w:left w:val="nil"/>
          <w:bottom w:val="nil"/>
          <w:right w:val="nil"/>
          <w:between w:val="nil"/>
        </w:pBdr>
        <w:spacing w:line="240" w:lineRule="auto"/>
        <w:jc w:val="both"/>
      </w:pPr>
      <w:r>
        <w:rPr>
          <w:b/>
        </w:rPr>
        <w:t>4.3.4 Enhance vegetation cover and diversify forms of vegetation space</w:t>
      </w:r>
    </w:p>
    <w:p w14:paraId="6B21B65C" w14:textId="6F343137" w:rsidR="00E7018F" w:rsidRDefault="00E7018F" w:rsidP="00E7018F">
      <w:pPr>
        <w:pBdr>
          <w:top w:val="nil"/>
          <w:left w:val="nil"/>
          <w:bottom w:val="nil"/>
          <w:right w:val="nil"/>
          <w:between w:val="nil"/>
        </w:pBdr>
        <w:spacing w:line="240" w:lineRule="auto"/>
        <w:jc w:val="both"/>
      </w:pPr>
      <w:r>
        <w:lastRenderedPageBreak/>
        <w:t>Due to the shortages of urban land, increasing greenspace patch size is not always feasible, nor sustainable (</w:t>
      </w:r>
      <w:r>
        <w:rPr>
          <w:color w:val="0563C1"/>
        </w:rPr>
        <w:t xml:space="preserve">Wu et al., 2025; </w:t>
      </w:r>
      <w:proofErr w:type="spellStart"/>
      <w:r>
        <w:rPr>
          <w:color w:val="0563C1"/>
        </w:rPr>
        <w:t>Gavrilidis</w:t>
      </w:r>
      <w:proofErr w:type="spellEnd"/>
      <w:r>
        <w:rPr>
          <w:color w:val="0563C1"/>
        </w:rPr>
        <w:t xml:space="preserve"> et al., 2021</w:t>
      </w:r>
      <w:r>
        <w:t xml:space="preserve">). </w:t>
      </w:r>
      <w:r w:rsidRPr="00E00CB5">
        <w:t xml:space="preserve">Innovative strategies are needed to preserve limited space while enhancing </w:t>
      </w:r>
      <w:r>
        <w:t xml:space="preserve">the quality of </w:t>
      </w:r>
      <w:r w:rsidRPr="00E00CB5">
        <w:t xml:space="preserve">vegetation cover </w:t>
      </w:r>
      <w:r>
        <w:t>or</w:t>
      </w:r>
      <w:r w:rsidRPr="00E00CB5">
        <w:t xml:space="preserve"> di</w:t>
      </w:r>
      <w:r>
        <w:t xml:space="preserve">versifying </w:t>
      </w:r>
      <w:r w:rsidRPr="00E00CB5">
        <w:t xml:space="preserve">forms of </w:t>
      </w:r>
      <w:r>
        <w:t>ecological space</w:t>
      </w:r>
      <w:r w:rsidRPr="00E00CB5">
        <w:t xml:space="preserve"> </w:t>
      </w:r>
      <w:r>
        <w:t>(</w:t>
      </w:r>
      <w:proofErr w:type="spellStart"/>
      <w:r>
        <w:rPr>
          <w:color w:val="0563C1"/>
        </w:rPr>
        <w:t>Jaimerean</w:t>
      </w:r>
      <w:proofErr w:type="spellEnd"/>
      <w:r>
        <w:rPr>
          <w:color w:val="0563C1"/>
        </w:rPr>
        <w:t>, et al., 2021</w:t>
      </w:r>
      <w:r>
        <w:t>).</w:t>
      </w:r>
      <w:r w:rsidRPr="00715A4E">
        <w:t xml:space="preserve"> </w:t>
      </w:r>
      <w:r>
        <w:t>According to greenspace inequality trajectory 2 (</w:t>
      </w:r>
      <w:r w:rsidRPr="001356BB">
        <w:rPr>
          <w:color w:val="0070C0"/>
        </w:rPr>
        <w:t>Fig. 7</w:t>
      </w:r>
      <w:r>
        <w:t xml:space="preserve">), small scale urban agriculture, agroforestry, fruit garden can be implemented in areas where there are houses or barren land and have co-benefits such as food security and cost saving. Antananarivo’s multifunctional rice fields, which </w:t>
      </w:r>
      <w:r w:rsidRPr="00F31A94">
        <w:t>support</w:t>
      </w:r>
      <w:r>
        <w:t>s</w:t>
      </w:r>
      <w:r w:rsidRPr="00F31A94">
        <w:t xml:space="preserve"> fishing, provide recreational opportunities with walking paths</w:t>
      </w:r>
      <w:r w:rsidR="00F92EE2">
        <w:t xml:space="preserve"> (</w:t>
      </w:r>
      <w:r w:rsidR="00F92EE2" w:rsidRPr="00F31A94">
        <w:rPr>
          <w:color w:val="0070C0"/>
        </w:rPr>
        <w:t>Brouillet et al. 2025</w:t>
      </w:r>
      <w:r w:rsidR="00F92EE2">
        <w:t>)</w:t>
      </w:r>
      <w:r>
        <w:t>. F</w:t>
      </w:r>
      <w:r w:rsidRPr="00F31A94">
        <w:t xml:space="preserve">ood provision </w:t>
      </w:r>
      <w:r>
        <w:t xml:space="preserve">can be improved </w:t>
      </w:r>
      <w:r w:rsidRPr="00F31A94">
        <w:t xml:space="preserve">by planting fruit trees along </w:t>
      </w:r>
      <w:r>
        <w:t>rice field boundaries – which has been</w:t>
      </w:r>
      <w:r w:rsidRPr="00F72515">
        <w:t xml:space="preserve"> </w:t>
      </w:r>
      <w:r w:rsidRPr="00A805FF">
        <w:t>proven to be a viable</w:t>
      </w:r>
      <w:r>
        <w:t xml:space="preserve"> cooling</w:t>
      </w:r>
      <w:r w:rsidRPr="00A805FF">
        <w:t xml:space="preserve"> option</w:t>
      </w:r>
      <w:r w:rsidR="00F92EE2">
        <w:t xml:space="preserve"> in our </w:t>
      </w:r>
      <w:r w:rsidR="00E17296">
        <w:t>study</w:t>
      </w:r>
      <w:r>
        <w:t xml:space="preserve">. </w:t>
      </w:r>
      <w:r w:rsidRPr="000C7A31">
        <w:t xml:space="preserve">Unlike cities that rely on food imports, these strategies remain a vital source of nutrition and income, which is essential for inclusive economic planning in </w:t>
      </w:r>
      <w:r>
        <w:t>rapidly developing economics facing substantive inequality. These small farming models</w:t>
      </w:r>
      <w:r w:rsidRPr="00A805FF">
        <w:t xml:space="preserve"> </w:t>
      </w:r>
      <w:r>
        <w:t>may have relevance for the capital of Madagascar, but also other urban centres across Africa and beyond.</w:t>
      </w:r>
    </w:p>
    <w:p w14:paraId="0C8B94B3" w14:textId="33540C7A" w:rsidR="00F4319D" w:rsidRDefault="00AE52A5" w:rsidP="00F4319D">
      <w:pPr>
        <w:pBdr>
          <w:top w:val="nil"/>
          <w:left w:val="nil"/>
          <w:bottom w:val="nil"/>
          <w:right w:val="nil"/>
          <w:between w:val="nil"/>
        </w:pBdr>
        <w:spacing w:line="240" w:lineRule="auto"/>
        <w:jc w:val="both"/>
        <w:rPr>
          <w:b/>
        </w:rPr>
      </w:pPr>
      <w:r>
        <w:rPr>
          <w:b/>
        </w:rPr>
        <w:t>5</w:t>
      </w:r>
      <w:r w:rsidR="00F4319D">
        <w:rPr>
          <w:b/>
        </w:rPr>
        <w:t xml:space="preserve">. Limitations and future research directions </w:t>
      </w:r>
    </w:p>
    <w:p w14:paraId="39EBC9A1" w14:textId="77777777" w:rsidR="00F92EE2" w:rsidRDefault="00F92EE2" w:rsidP="00F92EE2">
      <w:pPr>
        <w:pBdr>
          <w:top w:val="nil"/>
          <w:left w:val="nil"/>
          <w:bottom w:val="nil"/>
          <w:right w:val="nil"/>
          <w:between w:val="nil"/>
        </w:pBdr>
        <w:spacing w:line="240" w:lineRule="auto"/>
        <w:jc w:val="both"/>
      </w:pPr>
      <w:r>
        <w:t xml:space="preserve">Limitations remain in this study. Firstly, we did not look at seasonal or long-term time series, that can help track historical trends. Looking forwards, predictive models exploring how cities may </w:t>
      </w:r>
      <w:proofErr w:type="gramStart"/>
      <w:r>
        <w:t>grow</w:t>
      </w:r>
      <w:proofErr w:type="gramEnd"/>
      <w:r>
        <w:t xml:space="preserve"> and climates change would be useful to forecast future scenarios. Secondly, our study relied solely on remote sensed data. This is park because empirical work was limited as access to private gardens is often restricted in wealthy areas in Antananarivo, while public parks fees are not always affordable. Further research can engage citizens to understand disparity in access and perception between public and private spaces. Thirdly, buildings in Antananarivo are generally at low height, such as one or two floors’ settlements or some multiple-floor hotels. Future studies should consider urban morphology. Finally, our approach to measure greenspace inequality is sensitive to the unit definition. The greenspace access radius used in our study may not be suitable for others context. While considered the unit of </w:t>
      </w:r>
      <w:r w:rsidRPr="00FA2E1C">
        <w:t xml:space="preserve">communities </w:t>
      </w:r>
      <w:r>
        <w:t xml:space="preserve">and all </w:t>
      </w:r>
      <w:r w:rsidRPr="00FA2E1C">
        <w:t>urban dwellers</w:t>
      </w:r>
      <w:r>
        <w:t xml:space="preserve"> into our model, future research should consider other socio-economic factors, as well as the surrounding greenspace species composition and configuration.</w:t>
      </w:r>
    </w:p>
    <w:p w14:paraId="51B6A1C3" w14:textId="47B3E8B7" w:rsidR="006012C1" w:rsidRDefault="00AE433F">
      <w:pPr>
        <w:pBdr>
          <w:top w:val="nil"/>
          <w:left w:val="nil"/>
          <w:bottom w:val="nil"/>
          <w:right w:val="nil"/>
          <w:between w:val="nil"/>
        </w:pBdr>
        <w:spacing w:line="240" w:lineRule="auto"/>
        <w:jc w:val="both"/>
        <w:rPr>
          <w:b/>
        </w:rPr>
      </w:pPr>
      <w:r>
        <w:rPr>
          <w:b/>
        </w:rPr>
        <w:t>6. Conclusions</w:t>
      </w:r>
    </w:p>
    <w:p w14:paraId="447EB8F4" w14:textId="6D11869F" w:rsidR="00031C4C" w:rsidRDefault="00031C4C" w:rsidP="00031C4C">
      <w:pPr>
        <w:pBdr>
          <w:top w:val="nil"/>
          <w:left w:val="nil"/>
          <w:bottom w:val="nil"/>
          <w:right w:val="nil"/>
          <w:between w:val="nil"/>
        </w:pBdr>
        <w:spacing w:line="240" w:lineRule="auto"/>
        <w:jc w:val="both"/>
      </w:pPr>
      <w:r>
        <w:rPr>
          <w:color w:val="000000"/>
        </w:rPr>
        <w:t>This study identified (</w:t>
      </w:r>
      <w:proofErr w:type="spellStart"/>
      <w:r>
        <w:rPr>
          <w:color w:val="000000"/>
        </w:rPr>
        <w:t>i</w:t>
      </w:r>
      <w:proofErr w:type="spellEnd"/>
      <w:r>
        <w:rPr>
          <w:color w:val="000000"/>
        </w:rPr>
        <w:t xml:space="preserve">) characteristics of equal and vulnerable neighbourhoods and associated greenspace inequality trajectories, (ii) LST disparities and cooling explanatory variables between two types of neighbourhoods, and (iii) their variations in cooling efficacy and threshold values from day to night. We found over half of grid cells had accessible greenspace less than 25%, and nearly </w:t>
      </w:r>
      <w:bookmarkStart w:id="5" w:name="_heading=h.lviyf8u089y2" w:colFirst="0" w:colLast="0"/>
      <w:bookmarkEnd w:id="5"/>
      <w:r>
        <w:rPr>
          <w:color w:val="000000"/>
        </w:rPr>
        <w:t>25%</w:t>
      </w:r>
      <w:r>
        <w:t xml:space="preserve"> neighbourhoods were unequal where values of exposure to greenspace is disproportionately higher in some grid celled than others. However, these vulnerable neighbourhoods exhibited a 0.01°C greater cooling effect compared to equal neighbours. This cooling difference between vulnerable and </w:t>
      </w:r>
      <w:r w:rsidR="00E17296">
        <w:t xml:space="preserve">rest of </w:t>
      </w:r>
      <w:r>
        <w:t xml:space="preserve">more equal neighbourhoods is influenced by </w:t>
      </w:r>
      <w:r w:rsidR="00E17296">
        <w:t xml:space="preserve">several </w:t>
      </w:r>
      <w:r>
        <w:t>factors</w:t>
      </w:r>
      <w:r w:rsidR="00E17296">
        <w:t xml:space="preserve"> </w:t>
      </w:r>
      <w:r>
        <w:t xml:space="preserve">of day-night LST variation, urbanisation and topology conditions, vegetation and land cover contributions. Greenspace inequality trajectories depicted how neighbourhoods evolve from </w:t>
      </w:r>
      <w:r w:rsidR="00E17296">
        <w:t xml:space="preserve">more </w:t>
      </w:r>
      <w:r>
        <w:t xml:space="preserve">equal </w:t>
      </w:r>
      <w:r w:rsidR="00E17296">
        <w:t xml:space="preserve">level in greenspace exposure </w:t>
      </w:r>
      <w:r>
        <w:t xml:space="preserve">to vulnerable </w:t>
      </w:r>
      <w:r w:rsidR="00E17296">
        <w:t>status</w:t>
      </w:r>
      <w:r>
        <w:t xml:space="preserve">. Specifically, </w:t>
      </w:r>
      <w:r w:rsidRPr="00240444">
        <w:t xml:space="preserve">a </w:t>
      </w:r>
      <w:r>
        <w:t>cooling</w:t>
      </w:r>
      <w:r w:rsidRPr="00240444">
        <w:t xml:space="preserve"> threshold</w:t>
      </w:r>
      <w:r>
        <w:t xml:space="preserve"> of </w:t>
      </w:r>
      <w:r w:rsidRPr="00240444">
        <w:t>62</w:t>
      </w:r>
      <w:r>
        <w:t>-78</w:t>
      </w:r>
      <w:r w:rsidRPr="00240444">
        <w:t xml:space="preserve">% </w:t>
      </w:r>
      <w:r>
        <w:t xml:space="preserve">for greenspace land cover was detected; estimated to </w:t>
      </w:r>
      <w:r w:rsidRPr="00365E56">
        <w:t>reduce</w:t>
      </w:r>
      <w:r>
        <w:t xml:space="preserve"> averaged</w:t>
      </w:r>
      <w:r w:rsidRPr="00365E56">
        <w:t xml:space="preserve"> </w:t>
      </w:r>
      <w:r>
        <w:t>0.78-</w:t>
      </w:r>
      <w:r w:rsidRPr="00365E56">
        <w:t>1.24°C</w:t>
      </w:r>
      <w:r>
        <w:t xml:space="preserve"> </w:t>
      </w:r>
      <w:r w:rsidR="00E17296">
        <w:t xml:space="preserve">to shift the vulnerable neighbourhoods experiencing highest temperature to a more comfortable rage </w:t>
      </w:r>
      <w:r>
        <w:t xml:space="preserve">regardless of other factors. </w:t>
      </w:r>
      <w:r w:rsidRPr="00B6594F">
        <w:t>This study prioriti</w:t>
      </w:r>
      <w:r>
        <w:t>s</w:t>
      </w:r>
      <w:r w:rsidRPr="00B6594F">
        <w:t>es the locations of vulnerable neighbourhoods where inequality is present, contributing to a broader understanding of vulnerability. The findings outline proactive cooling planning and adaptation strategies for marginali</w:t>
      </w:r>
      <w:r>
        <w:t>s</w:t>
      </w:r>
      <w:r w:rsidRPr="00B6594F">
        <w:t xml:space="preserve">ed communities in Antananarivo and other </w:t>
      </w:r>
      <w:r>
        <w:t xml:space="preserve">emerging economies, particularly </w:t>
      </w:r>
      <w:r w:rsidRPr="00B6594F">
        <w:t>where empirical socioeconomic data may be delayed</w:t>
      </w:r>
      <w:r>
        <w:t xml:space="preserve"> or </w:t>
      </w:r>
      <w:r w:rsidRPr="00B6594F">
        <w:t>lacking.</w:t>
      </w:r>
    </w:p>
    <w:p w14:paraId="50DFF932" w14:textId="46D8FCAB" w:rsidR="006012C1" w:rsidRDefault="00000000" w:rsidP="00B6594F">
      <w:pPr>
        <w:pBdr>
          <w:top w:val="nil"/>
          <w:left w:val="nil"/>
          <w:bottom w:val="nil"/>
          <w:right w:val="nil"/>
          <w:between w:val="nil"/>
        </w:pBdr>
        <w:jc w:val="both"/>
        <w:rPr>
          <w:b/>
          <w:color w:val="000000"/>
          <w:sz w:val="24"/>
          <w:szCs w:val="24"/>
        </w:rPr>
      </w:pPr>
      <w:r>
        <w:rPr>
          <w:b/>
          <w:color w:val="000000"/>
          <w:sz w:val="24"/>
          <w:szCs w:val="24"/>
        </w:rPr>
        <w:t>References</w:t>
      </w:r>
    </w:p>
    <w:p w14:paraId="3B67D638" w14:textId="77777777"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Alizadeh, M. R., </w:t>
      </w:r>
      <w:proofErr w:type="spellStart"/>
      <w:r w:rsidRPr="007B332C">
        <w:rPr>
          <w:color w:val="000000"/>
        </w:rPr>
        <w:t>Abatzoglou</w:t>
      </w:r>
      <w:proofErr w:type="spellEnd"/>
      <w:r w:rsidRPr="007B332C">
        <w:rPr>
          <w:color w:val="000000"/>
        </w:rPr>
        <w:t xml:space="preserve">, J. T., Adamowski, J. F., </w:t>
      </w:r>
      <w:proofErr w:type="spellStart"/>
      <w:r w:rsidRPr="007B332C">
        <w:rPr>
          <w:color w:val="000000"/>
        </w:rPr>
        <w:t>Prestemon</w:t>
      </w:r>
      <w:proofErr w:type="spellEnd"/>
      <w:r w:rsidRPr="007B332C">
        <w:rPr>
          <w:color w:val="000000"/>
        </w:rPr>
        <w:t xml:space="preserve">, J. P., </w:t>
      </w:r>
      <w:proofErr w:type="spellStart"/>
      <w:r w:rsidRPr="007B332C">
        <w:rPr>
          <w:color w:val="000000"/>
        </w:rPr>
        <w:t>Chittoori</w:t>
      </w:r>
      <w:proofErr w:type="spellEnd"/>
      <w:r w:rsidRPr="007B332C">
        <w:rPr>
          <w:color w:val="000000"/>
        </w:rPr>
        <w:t xml:space="preserve">, B., </w:t>
      </w:r>
      <w:proofErr w:type="spellStart"/>
      <w:r w:rsidRPr="007B332C">
        <w:rPr>
          <w:color w:val="000000"/>
        </w:rPr>
        <w:t>Asanjan</w:t>
      </w:r>
      <w:proofErr w:type="spellEnd"/>
      <w:r w:rsidRPr="007B332C">
        <w:rPr>
          <w:color w:val="000000"/>
        </w:rPr>
        <w:t xml:space="preserve">, A. A., &amp; Sadegh, M. (2022). Increasing heat‐stress inequality in a warming climate. </w:t>
      </w:r>
      <w:r w:rsidRPr="007B332C">
        <w:rPr>
          <w:i/>
          <w:color w:val="000000"/>
        </w:rPr>
        <w:t>Earth's Future</w:t>
      </w:r>
      <w:r w:rsidRPr="007B332C">
        <w:rPr>
          <w:color w:val="000000"/>
        </w:rPr>
        <w:t>, 10(2), e2021EF002488.</w:t>
      </w:r>
      <w:hyperlink r:id="rId17">
        <w:r w:rsidR="006012C1" w:rsidRPr="007B332C">
          <w:rPr>
            <w:color w:val="000000"/>
          </w:rPr>
          <w:t xml:space="preserve"> </w:t>
        </w:r>
      </w:hyperlink>
      <w:hyperlink r:id="rId18">
        <w:r w:rsidR="006012C1" w:rsidRPr="007B332C">
          <w:rPr>
            <w:color w:val="1155CC"/>
            <w:u w:val="single"/>
          </w:rPr>
          <w:t>https://doi.org/10.1029/2021EF002488</w:t>
        </w:r>
      </w:hyperlink>
      <w:r w:rsidRPr="007B332C">
        <w:fldChar w:fldCharType="begin"/>
      </w:r>
      <w:r w:rsidRPr="007B332C">
        <w:instrText xml:space="preserve"> HYPERLINK "https://doi.org/10.1029/2021EF002488" </w:instrText>
      </w:r>
      <w:r w:rsidRPr="007B332C">
        <w:fldChar w:fldCharType="separate"/>
      </w:r>
    </w:p>
    <w:p w14:paraId="19920121" w14:textId="77777777" w:rsidR="006012C1" w:rsidRPr="007B332C" w:rsidRDefault="00000000">
      <w:pPr>
        <w:pBdr>
          <w:top w:val="nil"/>
          <w:left w:val="nil"/>
          <w:bottom w:val="nil"/>
          <w:right w:val="nil"/>
          <w:between w:val="nil"/>
        </w:pBdr>
        <w:spacing w:after="0" w:line="240" w:lineRule="auto"/>
        <w:ind w:left="720" w:hanging="720"/>
      </w:pPr>
      <w:r w:rsidRPr="007B332C">
        <w:lastRenderedPageBreak/>
        <w:fldChar w:fldCharType="end"/>
      </w:r>
      <w:r w:rsidRPr="007B332C">
        <w:rPr>
          <w:color w:val="000000"/>
        </w:rPr>
        <w:t xml:space="preserve">Andrade C. (2019). The P value and statistical significance: misunderstandings, explanations, challenges, and alternatives. </w:t>
      </w:r>
      <w:r w:rsidRPr="007B332C">
        <w:rPr>
          <w:i/>
          <w:color w:val="000000"/>
        </w:rPr>
        <w:t>Indian J Psychol Med.</w:t>
      </w:r>
      <w:r w:rsidRPr="007B332C">
        <w:rPr>
          <w:color w:val="000000"/>
        </w:rPr>
        <w:t xml:space="preserve">, 41(3):210-215. </w:t>
      </w:r>
      <w:hyperlink r:id="rId19">
        <w:r w:rsidR="006012C1" w:rsidRPr="007B332C">
          <w:rPr>
            <w:color w:val="1155CC"/>
            <w:u w:val="single"/>
          </w:rPr>
          <w:t>https://doi.org/10.4103/IJPSYM.IJPSYM_193_19</w:t>
        </w:r>
      </w:hyperlink>
    </w:p>
    <w:p w14:paraId="11422037" w14:textId="77777777" w:rsidR="006012C1" w:rsidRPr="007B332C" w:rsidRDefault="00000000">
      <w:pPr>
        <w:pBdr>
          <w:top w:val="nil"/>
          <w:left w:val="nil"/>
          <w:bottom w:val="nil"/>
          <w:right w:val="nil"/>
          <w:between w:val="nil"/>
        </w:pBdr>
        <w:spacing w:after="0" w:line="240" w:lineRule="auto"/>
        <w:ind w:left="720" w:hanging="720"/>
        <w:jc w:val="both"/>
        <w:rPr>
          <w:color w:val="000000"/>
        </w:rPr>
      </w:pPr>
      <w:proofErr w:type="spellStart"/>
      <w:r w:rsidRPr="007B332C">
        <w:rPr>
          <w:color w:val="000000"/>
        </w:rPr>
        <w:t>Anyamba</w:t>
      </w:r>
      <w:proofErr w:type="spellEnd"/>
      <w:r w:rsidRPr="007B332C">
        <w:rPr>
          <w:color w:val="000000"/>
        </w:rPr>
        <w:t xml:space="preserve"> A., Chretien J.P., Britch S.C., </w:t>
      </w:r>
      <w:proofErr w:type="spellStart"/>
      <w:r w:rsidRPr="007B332C">
        <w:rPr>
          <w:color w:val="000000"/>
        </w:rPr>
        <w:t>Soebiyanto</w:t>
      </w:r>
      <w:proofErr w:type="spellEnd"/>
      <w:r w:rsidRPr="007B332C">
        <w:rPr>
          <w:color w:val="000000"/>
        </w:rPr>
        <w:t xml:space="preserve"> R.P., Small J.L., Jepsen R., Forshey B.M., Sanchez J.L., Smith R.D., Harris R., Tucker C.J., Karesh W.B., Linthicum K.J. (2019)</w:t>
      </w:r>
      <w:r w:rsidRPr="007B332C">
        <w:rPr>
          <w:i/>
          <w:color w:val="000000"/>
        </w:rPr>
        <w:t>.</w:t>
      </w:r>
      <w:r w:rsidRPr="007B332C">
        <w:rPr>
          <w:color w:val="000000"/>
        </w:rPr>
        <w:t> Global Disease Outbreaks Associated with the 2015–2016 El Niño Event. </w:t>
      </w:r>
      <w:r w:rsidRPr="007B332C">
        <w:rPr>
          <w:i/>
          <w:color w:val="000000"/>
        </w:rPr>
        <w:t>Sci Rep</w:t>
      </w:r>
      <w:r w:rsidRPr="007B332C">
        <w:rPr>
          <w:color w:val="000000"/>
        </w:rPr>
        <w:t xml:space="preserve">, 9(1), 1930. </w:t>
      </w:r>
      <w:hyperlink r:id="rId20">
        <w:r w:rsidR="006012C1" w:rsidRPr="007B332C">
          <w:rPr>
            <w:color w:val="0563C1"/>
            <w:u w:val="single"/>
          </w:rPr>
          <w:t>https://doi.org/10.1038/s41598-018-38034-z</w:t>
        </w:r>
      </w:hyperlink>
    </w:p>
    <w:p w14:paraId="30DA8D90" w14:textId="77777777" w:rsidR="006012C1" w:rsidRPr="007B332C" w:rsidRDefault="00000000">
      <w:pPr>
        <w:pBdr>
          <w:top w:val="nil"/>
          <w:left w:val="nil"/>
          <w:bottom w:val="nil"/>
          <w:right w:val="nil"/>
          <w:between w:val="nil"/>
        </w:pBdr>
        <w:spacing w:after="0" w:line="240" w:lineRule="auto"/>
        <w:ind w:left="720" w:hanging="720"/>
        <w:jc w:val="both"/>
      </w:pPr>
      <w:proofErr w:type="spellStart"/>
      <w:r w:rsidRPr="007B332C">
        <w:rPr>
          <w:color w:val="000000"/>
        </w:rPr>
        <w:t>Amegah</w:t>
      </w:r>
      <w:proofErr w:type="spellEnd"/>
      <w:r w:rsidRPr="007B332C">
        <w:rPr>
          <w:color w:val="000000"/>
        </w:rPr>
        <w:t xml:space="preserve">, A. K. (2021). Slum decay in Sub-Saharan Africa: context, environmental pollution challenges, and impact on dweller’s health. </w:t>
      </w:r>
      <w:r w:rsidRPr="007B332C">
        <w:rPr>
          <w:i/>
          <w:color w:val="000000"/>
        </w:rPr>
        <w:t xml:space="preserve">Environ. </w:t>
      </w:r>
      <w:proofErr w:type="spellStart"/>
      <w:r w:rsidRPr="007B332C">
        <w:rPr>
          <w:i/>
          <w:color w:val="000000"/>
        </w:rPr>
        <w:t>Epidemiol</w:t>
      </w:r>
      <w:proofErr w:type="spellEnd"/>
      <w:r w:rsidRPr="007B332C">
        <w:rPr>
          <w:i/>
          <w:color w:val="000000"/>
        </w:rPr>
        <w:t>.,</w:t>
      </w:r>
      <w:r w:rsidRPr="007B332C">
        <w:rPr>
          <w:color w:val="000000"/>
        </w:rPr>
        <w:t xml:space="preserve"> 5(3): e158. </w:t>
      </w:r>
      <w:hyperlink r:id="rId21">
        <w:r w:rsidR="006012C1" w:rsidRPr="007B332C">
          <w:rPr>
            <w:color w:val="1155CC"/>
            <w:u w:val="single"/>
          </w:rPr>
          <w:t>https://doi.org/10.1097/EE9.0000000000000158</w:t>
        </w:r>
      </w:hyperlink>
    </w:p>
    <w:p w14:paraId="4B758DE6"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Aram F., Higueras García E., </w:t>
      </w:r>
      <w:proofErr w:type="spellStart"/>
      <w:r w:rsidRPr="007B332C">
        <w:rPr>
          <w:color w:val="000000"/>
        </w:rPr>
        <w:t>Solgi</w:t>
      </w:r>
      <w:proofErr w:type="spellEnd"/>
      <w:r w:rsidRPr="007B332C">
        <w:rPr>
          <w:color w:val="000000"/>
        </w:rPr>
        <w:t xml:space="preserve"> E., </w:t>
      </w:r>
      <w:proofErr w:type="spellStart"/>
      <w:r w:rsidRPr="007B332C">
        <w:rPr>
          <w:color w:val="000000"/>
        </w:rPr>
        <w:t>Mansournia</w:t>
      </w:r>
      <w:proofErr w:type="spellEnd"/>
      <w:r w:rsidRPr="007B332C">
        <w:rPr>
          <w:color w:val="000000"/>
        </w:rPr>
        <w:t xml:space="preserve"> S. (2019). Urban green space cooling effect in cities. </w:t>
      </w:r>
      <w:proofErr w:type="spellStart"/>
      <w:r w:rsidRPr="007B332C">
        <w:rPr>
          <w:i/>
          <w:color w:val="000000"/>
        </w:rPr>
        <w:t>Heliyon</w:t>
      </w:r>
      <w:proofErr w:type="spellEnd"/>
      <w:r w:rsidRPr="007B332C">
        <w:rPr>
          <w:color w:val="000000"/>
        </w:rPr>
        <w:t xml:space="preserve">, 5(4), e01339. </w:t>
      </w:r>
      <w:hyperlink r:id="rId22">
        <w:r w:rsidR="006012C1" w:rsidRPr="007B332C">
          <w:rPr>
            <w:color w:val="0563C1"/>
            <w:u w:val="single"/>
          </w:rPr>
          <w:t>https://doi.org/10.1016/j.heliyon.2019.e01339</w:t>
        </w:r>
      </w:hyperlink>
    </w:p>
    <w:p w14:paraId="77D1A06B"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Aubry, C., Ramamonjisoa, J., </w:t>
      </w:r>
      <w:proofErr w:type="spellStart"/>
      <w:r w:rsidRPr="007B332C">
        <w:rPr>
          <w:color w:val="000000"/>
        </w:rPr>
        <w:t>Dabat</w:t>
      </w:r>
      <w:proofErr w:type="spellEnd"/>
      <w:r w:rsidRPr="007B332C">
        <w:rPr>
          <w:color w:val="000000"/>
        </w:rPr>
        <w:t xml:space="preserve">, M.H., Rakotoarisoa, J., </w:t>
      </w:r>
      <w:proofErr w:type="spellStart"/>
      <w:r w:rsidRPr="007B332C">
        <w:rPr>
          <w:color w:val="000000"/>
        </w:rPr>
        <w:t>Rakotondraibe</w:t>
      </w:r>
      <w:proofErr w:type="spellEnd"/>
      <w:r w:rsidRPr="007B332C">
        <w:rPr>
          <w:color w:val="000000"/>
        </w:rPr>
        <w:t xml:space="preserve">, J., </w:t>
      </w:r>
      <w:proofErr w:type="spellStart"/>
      <w:r w:rsidRPr="007B332C">
        <w:rPr>
          <w:color w:val="000000"/>
        </w:rPr>
        <w:t>Rabeharisoa</w:t>
      </w:r>
      <w:proofErr w:type="spellEnd"/>
      <w:r w:rsidRPr="007B332C">
        <w:rPr>
          <w:color w:val="000000"/>
        </w:rPr>
        <w:t xml:space="preserve">, L. (2012). Urban agriculture and land use in cities: An approach with the multi-functionality and sustainability concepts in the case of Antananarivo (Madagascar), </w:t>
      </w:r>
      <w:r w:rsidRPr="007B332C">
        <w:rPr>
          <w:i/>
          <w:color w:val="000000"/>
        </w:rPr>
        <w:t>Land Use Policy</w:t>
      </w:r>
      <w:r w:rsidRPr="007B332C">
        <w:rPr>
          <w:color w:val="000000"/>
        </w:rPr>
        <w:t xml:space="preserve">. 29, 2: 429-439. </w:t>
      </w:r>
      <w:hyperlink r:id="rId23">
        <w:r w:rsidR="006012C1" w:rsidRPr="007B332C">
          <w:rPr>
            <w:color w:val="0563C1"/>
            <w:u w:val="single"/>
          </w:rPr>
          <w:t>https://doi.org/10.1016/j.landusepol.2011.08.009</w:t>
        </w:r>
      </w:hyperlink>
    </w:p>
    <w:p w14:paraId="40043057" w14:textId="0585FC45" w:rsidR="006012C1" w:rsidRPr="007B332C" w:rsidRDefault="006012C1">
      <w:pPr>
        <w:pBdr>
          <w:top w:val="nil"/>
          <w:left w:val="nil"/>
          <w:bottom w:val="nil"/>
          <w:right w:val="nil"/>
          <w:between w:val="nil"/>
        </w:pBdr>
        <w:spacing w:after="0" w:line="240" w:lineRule="auto"/>
        <w:ind w:left="720" w:hanging="720"/>
        <w:jc w:val="both"/>
        <w:rPr>
          <w:color w:val="000000"/>
        </w:rPr>
      </w:pPr>
    </w:p>
    <w:p w14:paraId="7147F067" w14:textId="1E100FFB" w:rsidR="00AC0DFA" w:rsidRPr="007B332C" w:rsidRDefault="00AC0DFA">
      <w:pPr>
        <w:pBdr>
          <w:top w:val="nil"/>
          <w:left w:val="nil"/>
          <w:bottom w:val="nil"/>
          <w:right w:val="nil"/>
          <w:between w:val="nil"/>
        </w:pBdr>
        <w:spacing w:after="0" w:line="240" w:lineRule="auto"/>
        <w:ind w:left="720" w:hanging="720"/>
        <w:jc w:val="both"/>
        <w:rPr>
          <w:color w:val="000000"/>
        </w:rPr>
      </w:pPr>
      <w:r w:rsidRPr="007B332C">
        <w:rPr>
          <w:color w:val="000000"/>
        </w:rPr>
        <w:t xml:space="preserve">Brouillet, C., </w:t>
      </w:r>
      <w:proofErr w:type="spellStart"/>
      <w:r w:rsidRPr="007B332C">
        <w:rPr>
          <w:color w:val="000000"/>
        </w:rPr>
        <w:t>Grêt-Regamey</w:t>
      </w:r>
      <w:proofErr w:type="spellEnd"/>
      <w:r w:rsidRPr="007B332C">
        <w:rPr>
          <w:color w:val="000000"/>
        </w:rPr>
        <w:t xml:space="preserve">, A., </w:t>
      </w:r>
      <w:proofErr w:type="spellStart"/>
      <w:r w:rsidRPr="007B332C">
        <w:rPr>
          <w:color w:val="000000"/>
        </w:rPr>
        <w:t>Andriamanga</w:t>
      </w:r>
      <w:proofErr w:type="spellEnd"/>
      <w:r w:rsidRPr="007B332C">
        <w:rPr>
          <w:color w:val="000000"/>
        </w:rPr>
        <w:t xml:space="preserve">, A.V., Martin D.A., </w:t>
      </w:r>
      <w:proofErr w:type="spellStart"/>
      <w:r w:rsidRPr="007B332C">
        <w:rPr>
          <w:color w:val="000000"/>
        </w:rPr>
        <w:t>Salliou</w:t>
      </w:r>
      <w:proofErr w:type="spellEnd"/>
      <w:r w:rsidRPr="007B332C">
        <w:rPr>
          <w:color w:val="000000"/>
        </w:rPr>
        <w:t xml:space="preserve"> N. (2025) Soil extraction facilitates climate change adaptation and alters urban ecosystem services, Ecosystems and People, 21:1, 2469853, </w:t>
      </w:r>
      <w:hyperlink r:id="rId24" w:history="1">
        <w:r w:rsidRPr="007B332C">
          <w:rPr>
            <w:rStyle w:val="Hyperlink"/>
          </w:rPr>
          <w:t>https://doi.org/10.1080/26395916.2025.2469853</w:t>
        </w:r>
      </w:hyperlink>
    </w:p>
    <w:p w14:paraId="7BBF6307" w14:textId="73D2991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Chatterjee, S., Khan, A., Dinda, A., Mithun, S., Khatun, R., Akbari, H., Bhatti, S.S. (2019). Simulating micro-scale thermal interactions in different building environments for mitigating urban heat islands. </w:t>
      </w:r>
      <w:r w:rsidRPr="007B332C">
        <w:rPr>
          <w:i/>
          <w:color w:val="000000"/>
        </w:rPr>
        <w:t xml:space="preserve">Sci. Total Environ., </w:t>
      </w:r>
      <w:r w:rsidRPr="007B332C">
        <w:rPr>
          <w:color w:val="000000"/>
        </w:rPr>
        <w:t xml:space="preserve">663, 610–631. </w:t>
      </w:r>
      <w:hyperlink r:id="rId25">
        <w:r w:rsidR="006012C1" w:rsidRPr="007B332C">
          <w:rPr>
            <w:color w:val="0563C1"/>
            <w:u w:val="single"/>
          </w:rPr>
          <w:t>https://doi.org/10.1016/j.scitotenv.2019.01.299</w:t>
        </w:r>
      </w:hyperlink>
    </w:p>
    <w:p w14:paraId="7846F32F"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Chen, B., Wu, S., Song, Y., Webster, C., Xu, B., Gong, P. (2022). Contrasting inequality in human exposure between cities of Global North and Global South. </w:t>
      </w:r>
      <w:r w:rsidRPr="007B332C">
        <w:rPr>
          <w:i/>
          <w:color w:val="000000"/>
        </w:rPr>
        <w:t>Nat. Commun.,</w:t>
      </w:r>
      <w:r w:rsidRPr="007B332C">
        <w:rPr>
          <w:color w:val="000000"/>
        </w:rPr>
        <w:t xml:space="preserve"> 13, 4636. </w:t>
      </w:r>
      <w:hyperlink r:id="rId26">
        <w:r w:rsidR="006012C1" w:rsidRPr="007B332C">
          <w:rPr>
            <w:color w:val="0563C1"/>
            <w:u w:val="single"/>
          </w:rPr>
          <w:t>https://doi.org/10.1038/s41467-022-32258-4</w:t>
        </w:r>
      </w:hyperlink>
      <w:r w:rsidRPr="007B332C">
        <w:rPr>
          <w:color w:val="000000"/>
        </w:rPr>
        <w:t>.</w:t>
      </w:r>
    </w:p>
    <w:p w14:paraId="54EC44CA"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Chen, J., Kinoshita, T., Li, H., Luo, S., &amp; Su, D. (2024). Which green is more equitable? A study of urban green space equity based on morphological spatial patterns. </w:t>
      </w:r>
      <w:r w:rsidRPr="007B332C">
        <w:rPr>
          <w:i/>
          <w:color w:val="000000"/>
        </w:rPr>
        <w:t>Urban For. Urban Green.,</w:t>
      </w:r>
      <w:r w:rsidRPr="007B332C">
        <w:rPr>
          <w:color w:val="000000"/>
        </w:rPr>
        <w:t xml:space="preserve"> 91, 128178. </w:t>
      </w:r>
      <w:hyperlink r:id="rId27">
        <w:r w:rsidR="006012C1" w:rsidRPr="007B332C">
          <w:rPr>
            <w:color w:val="0563C1"/>
            <w:u w:val="single"/>
          </w:rPr>
          <w:t>https://doi.org/10.1016/j.ufug.2023.128178</w:t>
        </w:r>
      </w:hyperlink>
    </w:p>
    <w:p w14:paraId="0717D6D2" w14:textId="77777777" w:rsidR="006012C1" w:rsidRPr="007B332C" w:rsidRDefault="00000000">
      <w:pPr>
        <w:pBdr>
          <w:top w:val="nil"/>
          <w:left w:val="nil"/>
          <w:bottom w:val="nil"/>
          <w:right w:val="nil"/>
          <w:between w:val="nil"/>
        </w:pBdr>
        <w:spacing w:after="0" w:line="240" w:lineRule="auto"/>
        <w:ind w:left="720" w:hanging="720"/>
        <w:jc w:val="both"/>
        <w:rPr>
          <w:color w:val="000000"/>
        </w:rPr>
      </w:pPr>
      <w:proofErr w:type="spellStart"/>
      <w:r w:rsidRPr="007B332C">
        <w:rPr>
          <w:color w:val="000000"/>
        </w:rPr>
        <w:t>Ciampalini</w:t>
      </w:r>
      <w:proofErr w:type="spellEnd"/>
      <w:r w:rsidRPr="007B332C">
        <w:rPr>
          <w:color w:val="000000"/>
        </w:rPr>
        <w:t xml:space="preserve">, A., </w:t>
      </w:r>
      <w:proofErr w:type="spellStart"/>
      <w:r w:rsidRPr="007B332C">
        <w:rPr>
          <w:color w:val="000000"/>
        </w:rPr>
        <w:t>Frodell</w:t>
      </w:r>
      <w:proofErr w:type="spellEnd"/>
      <w:r w:rsidRPr="007B332C">
        <w:rPr>
          <w:color w:val="000000"/>
        </w:rPr>
        <w:t xml:space="preserve">, W., Margottini, C., and </w:t>
      </w:r>
      <w:proofErr w:type="spellStart"/>
      <w:r w:rsidRPr="007B332C">
        <w:rPr>
          <w:color w:val="000000"/>
        </w:rPr>
        <w:t>Casagli</w:t>
      </w:r>
      <w:proofErr w:type="spellEnd"/>
      <w:r w:rsidRPr="007B332C">
        <w:rPr>
          <w:color w:val="000000"/>
        </w:rPr>
        <w:t xml:space="preserve">, N. (2019). Rapid assessment of geo-hydrological hazards in Antananarivo (Madagascar) historical centre for damage prevention. </w:t>
      </w:r>
      <w:r w:rsidRPr="007B332C">
        <w:rPr>
          <w:i/>
        </w:rPr>
        <w:t>Sustain. Cities</w:t>
      </w:r>
      <w:r w:rsidRPr="007B332C">
        <w:rPr>
          <w:i/>
          <w:color w:val="000000"/>
        </w:rPr>
        <w:t xml:space="preserve"> </w:t>
      </w:r>
      <w:proofErr w:type="spellStart"/>
      <w:r w:rsidRPr="007B332C">
        <w:rPr>
          <w:i/>
          <w:color w:val="000000"/>
        </w:rPr>
        <w:t>Soci</w:t>
      </w:r>
      <w:proofErr w:type="spellEnd"/>
      <w:r w:rsidRPr="007B332C">
        <w:rPr>
          <w:i/>
          <w:color w:val="000000"/>
        </w:rPr>
        <w:t>.</w:t>
      </w:r>
      <w:r w:rsidRPr="007B332C">
        <w:rPr>
          <w:color w:val="000000"/>
        </w:rPr>
        <w:t xml:space="preserve"> 10(1): 1102-1124. </w:t>
      </w:r>
      <w:hyperlink r:id="rId28">
        <w:r w:rsidR="006012C1" w:rsidRPr="007B332C">
          <w:rPr>
            <w:color w:val="0563C1"/>
            <w:u w:val="single"/>
          </w:rPr>
          <w:t>https://doi.org/10.1080/19475705.2018.1564375</w:t>
        </w:r>
      </w:hyperlink>
      <w:r w:rsidRPr="007B332C">
        <w:rPr>
          <w:color w:val="000000"/>
        </w:rPr>
        <w:t>.</w:t>
      </w:r>
    </w:p>
    <w:p w14:paraId="1098BCD0" w14:textId="77777777" w:rsidR="00BD06F8"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Coutts, A.M., Harris, R.J., Phan, T., Livesley, S.J., Williams, N.S., Tapper, N.J. (2016). Thermal infrared remote sensing of urban heat: hotspots, vegetation, and an assessment of techniques for use in urban planning. </w:t>
      </w:r>
      <w:r w:rsidRPr="007B332C">
        <w:rPr>
          <w:i/>
          <w:color w:val="000000"/>
        </w:rPr>
        <w:t xml:space="preserve">Remote Sens. Environ., </w:t>
      </w:r>
      <w:r w:rsidRPr="007B332C">
        <w:rPr>
          <w:color w:val="000000"/>
        </w:rPr>
        <w:t xml:space="preserve">186, 637–651. </w:t>
      </w:r>
      <w:hyperlink r:id="rId29">
        <w:r w:rsidR="006012C1" w:rsidRPr="007B332C">
          <w:rPr>
            <w:color w:val="0563C1"/>
            <w:u w:val="single"/>
          </w:rPr>
          <w:t>https://doi.org/10.1016/j.rse.2016.08.023</w:t>
        </w:r>
      </w:hyperlink>
    </w:p>
    <w:p w14:paraId="6685B8C0" w14:textId="77777777" w:rsidR="00BD06F8" w:rsidRPr="007B332C" w:rsidRDefault="00BD06F8" w:rsidP="00BD06F8">
      <w:pPr>
        <w:pBdr>
          <w:top w:val="nil"/>
          <w:left w:val="nil"/>
          <w:bottom w:val="nil"/>
          <w:right w:val="nil"/>
          <w:between w:val="nil"/>
        </w:pBdr>
        <w:spacing w:after="0" w:line="240" w:lineRule="auto"/>
        <w:ind w:left="720" w:hanging="720"/>
        <w:jc w:val="both"/>
        <w:rPr>
          <w:color w:val="0070C0"/>
        </w:rPr>
      </w:pPr>
      <w:r w:rsidRPr="007B332C">
        <w:rPr>
          <w:color w:val="000000" w:themeColor="text1"/>
        </w:rPr>
        <w:t xml:space="preserve">Copernicus, Europe’s eyes on Earth (2023). the Normalized Difference Vegetation Index (NDVI) [dataset]. </w:t>
      </w:r>
      <w:hyperlink r:id="rId30" w:history="1">
        <w:r w:rsidRPr="007B332C">
          <w:rPr>
            <w:rStyle w:val="Hyperlink"/>
          </w:rPr>
          <w:t>https://browser.dataspace.copernicus.eu/</w:t>
        </w:r>
      </w:hyperlink>
    </w:p>
    <w:p w14:paraId="60355461" w14:textId="566B03FE"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Du, H., Song, X., Jiang, H., Kan, Z., Wang, Z., &amp; Cai, Y. (2016). Research on the cooling island effects of water body: A case study of Shanghai, China. </w:t>
      </w:r>
      <w:r w:rsidRPr="007B332C">
        <w:rPr>
          <w:i/>
          <w:color w:val="000000"/>
        </w:rPr>
        <w:t>Ecol. Indic.</w:t>
      </w:r>
      <w:r w:rsidRPr="007B332C">
        <w:rPr>
          <w:color w:val="000000"/>
        </w:rPr>
        <w:t xml:space="preserve">, 67, 31–38. </w:t>
      </w:r>
      <w:hyperlink r:id="rId31">
        <w:r w:rsidR="006012C1" w:rsidRPr="007B332C">
          <w:rPr>
            <w:color w:val="0563C1"/>
            <w:u w:val="single"/>
          </w:rPr>
          <w:t>https://doi.org/10.1016/j.ecolind.2016.02.030</w:t>
        </w:r>
      </w:hyperlink>
    </w:p>
    <w:p w14:paraId="78F2ED71" w14:textId="77777777"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Du Toit, M., Cilliers, S.S., </w:t>
      </w:r>
      <w:proofErr w:type="spellStart"/>
      <w:r w:rsidRPr="007B332C">
        <w:rPr>
          <w:color w:val="000000"/>
        </w:rPr>
        <w:t>Dallimer</w:t>
      </w:r>
      <w:proofErr w:type="spellEnd"/>
      <w:r w:rsidRPr="007B332C">
        <w:rPr>
          <w:color w:val="000000"/>
        </w:rPr>
        <w:t xml:space="preserve">, M., Goddard, M., </w:t>
      </w:r>
      <w:proofErr w:type="spellStart"/>
      <w:r w:rsidRPr="007B332C">
        <w:rPr>
          <w:color w:val="000000"/>
        </w:rPr>
        <w:t>Guenat</w:t>
      </w:r>
      <w:proofErr w:type="spellEnd"/>
      <w:r w:rsidRPr="007B332C">
        <w:rPr>
          <w:color w:val="000000"/>
        </w:rPr>
        <w:t xml:space="preserve">, S., Cornelius, S.F. (2018). Urban green infrastructure and ecosystem services in sub-Saharan Africa. </w:t>
      </w:r>
      <w:proofErr w:type="spellStart"/>
      <w:r w:rsidRPr="007B332C">
        <w:rPr>
          <w:i/>
          <w:color w:val="000000"/>
        </w:rPr>
        <w:t>Landsc</w:t>
      </w:r>
      <w:proofErr w:type="spellEnd"/>
      <w:r w:rsidRPr="007B332C">
        <w:rPr>
          <w:i/>
          <w:color w:val="000000"/>
        </w:rPr>
        <w:t>. Urban Plan.</w:t>
      </w:r>
      <w:r w:rsidRPr="007B332C">
        <w:rPr>
          <w:color w:val="000000"/>
        </w:rPr>
        <w:t xml:space="preserve"> 180, 249–261. </w:t>
      </w:r>
      <w:hyperlink r:id="rId32">
        <w:r w:rsidR="006012C1" w:rsidRPr="007B332C">
          <w:rPr>
            <w:color w:val="1155CC"/>
            <w:u w:val="single"/>
          </w:rPr>
          <w:t>https://doi.org/10.1016/j.landurbplan.2018.06.001</w:t>
        </w:r>
      </w:hyperlink>
    </w:p>
    <w:p w14:paraId="1A8C10F3" w14:textId="1628781F"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Dupuy, S. </w:t>
      </w:r>
      <w:proofErr w:type="spellStart"/>
      <w:r w:rsidRPr="007B332C">
        <w:rPr>
          <w:color w:val="000000"/>
        </w:rPr>
        <w:t>Andriamanga</w:t>
      </w:r>
      <w:proofErr w:type="spellEnd"/>
      <w:r w:rsidRPr="007B332C">
        <w:rPr>
          <w:color w:val="000000"/>
        </w:rPr>
        <w:t xml:space="preserve">, A.V., </w:t>
      </w:r>
      <w:proofErr w:type="spellStart"/>
      <w:r w:rsidRPr="007B332C">
        <w:rPr>
          <w:color w:val="000000"/>
        </w:rPr>
        <w:t>Burnod</w:t>
      </w:r>
      <w:proofErr w:type="spellEnd"/>
      <w:r w:rsidRPr="007B332C">
        <w:rPr>
          <w:color w:val="000000"/>
        </w:rPr>
        <w:t xml:space="preserve">, P. (2023). Antananarivo - Madagascar - Land use change map between 2017 and 2022 [dataset], CIRAD Dataverse, V1. </w:t>
      </w:r>
      <w:hyperlink r:id="rId33">
        <w:r w:rsidR="006012C1" w:rsidRPr="007B332C">
          <w:rPr>
            <w:color w:val="1155CC"/>
            <w:u w:val="single"/>
          </w:rPr>
          <w:t>https://doi.org/10.18167/DVN1/CD2ZTF</w:t>
        </w:r>
      </w:hyperlink>
    </w:p>
    <w:p w14:paraId="0A72E85D"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Dupuy, S., </w:t>
      </w:r>
      <w:proofErr w:type="spellStart"/>
      <w:r w:rsidRPr="007B332C">
        <w:rPr>
          <w:color w:val="000000"/>
        </w:rPr>
        <w:t>Andriamanga</w:t>
      </w:r>
      <w:proofErr w:type="spellEnd"/>
      <w:r w:rsidRPr="007B332C">
        <w:rPr>
          <w:color w:val="000000"/>
        </w:rPr>
        <w:t xml:space="preserve">, A.V., Gaetano, R., </w:t>
      </w:r>
      <w:proofErr w:type="spellStart"/>
      <w:r w:rsidRPr="007B332C">
        <w:rPr>
          <w:color w:val="000000"/>
        </w:rPr>
        <w:t>Burnod</w:t>
      </w:r>
      <w:proofErr w:type="spellEnd"/>
      <w:r w:rsidRPr="007B332C">
        <w:rPr>
          <w:color w:val="000000"/>
        </w:rPr>
        <w:t>, P., (2022). Antananarivo - 2022 Land cover map [dataset]. CIRAD Dataverse, V3. </w:t>
      </w:r>
      <w:hyperlink r:id="rId34">
        <w:r w:rsidR="006012C1" w:rsidRPr="007B332C">
          <w:rPr>
            <w:color w:val="0563C1"/>
            <w:u w:val="single"/>
          </w:rPr>
          <w:t>https://doi.org/10.18167/DVN1/RE1MDM</w:t>
        </w:r>
      </w:hyperlink>
    </w:p>
    <w:p w14:paraId="7548E018"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Dupuy, S., </w:t>
      </w:r>
      <w:proofErr w:type="spellStart"/>
      <w:r w:rsidRPr="007B332C">
        <w:rPr>
          <w:color w:val="000000"/>
        </w:rPr>
        <w:t>Defrise</w:t>
      </w:r>
      <w:proofErr w:type="spellEnd"/>
      <w:r w:rsidRPr="007B332C">
        <w:rPr>
          <w:color w:val="000000"/>
        </w:rPr>
        <w:t xml:space="preserve">, L., Gaetano, R., </w:t>
      </w:r>
      <w:proofErr w:type="spellStart"/>
      <w:r w:rsidRPr="007B332C">
        <w:rPr>
          <w:color w:val="000000"/>
        </w:rPr>
        <w:t>Andriamanga</w:t>
      </w:r>
      <w:proofErr w:type="spellEnd"/>
      <w:r w:rsidRPr="007B332C">
        <w:rPr>
          <w:color w:val="000000"/>
        </w:rPr>
        <w:t xml:space="preserve">, V., </w:t>
      </w:r>
      <w:proofErr w:type="spellStart"/>
      <w:r w:rsidRPr="007B332C">
        <w:rPr>
          <w:color w:val="000000"/>
        </w:rPr>
        <w:t>Rasoamalala</w:t>
      </w:r>
      <w:proofErr w:type="spellEnd"/>
      <w:r w:rsidRPr="007B332C">
        <w:rPr>
          <w:color w:val="000000"/>
        </w:rPr>
        <w:t xml:space="preserve">, E., (2020). Land cover maps of Antananarivo (capital of Madagascar) produced by processing multisource satellite imagery </w:t>
      </w:r>
      <w:r w:rsidRPr="007B332C">
        <w:rPr>
          <w:color w:val="000000"/>
        </w:rPr>
        <w:lastRenderedPageBreak/>
        <w:t xml:space="preserve">and geospatial reference data, </w:t>
      </w:r>
      <w:r w:rsidRPr="007B332C">
        <w:rPr>
          <w:i/>
          <w:color w:val="000000"/>
        </w:rPr>
        <w:t>Data Brief.</w:t>
      </w:r>
      <w:r w:rsidRPr="007B332C">
        <w:rPr>
          <w:color w:val="000000"/>
        </w:rPr>
        <w:t xml:space="preserve">, 31,105952. </w:t>
      </w:r>
      <w:hyperlink r:id="rId35">
        <w:r w:rsidR="006012C1" w:rsidRPr="007B332C">
          <w:rPr>
            <w:color w:val="0563C1"/>
            <w:u w:val="single"/>
          </w:rPr>
          <w:t>https://doi.org/10.1016/j.dib.2020.105952</w:t>
        </w:r>
      </w:hyperlink>
      <w:r w:rsidRPr="007B332C">
        <w:rPr>
          <w:color w:val="000000"/>
        </w:rPr>
        <w:t>.</w:t>
      </w:r>
    </w:p>
    <w:p w14:paraId="07C9EE49"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Eckstein, D., </w:t>
      </w:r>
      <w:proofErr w:type="spellStart"/>
      <w:r w:rsidRPr="007B332C">
        <w:rPr>
          <w:color w:val="000000"/>
        </w:rPr>
        <w:t>Künzel</w:t>
      </w:r>
      <w:proofErr w:type="spellEnd"/>
      <w:r w:rsidRPr="007B332C">
        <w:rPr>
          <w:color w:val="000000"/>
        </w:rPr>
        <w:t xml:space="preserve">, V., Schäfer, L. (2021). Global Climate Risk Index 2021 [dataset]. </w:t>
      </w:r>
      <w:hyperlink r:id="rId36">
        <w:r w:rsidR="006012C1" w:rsidRPr="007B332C">
          <w:rPr>
            <w:color w:val="0563C1"/>
            <w:u w:val="single"/>
          </w:rPr>
          <w:t>https://www.germanwatch.org/en/19777</w:t>
        </w:r>
      </w:hyperlink>
      <w:r w:rsidRPr="007B332C">
        <w:rPr>
          <w:color w:val="000000"/>
        </w:rPr>
        <w:t>.</w:t>
      </w:r>
    </w:p>
    <w:p w14:paraId="68C719D8"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Ellison, D., Morris, C.E., Locatelli, B., Sheil, D., Cohen, J., </w:t>
      </w:r>
      <w:proofErr w:type="spellStart"/>
      <w:r w:rsidRPr="007B332C">
        <w:rPr>
          <w:color w:val="000000"/>
        </w:rPr>
        <w:t>Murdiyarso</w:t>
      </w:r>
      <w:proofErr w:type="spellEnd"/>
      <w:r w:rsidRPr="007B332C">
        <w:rPr>
          <w:color w:val="000000"/>
        </w:rPr>
        <w:t xml:space="preserve">, D., Victoria Gutierrez, V., Noordwijk, M., Creed, I.F., Pokorny, J., </w:t>
      </w:r>
      <w:proofErr w:type="spellStart"/>
      <w:r w:rsidRPr="007B332C">
        <w:rPr>
          <w:color w:val="000000"/>
        </w:rPr>
        <w:t>Gaveau</w:t>
      </w:r>
      <w:proofErr w:type="spellEnd"/>
      <w:r w:rsidRPr="007B332C">
        <w:rPr>
          <w:color w:val="000000"/>
        </w:rPr>
        <w:t xml:space="preserve">, D., Spracklen, D.V., </w:t>
      </w:r>
      <w:proofErr w:type="spellStart"/>
      <w:r w:rsidRPr="007B332C">
        <w:rPr>
          <w:color w:val="000000"/>
        </w:rPr>
        <w:t>Tobella</w:t>
      </w:r>
      <w:proofErr w:type="spellEnd"/>
      <w:r w:rsidRPr="007B332C">
        <w:rPr>
          <w:color w:val="000000"/>
        </w:rPr>
        <w:t xml:space="preserve">, A.B., </w:t>
      </w:r>
      <w:proofErr w:type="spellStart"/>
      <w:r w:rsidRPr="007B332C">
        <w:rPr>
          <w:color w:val="000000"/>
        </w:rPr>
        <w:t>Ilstedt</w:t>
      </w:r>
      <w:proofErr w:type="spellEnd"/>
      <w:r w:rsidRPr="007B332C">
        <w:rPr>
          <w:color w:val="000000"/>
        </w:rPr>
        <w:t xml:space="preserve">, U., </w:t>
      </w:r>
      <w:proofErr w:type="spellStart"/>
      <w:r w:rsidRPr="007B332C">
        <w:rPr>
          <w:color w:val="000000"/>
        </w:rPr>
        <w:t>Teuling</w:t>
      </w:r>
      <w:proofErr w:type="spellEnd"/>
      <w:r w:rsidRPr="007B332C">
        <w:rPr>
          <w:color w:val="000000"/>
        </w:rPr>
        <w:t xml:space="preserve">, A.J., Gebrehiwot, S.G., Sands, D.C., Muys, B., </w:t>
      </w:r>
      <w:proofErr w:type="spellStart"/>
      <w:r w:rsidRPr="007B332C">
        <w:rPr>
          <w:color w:val="000000"/>
        </w:rPr>
        <w:t>Verbist</w:t>
      </w:r>
      <w:proofErr w:type="spellEnd"/>
      <w:r w:rsidRPr="007B332C">
        <w:rPr>
          <w:color w:val="000000"/>
        </w:rPr>
        <w:t xml:space="preserve">, B., </w:t>
      </w:r>
      <w:proofErr w:type="spellStart"/>
      <w:r w:rsidRPr="007B332C">
        <w:rPr>
          <w:color w:val="000000"/>
        </w:rPr>
        <w:t>Springgay</w:t>
      </w:r>
      <w:proofErr w:type="spellEnd"/>
      <w:r w:rsidRPr="007B332C">
        <w:rPr>
          <w:color w:val="000000"/>
        </w:rPr>
        <w:t xml:space="preserve">, E., </w:t>
      </w:r>
      <w:proofErr w:type="spellStart"/>
      <w:r w:rsidRPr="007B332C">
        <w:rPr>
          <w:color w:val="000000"/>
        </w:rPr>
        <w:t>Sugandi</w:t>
      </w:r>
      <w:proofErr w:type="spellEnd"/>
      <w:r w:rsidRPr="007B332C">
        <w:rPr>
          <w:color w:val="000000"/>
        </w:rPr>
        <w:t xml:space="preserve">, Y.,, Sullivan, C.A. (2017). Trees, forests and water: Cool insights for a hot world. </w:t>
      </w:r>
      <w:r w:rsidRPr="007B332C">
        <w:rPr>
          <w:i/>
          <w:color w:val="000000"/>
        </w:rPr>
        <w:t>Glob. Environ. Change.</w:t>
      </w:r>
      <w:r w:rsidRPr="007B332C">
        <w:rPr>
          <w:color w:val="000000"/>
        </w:rPr>
        <w:t xml:space="preserve">, 43, 51–61. </w:t>
      </w:r>
      <w:hyperlink r:id="rId37">
        <w:r w:rsidR="006012C1" w:rsidRPr="007B332C">
          <w:rPr>
            <w:color w:val="0563C1"/>
            <w:u w:val="single"/>
          </w:rPr>
          <w:t>https://doi.org/10.1016/j.gloenvcha.2017.01.002</w:t>
        </w:r>
      </w:hyperlink>
    </w:p>
    <w:p w14:paraId="39375D91" w14:textId="77777777" w:rsidR="006012C1" w:rsidRPr="007B332C" w:rsidRDefault="00000000">
      <w:pPr>
        <w:pBdr>
          <w:top w:val="nil"/>
          <w:left w:val="nil"/>
          <w:bottom w:val="nil"/>
          <w:right w:val="nil"/>
          <w:between w:val="nil"/>
        </w:pBdr>
        <w:spacing w:after="0" w:line="240" w:lineRule="auto"/>
        <w:ind w:left="720" w:hanging="720"/>
        <w:jc w:val="both"/>
        <w:rPr>
          <w:color w:val="000000"/>
        </w:rPr>
      </w:pPr>
      <w:proofErr w:type="spellStart"/>
      <w:r w:rsidRPr="007B332C">
        <w:rPr>
          <w:color w:val="000000"/>
        </w:rPr>
        <w:t>Frodella</w:t>
      </w:r>
      <w:proofErr w:type="spellEnd"/>
      <w:r w:rsidRPr="007B332C">
        <w:rPr>
          <w:color w:val="000000"/>
        </w:rPr>
        <w:t xml:space="preserve">, W., </w:t>
      </w:r>
      <w:proofErr w:type="spellStart"/>
      <w:r w:rsidRPr="007B332C">
        <w:rPr>
          <w:color w:val="000000"/>
        </w:rPr>
        <w:t>Spizzichino</w:t>
      </w:r>
      <w:proofErr w:type="spellEnd"/>
      <w:r w:rsidRPr="007B332C">
        <w:rPr>
          <w:color w:val="000000"/>
        </w:rPr>
        <w:t xml:space="preserve">, D., </w:t>
      </w:r>
      <w:proofErr w:type="spellStart"/>
      <w:r w:rsidRPr="007B332C">
        <w:rPr>
          <w:color w:val="000000"/>
        </w:rPr>
        <w:t>Ciampalini</w:t>
      </w:r>
      <w:proofErr w:type="spellEnd"/>
      <w:r w:rsidRPr="007B332C">
        <w:rPr>
          <w:color w:val="000000"/>
        </w:rPr>
        <w:t xml:space="preserve">, A., </w:t>
      </w:r>
      <w:proofErr w:type="spellStart"/>
      <w:r w:rsidRPr="007B332C">
        <w:rPr>
          <w:color w:val="000000"/>
        </w:rPr>
        <w:t>Margottini</w:t>
      </w:r>
      <w:proofErr w:type="spellEnd"/>
      <w:r w:rsidRPr="007B332C">
        <w:rPr>
          <w:color w:val="000000"/>
        </w:rPr>
        <w:t xml:space="preserve">, C., </w:t>
      </w:r>
      <w:proofErr w:type="spellStart"/>
      <w:r w:rsidRPr="007B332C">
        <w:rPr>
          <w:color w:val="000000"/>
        </w:rPr>
        <w:t>Casagli</w:t>
      </w:r>
      <w:proofErr w:type="spellEnd"/>
      <w:r w:rsidRPr="007B332C">
        <w:rPr>
          <w:color w:val="000000"/>
        </w:rPr>
        <w:t xml:space="preserve">, N. (2021). Hydrography and geomorphology of Antananarivo High City (Madagascar). </w:t>
      </w:r>
      <w:r w:rsidRPr="007B332C">
        <w:rPr>
          <w:i/>
          <w:color w:val="000000"/>
        </w:rPr>
        <w:t>Journal of Maps,</w:t>
      </w:r>
      <w:r w:rsidRPr="007B332C">
        <w:rPr>
          <w:color w:val="000000"/>
        </w:rPr>
        <w:t xml:space="preserve"> 17, 215-226. </w:t>
      </w:r>
      <w:hyperlink r:id="rId38">
        <w:r w:rsidR="006012C1" w:rsidRPr="007B332C">
          <w:rPr>
            <w:color w:val="0563C1"/>
            <w:u w:val="single"/>
          </w:rPr>
          <w:t>https://doi.org/10.1080/17445647.2020.1721343</w:t>
        </w:r>
      </w:hyperlink>
      <w:r w:rsidRPr="007B332C">
        <w:rPr>
          <w:color w:val="000000"/>
        </w:rPr>
        <w:t>.</w:t>
      </w:r>
    </w:p>
    <w:p w14:paraId="48F4552D" w14:textId="52AEE78F"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Guan, J., Wang, R., Van Berkel, D., Liang, Z. (2023). How spatial patterns affect urban green space equity at different equity levels: A Bayesian quantile regression approach.</w:t>
      </w:r>
      <w:r w:rsidRPr="007B332C">
        <w:rPr>
          <w:i/>
          <w:color w:val="000000"/>
        </w:rPr>
        <w:t xml:space="preserve"> </w:t>
      </w:r>
      <w:proofErr w:type="spellStart"/>
      <w:r w:rsidRPr="007B332C">
        <w:rPr>
          <w:i/>
          <w:color w:val="000000"/>
        </w:rPr>
        <w:t>Landsc</w:t>
      </w:r>
      <w:proofErr w:type="spellEnd"/>
      <w:r w:rsidRPr="007B332C">
        <w:rPr>
          <w:i/>
          <w:color w:val="000000"/>
        </w:rPr>
        <w:t>. Urban Plan.</w:t>
      </w:r>
      <w:r w:rsidRPr="007B332C">
        <w:rPr>
          <w:color w:val="000000"/>
        </w:rPr>
        <w:t xml:space="preserve"> 233, 104709. </w:t>
      </w:r>
      <w:hyperlink r:id="rId39">
        <w:r w:rsidR="006012C1" w:rsidRPr="007B332C">
          <w:rPr>
            <w:color w:val="0563C1"/>
            <w:u w:val="single"/>
          </w:rPr>
          <w:t>https://doi.org/10.1016/j.landurbplan.2022.104709</w:t>
        </w:r>
      </w:hyperlink>
    </w:p>
    <w:p w14:paraId="5D2F7E12" w14:textId="3A62361C" w:rsidR="00D645F0" w:rsidRPr="007B332C" w:rsidRDefault="00D645F0">
      <w:pPr>
        <w:pBdr>
          <w:top w:val="nil"/>
          <w:left w:val="nil"/>
          <w:bottom w:val="nil"/>
          <w:right w:val="nil"/>
          <w:between w:val="nil"/>
        </w:pBdr>
        <w:spacing w:after="0" w:line="240" w:lineRule="auto"/>
        <w:ind w:left="720" w:hanging="720"/>
        <w:jc w:val="both"/>
        <w:rPr>
          <w:color w:val="000000"/>
        </w:rPr>
      </w:pPr>
      <w:r w:rsidRPr="007B332C">
        <w:rPr>
          <w:color w:val="000000"/>
        </w:rPr>
        <w:t xml:space="preserve">Grant, A., Millward, A. A., Edge, S., Roman, L. A., Teelucksingh, C. (2022). Where is environmental justice? A review of US urban forest management plans. </w:t>
      </w:r>
      <w:r w:rsidRPr="007B332C">
        <w:rPr>
          <w:i/>
          <w:color w:val="000000"/>
        </w:rPr>
        <w:t>Urban For. Urban Green.</w:t>
      </w:r>
      <w:r w:rsidRPr="007B332C">
        <w:rPr>
          <w:color w:val="000000"/>
        </w:rPr>
        <w:t xml:space="preserve"> 77, 127737. </w:t>
      </w:r>
      <w:hyperlink r:id="rId40" w:history="1">
        <w:r w:rsidRPr="007B332C">
          <w:rPr>
            <w:rStyle w:val="Hyperlink"/>
          </w:rPr>
          <w:t>https://doi.org/10.1016/j.ufug.2022.127737</w:t>
        </w:r>
      </w:hyperlink>
    </w:p>
    <w:p w14:paraId="60747224" w14:textId="77777777"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Hamada, S. &amp; Ohta, T. (2010). Seasonal variations in the cooling effect of urban green areas on surrounding urban areas. </w:t>
      </w:r>
      <w:r w:rsidRPr="007B332C">
        <w:rPr>
          <w:i/>
          <w:color w:val="000000"/>
        </w:rPr>
        <w:t>Urban For. Urban Green.</w:t>
      </w:r>
      <w:r w:rsidRPr="007B332C">
        <w:rPr>
          <w:color w:val="000000"/>
        </w:rPr>
        <w:t xml:space="preserve">, 9, 15–24. </w:t>
      </w:r>
      <w:hyperlink r:id="rId41">
        <w:r w:rsidR="006012C1" w:rsidRPr="007B332C">
          <w:rPr>
            <w:color w:val="0563C1"/>
            <w:u w:val="single"/>
          </w:rPr>
          <w:t>https://doi.org/10.1016/j.ufug.2009.09.003</w:t>
        </w:r>
      </w:hyperlink>
    </w:p>
    <w:p w14:paraId="6E4BC443" w14:textId="77777777"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Han Y., He, J., Liu, D., Zhao, H., Huang, J. (2023). Inequality in urban green provision: A comparative study of large cities throughout the world. Sustain. Cities Soc. 89, 104229. </w:t>
      </w:r>
      <w:hyperlink r:id="rId42">
        <w:r w:rsidR="006012C1" w:rsidRPr="007B332C">
          <w:rPr>
            <w:color w:val="1155CC"/>
            <w:u w:val="single"/>
          </w:rPr>
          <w:t>https://doi.org/10.1016/j.scs.2022.104229</w:t>
        </w:r>
      </w:hyperlink>
      <w:r w:rsidRPr="007B332C">
        <w:rPr>
          <w:color w:val="000000"/>
        </w:rPr>
        <w:t>.</w:t>
      </w:r>
    </w:p>
    <w:p w14:paraId="6BB541D6" w14:textId="77777777" w:rsidR="006012C1" w:rsidRPr="007B332C" w:rsidRDefault="00000000">
      <w:pPr>
        <w:pBdr>
          <w:top w:val="nil"/>
          <w:left w:val="nil"/>
          <w:bottom w:val="nil"/>
          <w:right w:val="nil"/>
          <w:between w:val="nil"/>
        </w:pBdr>
        <w:spacing w:after="0" w:line="240" w:lineRule="auto"/>
        <w:ind w:left="720" w:hanging="720"/>
        <w:jc w:val="both"/>
        <w:rPr>
          <w:color w:val="0563C1"/>
          <w:u w:val="single"/>
        </w:rPr>
      </w:pPr>
      <w:r w:rsidRPr="007B332C">
        <w:rPr>
          <w:color w:val="000000"/>
        </w:rPr>
        <w:t xml:space="preserve">Hathway, E. &amp; Sharples, S. (2012). The interaction of rivers and urban form in mitigating the Urban Heat Island effect: A UK case study. </w:t>
      </w:r>
      <w:r w:rsidRPr="007B332C">
        <w:rPr>
          <w:i/>
          <w:color w:val="000000"/>
        </w:rPr>
        <w:t>Build. Environ.</w:t>
      </w:r>
      <w:r w:rsidRPr="007B332C">
        <w:rPr>
          <w:color w:val="000000"/>
        </w:rPr>
        <w:t xml:space="preserve"> 58, 14–22. </w:t>
      </w:r>
      <w:hyperlink r:id="rId43">
        <w:r w:rsidR="006012C1" w:rsidRPr="007B332C">
          <w:rPr>
            <w:color w:val="0563C1"/>
            <w:u w:val="single"/>
          </w:rPr>
          <w:t>https://doi.org/10.1016/j.buildenv.2012.06.011</w:t>
        </w:r>
      </w:hyperlink>
    </w:p>
    <w:p w14:paraId="23ABA68E"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Han, R., Marchant, A.R., Thorn, J.P.R., (2024). Global disparities in wellbeing from green infrastructure cooling services: A systematic review. </w:t>
      </w:r>
      <w:r w:rsidRPr="007B332C">
        <w:rPr>
          <w:i/>
          <w:color w:val="000000"/>
        </w:rPr>
        <w:t xml:space="preserve">Urban For. Urban </w:t>
      </w:r>
      <w:proofErr w:type="spellStart"/>
      <w:r w:rsidRPr="007B332C">
        <w:rPr>
          <w:i/>
          <w:color w:val="000000"/>
        </w:rPr>
        <w:t>Gree</w:t>
      </w:r>
      <w:proofErr w:type="spellEnd"/>
      <w:r w:rsidRPr="007B332C">
        <w:rPr>
          <w:color w:val="000000"/>
        </w:rPr>
        <w:t>., 97, 128372.</w:t>
      </w:r>
      <w:hyperlink r:id="rId44">
        <w:r w:rsidR="006012C1" w:rsidRPr="007B332C">
          <w:rPr>
            <w:color w:val="0563C1"/>
            <w:u w:val="single"/>
          </w:rPr>
          <w:t>https://doi.org/10.1016/j.ufug.2024.128372</w:t>
        </w:r>
      </w:hyperlink>
      <w:r w:rsidRPr="007B332C">
        <w:rPr>
          <w:color w:val="000000"/>
        </w:rPr>
        <w:t>.</w:t>
      </w:r>
    </w:p>
    <w:p w14:paraId="0B215A26" w14:textId="77777777"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He. Y., Cai J., Tan L. (2024). A paradox of economic benefit and social equity of green space in megacity: Evidence from Tianjin in China. Sustain. Cities Soc. 109, 105530. </w:t>
      </w:r>
      <w:hyperlink r:id="rId45">
        <w:r w:rsidR="006012C1" w:rsidRPr="007B332C">
          <w:rPr>
            <w:color w:val="1155CC"/>
            <w:u w:val="single"/>
          </w:rPr>
          <w:t>https://doi.org/10.1016/j.scs.2024.105530</w:t>
        </w:r>
      </w:hyperlink>
    </w:p>
    <w:p w14:paraId="198C1F00" w14:textId="77777777"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Healy, T. (2017). The deep south report: socio-economic, historic, cultural, political, anthropological and environmental analysis of Madagascar’s southern region. </w:t>
      </w:r>
      <w:r w:rsidRPr="007B332C">
        <w:rPr>
          <w:i/>
          <w:color w:val="000000"/>
        </w:rPr>
        <w:t>World Bank.</w:t>
      </w:r>
      <w:r w:rsidRPr="007B332C">
        <w:rPr>
          <w:color w:val="000000"/>
        </w:rPr>
        <w:t xml:space="preserve"> </w:t>
      </w:r>
      <w:hyperlink r:id="rId46">
        <w:r w:rsidR="006012C1" w:rsidRPr="007B332C">
          <w:rPr>
            <w:color w:val="0563C1"/>
            <w:u w:val="single"/>
          </w:rPr>
          <w:t>https://documents1.worldbank.org/curated/en/587761530803052116/pdf/127982-WP-REVISED-deep-south-V27-07-2018-web.pdf</w:t>
        </w:r>
      </w:hyperlink>
    </w:p>
    <w:p w14:paraId="2F8E0982" w14:textId="77777777" w:rsidR="006012C1" w:rsidRPr="007B332C" w:rsidRDefault="00000000">
      <w:pPr>
        <w:pBdr>
          <w:top w:val="nil"/>
          <w:left w:val="nil"/>
          <w:bottom w:val="nil"/>
          <w:right w:val="nil"/>
          <w:between w:val="nil"/>
        </w:pBdr>
        <w:spacing w:after="0" w:line="240" w:lineRule="auto"/>
        <w:ind w:left="720" w:hanging="720"/>
        <w:jc w:val="both"/>
        <w:rPr>
          <w:bCs/>
        </w:rPr>
      </w:pPr>
      <w:r w:rsidRPr="007B332C">
        <w:rPr>
          <w:bCs/>
          <w:color w:val="000000"/>
        </w:rPr>
        <w:t xml:space="preserve">Intergovernmental Panel on Climate Change (IPCC). (2022). </w:t>
      </w:r>
      <w:r w:rsidRPr="007B332C">
        <w:rPr>
          <w:bCs/>
          <w:i/>
          <w:color w:val="000000"/>
        </w:rPr>
        <w:t>Chapter 9: Africa.</w:t>
      </w:r>
      <w:r w:rsidRPr="007B332C">
        <w:rPr>
          <w:bCs/>
          <w:color w:val="000000"/>
        </w:rPr>
        <w:t xml:space="preserve"> In H.-O. </w:t>
      </w:r>
      <w:proofErr w:type="spellStart"/>
      <w:r w:rsidRPr="007B332C">
        <w:rPr>
          <w:bCs/>
          <w:color w:val="000000"/>
        </w:rPr>
        <w:t>Pörtner</w:t>
      </w:r>
      <w:proofErr w:type="spellEnd"/>
      <w:r w:rsidRPr="007B332C">
        <w:rPr>
          <w:bCs/>
          <w:color w:val="000000"/>
        </w:rPr>
        <w:t xml:space="preserve">, D. C. Roberts, M. Tignor, E. S. </w:t>
      </w:r>
      <w:proofErr w:type="spellStart"/>
      <w:r w:rsidRPr="007B332C">
        <w:rPr>
          <w:bCs/>
          <w:color w:val="000000"/>
        </w:rPr>
        <w:t>Poloczanska</w:t>
      </w:r>
      <w:proofErr w:type="spellEnd"/>
      <w:r w:rsidRPr="007B332C">
        <w:rPr>
          <w:bCs/>
          <w:color w:val="000000"/>
        </w:rPr>
        <w:t xml:space="preserve">, K. </w:t>
      </w:r>
      <w:proofErr w:type="spellStart"/>
      <w:r w:rsidRPr="007B332C">
        <w:rPr>
          <w:bCs/>
          <w:color w:val="000000"/>
        </w:rPr>
        <w:t>Mintenbeck</w:t>
      </w:r>
      <w:proofErr w:type="spellEnd"/>
      <w:r w:rsidRPr="007B332C">
        <w:rPr>
          <w:bCs/>
          <w:color w:val="000000"/>
        </w:rPr>
        <w:t xml:space="preserve">, A. Alegría, M. Craig, S. Langsdorf, S. </w:t>
      </w:r>
      <w:proofErr w:type="spellStart"/>
      <w:r w:rsidRPr="007B332C">
        <w:rPr>
          <w:bCs/>
          <w:color w:val="000000"/>
        </w:rPr>
        <w:t>Löschke</w:t>
      </w:r>
      <w:proofErr w:type="spellEnd"/>
      <w:r w:rsidRPr="007B332C">
        <w:rPr>
          <w:bCs/>
          <w:color w:val="000000"/>
        </w:rPr>
        <w:t xml:space="preserve">, V. Möller, A. </w:t>
      </w:r>
      <w:proofErr w:type="spellStart"/>
      <w:r w:rsidRPr="007B332C">
        <w:rPr>
          <w:bCs/>
          <w:color w:val="000000"/>
        </w:rPr>
        <w:t>Okem</w:t>
      </w:r>
      <w:proofErr w:type="spellEnd"/>
      <w:r w:rsidRPr="007B332C">
        <w:rPr>
          <w:bCs/>
          <w:color w:val="000000"/>
        </w:rPr>
        <w:t xml:space="preserve">, &amp; B. Rama (Eds.), </w:t>
      </w:r>
      <w:r w:rsidRPr="007B332C">
        <w:rPr>
          <w:bCs/>
          <w:i/>
          <w:color w:val="000000"/>
        </w:rPr>
        <w:t>Climate Change 2022: Impacts, Adaptation, and Vulnerability. Contribution of Working Group II to the Sixth Assessment Report of the Intergovernmental Panel on Climate Change</w:t>
      </w:r>
      <w:r w:rsidRPr="007B332C">
        <w:rPr>
          <w:bCs/>
          <w:color w:val="000000"/>
        </w:rPr>
        <w:t xml:space="preserve"> (pp. 1265–1326). </w:t>
      </w:r>
      <w:r w:rsidRPr="007B332C">
        <w:rPr>
          <w:bCs/>
          <w:i/>
          <w:color w:val="000000"/>
        </w:rPr>
        <w:t>Cambridge University Press</w:t>
      </w:r>
      <w:r w:rsidRPr="007B332C">
        <w:rPr>
          <w:bCs/>
          <w:color w:val="000000"/>
        </w:rPr>
        <w:t xml:space="preserve">. </w:t>
      </w:r>
      <w:hyperlink r:id="rId47">
        <w:r w:rsidR="006012C1" w:rsidRPr="007B332C">
          <w:rPr>
            <w:bCs/>
            <w:color w:val="1155CC"/>
            <w:u w:val="single"/>
          </w:rPr>
          <w:t>https://doi.org/10.1017/9781009325844.011</w:t>
        </w:r>
      </w:hyperlink>
    </w:p>
    <w:p w14:paraId="770F9724" w14:textId="77777777"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Jaimerena, B.A., </w:t>
      </w:r>
      <w:proofErr w:type="spellStart"/>
      <w:proofErr w:type="gramStart"/>
      <w:r w:rsidRPr="007B332C">
        <w:rPr>
          <w:color w:val="000000"/>
        </w:rPr>
        <w:t>Rakotondramboa,M</w:t>
      </w:r>
      <w:proofErr w:type="spellEnd"/>
      <w:r w:rsidRPr="007B332C">
        <w:rPr>
          <w:color w:val="000000"/>
        </w:rPr>
        <w:t>.</w:t>
      </w:r>
      <w:proofErr w:type="gramEnd"/>
      <w:r w:rsidRPr="007B332C">
        <w:rPr>
          <w:color w:val="000000"/>
        </w:rPr>
        <w:t xml:space="preserve">, </w:t>
      </w:r>
      <w:proofErr w:type="spellStart"/>
      <w:proofErr w:type="gramStart"/>
      <w:r w:rsidRPr="007B332C">
        <w:rPr>
          <w:color w:val="000000"/>
        </w:rPr>
        <w:t>Vermooten,S</w:t>
      </w:r>
      <w:proofErr w:type="spellEnd"/>
      <w:proofErr w:type="gramEnd"/>
      <w:r w:rsidRPr="007B332C">
        <w:rPr>
          <w:color w:val="000000"/>
        </w:rPr>
        <w:t xml:space="preserve">, (2021). Antananarivo: strengthening resilience through nature-based solutions and disaster-Informed urban planning (Vol. 2): executive summary (English). Washington, D.C., </w:t>
      </w:r>
      <w:r w:rsidRPr="007B332C">
        <w:rPr>
          <w:i/>
          <w:color w:val="000000"/>
        </w:rPr>
        <w:t>World Bank Group.</w:t>
      </w:r>
      <w:r w:rsidRPr="007B332C">
        <w:rPr>
          <w:color w:val="000000"/>
        </w:rPr>
        <w:t xml:space="preserve"> </w:t>
      </w:r>
      <w:hyperlink r:id="rId48">
        <w:r w:rsidR="006012C1" w:rsidRPr="007B332C">
          <w:rPr>
            <w:color w:val="1155CC"/>
            <w:u w:val="single"/>
          </w:rPr>
          <w:t>http://documents.worldbank.org/curated/en/216861634812305202/Executive-summary</w:t>
        </w:r>
      </w:hyperlink>
    </w:p>
    <w:p w14:paraId="2C2634E5" w14:textId="77777777"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Jay, O., Capon, A., Berry, P., Broderick, C., de Dear, R., </w:t>
      </w:r>
      <w:proofErr w:type="spellStart"/>
      <w:r w:rsidRPr="007B332C">
        <w:rPr>
          <w:color w:val="000000"/>
        </w:rPr>
        <w:t>Havenith</w:t>
      </w:r>
      <w:proofErr w:type="spellEnd"/>
      <w:r w:rsidRPr="007B332C">
        <w:rPr>
          <w:color w:val="000000"/>
        </w:rPr>
        <w:t xml:space="preserve">, G., et al. (2021). Reducing the health effects of hot weather and heat extremes: From personal cooling strategies to green cities. </w:t>
      </w:r>
      <w:r w:rsidRPr="007B332C">
        <w:rPr>
          <w:i/>
          <w:color w:val="000000"/>
        </w:rPr>
        <w:t>The Lancet</w:t>
      </w:r>
      <w:r w:rsidRPr="007B332C">
        <w:rPr>
          <w:color w:val="000000"/>
        </w:rPr>
        <w:t xml:space="preserve">, 398(10301), 709–724. </w:t>
      </w:r>
      <w:hyperlink r:id="rId49">
        <w:r w:rsidR="006012C1" w:rsidRPr="007B332C">
          <w:rPr>
            <w:color w:val="1155CC"/>
            <w:u w:val="single"/>
          </w:rPr>
          <w:t>https://doi.org/10.1016/S0140-6736(21)01209-5</w:t>
        </w:r>
      </w:hyperlink>
    </w:p>
    <w:p w14:paraId="50C7EF8F" w14:textId="77777777" w:rsidR="006012C1" w:rsidRPr="007B332C" w:rsidRDefault="00000000">
      <w:pPr>
        <w:pBdr>
          <w:top w:val="nil"/>
          <w:left w:val="nil"/>
          <w:bottom w:val="nil"/>
          <w:right w:val="nil"/>
          <w:between w:val="nil"/>
        </w:pBdr>
        <w:spacing w:after="0" w:line="240" w:lineRule="auto"/>
        <w:ind w:left="720" w:hanging="720"/>
        <w:jc w:val="both"/>
      </w:pPr>
      <w:r w:rsidRPr="007B332C">
        <w:rPr>
          <w:color w:val="232323"/>
        </w:rPr>
        <w:lastRenderedPageBreak/>
        <w:t xml:space="preserve">Jenks, G. F. (1967). The Data Model Concept in Statistical Mapping. </w:t>
      </w:r>
      <w:r w:rsidRPr="007B332C">
        <w:rPr>
          <w:i/>
          <w:color w:val="232323"/>
        </w:rPr>
        <w:t>International Yearbook of Cartography</w:t>
      </w:r>
      <w:r w:rsidRPr="007B332C">
        <w:rPr>
          <w:color w:val="232323"/>
        </w:rPr>
        <w:t>, 7, 186-190.</w:t>
      </w:r>
    </w:p>
    <w:p w14:paraId="213E2DE6" w14:textId="0F93877A"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Jennings V. </w:t>
      </w:r>
      <w:r w:rsidR="00AC0DFA" w:rsidRPr="007B332C">
        <w:rPr>
          <w:color w:val="000000"/>
        </w:rPr>
        <w:t>and</w:t>
      </w:r>
      <w:r w:rsidRPr="007B332C">
        <w:rPr>
          <w:color w:val="000000"/>
        </w:rPr>
        <w:t xml:space="preserve"> </w:t>
      </w:r>
      <w:proofErr w:type="spellStart"/>
      <w:r w:rsidRPr="007B332C">
        <w:rPr>
          <w:color w:val="000000"/>
        </w:rPr>
        <w:t>Bamkole</w:t>
      </w:r>
      <w:proofErr w:type="spellEnd"/>
      <w:r w:rsidRPr="007B332C">
        <w:rPr>
          <w:color w:val="000000"/>
        </w:rPr>
        <w:t xml:space="preserve"> O., (2019). The Relationship between social cohesion and urban green space: An avenue for health promotion.</w:t>
      </w:r>
      <w:r w:rsidRPr="007B332C">
        <w:rPr>
          <w:i/>
          <w:color w:val="000000"/>
        </w:rPr>
        <w:t xml:space="preserve"> Int J Environ Res Public Health</w:t>
      </w:r>
      <w:r w:rsidRPr="007B332C">
        <w:rPr>
          <w:color w:val="000000"/>
        </w:rPr>
        <w:t xml:space="preserve">., 2019, 16(3):452. </w:t>
      </w:r>
      <w:hyperlink r:id="rId50">
        <w:r w:rsidR="006012C1" w:rsidRPr="007B332C">
          <w:rPr>
            <w:color w:val="1155CC"/>
            <w:u w:val="single"/>
          </w:rPr>
          <w:t>https://doi.org/10.3390/ijerph16030452</w:t>
        </w:r>
      </w:hyperlink>
    </w:p>
    <w:p w14:paraId="69738813" w14:textId="77777777" w:rsidR="006012C1" w:rsidRPr="007B332C" w:rsidRDefault="00000000">
      <w:pPr>
        <w:pBdr>
          <w:top w:val="nil"/>
          <w:left w:val="nil"/>
          <w:bottom w:val="nil"/>
          <w:right w:val="nil"/>
          <w:between w:val="nil"/>
        </w:pBdr>
        <w:spacing w:after="0" w:line="240" w:lineRule="auto"/>
        <w:ind w:left="720" w:hanging="720"/>
        <w:jc w:val="both"/>
      </w:pPr>
      <w:r w:rsidRPr="007B332C">
        <w:t xml:space="preserve">Kim, Y., Kim, Y.C., (2024). An analytical framework for assessing heat vulnerability in urban thermal environmental planning. Urban Clim., 58, 102145. </w:t>
      </w:r>
      <w:hyperlink r:id="rId51">
        <w:r w:rsidR="006012C1" w:rsidRPr="007B332C">
          <w:rPr>
            <w:color w:val="0563C1"/>
            <w:u w:val="single"/>
          </w:rPr>
          <w:t>https://doi.org/10.1016/j.uclim.2024.102145</w:t>
        </w:r>
      </w:hyperlink>
    </w:p>
    <w:p w14:paraId="10383199" w14:textId="77777777" w:rsidR="006012C1" w:rsidRPr="007B332C" w:rsidRDefault="00000000">
      <w:pPr>
        <w:pBdr>
          <w:top w:val="nil"/>
          <w:left w:val="nil"/>
          <w:bottom w:val="nil"/>
          <w:right w:val="nil"/>
          <w:between w:val="nil"/>
        </w:pBdr>
        <w:spacing w:after="0" w:line="240" w:lineRule="auto"/>
        <w:ind w:left="720" w:hanging="720"/>
        <w:jc w:val="both"/>
        <w:rPr>
          <w:color w:val="0563C1"/>
          <w:u w:val="single"/>
        </w:rPr>
      </w:pPr>
      <w:r w:rsidRPr="007B332C">
        <w:rPr>
          <w:color w:val="000000"/>
        </w:rPr>
        <w:t xml:space="preserve">Kirschner, V., </w:t>
      </w:r>
      <w:proofErr w:type="spellStart"/>
      <w:r w:rsidRPr="007B332C">
        <w:rPr>
          <w:color w:val="000000"/>
        </w:rPr>
        <w:t>Macků</w:t>
      </w:r>
      <w:proofErr w:type="spellEnd"/>
      <w:r w:rsidRPr="007B332C">
        <w:rPr>
          <w:color w:val="000000"/>
        </w:rPr>
        <w:t xml:space="preserve">, K., Moravec, D., et al. (2023). Measuring the relationships between various urban green spaces and local climate zones. </w:t>
      </w:r>
      <w:r w:rsidRPr="007B332C">
        <w:rPr>
          <w:i/>
          <w:color w:val="000000"/>
        </w:rPr>
        <w:t>Sci. Rep.</w:t>
      </w:r>
      <w:r w:rsidRPr="007B332C">
        <w:rPr>
          <w:color w:val="000000"/>
        </w:rPr>
        <w:t xml:space="preserve">, 13, 9799. </w:t>
      </w:r>
      <w:hyperlink r:id="rId52">
        <w:r w:rsidR="006012C1" w:rsidRPr="007B332C">
          <w:rPr>
            <w:color w:val="0563C1"/>
            <w:u w:val="single"/>
          </w:rPr>
          <w:t>https://doi.org/10.1038/s41598-023-36850-6</w:t>
        </w:r>
      </w:hyperlink>
    </w:p>
    <w:p w14:paraId="56D37540" w14:textId="77777777"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Lai, D., Liu, W., Gan, T., Liu, K., &amp; Chen, Q. (2019). A review of mitigating strategies to improve the thermal environment and thermal comfort in urban outdoor spaces. </w:t>
      </w:r>
      <w:r w:rsidRPr="007B332C">
        <w:rPr>
          <w:i/>
          <w:color w:val="000000"/>
        </w:rPr>
        <w:t>Sci. Total Environ.</w:t>
      </w:r>
      <w:r w:rsidRPr="007B332C">
        <w:rPr>
          <w:color w:val="000000"/>
        </w:rPr>
        <w:t xml:space="preserve">, 661, 337–353. </w:t>
      </w:r>
      <w:hyperlink r:id="rId53">
        <w:r w:rsidR="006012C1" w:rsidRPr="007B332C">
          <w:rPr>
            <w:color w:val="0563C1"/>
            <w:u w:val="single"/>
          </w:rPr>
          <w:t>https://doi.org/10.1016/j.scitotenv.2019.01.299</w:t>
        </w:r>
      </w:hyperlink>
    </w:p>
    <w:p w14:paraId="0945FAB6" w14:textId="77777777" w:rsidR="006012C1" w:rsidRPr="007B332C" w:rsidRDefault="00000000">
      <w:pPr>
        <w:pBdr>
          <w:top w:val="nil"/>
          <w:left w:val="nil"/>
          <w:bottom w:val="nil"/>
          <w:right w:val="nil"/>
          <w:between w:val="nil"/>
        </w:pBdr>
        <w:spacing w:after="0" w:line="240" w:lineRule="auto"/>
        <w:ind w:left="720" w:hanging="720"/>
        <w:jc w:val="both"/>
        <w:rPr>
          <w:color w:val="000000"/>
          <w:sz w:val="20"/>
          <w:szCs w:val="20"/>
        </w:rPr>
      </w:pPr>
      <w:r w:rsidRPr="007B332C">
        <w:rPr>
          <w:color w:val="000000"/>
        </w:rPr>
        <w:t xml:space="preserve">Lloyd, C. T., Chamberlain, H., Kerr, D., </w:t>
      </w:r>
      <w:proofErr w:type="spellStart"/>
      <w:r w:rsidRPr="007B332C">
        <w:rPr>
          <w:color w:val="000000"/>
        </w:rPr>
        <w:t>Yetman</w:t>
      </w:r>
      <w:proofErr w:type="spellEnd"/>
      <w:r w:rsidRPr="007B332C">
        <w:rPr>
          <w:color w:val="000000"/>
        </w:rPr>
        <w:t xml:space="preserve">, G., </w:t>
      </w:r>
      <w:proofErr w:type="spellStart"/>
      <w:r w:rsidRPr="007B332C">
        <w:rPr>
          <w:color w:val="000000"/>
        </w:rPr>
        <w:t>Pistolesi</w:t>
      </w:r>
      <w:proofErr w:type="spellEnd"/>
      <w:r w:rsidRPr="007B332C">
        <w:rPr>
          <w:color w:val="000000"/>
        </w:rPr>
        <w:t xml:space="preserve">, L., Stevens, F. R., Tatem, A. J. (2019). Global </w:t>
      </w:r>
      <w:proofErr w:type="spellStart"/>
      <w:r w:rsidRPr="007B332C">
        <w:rPr>
          <w:color w:val="000000"/>
        </w:rPr>
        <w:t>spatio</w:t>
      </w:r>
      <w:proofErr w:type="spellEnd"/>
      <w:r w:rsidRPr="007B332C">
        <w:rPr>
          <w:color w:val="000000"/>
        </w:rPr>
        <w:t xml:space="preserve">-temporally harmonised datasets for producing high-resolution gridded population distribution datasets. </w:t>
      </w:r>
      <w:r w:rsidRPr="007B332C">
        <w:rPr>
          <w:i/>
          <w:color w:val="000000"/>
        </w:rPr>
        <w:t>Big Earth Data</w:t>
      </w:r>
      <w:r w:rsidRPr="007B332C">
        <w:rPr>
          <w:color w:val="000000"/>
        </w:rPr>
        <w:t xml:space="preserve">, </w:t>
      </w:r>
      <w:r w:rsidRPr="007B332C">
        <w:rPr>
          <w:i/>
          <w:color w:val="000000"/>
        </w:rPr>
        <w:t>3</w:t>
      </w:r>
      <w:r w:rsidRPr="007B332C">
        <w:rPr>
          <w:color w:val="000000"/>
        </w:rPr>
        <w:t xml:space="preserve">(2), 108–139. </w:t>
      </w:r>
      <w:hyperlink r:id="rId54">
        <w:r w:rsidR="006012C1" w:rsidRPr="007B332C">
          <w:rPr>
            <w:color w:val="1155CC"/>
            <w:u w:val="single"/>
          </w:rPr>
          <w:t>https://doi.org/10.1080/20964471.2019.1625151</w:t>
        </w:r>
      </w:hyperlink>
    </w:p>
    <w:p w14:paraId="5CAFBF27"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Li, X., Stringer, L.C., </w:t>
      </w:r>
      <w:proofErr w:type="spellStart"/>
      <w:r w:rsidRPr="007B332C">
        <w:rPr>
          <w:color w:val="000000"/>
        </w:rPr>
        <w:t>Dallimer</w:t>
      </w:r>
      <w:proofErr w:type="spellEnd"/>
      <w:r w:rsidRPr="007B332C">
        <w:rPr>
          <w:color w:val="000000"/>
        </w:rPr>
        <w:t xml:space="preserve">, M., (2022). The Impacts of urbanisation and climate change on the Urban Thermal Environment in Africa. </w:t>
      </w:r>
      <w:r w:rsidRPr="007B332C">
        <w:rPr>
          <w:i/>
          <w:color w:val="000000"/>
        </w:rPr>
        <w:t>Climate</w:t>
      </w:r>
      <w:r w:rsidRPr="007B332C">
        <w:rPr>
          <w:color w:val="000000"/>
        </w:rPr>
        <w:t xml:space="preserve">, 10, 164. </w:t>
      </w:r>
      <w:hyperlink r:id="rId55">
        <w:r w:rsidR="006012C1" w:rsidRPr="007B332C">
          <w:rPr>
            <w:color w:val="0563C1"/>
            <w:u w:val="single"/>
          </w:rPr>
          <w:t>https://doi.org/10.3390/cli10110164</w:t>
        </w:r>
      </w:hyperlink>
    </w:p>
    <w:p w14:paraId="5D452D5B" w14:textId="2CCBFD47"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Li, Y., Svenning, JC., Zhou, W. et al. </w:t>
      </w:r>
      <w:r w:rsidR="00FC4D7C" w:rsidRPr="007B332C">
        <w:rPr>
          <w:color w:val="000000"/>
        </w:rPr>
        <w:t>(2024). Green</w:t>
      </w:r>
      <w:r w:rsidRPr="007B332C">
        <w:rPr>
          <w:color w:val="000000"/>
        </w:rPr>
        <w:t xml:space="preserve"> spaces provide substantial but unequal urban cooling globally. </w:t>
      </w:r>
      <w:r w:rsidRPr="007B332C">
        <w:rPr>
          <w:i/>
          <w:color w:val="000000"/>
        </w:rPr>
        <w:t>Nat Commun,</w:t>
      </w:r>
      <w:r w:rsidRPr="007B332C">
        <w:rPr>
          <w:color w:val="000000"/>
        </w:rPr>
        <w:t xml:space="preserve"> 15, 7108. </w:t>
      </w:r>
      <w:hyperlink r:id="rId56">
        <w:r w:rsidR="006012C1" w:rsidRPr="007B332C">
          <w:rPr>
            <w:color w:val="1155CC"/>
            <w:u w:val="single"/>
          </w:rPr>
          <w:t>https://doi.org/10.1038/s41467-024-51355-0</w:t>
        </w:r>
      </w:hyperlink>
    </w:p>
    <w:p w14:paraId="41E9F55E" w14:textId="77777777"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Li, Z.L., Tang, B.H., Wu, H., Ren, H., Yan, G., Wan, Z., Trigo, I.F., Sobrino, J.A. (2013). Satellite-derived land surface temperature: </w:t>
      </w:r>
      <w:proofErr w:type="gramStart"/>
      <w:r w:rsidRPr="007B332C">
        <w:rPr>
          <w:color w:val="000000"/>
        </w:rPr>
        <w:t>current status</w:t>
      </w:r>
      <w:proofErr w:type="gramEnd"/>
      <w:r w:rsidRPr="007B332C">
        <w:rPr>
          <w:color w:val="000000"/>
        </w:rPr>
        <w:t xml:space="preserve"> and perspectives. </w:t>
      </w:r>
      <w:r w:rsidRPr="007B332C">
        <w:rPr>
          <w:i/>
          <w:color w:val="000000"/>
        </w:rPr>
        <w:t>Remote Sens. Environ.</w:t>
      </w:r>
      <w:r w:rsidRPr="007B332C">
        <w:rPr>
          <w:color w:val="000000"/>
        </w:rPr>
        <w:t xml:space="preserve"> 131, 14–37. </w:t>
      </w:r>
      <w:hyperlink r:id="rId57">
        <w:r w:rsidR="006012C1" w:rsidRPr="007B332C">
          <w:rPr>
            <w:color w:val="0563C1"/>
            <w:u w:val="single"/>
          </w:rPr>
          <w:t>https://doi.org/10.1016/j.rse.2012.12.008</w:t>
        </w:r>
      </w:hyperlink>
    </w:p>
    <w:p w14:paraId="4776F3E9" w14:textId="1871D742"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Lin, B.S. </w:t>
      </w:r>
      <w:r w:rsidR="00FC4D7C" w:rsidRPr="007B332C">
        <w:rPr>
          <w:color w:val="000000"/>
        </w:rPr>
        <w:t>and</w:t>
      </w:r>
      <w:r w:rsidRPr="007B332C">
        <w:rPr>
          <w:color w:val="000000"/>
        </w:rPr>
        <w:t xml:space="preserve"> Lin, C.T. (2016). Preliminary study of the influence of the spatial arrangement of urban parks on local temperature reduction. </w:t>
      </w:r>
      <w:r w:rsidRPr="007B332C">
        <w:rPr>
          <w:i/>
          <w:color w:val="000000"/>
        </w:rPr>
        <w:t>Urban For. Urban Green.</w:t>
      </w:r>
      <w:r w:rsidRPr="007B332C">
        <w:rPr>
          <w:color w:val="000000"/>
        </w:rPr>
        <w:t xml:space="preserve">, 20, 348–357. </w:t>
      </w:r>
      <w:hyperlink r:id="rId58">
        <w:r w:rsidR="006012C1" w:rsidRPr="007B332C">
          <w:rPr>
            <w:color w:val="1155CC"/>
            <w:u w:val="single"/>
          </w:rPr>
          <w:t>https://doi.org/10.1016/j.ufug.2016.10.003</w:t>
        </w:r>
      </w:hyperlink>
    </w:p>
    <w:p w14:paraId="3978068A" w14:textId="22D4B872"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Liu, Y, </w:t>
      </w:r>
      <w:r w:rsidR="00FC4D7C" w:rsidRPr="007B332C">
        <w:rPr>
          <w:color w:val="000000"/>
        </w:rPr>
        <w:t>and</w:t>
      </w:r>
      <w:r w:rsidRPr="007B332C">
        <w:rPr>
          <w:color w:val="000000"/>
        </w:rPr>
        <w:t xml:space="preserve"> Gastwirth, J. L. (2020). On the capacity of the Gini index to represent income distributions. </w:t>
      </w:r>
      <w:r w:rsidRPr="007B332C">
        <w:rPr>
          <w:i/>
          <w:color w:val="000000"/>
        </w:rPr>
        <w:t>METRON</w:t>
      </w:r>
      <w:r w:rsidRPr="007B332C">
        <w:rPr>
          <w:color w:val="000000"/>
        </w:rPr>
        <w:t xml:space="preserve">, 78(1), 61–69. </w:t>
      </w:r>
      <w:hyperlink r:id="rId59">
        <w:r w:rsidR="006012C1" w:rsidRPr="007B332C">
          <w:rPr>
            <w:color w:val="1155CC"/>
            <w:u w:val="single"/>
          </w:rPr>
          <w:t>https://doi.org/10.1007/s40300-020-001648</w:t>
        </w:r>
      </w:hyperlink>
    </w:p>
    <w:p w14:paraId="4C9FAE41" w14:textId="41749A51"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Liu, Z., Zhan, W., Bechtel, B. Voogt, J., Lai, J., </w:t>
      </w:r>
      <w:proofErr w:type="spellStart"/>
      <w:r w:rsidRPr="007B332C">
        <w:rPr>
          <w:color w:val="000000"/>
        </w:rPr>
        <w:t>Chakrabory</w:t>
      </w:r>
      <w:proofErr w:type="spellEnd"/>
      <w:r w:rsidRPr="007B332C">
        <w:rPr>
          <w:color w:val="000000"/>
        </w:rPr>
        <w:t>, T., Wang, Z., Li, M., Huang, F., Lee, X. (2022). Surface warming in global cities is substantially more rapid than in rural background areas. </w:t>
      </w:r>
      <w:r w:rsidRPr="007B332C">
        <w:rPr>
          <w:i/>
          <w:color w:val="000000"/>
        </w:rPr>
        <w:t>Commun Earth Environ,</w:t>
      </w:r>
      <w:r w:rsidRPr="007B332C">
        <w:rPr>
          <w:color w:val="000000"/>
        </w:rPr>
        <w:t xml:space="preserve"> 3, 219. </w:t>
      </w:r>
      <w:hyperlink r:id="rId60">
        <w:r w:rsidR="006012C1" w:rsidRPr="007B332C">
          <w:rPr>
            <w:color w:val="0563C1"/>
            <w:u w:val="single"/>
          </w:rPr>
          <w:t>https://doi.org/10.1038/s43247-022-00539-x</w:t>
        </w:r>
      </w:hyperlink>
    </w:p>
    <w:p w14:paraId="24ECD074"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Liu, L.L., Zheng, B., (2024). Greenspace coverage vs. enhanced vegetation index: Correlations with surface urban heat island intensity in different climate zones. Urban Clim., 58, 102140. </w:t>
      </w:r>
      <w:hyperlink r:id="rId61">
        <w:r w:rsidR="006012C1" w:rsidRPr="007B332C">
          <w:rPr>
            <w:color w:val="0563C1"/>
            <w:u w:val="single"/>
          </w:rPr>
          <w:t>https://doi.org/10.1016/j.uclim.2024.102140</w:t>
        </w:r>
      </w:hyperlink>
    </w:p>
    <w:p w14:paraId="2C05A7A4"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Liu, L., He, H., Cai, Y., Hang, J., Liu, J., Liu, L., Jiang, P., He, H. (2023). Cooling effects of wetland parks in hot and humid areas based on remote sensing images and local climate zone scheme. </w:t>
      </w:r>
      <w:r w:rsidRPr="007B332C">
        <w:rPr>
          <w:i/>
          <w:color w:val="000000"/>
        </w:rPr>
        <w:t>Build. Environ</w:t>
      </w:r>
      <w:r w:rsidRPr="007B332C">
        <w:rPr>
          <w:color w:val="000000"/>
        </w:rPr>
        <w:t xml:space="preserve">., 243, 110660. </w:t>
      </w:r>
      <w:hyperlink r:id="rId62">
        <w:r w:rsidR="006012C1" w:rsidRPr="007B332C">
          <w:rPr>
            <w:color w:val="0563C1"/>
            <w:u w:val="single"/>
          </w:rPr>
          <w:t>https://doi.org/10.1016/j.buildenv.2023.110660</w:t>
        </w:r>
      </w:hyperlink>
    </w:p>
    <w:p w14:paraId="6FFD0C93"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Martin, G.K., O’Dell, K., Kinney, P.L., Pescador-Jimenez, M., Rojas-Rueda, D., Canales, R., Anenberg, S.C. (2024). Tracking progress toward urban nature targets using land cover and vegetation indices: A global study for the 96 C40 Cities. </w:t>
      </w:r>
      <w:proofErr w:type="spellStart"/>
      <w:r w:rsidRPr="007B332C">
        <w:rPr>
          <w:i/>
          <w:color w:val="000000"/>
        </w:rPr>
        <w:t>GeoHealth</w:t>
      </w:r>
      <w:proofErr w:type="spellEnd"/>
      <w:r w:rsidRPr="007B332C">
        <w:rPr>
          <w:color w:val="000000"/>
        </w:rPr>
        <w:t xml:space="preserve"> 8, e2023GH000996. </w:t>
      </w:r>
      <w:hyperlink r:id="rId63">
        <w:r w:rsidR="006012C1" w:rsidRPr="007B332C">
          <w:rPr>
            <w:color w:val="0563C1"/>
            <w:u w:val="single"/>
          </w:rPr>
          <w:t>https://doi.org/10.1029/2023GH000996</w:t>
        </w:r>
      </w:hyperlink>
      <w:r w:rsidRPr="007B332C">
        <w:rPr>
          <w:color w:val="000000"/>
        </w:rPr>
        <w:t>.</w:t>
      </w:r>
    </w:p>
    <w:p w14:paraId="59D866FA" w14:textId="14E0873D"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Martin, A.J.F. </w:t>
      </w:r>
      <w:r w:rsidR="00946B2D" w:rsidRPr="007B332C">
        <w:rPr>
          <w:color w:val="000000"/>
        </w:rPr>
        <w:t>and</w:t>
      </w:r>
      <w:r w:rsidRPr="007B332C">
        <w:rPr>
          <w:color w:val="000000"/>
        </w:rPr>
        <w:t xml:space="preserve"> Conway, T.M. (2024). Using the Gini Index to quantify urban green inequality: A systematic review and recommended reporting standards. </w:t>
      </w:r>
      <w:proofErr w:type="spellStart"/>
      <w:r w:rsidRPr="007B332C">
        <w:rPr>
          <w:i/>
          <w:color w:val="000000"/>
        </w:rPr>
        <w:t>Landsc</w:t>
      </w:r>
      <w:proofErr w:type="spellEnd"/>
      <w:r w:rsidRPr="007B332C">
        <w:rPr>
          <w:i/>
          <w:color w:val="000000"/>
        </w:rPr>
        <w:t>. Urban Plann.</w:t>
      </w:r>
      <w:r w:rsidRPr="007B332C">
        <w:rPr>
          <w:color w:val="000000"/>
        </w:rPr>
        <w:t xml:space="preserve">, 254, 105231. </w:t>
      </w:r>
      <w:hyperlink r:id="rId64">
        <w:r w:rsidR="006012C1" w:rsidRPr="007B332C">
          <w:rPr>
            <w:color w:val="1155CC"/>
            <w:u w:val="single"/>
          </w:rPr>
          <w:t>https://doi.org/10.1016/j.landurbplan.2024.105231</w:t>
        </w:r>
      </w:hyperlink>
      <w:r w:rsidRPr="007B332C">
        <w:rPr>
          <w:color w:val="000000"/>
        </w:rPr>
        <w:t>.</w:t>
      </w:r>
    </w:p>
    <w:p w14:paraId="5DF35D29"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Masoudi, M. &amp; Tan, P.Y. (2019). Multi-year comparison of the effects of spatial pattern of urban green spaces on urban land surface temperature.</w:t>
      </w:r>
      <w:r w:rsidRPr="007B332C">
        <w:rPr>
          <w:i/>
          <w:color w:val="000000"/>
        </w:rPr>
        <w:t xml:space="preserve"> </w:t>
      </w:r>
      <w:proofErr w:type="spellStart"/>
      <w:r w:rsidRPr="007B332C">
        <w:rPr>
          <w:i/>
          <w:color w:val="000000"/>
        </w:rPr>
        <w:t>Landsc</w:t>
      </w:r>
      <w:proofErr w:type="spellEnd"/>
      <w:r w:rsidRPr="007B332C">
        <w:rPr>
          <w:i/>
          <w:color w:val="000000"/>
        </w:rPr>
        <w:t>. Urban Plann.</w:t>
      </w:r>
      <w:r w:rsidRPr="007B332C">
        <w:rPr>
          <w:color w:val="000000"/>
        </w:rPr>
        <w:t xml:space="preserve">, 184, 44–58. </w:t>
      </w:r>
      <w:hyperlink r:id="rId65">
        <w:r w:rsidR="006012C1" w:rsidRPr="007B332C">
          <w:rPr>
            <w:color w:val="0563C1"/>
            <w:u w:val="single"/>
          </w:rPr>
          <w:t>https://doi.org/10.1016/j.landurbplan.2018.10.023</w:t>
        </w:r>
      </w:hyperlink>
      <w:r w:rsidRPr="007B332C">
        <w:rPr>
          <w:color w:val="000000"/>
        </w:rPr>
        <w:t>.</w:t>
      </w:r>
    </w:p>
    <w:p w14:paraId="16635EC1" w14:textId="2EF02DE9"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Mabuya, B. </w:t>
      </w:r>
      <w:r w:rsidR="00AC0DFA" w:rsidRPr="007B332C">
        <w:rPr>
          <w:color w:val="000000"/>
        </w:rPr>
        <w:t>and</w:t>
      </w:r>
      <w:r w:rsidRPr="007B332C">
        <w:rPr>
          <w:color w:val="000000"/>
        </w:rPr>
        <w:t xml:space="preserve"> Scholes, M., (2020). The three little houses: A comparative study of indoor and ambient temperatures in three low-cost housing types in Gauteng and Mpumalanga, South </w:t>
      </w:r>
      <w:r w:rsidRPr="007B332C">
        <w:rPr>
          <w:color w:val="000000"/>
        </w:rPr>
        <w:lastRenderedPageBreak/>
        <w:t xml:space="preserve">Africa. </w:t>
      </w:r>
      <w:r w:rsidRPr="007B332C">
        <w:rPr>
          <w:i/>
          <w:color w:val="000000"/>
        </w:rPr>
        <w:t>Int. J. Environ. Res. Public Health.</w:t>
      </w:r>
      <w:r w:rsidRPr="007B332C">
        <w:rPr>
          <w:color w:val="000000"/>
        </w:rPr>
        <w:t xml:space="preserve">, 17 (10), 3524. </w:t>
      </w:r>
      <w:hyperlink r:id="rId66">
        <w:r w:rsidR="006012C1" w:rsidRPr="007B332C">
          <w:rPr>
            <w:color w:val="1155CC"/>
            <w:u w:val="single"/>
          </w:rPr>
          <w:t>https://doi.org/10.3390/ijerph17103524</w:t>
        </w:r>
      </w:hyperlink>
    </w:p>
    <w:p w14:paraId="7D36D8D8" w14:textId="77777777" w:rsidR="006012C1" w:rsidRPr="007B332C" w:rsidRDefault="00000000">
      <w:pPr>
        <w:pBdr>
          <w:top w:val="nil"/>
          <w:left w:val="nil"/>
          <w:bottom w:val="nil"/>
          <w:right w:val="nil"/>
          <w:between w:val="nil"/>
        </w:pBdr>
        <w:spacing w:after="0" w:line="240" w:lineRule="auto"/>
        <w:ind w:left="720" w:hanging="720"/>
        <w:jc w:val="both"/>
      </w:pPr>
      <w:r w:rsidRPr="007B332C">
        <w:t xml:space="preserve">Mashhoodi, B., (2021). Feminization of surface temperature: Environmental justice and gender inequality among socioeconomic groups. Urban </w:t>
      </w:r>
      <w:proofErr w:type="spellStart"/>
      <w:r w:rsidRPr="007B332C">
        <w:t>clim</w:t>
      </w:r>
      <w:proofErr w:type="spellEnd"/>
      <w:r w:rsidRPr="007B332C">
        <w:t xml:space="preserve">., 40, 101004. </w:t>
      </w:r>
      <w:hyperlink r:id="rId67">
        <w:r w:rsidR="006012C1" w:rsidRPr="007B332C">
          <w:rPr>
            <w:color w:val="0563C1"/>
            <w:u w:val="single"/>
          </w:rPr>
          <w:t>https://doi.org/10.1016/j.uclim.2021.101004</w:t>
        </w:r>
      </w:hyperlink>
    </w:p>
    <w:p w14:paraId="290F7969" w14:textId="77777777" w:rsidR="006012C1" w:rsidRPr="007B332C" w:rsidRDefault="00000000">
      <w:pPr>
        <w:pBdr>
          <w:top w:val="nil"/>
          <w:left w:val="nil"/>
          <w:bottom w:val="nil"/>
          <w:right w:val="nil"/>
          <w:between w:val="nil"/>
        </w:pBdr>
        <w:spacing w:after="0" w:line="240" w:lineRule="auto"/>
        <w:ind w:left="720" w:hanging="720"/>
        <w:jc w:val="both"/>
        <w:rPr>
          <w:color w:val="000000"/>
          <w:sz w:val="24"/>
          <w:szCs w:val="24"/>
        </w:rPr>
      </w:pPr>
      <w:proofErr w:type="spellStart"/>
      <w:r w:rsidRPr="007B332C">
        <w:rPr>
          <w:color w:val="000000"/>
        </w:rPr>
        <w:t>Mhedhbi</w:t>
      </w:r>
      <w:proofErr w:type="spellEnd"/>
      <w:r w:rsidRPr="007B332C">
        <w:rPr>
          <w:color w:val="000000"/>
        </w:rPr>
        <w:t xml:space="preserve"> Z., Mazzega P., Gaston M., </w:t>
      </w:r>
      <w:proofErr w:type="spellStart"/>
      <w:r w:rsidRPr="007B332C">
        <w:rPr>
          <w:color w:val="000000"/>
        </w:rPr>
        <w:t>Haouès</w:t>
      </w:r>
      <w:proofErr w:type="spellEnd"/>
      <w:r w:rsidRPr="007B332C">
        <w:rPr>
          <w:color w:val="000000"/>
        </w:rPr>
        <w:t xml:space="preserve">-Jouve S., Hidalgo J. (2023) Mining the Web of Science for African cities and climate change (1991–2021). </w:t>
      </w:r>
      <w:r w:rsidRPr="007B332C">
        <w:rPr>
          <w:i/>
          <w:color w:val="000000"/>
        </w:rPr>
        <w:t>Front. Sustain. Cities</w:t>
      </w:r>
      <w:r w:rsidRPr="007B332C">
        <w:rPr>
          <w:color w:val="000000"/>
        </w:rPr>
        <w:t xml:space="preserve"> 5:989266. </w:t>
      </w:r>
      <w:hyperlink r:id="rId68">
        <w:r w:rsidR="006012C1" w:rsidRPr="007B332C">
          <w:rPr>
            <w:color w:val="0563C1"/>
            <w:sz w:val="24"/>
            <w:szCs w:val="24"/>
            <w:u w:val="single"/>
          </w:rPr>
          <w:t>https://doi.org/10.3389/frsc.2023.989266</w:t>
        </w:r>
      </w:hyperlink>
    </w:p>
    <w:p w14:paraId="11F931B0" w14:textId="77777777" w:rsidR="00D645F0" w:rsidRPr="007B332C" w:rsidRDefault="00000000" w:rsidP="00D645F0">
      <w:pPr>
        <w:pBdr>
          <w:top w:val="nil"/>
          <w:left w:val="nil"/>
          <w:bottom w:val="nil"/>
          <w:right w:val="nil"/>
          <w:between w:val="nil"/>
        </w:pBdr>
        <w:spacing w:after="0" w:line="240" w:lineRule="auto"/>
        <w:ind w:left="720" w:hanging="720"/>
        <w:jc w:val="both"/>
        <w:rPr>
          <w:color w:val="000000"/>
        </w:rPr>
      </w:pPr>
      <w:bookmarkStart w:id="6" w:name="_heading=h.tyjcwt" w:colFirst="0" w:colLast="0"/>
      <w:bookmarkStart w:id="7" w:name="_heading=h.wrm36lwnqtqq" w:colFirst="0" w:colLast="0"/>
      <w:bookmarkEnd w:id="6"/>
      <w:bookmarkEnd w:id="7"/>
      <w:r w:rsidRPr="007B332C">
        <w:rPr>
          <w:color w:val="000000"/>
        </w:rPr>
        <w:t xml:space="preserve">NASA (2023). MODIS Land Surface Temperature and Emissivity (MOD11) [dataset]. Version 6.1. </w:t>
      </w:r>
      <w:hyperlink r:id="rId69">
        <w:r w:rsidR="006012C1" w:rsidRPr="007B332C">
          <w:rPr>
            <w:color w:val="1155CC"/>
            <w:u w:val="single"/>
          </w:rPr>
          <w:t>https://modis.gsfc.nasa.gov/data/dataprod/mod11.php</w:t>
        </w:r>
      </w:hyperlink>
      <w:r w:rsidRPr="007B332C">
        <w:rPr>
          <w:color w:val="000000"/>
        </w:rPr>
        <w:t>.</w:t>
      </w:r>
    </w:p>
    <w:p w14:paraId="1F802446" w14:textId="4C64C653" w:rsidR="00D645F0" w:rsidRPr="007B332C" w:rsidRDefault="00D645F0" w:rsidP="00D645F0">
      <w:pPr>
        <w:pBdr>
          <w:top w:val="nil"/>
          <w:left w:val="nil"/>
          <w:bottom w:val="nil"/>
          <w:right w:val="nil"/>
          <w:between w:val="nil"/>
        </w:pBdr>
        <w:spacing w:after="0" w:line="240" w:lineRule="auto"/>
        <w:ind w:left="720" w:hanging="720"/>
        <w:jc w:val="both"/>
      </w:pPr>
      <w:r w:rsidRPr="007B332C">
        <w:t xml:space="preserve">Nesbitt, L., Meitner, M. J., Sheppard, S. R. J., Girling, C. (2018). The dimensions of urban green equity: A framework for analysis. Urban For. Urban Green, 34, 240–248. https://doi.org/10.1016/j.ufug.2018.07.009 </w:t>
      </w:r>
    </w:p>
    <w:p w14:paraId="57C340F4" w14:textId="77777777" w:rsidR="006012C1" w:rsidRPr="007B332C" w:rsidRDefault="00000000">
      <w:pPr>
        <w:pBdr>
          <w:top w:val="nil"/>
          <w:left w:val="nil"/>
          <w:bottom w:val="nil"/>
          <w:right w:val="nil"/>
          <w:between w:val="nil"/>
        </w:pBdr>
        <w:spacing w:after="0" w:line="240" w:lineRule="auto"/>
        <w:ind w:left="720" w:hanging="720"/>
        <w:jc w:val="both"/>
        <w:rPr>
          <w:color w:val="000000"/>
          <w:sz w:val="24"/>
          <w:szCs w:val="24"/>
        </w:rPr>
      </w:pPr>
      <w:proofErr w:type="spellStart"/>
      <w:r w:rsidRPr="007B332C">
        <w:rPr>
          <w:color w:val="000000"/>
        </w:rPr>
        <w:t>Oke</w:t>
      </w:r>
      <w:proofErr w:type="spellEnd"/>
      <w:r w:rsidRPr="007B332C">
        <w:rPr>
          <w:color w:val="000000"/>
        </w:rPr>
        <w:t xml:space="preserve">, T.R. (1982). </w:t>
      </w:r>
      <w:r w:rsidRPr="007B332C">
        <w:rPr>
          <w:color w:val="000000"/>
          <w:sz w:val="24"/>
          <w:szCs w:val="24"/>
        </w:rPr>
        <w:t xml:space="preserve">The energetic basis of the urban heat island. </w:t>
      </w:r>
      <w:r w:rsidRPr="007B332C">
        <w:rPr>
          <w:i/>
          <w:color w:val="000000"/>
        </w:rPr>
        <w:t xml:space="preserve">Q. J. R. </w:t>
      </w:r>
      <w:proofErr w:type="spellStart"/>
      <w:r w:rsidRPr="007B332C">
        <w:rPr>
          <w:i/>
          <w:color w:val="000000"/>
        </w:rPr>
        <w:t>Meteorol</w:t>
      </w:r>
      <w:proofErr w:type="spellEnd"/>
      <w:r w:rsidRPr="007B332C">
        <w:rPr>
          <w:i/>
          <w:color w:val="000000"/>
        </w:rPr>
        <w:t>. Soc.</w:t>
      </w:r>
      <w:r w:rsidRPr="007B332C">
        <w:rPr>
          <w:color w:val="000000"/>
          <w:sz w:val="24"/>
          <w:szCs w:val="24"/>
        </w:rPr>
        <w:t xml:space="preserve"> 208, 1-24. </w:t>
      </w:r>
      <w:hyperlink r:id="rId70">
        <w:r w:rsidR="006012C1" w:rsidRPr="007B332C">
          <w:rPr>
            <w:color w:val="0563C1"/>
            <w:sz w:val="24"/>
            <w:szCs w:val="24"/>
            <w:u w:val="single"/>
          </w:rPr>
          <w:t>https://doi.org/10.1002/qj.49710845502</w:t>
        </w:r>
      </w:hyperlink>
      <w:r w:rsidRPr="007B332C">
        <w:rPr>
          <w:color w:val="000000"/>
          <w:sz w:val="24"/>
          <w:szCs w:val="24"/>
        </w:rPr>
        <w:t>.</w:t>
      </w:r>
    </w:p>
    <w:p w14:paraId="789FC30E"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Pappalardo, E.S., Zanetti, C., Todeschi, V. (2023). Mapping urban heat islands and heat-related risk during heat waves from a climate justice perspective: A case study in the municipality of Padua (Italy) for inclusive adaptation policies. </w:t>
      </w:r>
      <w:proofErr w:type="spellStart"/>
      <w:r w:rsidRPr="007B332C">
        <w:rPr>
          <w:i/>
          <w:color w:val="000000"/>
        </w:rPr>
        <w:t>Landsc</w:t>
      </w:r>
      <w:proofErr w:type="spellEnd"/>
      <w:r w:rsidRPr="007B332C">
        <w:rPr>
          <w:i/>
          <w:color w:val="000000"/>
        </w:rPr>
        <w:t xml:space="preserve">. Urban Plann., </w:t>
      </w:r>
      <w:r w:rsidRPr="007B332C">
        <w:rPr>
          <w:color w:val="000000"/>
        </w:rPr>
        <w:t xml:space="preserve">238, 104831. </w:t>
      </w:r>
      <w:hyperlink r:id="rId71">
        <w:r w:rsidR="006012C1" w:rsidRPr="007B332C">
          <w:rPr>
            <w:color w:val="0563C1"/>
            <w:u w:val="single"/>
          </w:rPr>
          <w:t>https://doi.org/10.1016/j.landurbplan.2023.104831</w:t>
        </w:r>
      </w:hyperlink>
      <w:r w:rsidRPr="007B332C">
        <w:rPr>
          <w:color w:val="000000"/>
        </w:rPr>
        <w:t>.</w:t>
      </w:r>
    </w:p>
    <w:p w14:paraId="240AD7F0"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Peter J. </w:t>
      </w:r>
      <w:proofErr w:type="spellStart"/>
      <w:r w:rsidRPr="007B332C">
        <w:rPr>
          <w:color w:val="000000"/>
        </w:rPr>
        <w:t>Marcotullio</w:t>
      </w:r>
      <w:proofErr w:type="spellEnd"/>
      <w:r w:rsidRPr="007B332C">
        <w:rPr>
          <w:color w:val="000000"/>
        </w:rPr>
        <w:t xml:space="preserve">, Carsten </w:t>
      </w:r>
      <w:proofErr w:type="spellStart"/>
      <w:r w:rsidRPr="007B332C">
        <w:rPr>
          <w:color w:val="000000"/>
        </w:rPr>
        <w:t>Keßler</w:t>
      </w:r>
      <w:proofErr w:type="spellEnd"/>
      <w:r w:rsidRPr="007B332C">
        <w:rPr>
          <w:color w:val="000000"/>
        </w:rPr>
        <w:t xml:space="preserve">, Balázs M. Fekete, (2021). The future urban heat-wave challenge in Africa: Exploratory analysis. </w:t>
      </w:r>
      <w:r w:rsidRPr="007B332C">
        <w:rPr>
          <w:i/>
          <w:color w:val="000000"/>
        </w:rPr>
        <w:t>Global Environ. Change</w:t>
      </w:r>
      <w:r w:rsidRPr="007B332C">
        <w:rPr>
          <w:color w:val="000000"/>
        </w:rPr>
        <w:t xml:space="preserve">, 66:102190. </w:t>
      </w:r>
      <w:hyperlink r:id="rId72">
        <w:r w:rsidR="006012C1" w:rsidRPr="007B332C">
          <w:rPr>
            <w:color w:val="0563C1"/>
            <w:u w:val="single"/>
          </w:rPr>
          <w:t>https://doi.org/10.1016/j.gloenvcha.2020.102190</w:t>
        </w:r>
      </w:hyperlink>
      <w:r w:rsidRPr="007B332C">
        <w:rPr>
          <w:color w:val="000000"/>
        </w:rPr>
        <w:t>.</w:t>
      </w:r>
    </w:p>
    <w:p w14:paraId="4F0AE2BC"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Peng, J., Xie, P., Liu, Y., Ma, J. (2016). Urban thermal environment dynamics and associated landscape pattern factors: A case study in the Beijing metropolitan region. </w:t>
      </w:r>
      <w:r w:rsidRPr="007B332C">
        <w:rPr>
          <w:i/>
          <w:color w:val="000000"/>
        </w:rPr>
        <w:t>Remote Sens. Environ.</w:t>
      </w:r>
      <w:r w:rsidRPr="007B332C">
        <w:rPr>
          <w:color w:val="000000"/>
        </w:rPr>
        <w:t xml:space="preserve">, 173, 145–155. </w:t>
      </w:r>
      <w:hyperlink r:id="rId73">
        <w:r w:rsidR="006012C1" w:rsidRPr="007B332C">
          <w:rPr>
            <w:color w:val="0563C1"/>
            <w:u w:val="single"/>
          </w:rPr>
          <w:t>https://doi.org/10.1016/j.rse.2015.11.004</w:t>
        </w:r>
      </w:hyperlink>
    </w:p>
    <w:p w14:paraId="6FA92A40" w14:textId="759B4A5D"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Pipia, L.; Amin, E.; Belda, S.; Delgado, M.S.; </w:t>
      </w:r>
      <w:proofErr w:type="spellStart"/>
      <w:r w:rsidRPr="007B332C">
        <w:rPr>
          <w:color w:val="000000"/>
        </w:rPr>
        <w:t>Verrelst</w:t>
      </w:r>
      <w:proofErr w:type="spellEnd"/>
      <w:r w:rsidRPr="007B332C">
        <w:rPr>
          <w:color w:val="000000"/>
        </w:rPr>
        <w:t xml:space="preserve">, J. </w:t>
      </w:r>
      <w:r w:rsidR="00801680" w:rsidRPr="007B332C">
        <w:rPr>
          <w:color w:val="000000"/>
        </w:rPr>
        <w:t xml:space="preserve">(2021). </w:t>
      </w:r>
      <w:r w:rsidRPr="007B332C">
        <w:rPr>
          <w:color w:val="000000"/>
        </w:rPr>
        <w:t xml:space="preserve">Green LAI mapping and cloud gap-filling using Gaussian process regression in Google Earth Engine. </w:t>
      </w:r>
      <w:r w:rsidRPr="007B332C">
        <w:rPr>
          <w:i/>
          <w:color w:val="000000"/>
        </w:rPr>
        <w:t>Remote Sens.,</w:t>
      </w:r>
      <w:r w:rsidRPr="007B332C">
        <w:rPr>
          <w:color w:val="000000"/>
        </w:rPr>
        <w:t xml:space="preserve"> 13, 403. </w:t>
      </w:r>
      <w:hyperlink r:id="rId74">
        <w:r w:rsidR="006012C1" w:rsidRPr="007B332C">
          <w:rPr>
            <w:color w:val="0563C1"/>
            <w:u w:val="single"/>
          </w:rPr>
          <w:t>https://doi.org/10.3390/rs13030403</w:t>
        </w:r>
      </w:hyperlink>
      <w:r w:rsidRPr="007B332C">
        <w:rPr>
          <w:color w:val="000000"/>
        </w:rPr>
        <w:t>.</w:t>
      </w:r>
    </w:p>
    <w:p w14:paraId="47C6BEED" w14:textId="77777777"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Pearlmutter, D., Theochari, D., Nehls, T., Pinho, P., Piro, P., </w:t>
      </w:r>
      <w:proofErr w:type="spellStart"/>
      <w:r w:rsidRPr="007B332C">
        <w:rPr>
          <w:color w:val="000000"/>
        </w:rPr>
        <w:t>Korolova</w:t>
      </w:r>
      <w:proofErr w:type="spellEnd"/>
      <w:r w:rsidRPr="007B332C">
        <w:rPr>
          <w:color w:val="000000"/>
        </w:rPr>
        <w:t xml:space="preserve">, A., </w:t>
      </w:r>
      <w:proofErr w:type="spellStart"/>
      <w:r w:rsidRPr="007B332C">
        <w:rPr>
          <w:color w:val="000000"/>
        </w:rPr>
        <w:t>Papaefthimiou</w:t>
      </w:r>
      <w:proofErr w:type="spellEnd"/>
      <w:r w:rsidRPr="007B332C">
        <w:rPr>
          <w:color w:val="000000"/>
        </w:rPr>
        <w:t xml:space="preserve">, S., Mateo, M.C.G., Calheiros, C.; </w:t>
      </w:r>
      <w:proofErr w:type="spellStart"/>
      <w:r w:rsidRPr="007B332C">
        <w:rPr>
          <w:color w:val="000000"/>
        </w:rPr>
        <w:t>Zluwa</w:t>
      </w:r>
      <w:proofErr w:type="spellEnd"/>
      <w:r w:rsidRPr="007B332C">
        <w:rPr>
          <w:color w:val="000000"/>
        </w:rPr>
        <w:t xml:space="preserve">, I., </w:t>
      </w:r>
      <w:proofErr w:type="spellStart"/>
      <w:r w:rsidRPr="007B332C">
        <w:rPr>
          <w:color w:val="000000"/>
        </w:rPr>
        <w:t>Pitha</w:t>
      </w:r>
      <w:proofErr w:type="spellEnd"/>
      <w:r w:rsidRPr="007B332C">
        <w:rPr>
          <w:color w:val="000000"/>
        </w:rPr>
        <w:t xml:space="preserve">, U., Schosseler, P., Florentin, Y., </w:t>
      </w:r>
      <w:proofErr w:type="spellStart"/>
      <w:r w:rsidRPr="007B332C">
        <w:rPr>
          <w:color w:val="000000"/>
        </w:rPr>
        <w:t>Ouannou</w:t>
      </w:r>
      <w:proofErr w:type="spellEnd"/>
      <w:r w:rsidRPr="007B332C">
        <w:rPr>
          <w:color w:val="000000"/>
        </w:rPr>
        <w:t xml:space="preserve">, S., Gal, E., Aicher, A., Arnold, K., </w:t>
      </w:r>
      <w:proofErr w:type="spellStart"/>
      <w:r w:rsidRPr="007B332C">
        <w:rPr>
          <w:color w:val="000000"/>
        </w:rPr>
        <w:t>Igondová</w:t>
      </w:r>
      <w:proofErr w:type="spellEnd"/>
      <w:r w:rsidRPr="007B332C">
        <w:rPr>
          <w:color w:val="000000"/>
        </w:rPr>
        <w:t xml:space="preserve">, E., Pucher, B. (2020). Enhancing the circular economy with nature-based solutions in the built urban environment: green building materials, systems and sites. </w:t>
      </w:r>
      <w:r w:rsidRPr="007B332C">
        <w:rPr>
          <w:i/>
          <w:color w:val="000000"/>
        </w:rPr>
        <w:t>Blue-Green Syst.,</w:t>
      </w:r>
      <w:r w:rsidRPr="007B332C">
        <w:rPr>
          <w:color w:val="000000"/>
        </w:rPr>
        <w:t xml:space="preserve"> 2(1), 46–72. </w:t>
      </w:r>
      <w:hyperlink r:id="rId75">
        <w:r w:rsidR="006012C1" w:rsidRPr="007B332C">
          <w:rPr>
            <w:color w:val="0563C1"/>
            <w:u w:val="single"/>
          </w:rPr>
          <w:t>https://doi.org/10.2166/bgs.2020.002</w:t>
        </w:r>
      </w:hyperlink>
    </w:p>
    <w:p w14:paraId="2E9776AC" w14:textId="32D4D0C5" w:rsidR="006012C1" w:rsidRPr="007B332C" w:rsidRDefault="00000000">
      <w:pPr>
        <w:pBdr>
          <w:top w:val="nil"/>
          <w:left w:val="nil"/>
          <w:bottom w:val="nil"/>
          <w:right w:val="nil"/>
          <w:between w:val="nil"/>
        </w:pBdr>
        <w:spacing w:after="0" w:line="240" w:lineRule="auto"/>
        <w:ind w:left="720" w:hanging="720"/>
        <w:jc w:val="both"/>
        <w:rPr>
          <w:color w:val="222222"/>
        </w:rPr>
      </w:pPr>
      <w:proofErr w:type="spellStart"/>
      <w:r w:rsidRPr="007B332C">
        <w:rPr>
          <w:color w:val="222222"/>
        </w:rPr>
        <w:t>Ramiaramanana</w:t>
      </w:r>
      <w:proofErr w:type="spellEnd"/>
      <w:r w:rsidRPr="007B332C">
        <w:rPr>
          <w:color w:val="222222"/>
        </w:rPr>
        <w:t xml:space="preserve">, F.N. </w:t>
      </w:r>
      <w:r w:rsidR="00492EAE" w:rsidRPr="007B332C">
        <w:rPr>
          <w:color w:val="222222"/>
        </w:rPr>
        <w:t>and</w:t>
      </w:r>
      <w:r w:rsidRPr="007B332C">
        <w:rPr>
          <w:color w:val="222222"/>
        </w:rPr>
        <w:t xml:space="preserve"> Teller, J. (2021). Urbanisation and floods in Sub-Saharan Africa: spatiotemporal study and analysis of vulnerability factors—case of Antananarivo Agglomeration (Madagascar). </w:t>
      </w:r>
      <w:r w:rsidRPr="007B332C">
        <w:rPr>
          <w:i/>
          <w:color w:val="222222"/>
        </w:rPr>
        <w:t>Water.</w:t>
      </w:r>
      <w:r w:rsidRPr="007B332C">
        <w:rPr>
          <w:color w:val="222222"/>
        </w:rPr>
        <w:t xml:space="preserve">, </w:t>
      </w:r>
      <w:r w:rsidRPr="007B332C">
        <w:rPr>
          <w:i/>
          <w:color w:val="222222"/>
        </w:rPr>
        <w:t>13</w:t>
      </w:r>
      <w:r w:rsidRPr="007B332C">
        <w:rPr>
          <w:color w:val="222222"/>
        </w:rPr>
        <w:t xml:space="preserve">, 149. </w:t>
      </w:r>
      <w:hyperlink r:id="rId76">
        <w:r w:rsidR="006012C1" w:rsidRPr="007B332C">
          <w:rPr>
            <w:color w:val="1155CC"/>
            <w:u w:val="single"/>
          </w:rPr>
          <w:t>https://doi.org/10.3390/w13020149</w:t>
        </w:r>
      </w:hyperlink>
      <w:r w:rsidRPr="007B332C">
        <w:rPr>
          <w:color w:val="222222"/>
        </w:rPr>
        <w:t>.</w:t>
      </w:r>
    </w:p>
    <w:p w14:paraId="204D9CFB"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Rakotobe, Z. L., Harvey, C. A., Rao, N. S., Dave, R., </w:t>
      </w:r>
      <w:proofErr w:type="spellStart"/>
      <w:r w:rsidRPr="007B332C">
        <w:rPr>
          <w:color w:val="000000"/>
        </w:rPr>
        <w:t>Rakotondravelo</w:t>
      </w:r>
      <w:proofErr w:type="spellEnd"/>
      <w:r w:rsidRPr="007B332C">
        <w:rPr>
          <w:color w:val="000000"/>
        </w:rPr>
        <w:t xml:space="preserve">, J. C., Randrianarisoa, J., </w:t>
      </w:r>
      <w:proofErr w:type="spellStart"/>
      <w:r w:rsidRPr="007B332C">
        <w:rPr>
          <w:color w:val="000000"/>
        </w:rPr>
        <w:t>Ramanahadray</w:t>
      </w:r>
      <w:proofErr w:type="spellEnd"/>
      <w:r w:rsidRPr="007B332C">
        <w:rPr>
          <w:color w:val="000000"/>
        </w:rPr>
        <w:t xml:space="preserve">, S., </w:t>
      </w:r>
      <w:proofErr w:type="spellStart"/>
      <w:r w:rsidRPr="007B332C">
        <w:rPr>
          <w:color w:val="000000"/>
        </w:rPr>
        <w:t>Andriambolantsoa</w:t>
      </w:r>
      <w:proofErr w:type="spellEnd"/>
      <w:r w:rsidRPr="007B332C">
        <w:rPr>
          <w:color w:val="000000"/>
        </w:rPr>
        <w:t xml:space="preserve">, R., Razafimahatratra, H., </w:t>
      </w:r>
      <w:proofErr w:type="spellStart"/>
      <w:r w:rsidRPr="007B332C">
        <w:rPr>
          <w:color w:val="000000"/>
        </w:rPr>
        <w:t>Rabarijohn</w:t>
      </w:r>
      <w:proofErr w:type="spellEnd"/>
      <w:r w:rsidRPr="007B332C">
        <w:rPr>
          <w:color w:val="000000"/>
        </w:rPr>
        <w:t xml:space="preserve">, R. H., </w:t>
      </w:r>
      <w:proofErr w:type="spellStart"/>
      <w:r w:rsidRPr="007B332C">
        <w:rPr>
          <w:color w:val="000000"/>
        </w:rPr>
        <w:t>Rajaofara</w:t>
      </w:r>
      <w:proofErr w:type="spellEnd"/>
      <w:r w:rsidRPr="007B332C">
        <w:rPr>
          <w:color w:val="000000"/>
        </w:rPr>
        <w:t xml:space="preserve">, H., </w:t>
      </w:r>
      <w:proofErr w:type="spellStart"/>
      <w:r w:rsidRPr="007B332C">
        <w:rPr>
          <w:color w:val="000000"/>
        </w:rPr>
        <w:t>Rameson</w:t>
      </w:r>
      <w:proofErr w:type="spellEnd"/>
      <w:r w:rsidRPr="007B332C">
        <w:rPr>
          <w:color w:val="000000"/>
        </w:rPr>
        <w:t xml:space="preserve">, </w:t>
      </w:r>
      <w:proofErr w:type="spellStart"/>
      <w:proofErr w:type="gramStart"/>
      <w:r w:rsidRPr="007B332C">
        <w:rPr>
          <w:color w:val="000000"/>
        </w:rPr>
        <w:t>H.,MacKinnon</w:t>
      </w:r>
      <w:proofErr w:type="spellEnd"/>
      <w:proofErr w:type="gramEnd"/>
      <w:r w:rsidRPr="007B332C">
        <w:rPr>
          <w:color w:val="000000"/>
        </w:rPr>
        <w:t xml:space="preserve">, J. L. (2016). Strategies of smallholder farmers for coping with the impacts of cyclones: A case study from Madagascar. </w:t>
      </w:r>
      <w:r w:rsidRPr="007B332C">
        <w:rPr>
          <w:i/>
          <w:color w:val="000000"/>
        </w:rPr>
        <w:t>Sustain. Cities Soc.</w:t>
      </w:r>
      <w:r w:rsidRPr="007B332C">
        <w:rPr>
          <w:color w:val="000000"/>
        </w:rPr>
        <w:t xml:space="preserve"> 17, 114-122. </w:t>
      </w:r>
      <w:hyperlink r:id="rId77">
        <w:r w:rsidR="006012C1" w:rsidRPr="007B332C">
          <w:rPr>
            <w:color w:val="0563C1"/>
            <w:u w:val="single"/>
          </w:rPr>
          <w:t>https://doi.org/10.1016/j.ijdrr.2016.04.013</w:t>
        </w:r>
      </w:hyperlink>
      <w:r w:rsidRPr="007B332C">
        <w:rPr>
          <w:color w:val="000000"/>
        </w:rPr>
        <w:t xml:space="preserve"> </w:t>
      </w:r>
    </w:p>
    <w:p w14:paraId="5C8C01FA" w14:textId="77777777" w:rsidR="006012C1" w:rsidRPr="007B332C" w:rsidRDefault="00000000">
      <w:pPr>
        <w:pBdr>
          <w:top w:val="nil"/>
          <w:left w:val="nil"/>
          <w:bottom w:val="nil"/>
          <w:right w:val="nil"/>
          <w:between w:val="nil"/>
        </w:pBdr>
        <w:spacing w:after="0" w:line="240" w:lineRule="auto"/>
        <w:ind w:left="720" w:hanging="720"/>
        <w:jc w:val="both"/>
      </w:pPr>
      <w:proofErr w:type="spellStart"/>
      <w:r w:rsidRPr="007B332C">
        <w:rPr>
          <w:color w:val="000000"/>
        </w:rPr>
        <w:t>Randriamarolaza</w:t>
      </w:r>
      <w:proofErr w:type="spellEnd"/>
      <w:r w:rsidRPr="007B332C">
        <w:rPr>
          <w:color w:val="000000"/>
        </w:rPr>
        <w:t xml:space="preserve">, L.Y.A., Aguilar, E., </w:t>
      </w:r>
      <w:proofErr w:type="spellStart"/>
      <w:r w:rsidRPr="007B332C">
        <w:rPr>
          <w:color w:val="000000"/>
        </w:rPr>
        <w:t>Skrynyk</w:t>
      </w:r>
      <w:proofErr w:type="spellEnd"/>
      <w:r w:rsidRPr="007B332C">
        <w:rPr>
          <w:color w:val="000000"/>
        </w:rPr>
        <w:t xml:space="preserve">, O., Vicente-Serrano, S.M., Domínguez-Castro, F. (2022) Indices for daily temperature and precipitation in Madagascar, based on quality-controlled and homogenized data,1950–2018. </w:t>
      </w:r>
      <w:r w:rsidRPr="007B332C">
        <w:rPr>
          <w:i/>
          <w:color w:val="000000"/>
        </w:rPr>
        <w:t xml:space="preserve">Int. J. </w:t>
      </w:r>
      <w:proofErr w:type="spellStart"/>
      <w:r w:rsidRPr="007B332C">
        <w:rPr>
          <w:i/>
          <w:color w:val="000000"/>
        </w:rPr>
        <w:t>Climatol</w:t>
      </w:r>
      <w:proofErr w:type="spellEnd"/>
      <w:r w:rsidRPr="007B332C">
        <w:rPr>
          <w:i/>
          <w:color w:val="000000"/>
        </w:rPr>
        <w:t>.</w:t>
      </w:r>
      <w:r w:rsidRPr="007B332C">
        <w:rPr>
          <w:color w:val="000000"/>
        </w:rPr>
        <w:t xml:space="preserve">, 42(1), 265–288. </w:t>
      </w:r>
      <w:hyperlink r:id="rId78">
        <w:r w:rsidR="006012C1" w:rsidRPr="007B332C">
          <w:rPr>
            <w:color w:val="1155CC"/>
            <w:u w:val="single"/>
          </w:rPr>
          <w:t>https://doi.org/10.1002/joc.7243</w:t>
        </w:r>
      </w:hyperlink>
    </w:p>
    <w:p w14:paraId="0234C7E3"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Robert, B., 2000. Dumping in dixie: race, class and environmental quality. Westview press, New York, US. 2000. </w:t>
      </w:r>
      <w:hyperlink r:id="rId79">
        <w:r w:rsidR="006012C1" w:rsidRPr="007B332C">
          <w:rPr>
            <w:color w:val="0563C1"/>
            <w:u w:val="single"/>
          </w:rPr>
          <w:t>https://doi.org/10.4324/9780429495274</w:t>
        </w:r>
      </w:hyperlink>
      <w:r w:rsidRPr="007B332C">
        <w:rPr>
          <w:color w:val="000000"/>
        </w:rPr>
        <w:t>.</w:t>
      </w:r>
    </w:p>
    <w:p w14:paraId="3DE510CE" w14:textId="77777777" w:rsidR="006012C1" w:rsidRPr="007B332C" w:rsidRDefault="00000000">
      <w:pPr>
        <w:pBdr>
          <w:top w:val="nil"/>
          <w:left w:val="nil"/>
          <w:bottom w:val="nil"/>
          <w:right w:val="nil"/>
          <w:between w:val="nil"/>
        </w:pBdr>
        <w:spacing w:after="0" w:line="240" w:lineRule="auto"/>
        <w:ind w:left="720" w:hanging="720"/>
        <w:jc w:val="both"/>
      </w:pPr>
      <w:proofErr w:type="spellStart"/>
      <w:r w:rsidRPr="007B332C">
        <w:rPr>
          <w:color w:val="000000"/>
        </w:rPr>
        <w:t>Rigolon</w:t>
      </w:r>
      <w:proofErr w:type="spellEnd"/>
      <w:r w:rsidRPr="007B332C">
        <w:rPr>
          <w:color w:val="000000"/>
        </w:rPr>
        <w:t xml:space="preserve">, A., </w:t>
      </w:r>
      <w:proofErr w:type="spellStart"/>
      <w:r w:rsidRPr="007B332C">
        <w:rPr>
          <w:color w:val="000000"/>
        </w:rPr>
        <w:t>Ya˜nez</w:t>
      </w:r>
      <w:proofErr w:type="spellEnd"/>
      <w:r w:rsidRPr="007B332C">
        <w:rPr>
          <w:color w:val="000000"/>
        </w:rPr>
        <w:t xml:space="preserve">, E., </w:t>
      </w:r>
      <w:proofErr w:type="spellStart"/>
      <w:r w:rsidRPr="007B332C">
        <w:rPr>
          <w:color w:val="000000"/>
        </w:rPr>
        <w:t>Aboelata</w:t>
      </w:r>
      <w:proofErr w:type="spellEnd"/>
      <w:r w:rsidRPr="007B332C">
        <w:rPr>
          <w:color w:val="000000"/>
        </w:rPr>
        <w:t xml:space="preserve">, M.J., Bennett, R., 2022. A park is not just a park: toward counter-narratives to advance equitable green space policy in the United States. </w:t>
      </w:r>
      <w:r w:rsidRPr="007B332C">
        <w:rPr>
          <w:i/>
          <w:color w:val="000000"/>
        </w:rPr>
        <w:t>Cities</w:t>
      </w:r>
      <w:r w:rsidRPr="007B332C">
        <w:rPr>
          <w:color w:val="000000"/>
        </w:rPr>
        <w:t xml:space="preserve">, 128, 103792. </w:t>
      </w:r>
      <w:hyperlink r:id="rId80">
        <w:r w:rsidR="006012C1" w:rsidRPr="007B332C">
          <w:rPr>
            <w:color w:val="0563C1"/>
            <w:u w:val="single"/>
          </w:rPr>
          <w:t>https://doi.org/10.1016/j.cities.2022.103792</w:t>
        </w:r>
      </w:hyperlink>
      <w:r w:rsidRPr="007B332C">
        <w:rPr>
          <w:color w:val="000000"/>
        </w:rPr>
        <w:t>.</w:t>
      </w:r>
    </w:p>
    <w:p w14:paraId="17C2714D" w14:textId="77777777"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lastRenderedPageBreak/>
        <w:t xml:space="preserve">Sakamoto, K., Iida, A., </w:t>
      </w:r>
      <w:proofErr w:type="spellStart"/>
      <w:r w:rsidRPr="007B332C">
        <w:rPr>
          <w:color w:val="000000"/>
        </w:rPr>
        <w:t>Yokohari</w:t>
      </w:r>
      <w:proofErr w:type="spellEnd"/>
      <w:r w:rsidRPr="007B332C">
        <w:rPr>
          <w:color w:val="000000"/>
        </w:rPr>
        <w:t xml:space="preserve">, M., 2018. Spatial patterns of population turnover in a Japanese Regional City for urban regeneration against population decline: is compact City policy effective? </w:t>
      </w:r>
      <w:r w:rsidRPr="007B332C">
        <w:rPr>
          <w:i/>
          <w:color w:val="000000"/>
        </w:rPr>
        <w:t>Cities</w:t>
      </w:r>
      <w:r w:rsidRPr="007B332C">
        <w:rPr>
          <w:color w:val="000000"/>
        </w:rPr>
        <w:t xml:space="preserve">, 81, 230–241. </w:t>
      </w:r>
      <w:hyperlink r:id="rId81">
        <w:r w:rsidR="006012C1" w:rsidRPr="007B332C">
          <w:rPr>
            <w:color w:val="0563C1"/>
            <w:u w:val="single"/>
          </w:rPr>
          <w:t>https://doi.org/10.1016/j.cities.2018.04.012</w:t>
        </w:r>
      </w:hyperlink>
    </w:p>
    <w:p w14:paraId="198165E0" w14:textId="77777777" w:rsidR="006012C1" w:rsidRPr="007B332C" w:rsidRDefault="00000000">
      <w:pPr>
        <w:pBdr>
          <w:top w:val="nil"/>
          <w:left w:val="nil"/>
          <w:bottom w:val="nil"/>
          <w:right w:val="nil"/>
          <w:between w:val="nil"/>
        </w:pBdr>
        <w:spacing w:after="0" w:line="240" w:lineRule="auto"/>
        <w:ind w:left="720" w:hanging="720"/>
        <w:jc w:val="both"/>
      </w:pPr>
      <w:proofErr w:type="spellStart"/>
      <w:r w:rsidRPr="007B332C">
        <w:t>Sandholz</w:t>
      </w:r>
      <w:proofErr w:type="spellEnd"/>
      <w:r w:rsidRPr="007B332C">
        <w:t xml:space="preserve">, S., Sett, D., Greco, A., </w:t>
      </w:r>
      <w:proofErr w:type="spellStart"/>
      <w:r w:rsidRPr="007B332C">
        <w:t>Wannewitz</w:t>
      </w:r>
      <w:proofErr w:type="spellEnd"/>
      <w:r w:rsidRPr="007B332C">
        <w:t xml:space="preserve">, M., </w:t>
      </w:r>
      <w:proofErr w:type="spellStart"/>
      <w:r w:rsidRPr="007B332C">
        <w:t>Garschagen</w:t>
      </w:r>
      <w:proofErr w:type="spellEnd"/>
      <w:r w:rsidRPr="007B332C">
        <w:t xml:space="preserve">, M., (2021). Rethinking urban heat stress: Assessing risk and adaptation options across socioeconomic groups in Bonn, Germany. Urban Clim., 37, 100857. </w:t>
      </w:r>
      <w:hyperlink r:id="rId82">
        <w:r w:rsidR="006012C1" w:rsidRPr="007B332C">
          <w:rPr>
            <w:color w:val="0563C1"/>
            <w:u w:val="single"/>
          </w:rPr>
          <w:t>https://doi.org/10.1016/j.uclim.2021.100857</w:t>
        </w:r>
      </w:hyperlink>
    </w:p>
    <w:p w14:paraId="142E001E" w14:textId="77777777"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Song, Y., Chen, B., Ho, H.C., Kwan, M., Liu, D., Wang, F., Wang, J., Cai, J., Li, X., Xu, Y., He, Q., Wang, H., Xu, Q., Song, Y. (2021). Observed inequality in urban greenspace exposure in China. </w:t>
      </w:r>
      <w:r w:rsidRPr="007B332C">
        <w:rPr>
          <w:i/>
          <w:color w:val="000000"/>
        </w:rPr>
        <w:t>Environ. Int.</w:t>
      </w:r>
      <w:r w:rsidRPr="007B332C">
        <w:rPr>
          <w:color w:val="000000"/>
        </w:rPr>
        <w:t xml:space="preserve">, 156, 106778. </w:t>
      </w:r>
      <w:hyperlink r:id="rId83">
        <w:r w:rsidR="006012C1" w:rsidRPr="007B332C">
          <w:rPr>
            <w:color w:val="0563C1"/>
            <w:u w:val="single"/>
          </w:rPr>
          <w:t>https://doi.org/10.1016/j.envint.2021.106778</w:t>
        </w:r>
      </w:hyperlink>
    </w:p>
    <w:p w14:paraId="43C74C26" w14:textId="77777777" w:rsidR="006012C1" w:rsidRPr="007B332C" w:rsidRDefault="00000000">
      <w:pPr>
        <w:pBdr>
          <w:top w:val="nil"/>
          <w:left w:val="nil"/>
          <w:bottom w:val="nil"/>
          <w:right w:val="nil"/>
          <w:between w:val="nil"/>
        </w:pBdr>
        <w:spacing w:after="0" w:line="240" w:lineRule="auto"/>
        <w:ind w:left="720" w:hanging="720"/>
        <w:jc w:val="both"/>
      </w:pPr>
      <w:proofErr w:type="spellStart"/>
      <w:r w:rsidRPr="007B332C">
        <w:rPr>
          <w:color w:val="000000"/>
        </w:rPr>
        <w:t>Stessens</w:t>
      </w:r>
      <w:proofErr w:type="spellEnd"/>
      <w:r w:rsidRPr="007B332C">
        <w:rPr>
          <w:color w:val="000000"/>
        </w:rPr>
        <w:t xml:space="preserve">, P., </w:t>
      </w:r>
      <w:proofErr w:type="spellStart"/>
      <w:proofErr w:type="gramStart"/>
      <w:r w:rsidRPr="007B332C">
        <w:rPr>
          <w:color w:val="000000"/>
        </w:rPr>
        <w:t>Canters,F</w:t>
      </w:r>
      <w:proofErr w:type="spellEnd"/>
      <w:r w:rsidRPr="007B332C">
        <w:rPr>
          <w:color w:val="000000"/>
        </w:rPr>
        <w:t>.</w:t>
      </w:r>
      <w:proofErr w:type="gramEnd"/>
      <w:r w:rsidRPr="007B332C">
        <w:rPr>
          <w:color w:val="000000"/>
        </w:rPr>
        <w:t>, Huysmans, M., Khan, A.Z., (2020). Urban green space qualities: An integrated approach towards GIS-based assessment reflecting user perception.</w:t>
      </w:r>
      <w:r w:rsidRPr="007B332C">
        <w:rPr>
          <w:i/>
          <w:color w:val="000000"/>
        </w:rPr>
        <w:t xml:space="preserve"> Land Use Policy</w:t>
      </w:r>
      <w:r w:rsidRPr="007B332C">
        <w:rPr>
          <w:color w:val="000000"/>
        </w:rPr>
        <w:t xml:space="preserve">, 2020, 91, 104319. </w:t>
      </w:r>
      <w:hyperlink r:id="rId84">
        <w:r w:rsidR="006012C1" w:rsidRPr="007B332C">
          <w:rPr>
            <w:color w:val="1155CC"/>
            <w:u w:val="single"/>
          </w:rPr>
          <w:t>https://doi.org/10.1016/j.landusepol.2019.104319</w:t>
        </w:r>
      </w:hyperlink>
    </w:p>
    <w:p w14:paraId="4FC1320F"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Trust for Public Land Policy, (2022). Which city is best for parks? </w:t>
      </w:r>
      <w:hyperlink r:id="rId85">
        <w:r w:rsidR="006012C1" w:rsidRPr="007B332C">
          <w:rPr>
            <w:color w:val="0563C1"/>
            <w:u w:val="single"/>
          </w:rPr>
          <w:t>https://www.tpl.org/parkscore</w:t>
        </w:r>
      </w:hyperlink>
      <w:r w:rsidRPr="007B332C">
        <w:rPr>
          <w:color w:val="000000"/>
        </w:rPr>
        <w:t>, 2024 (accessed 14 November 2024)</w:t>
      </w:r>
    </w:p>
    <w:p w14:paraId="41AA44A3"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United Nations, (2015). Sustainable Development Goals - global goals 2030. New York, US. 2015. </w:t>
      </w:r>
      <w:hyperlink r:id="rId86">
        <w:r w:rsidR="006012C1" w:rsidRPr="007B332C">
          <w:rPr>
            <w:color w:val="0563C1"/>
            <w:u w:val="single"/>
          </w:rPr>
          <w:t>https://sdgs.un.org/goals</w:t>
        </w:r>
      </w:hyperlink>
      <w:r w:rsidRPr="007B332C">
        <w:rPr>
          <w:color w:val="000000"/>
        </w:rPr>
        <w:t>, 2024 (accessed 14 November 2024).</w:t>
      </w:r>
    </w:p>
    <w:p w14:paraId="3C17FD3A"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United Nation, (2017a). Drivers of migration and urbanization in Africa: key trends and issues. </w:t>
      </w:r>
      <w:hyperlink r:id="rId87">
        <w:r w:rsidR="006012C1" w:rsidRPr="007B332C">
          <w:rPr>
            <w:color w:val="1155CC"/>
            <w:u w:val="single"/>
          </w:rPr>
          <w:t>https://www.un.org/development/desa/pd/sites/www.un.org.development.desa.pd/files/unpd_egm_201709_s3_paper-awunbila-final.pdf</w:t>
        </w:r>
      </w:hyperlink>
      <w:r w:rsidRPr="007B332C">
        <w:rPr>
          <w:color w:val="000000"/>
        </w:rPr>
        <w:t>, 2024 (accessed 14 November 2024)</w:t>
      </w:r>
    </w:p>
    <w:p w14:paraId="7F5A7601"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United Nations, (2017b). New Urban Agenda. UN Habitat III Secretariat. Quito, Ecuador. 2016. </w:t>
      </w:r>
      <w:hyperlink r:id="rId88">
        <w:r w:rsidR="006012C1" w:rsidRPr="007B332C">
          <w:rPr>
            <w:color w:val="0563C1"/>
            <w:u w:val="single"/>
          </w:rPr>
          <w:t>https://habitat3.org/wp-content/uploads/NUA-English.pdf</w:t>
        </w:r>
      </w:hyperlink>
      <w:r w:rsidRPr="007B332C">
        <w:rPr>
          <w:color w:val="000000"/>
        </w:rPr>
        <w:t>, 2024 (accessed 14 November 2024)</w:t>
      </w:r>
    </w:p>
    <w:p w14:paraId="4C6DFFB2" w14:textId="4F92565A"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United Nations, Department of Economic and Social Affairs (2019). World Population Prospects 2019: highlights. </w:t>
      </w:r>
      <w:hyperlink r:id="rId89">
        <w:r w:rsidR="006012C1" w:rsidRPr="007B332C">
          <w:rPr>
            <w:color w:val="0563C1"/>
            <w:u w:val="single"/>
          </w:rPr>
          <w:t>https://population.un.org/wpp/Publications/Files/WPP2019_Highlights.pdf</w:t>
        </w:r>
      </w:hyperlink>
      <w:r w:rsidRPr="007B332C">
        <w:rPr>
          <w:color w:val="000000"/>
        </w:rPr>
        <w:t xml:space="preserve">, 2024 (accessed 14 November 2024) </w:t>
      </w:r>
    </w:p>
    <w:p w14:paraId="32F728E8" w14:textId="785B8728"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United Nations, Department of Economic and Social Affairs (2018). The World's Cities in 2018. World’s Cities 2018 - Data Booklet. </w:t>
      </w:r>
      <w:hyperlink r:id="rId90">
        <w:r w:rsidR="006012C1" w:rsidRPr="007B332C">
          <w:rPr>
            <w:color w:val="0563C1"/>
            <w:u w:val="single"/>
          </w:rPr>
          <w:t>https://www.un.org/development/desa/pd/content/worlds-cities-2018-data-booklet</w:t>
        </w:r>
      </w:hyperlink>
      <w:r w:rsidRPr="007B332C">
        <w:rPr>
          <w:color w:val="000000"/>
        </w:rPr>
        <w:t>, 2024 (accessed 14 November 2024)</w:t>
      </w:r>
    </w:p>
    <w:p w14:paraId="4EE90C92" w14:textId="77777777"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United Nations Environment Programme (UNEP) (2021). Adaptation Gap Report 2021: The gathering storm – Adapting to climate change in a post-pandemic world. </w:t>
      </w:r>
      <w:hyperlink r:id="rId91">
        <w:r w:rsidR="006012C1" w:rsidRPr="007B332C">
          <w:rPr>
            <w:color w:val="0563C1"/>
            <w:u w:val="single"/>
          </w:rPr>
          <w:t>https://www.unep.org/resources/adaptation-gap-report-2021</w:t>
        </w:r>
      </w:hyperlink>
      <w:r w:rsidRPr="007B332C">
        <w:rPr>
          <w:color w:val="000000"/>
        </w:rPr>
        <w:t>, 2024 (accessed 14 November 2024)</w:t>
      </w:r>
    </w:p>
    <w:p w14:paraId="5D941108" w14:textId="77777777"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Wang, J., Xu, C., </w:t>
      </w:r>
      <w:proofErr w:type="spellStart"/>
      <w:r w:rsidRPr="007B332C">
        <w:rPr>
          <w:color w:val="000000"/>
        </w:rPr>
        <w:t>Pauleit</w:t>
      </w:r>
      <w:proofErr w:type="spellEnd"/>
      <w:r w:rsidRPr="007B332C">
        <w:rPr>
          <w:color w:val="000000"/>
        </w:rPr>
        <w:t xml:space="preserve">, S., Kindler, A., Banzhaf, E. (2019). Spatial patterns of urban green infrastructure for equity: A novel exploration. </w:t>
      </w:r>
      <w:r w:rsidRPr="007B332C">
        <w:rPr>
          <w:i/>
          <w:color w:val="000000"/>
        </w:rPr>
        <w:t xml:space="preserve">J. Clean. Prod. </w:t>
      </w:r>
      <w:r w:rsidRPr="007B332C">
        <w:rPr>
          <w:color w:val="000000"/>
        </w:rPr>
        <w:t xml:space="preserve">238, 117858. </w:t>
      </w:r>
      <w:hyperlink r:id="rId92">
        <w:r w:rsidR="006012C1" w:rsidRPr="007B332C">
          <w:rPr>
            <w:color w:val="0563C1"/>
            <w:u w:val="single"/>
          </w:rPr>
          <w:t>https://doi.org/10.1016/j.jclepro.2019.117858</w:t>
        </w:r>
      </w:hyperlink>
      <w:r w:rsidRPr="007B332C">
        <w:rPr>
          <w:color w:val="000000"/>
        </w:rPr>
        <w:t>.</w:t>
      </w:r>
    </w:p>
    <w:p w14:paraId="145E5180" w14:textId="77777777" w:rsidR="006012C1" w:rsidRPr="007B332C" w:rsidRDefault="00000000">
      <w:pPr>
        <w:pBdr>
          <w:top w:val="nil"/>
          <w:left w:val="nil"/>
          <w:bottom w:val="nil"/>
          <w:right w:val="nil"/>
          <w:between w:val="nil"/>
        </w:pBdr>
        <w:spacing w:after="0" w:line="240" w:lineRule="auto"/>
        <w:ind w:left="720" w:hanging="720"/>
        <w:jc w:val="both"/>
      </w:pPr>
      <w:r w:rsidRPr="007B332C">
        <w:t xml:space="preserve">Wang, Y., Yin, L., Dong, Q., Fei, F., Yao, Wang, Sun, J., Jiang, Z., (2024). From thermal demand characterization to accurate evaluation: Exploring seasonal differences in outdoor thermal comfort of the elderly in China's communities. Urban Clim., 58, 102220. </w:t>
      </w:r>
      <w:hyperlink r:id="rId93">
        <w:r w:rsidR="006012C1" w:rsidRPr="007B332C">
          <w:rPr>
            <w:color w:val="0563C1"/>
            <w:u w:val="single"/>
          </w:rPr>
          <w:t>https://doi.org/10.1016/j.uclim.2024.102220</w:t>
        </w:r>
      </w:hyperlink>
    </w:p>
    <w:p w14:paraId="01695D11" w14:textId="77777777"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World Bank, (2020). Support to Madagascar Urban Land Policy: Towards an Urban Land Reform in Madagascar? </w:t>
      </w:r>
      <w:hyperlink r:id="rId94">
        <w:r w:rsidR="006012C1" w:rsidRPr="007B332C">
          <w:rPr>
            <w:color w:val="0563C1"/>
            <w:u w:val="single"/>
          </w:rPr>
          <w:t>https://documents.worldbank.org/curated/en/517211592452939643/pdf/Towards-an-Urban-Land-Reform-in-Madagascar-Support-to-Urban-Land-Policy.pdf</w:t>
        </w:r>
      </w:hyperlink>
      <w:r w:rsidRPr="007B332C">
        <w:rPr>
          <w:color w:val="000000"/>
        </w:rPr>
        <w:t>, 2024 (accessed 14 November 2024)</w:t>
      </w:r>
    </w:p>
    <w:p w14:paraId="4224062E" w14:textId="77777777" w:rsidR="006012C1" w:rsidRPr="007B332C" w:rsidRDefault="00000000">
      <w:pPr>
        <w:pBdr>
          <w:top w:val="nil"/>
          <w:left w:val="nil"/>
          <w:bottom w:val="nil"/>
          <w:right w:val="nil"/>
          <w:between w:val="nil"/>
        </w:pBdr>
        <w:spacing w:after="0" w:line="240" w:lineRule="auto"/>
        <w:ind w:left="720" w:hanging="720"/>
        <w:jc w:val="both"/>
        <w:rPr>
          <w:color w:val="000000"/>
        </w:rPr>
      </w:pPr>
      <w:proofErr w:type="spellStart"/>
      <w:r w:rsidRPr="007B332C">
        <w:rPr>
          <w:color w:val="000000"/>
        </w:rPr>
        <w:t>WorldPop</w:t>
      </w:r>
      <w:proofErr w:type="spellEnd"/>
      <w:r w:rsidRPr="007B332C">
        <w:rPr>
          <w:color w:val="000000"/>
        </w:rPr>
        <w:t xml:space="preserve">, (2020). Unconstrained individual countries population data 2000-2020 UN adjusted (100m resolution) [dataset]. </w:t>
      </w:r>
      <w:hyperlink r:id="rId95">
        <w:r w:rsidR="006012C1" w:rsidRPr="007B332C">
          <w:rPr>
            <w:color w:val="1155CC"/>
            <w:u w:val="single"/>
          </w:rPr>
          <w:t>https://hub.worldpop.org/geodata/listing?id=69</w:t>
        </w:r>
      </w:hyperlink>
      <w:r w:rsidRPr="007B332C">
        <w:rPr>
          <w:color w:val="000000"/>
        </w:rPr>
        <w:t xml:space="preserve">. </w:t>
      </w:r>
    </w:p>
    <w:p w14:paraId="5F080811" w14:textId="77777777" w:rsidR="006012C1" w:rsidRPr="007B332C" w:rsidRDefault="00000000">
      <w:pPr>
        <w:pBdr>
          <w:top w:val="nil"/>
          <w:left w:val="nil"/>
          <w:bottom w:val="nil"/>
          <w:right w:val="nil"/>
          <w:between w:val="nil"/>
        </w:pBdr>
        <w:spacing w:after="0" w:line="240" w:lineRule="auto"/>
        <w:ind w:left="720" w:hanging="720"/>
        <w:jc w:val="both"/>
        <w:rPr>
          <w:color w:val="000000"/>
        </w:rPr>
      </w:pPr>
      <w:bookmarkStart w:id="8" w:name="_heading=h.3dy6vkm" w:colFirst="0" w:colLast="0"/>
      <w:bookmarkEnd w:id="8"/>
      <w:r w:rsidRPr="007B332C">
        <w:rPr>
          <w:color w:val="000000"/>
        </w:rPr>
        <w:t xml:space="preserve">Wong, N.H., Tan, C.L., </w:t>
      </w:r>
      <w:proofErr w:type="spellStart"/>
      <w:r w:rsidRPr="007B332C">
        <w:rPr>
          <w:color w:val="000000"/>
        </w:rPr>
        <w:t>Kolokotsa</w:t>
      </w:r>
      <w:proofErr w:type="spellEnd"/>
      <w:r w:rsidRPr="007B332C">
        <w:rPr>
          <w:color w:val="000000"/>
        </w:rPr>
        <w:t xml:space="preserve">, D.D., </w:t>
      </w:r>
      <w:proofErr w:type="spellStart"/>
      <w:r w:rsidRPr="007B332C">
        <w:rPr>
          <w:color w:val="000000"/>
        </w:rPr>
        <w:t>Takebayashi</w:t>
      </w:r>
      <w:proofErr w:type="spellEnd"/>
      <w:r w:rsidRPr="007B332C">
        <w:rPr>
          <w:color w:val="000000"/>
        </w:rPr>
        <w:t>, H. (2021). Greenery as a mitigation and adaptation strategy to urban heat. </w:t>
      </w:r>
      <w:r w:rsidRPr="007B332C">
        <w:rPr>
          <w:i/>
          <w:color w:val="000000"/>
        </w:rPr>
        <w:t>Nat Rev Earth Environ</w:t>
      </w:r>
      <w:r w:rsidRPr="007B332C">
        <w:rPr>
          <w:color w:val="000000"/>
        </w:rPr>
        <w:t xml:space="preserve">, 2, 166–181. </w:t>
      </w:r>
      <w:hyperlink r:id="rId96">
        <w:r w:rsidR="006012C1" w:rsidRPr="007B332C">
          <w:rPr>
            <w:color w:val="0563C1"/>
            <w:u w:val="single"/>
          </w:rPr>
          <w:t>https://doi.org/10.1038/s43017-020-00129-5</w:t>
        </w:r>
      </w:hyperlink>
      <w:r w:rsidRPr="007B332C">
        <w:rPr>
          <w:color w:val="000000"/>
        </w:rPr>
        <w:t>.</w:t>
      </w:r>
    </w:p>
    <w:p w14:paraId="2C7104F4" w14:textId="77777777" w:rsidR="007B332C" w:rsidRDefault="00000000">
      <w:pPr>
        <w:pBdr>
          <w:top w:val="nil"/>
          <w:left w:val="nil"/>
          <w:bottom w:val="nil"/>
          <w:right w:val="nil"/>
          <w:between w:val="nil"/>
        </w:pBdr>
        <w:spacing w:after="0" w:line="240" w:lineRule="auto"/>
        <w:ind w:left="720" w:hanging="720"/>
        <w:jc w:val="both"/>
      </w:pPr>
      <w:bookmarkStart w:id="9" w:name="_heading=h.s77w7422tsk7" w:colFirst="0" w:colLast="0"/>
      <w:bookmarkEnd w:id="9"/>
      <w:proofErr w:type="spellStart"/>
      <w:proofErr w:type="gramStart"/>
      <w:r w:rsidRPr="007B332C">
        <w:rPr>
          <w:color w:val="000000"/>
        </w:rPr>
        <w:lastRenderedPageBreak/>
        <w:t>Wu,Y.H</w:t>
      </w:r>
      <w:proofErr w:type="spellEnd"/>
      <w:r w:rsidRPr="007B332C">
        <w:rPr>
          <w:color w:val="000000"/>
        </w:rPr>
        <w:t>.</w:t>
      </w:r>
      <w:proofErr w:type="gramEnd"/>
      <w:r w:rsidRPr="007B332C">
        <w:rPr>
          <w:color w:val="000000"/>
        </w:rPr>
        <w:t xml:space="preserve">, </w:t>
      </w:r>
      <w:proofErr w:type="spellStart"/>
      <w:r w:rsidRPr="007B332C">
        <w:rPr>
          <w:color w:val="000000"/>
        </w:rPr>
        <w:t>Patuano</w:t>
      </w:r>
      <w:proofErr w:type="spellEnd"/>
      <w:r w:rsidRPr="007B332C">
        <w:rPr>
          <w:color w:val="000000"/>
        </w:rPr>
        <w:t xml:space="preserve">, A., Mashhoodi, B., </w:t>
      </w:r>
      <w:proofErr w:type="spellStart"/>
      <w:r w:rsidRPr="007B332C">
        <w:rPr>
          <w:color w:val="000000"/>
        </w:rPr>
        <w:t>Lenzholzer</w:t>
      </w:r>
      <w:proofErr w:type="spellEnd"/>
      <w:r w:rsidRPr="007B332C">
        <w:rPr>
          <w:color w:val="000000"/>
        </w:rPr>
        <w:t xml:space="preserve">, S., Acred, A., Zertuche, L.N. (2025). </w:t>
      </w:r>
      <w:proofErr w:type="gramStart"/>
      <w:r w:rsidRPr="007B332C">
        <w:rPr>
          <w:color w:val="000000"/>
        </w:rPr>
        <w:t>How</w:t>
      </w:r>
      <w:proofErr w:type="gramEnd"/>
      <w:r w:rsidRPr="007B332C">
        <w:rPr>
          <w:color w:val="000000"/>
        </w:rPr>
        <w:t xml:space="preserve"> small green spaces cool urban neighbourhoods: Optimising distribution, size and shape. </w:t>
      </w:r>
      <w:proofErr w:type="spellStart"/>
      <w:r w:rsidRPr="007B332C">
        <w:rPr>
          <w:i/>
          <w:color w:val="000000"/>
        </w:rPr>
        <w:t>Landsc</w:t>
      </w:r>
      <w:proofErr w:type="spellEnd"/>
      <w:r w:rsidRPr="007B332C">
        <w:rPr>
          <w:i/>
          <w:color w:val="000000"/>
        </w:rPr>
        <w:t>. Urban Plann.</w:t>
      </w:r>
      <w:r w:rsidRPr="007B332C">
        <w:rPr>
          <w:color w:val="000000"/>
        </w:rPr>
        <w:t>, 2025, 253, 105224.</w:t>
      </w:r>
      <w:hyperlink r:id="rId97">
        <w:r w:rsidR="006012C1" w:rsidRPr="007B332C">
          <w:rPr>
            <w:color w:val="1155CC"/>
            <w:u w:val="single"/>
          </w:rPr>
          <w:t>https://doi.org/10.1016/j.landurbplan.2024.105224</w:t>
        </w:r>
      </w:hyperlink>
    </w:p>
    <w:p w14:paraId="73F8EDDD" w14:textId="0E173C4D" w:rsidR="00946B2D" w:rsidRPr="007B332C" w:rsidRDefault="00946B2D">
      <w:pPr>
        <w:pBdr>
          <w:top w:val="nil"/>
          <w:left w:val="nil"/>
          <w:bottom w:val="nil"/>
          <w:right w:val="nil"/>
          <w:between w:val="nil"/>
        </w:pBdr>
        <w:spacing w:after="0" w:line="240" w:lineRule="auto"/>
        <w:ind w:left="720" w:hanging="720"/>
        <w:jc w:val="both"/>
        <w:rPr>
          <w:color w:val="000000"/>
        </w:rPr>
      </w:pPr>
      <w:proofErr w:type="spellStart"/>
      <w:r w:rsidRPr="007B332C">
        <w:rPr>
          <w:color w:val="000000"/>
        </w:rPr>
        <w:t>Wüstemann</w:t>
      </w:r>
      <w:proofErr w:type="spellEnd"/>
      <w:r w:rsidRPr="007B332C">
        <w:rPr>
          <w:color w:val="000000"/>
        </w:rPr>
        <w:t xml:space="preserve">, H., Kalisch, D., and Kolbe, J. (2017). Access to urban green space and environmental inequalities in Germany. Landscape and Urban Planning, 164, 124–131. https://doi.org/10.1016/j.landurbplan.2017.04.002 </w:t>
      </w:r>
    </w:p>
    <w:p w14:paraId="3CF6F601" w14:textId="5BB61964"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Xavier G. (2012). Le defi </w:t>
      </w:r>
      <w:proofErr w:type="spellStart"/>
      <w:r w:rsidRPr="007B332C">
        <w:rPr>
          <w:color w:val="000000"/>
        </w:rPr>
        <w:t>urbain</w:t>
      </w:r>
      <w:proofErr w:type="spellEnd"/>
      <w:r w:rsidRPr="007B332C">
        <w:rPr>
          <w:color w:val="000000"/>
        </w:rPr>
        <w:t xml:space="preserve"> à Madagascar. </w:t>
      </w:r>
      <w:hyperlink r:id="rId98">
        <w:r w:rsidR="006012C1" w:rsidRPr="007B332C">
          <w:rPr>
            <w:color w:val="1155CC"/>
            <w:u w:val="single"/>
          </w:rPr>
          <w:t>https://www.researchgate.net/publication/335422149</w:t>
        </w:r>
      </w:hyperlink>
    </w:p>
    <w:p w14:paraId="6948549C" w14:textId="77777777"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Yan, H. &amp; Dong, L. (2015). The impacts of land cover types on urban outdoor thermal environment: The case of Beijing, China. </w:t>
      </w:r>
      <w:r w:rsidRPr="007B332C">
        <w:rPr>
          <w:i/>
          <w:color w:val="000000"/>
        </w:rPr>
        <w:t>J. Environ. Health Sci. Eng.,</w:t>
      </w:r>
      <w:r w:rsidRPr="007B332C">
        <w:rPr>
          <w:color w:val="000000"/>
        </w:rPr>
        <w:t xml:space="preserve"> 13, 43. </w:t>
      </w:r>
      <w:hyperlink r:id="rId99">
        <w:r w:rsidR="006012C1" w:rsidRPr="007B332C">
          <w:rPr>
            <w:color w:val="0563C1"/>
            <w:u w:val="single"/>
          </w:rPr>
          <w:t>https://doi.org/10.1186/s40201-015-0204-6</w:t>
        </w:r>
      </w:hyperlink>
    </w:p>
    <w:p w14:paraId="16E2D31E" w14:textId="77777777" w:rsidR="006012C1" w:rsidRPr="007B332C" w:rsidRDefault="00000000">
      <w:pPr>
        <w:pBdr>
          <w:top w:val="nil"/>
          <w:left w:val="nil"/>
          <w:bottom w:val="nil"/>
          <w:right w:val="nil"/>
          <w:between w:val="nil"/>
        </w:pBdr>
        <w:spacing w:after="0" w:line="240" w:lineRule="auto"/>
        <w:ind w:left="720" w:hanging="720"/>
        <w:jc w:val="both"/>
      </w:pPr>
      <w:r w:rsidRPr="007B332C">
        <w:rPr>
          <w:color w:val="000000"/>
        </w:rPr>
        <w:t xml:space="preserve">Yang, J., et al. (2020). Characterizing the spatial and temporal variation of the land surface temperature hotspots in Wuhan from a local scale. </w:t>
      </w:r>
      <w:r w:rsidRPr="007B332C">
        <w:rPr>
          <w:i/>
          <w:color w:val="000000"/>
        </w:rPr>
        <w:t xml:space="preserve">Geo-spat. Inf. Sci. </w:t>
      </w:r>
      <w:r w:rsidRPr="007B332C">
        <w:rPr>
          <w:color w:val="000000"/>
        </w:rPr>
        <w:t xml:space="preserve">23, 327–340. </w:t>
      </w:r>
      <w:hyperlink r:id="rId100">
        <w:r w:rsidR="006012C1" w:rsidRPr="007B332C">
          <w:rPr>
            <w:color w:val="0563C1"/>
            <w:u w:val="single"/>
          </w:rPr>
          <w:t>https://doi.org/10.1080/10095020.2020.1834882</w:t>
        </w:r>
      </w:hyperlink>
      <w:r w:rsidRPr="007B332C">
        <w:rPr>
          <w:color w:val="000000"/>
        </w:rPr>
        <w:t>.</w:t>
      </w:r>
    </w:p>
    <w:p w14:paraId="16C9F5B3" w14:textId="77777777" w:rsidR="006012C1" w:rsidRPr="007B332C" w:rsidRDefault="00000000">
      <w:pPr>
        <w:pBdr>
          <w:top w:val="nil"/>
          <w:left w:val="nil"/>
          <w:bottom w:val="nil"/>
          <w:right w:val="nil"/>
          <w:between w:val="nil"/>
        </w:pBdr>
        <w:spacing w:after="0" w:line="240" w:lineRule="auto"/>
        <w:ind w:left="720" w:hanging="720"/>
        <w:jc w:val="both"/>
        <w:rPr>
          <w:color w:val="0563C1"/>
          <w:u w:val="single"/>
        </w:rPr>
      </w:pPr>
      <w:r w:rsidRPr="007B332C">
        <w:rPr>
          <w:color w:val="000000"/>
        </w:rPr>
        <w:t xml:space="preserve">Yang, Q., Huang, X., Tong, X., Xiao, C., Yang, J., Liu, Y., &amp; Cao, Y. (2022). Global assessment of urban trees' cooling efficiency based on satellite observations. </w:t>
      </w:r>
      <w:r w:rsidRPr="007B332C">
        <w:rPr>
          <w:i/>
          <w:color w:val="000000"/>
        </w:rPr>
        <w:t>Environ. Res. Lett.</w:t>
      </w:r>
      <w:r w:rsidRPr="007B332C">
        <w:rPr>
          <w:color w:val="000000"/>
        </w:rPr>
        <w:t xml:space="preserve">, 17(3), 034029. </w:t>
      </w:r>
      <w:hyperlink r:id="rId101">
        <w:r w:rsidR="006012C1" w:rsidRPr="007B332C">
          <w:rPr>
            <w:color w:val="0563C1"/>
            <w:u w:val="single"/>
          </w:rPr>
          <w:t>https://doi.org/10.1088/1748-9326/ac64a3</w:t>
        </w:r>
      </w:hyperlink>
    </w:p>
    <w:p w14:paraId="5CE398A9"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Yu, Z., Yang, G., Zuo, S., Jørgensen, G., Koga, M., Vejre, H. (2020). Critical review on the cooling effect of urban blue-green space: A threshold-size perspective. </w:t>
      </w:r>
      <w:r w:rsidRPr="007B332C">
        <w:rPr>
          <w:i/>
          <w:color w:val="000000"/>
        </w:rPr>
        <w:t>Urban For. Urban Green.</w:t>
      </w:r>
      <w:r w:rsidRPr="007B332C">
        <w:rPr>
          <w:color w:val="000000"/>
        </w:rPr>
        <w:t xml:space="preserve">, 49, 126630. </w:t>
      </w:r>
      <w:hyperlink r:id="rId102">
        <w:r w:rsidR="006012C1" w:rsidRPr="007B332C">
          <w:rPr>
            <w:color w:val="0563C1"/>
            <w:u w:val="single"/>
          </w:rPr>
          <w:t>https://doi.org/10.1016/j.ufug.2020.126630</w:t>
        </w:r>
      </w:hyperlink>
    </w:p>
    <w:p w14:paraId="226473EC"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Zhen, M., Zhou, J., He, Y., Geng, Z., Shang, D., Zhang, M., Nan, K., (2024). Study on thermal comfort and optimization strategies in outdoor open spaces of hospitals in cold regions of China during summer. Urban Clim., 58, 102135. </w:t>
      </w:r>
      <w:hyperlink r:id="rId103">
        <w:r w:rsidR="006012C1" w:rsidRPr="007B332C">
          <w:rPr>
            <w:color w:val="0563C1"/>
            <w:u w:val="single"/>
          </w:rPr>
          <w:t>https://doi.org/10.1016/j.uclim.2024.102135</w:t>
        </w:r>
      </w:hyperlink>
    </w:p>
    <w:p w14:paraId="02BFE720" w14:textId="77777777" w:rsidR="006012C1" w:rsidRPr="007B332C"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Zhou, W., Huang, G., Pickett, S. T. A., Wang, J., </w:t>
      </w:r>
      <w:proofErr w:type="spellStart"/>
      <w:r w:rsidRPr="007B332C">
        <w:rPr>
          <w:color w:val="000000"/>
        </w:rPr>
        <w:t>Cadenasso</w:t>
      </w:r>
      <w:proofErr w:type="spellEnd"/>
      <w:r w:rsidRPr="007B332C">
        <w:rPr>
          <w:color w:val="000000"/>
        </w:rPr>
        <w:t xml:space="preserve">, M. L., McPhearson, T., Grove, J. M., Wang, J. (2021). Urban tree canopy has greater cooling effects in socially vulnerable communities in the US. </w:t>
      </w:r>
      <w:r w:rsidRPr="007B332C">
        <w:rPr>
          <w:i/>
          <w:color w:val="000000"/>
        </w:rPr>
        <w:t>One Earth</w:t>
      </w:r>
      <w:r w:rsidRPr="007B332C">
        <w:rPr>
          <w:color w:val="000000"/>
        </w:rPr>
        <w:t xml:space="preserve">, 4(12), 1764-1775. </w:t>
      </w:r>
      <w:hyperlink r:id="rId104">
        <w:r w:rsidR="006012C1" w:rsidRPr="007B332C">
          <w:rPr>
            <w:color w:val="0563C1"/>
            <w:u w:val="single"/>
          </w:rPr>
          <w:t>https://doi.org/10.1016/j.oneear.2021.11.010</w:t>
        </w:r>
      </w:hyperlink>
    </w:p>
    <w:p w14:paraId="1712678E" w14:textId="77777777" w:rsidR="006012C1" w:rsidRDefault="00000000">
      <w:pPr>
        <w:pBdr>
          <w:top w:val="nil"/>
          <w:left w:val="nil"/>
          <w:bottom w:val="nil"/>
          <w:right w:val="nil"/>
          <w:between w:val="nil"/>
        </w:pBdr>
        <w:spacing w:after="0" w:line="240" w:lineRule="auto"/>
        <w:ind w:left="720" w:hanging="720"/>
        <w:jc w:val="both"/>
        <w:rPr>
          <w:color w:val="000000"/>
        </w:rPr>
      </w:pPr>
      <w:r w:rsidRPr="007B332C">
        <w:rPr>
          <w:color w:val="000000"/>
        </w:rPr>
        <w:t xml:space="preserve">Zhou, W., Yu, W., Wu, T. (2022). An alternative method of developing landscape strategies for urban cooling: A threshold-based perspective. </w:t>
      </w:r>
      <w:proofErr w:type="spellStart"/>
      <w:r w:rsidRPr="007B332C">
        <w:rPr>
          <w:i/>
          <w:color w:val="000000"/>
        </w:rPr>
        <w:t>Landsc</w:t>
      </w:r>
      <w:proofErr w:type="spellEnd"/>
      <w:r w:rsidRPr="007B332C">
        <w:rPr>
          <w:i/>
          <w:color w:val="000000"/>
        </w:rPr>
        <w:t>. Urban Plann.</w:t>
      </w:r>
      <w:r w:rsidRPr="007B332C">
        <w:rPr>
          <w:color w:val="000000"/>
        </w:rPr>
        <w:t xml:space="preserve">, 225, 104449. </w:t>
      </w:r>
      <w:hyperlink r:id="rId105">
        <w:r w:rsidR="006012C1" w:rsidRPr="007B332C">
          <w:rPr>
            <w:color w:val="0563C1"/>
            <w:u w:val="single"/>
          </w:rPr>
          <w:t>https://doi.org/10.1016/j.landurbplan.2022.104449</w:t>
        </w:r>
      </w:hyperlink>
    </w:p>
    <w:p w14:paraId="381B7D84" w14:textId="77777777" w:rsidR="006012C1" w:rsidRDefault="006012C1" w:rsidP="00C52278">
      <w:pPr>
        <w:pBdr>
          <w:top w:val="nil"/>
          <w:left w:val="nil"/>
          <w:bottom w:val="nil"/>
          <w:right w:val="nil"/>
          <w:between w:val="nil"/>
        </w:pBdr>
        <w:spacing w:after="0" w:line="240" w:lineRule="auto"/>
        <w:jc w:val="both"/>
        <w:rPr>
          <w:rFonts w:ascii="Times New Roman" w:eastAsia="Times New Roman" w:hAnsi="Times New Roman" w:cs="Times New Roman"/>
        </w:rPr>
      </w:pPr>
    </w:p>
    <w:sectPr w:rsidR="006012C1" w:rsidSect="003C5F6C">
      <w:footerReference w:type="default" r:id="rId106"/>
      <w:pgSz w:w="11906" w:h="16838"/>
      <w:pgMar w:top="1440" w:right="1440" w:bottom="1440" w:left="1440" w:header="708" w:footer="708" w:gutter="0"/>
      <w:lnNumType w:countBy="1" w:restart="continuous"/>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BEB305" w14:textId="77777777" w:rsidR="00A547A6" w:rsidRDefault="00A547A6">
      <w:pPr>
        <w:spacing w:after="0" w:line="240" w:lineRule="auto"/>
      </w:pPr>
      <w:r>
        <w:separator/>
      </w:r>
    </w:p>
  </w:endnote>
  <w:endnote w:type="continuationSeparator" w:id="0">
    <w:p w14:paraId="236EB60A" w14:textId="77777777" w:rsidR="00A547A6" w:rsidRDefault="00A547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embedRegular r:id="rId1" w:fontKey="{4BC69679-F990-4058-B42E-967FE6A06BD3}"/>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0E43A291-B7A3-416A-9665-A64942E1BEF1}"/>
    <w:embedBold r:id="rId3" w:fontKey="{E6A5782B-F82B-42D8-8AA6-BBDC8EC980AE}"/>
    <w:embedItalic r:id="rId4" w:fontKey="{7B052A57-58BF-40DA-A3D6-979B26F52F00}"/>
  </w:font>
  <w:font w:name="SimSun">
    <w:altName w:val="宋体"/>
    <w:panose1 w:val="02010600030101010101"/>
    <w:charset w:val="86"/>
    <w:family w:val="auto"/>
    <w:pitch w:val="variable"/>
    <w:sig w:usb0="00000203" w:usb1="288F0000" w:usb2="00000016" w:usb3="00000000" w:csb0="00040001" w:csb1="00000000"/>
    <w:embedRegular r:id="rId5" w:subsetted="1" w:fontKey="{C852A06A-3D8C-43BB-98C2-BAD2E199104C}"/>
  </w:font>
  <w:font w:name="Calibri Light">
    <w:panose1 w:val="020F0302020204030204"/>
    <w:charset w:val="00"/>
    <w:family w:val="swiss"/>
    <w:pitch w:val="variable"/>
    <w:sig w:usb0="E4002EFF" w:usb1="C200247B" w:usb2="00000009" w:usb3="00000000" w:csb0="000001FF" w:csb1="00000000"/>
    <w:embedRegular r:id="rId6" w:fontKey="{052FFEDD-6E57-4719-A8C1-10E258D44E7C}"/>
  </w:font>
  <w:font w:name="DengXian Light">
    <w:altName w:val="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embedRegular r:id="rId7" w:fontKey="{FFEA69C2-FF6D-457E-9BBD-7957B87F6699}"/>
  </w:font>
  <w:font w:name="Georgia">
    <w:panose1 w:val="02040502050405020303"/>
    <w:charset w:val="00"/>
    <w:family w:val="roman"/>
    <w:pitch w:val="variable"/>
    <w:sig w:usb0="00000287" w:usb1="00000000" w:usb2="00000000" w:usb3="00000000" w:csb0="0000009F" w:csb1="00000000"/>
    <w:embedRegular r:id="rId8" w:fontKey="{8C7452FA-9D8C-4C48-AA8A-80747509ACA2}"/>
    <w:embedItalic r:id="rId9" w:fontKey="{3204DF76-2667-449E-8A8A-4177CFE07A54}"/>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embedRegular r:id="rId10" w:fontKey="{A3E3EAD3-8DFC-4499-87B1-D8A8D26AF3C9}"/>
    <w:embedItalic r:id="rId11" w:fontKey="{79175D92-AE1D-4A18-AFCC-CAF963D8914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BB0AFE" w14:textId="77777777" w:rsidR="006012C1" w:rsidRDefault="00000000">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E36DD2">
      <w:rPr>
        <w:noProof/>
        <w:color w:val="000000"/>
      </w:rPr>
      <w:t>1</w:t>
    </w:r>
    <w:r>
      <w:rPr>
        <w:color w:val="000000"/>
      </w:rPr>
      <w:fldChar w:fldCharType="end"/>
    </w:r>
  </w:p>
  <w:p w14:paraId="3BA196AE" w14:textId="77777777" w:rsidR="006012C1" w:rsidRDefault="006012C1">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3F194F" w14:textId="77777777" w:rsidR="00A547A6" w:rsidRDefault="00A547A6">
      <w:pPr>
        <w:spacing w:after="0" w:line="240" w:lineRule="auto"/>
      </w:pPr>
      <w:r>
        <w:separator/>
      </w:r>
    </w:p>
  </w:footnote>
  <w:footnote w:type="continuationSeparator" w:id="0">
    <w:p w14:paraId="6BC2DF16" w14:textId="77777777" w:rsidR="00A547A6" w:rsidRDefault="00A547A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1172EA"/>
    <w:multiLevelType w:val="hybridMultilevel"/>
    <w:tmpl w:val="FDDA5354"/>
    <w:lvl w:ilvl="0" w:tplc="B15827C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B347542"/>
    <w:multiLevelType w:val="multilevel"/>
    <w:tmpl w:val="7D849D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358314805">
    <w:abstractNumId w:val="1"/>
  </w:num>
  <w:num w:numId="2" w16cid:durableId="15008459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12C1"/>
    <w:rsid w:val="00001CB0"/>
    <w:rsid w:val="00002A22"/>
    <w:rsid w:val="000065F8"/>
    <w:rsid w:val="00011E83"/>
    <w:rsid w:val="00012800"/>
    <w:rsid w:val="00014C13"/>
    <w:rsid w:val="00016331"/>
    <w:rsid w:val="00022E60"/>
    <w:rsid w:val="00031C4C"/>
    <w:rsid w:val="0003426A"/>
    <w:rsid w:val="00036467"/>
    <w:rsid w:val="00037B4B"/>
    <w:rsid w:val="00040746"/>
    <w:rsid w:val="0004446D"/>
    <w:rsid w:val="000462FC"/>
    <w:rsid w:val="00047017"/>
    <w:rsid w:val="0004794D"/>
    <w:rsid w:val="00057B31"/>
    <w:rsid w:val="0006675B"/>
    <w:rsid w:val="000705A1"/>
    <w:rsid w:val="00075773"/>
    <w:rsid w:val="000806CE"/>
    <w:rsid w:val="00083AC5"/>
    <w:rsid w:val="00087093"/>
    <w:rsid w:val="00091158"/>
    <w:rsid w:val="00091C14"/>
    <w:rsid w:val="000949C7"/>
    <w:rsid w:val="00096DF5"/>
    <w:rsid w:val="000A1AD6"/>
    <w:rsid w:val="000A4739"/>
    <w:rsid w:val="000C131E"/>
    <w:rsid w:val="000C318E"/>
    <w:rsid w:val="000C4389"/>
    <w:rsid w:val="000C4A9F"/>
    <w:rsid w:val="000C511F"/>
    <w:rsid w:val="000C57B1"/>
    <w:rsid w:val="000C6439"/>
    <w:rsid w:val="000C64AA"/>
    <w:rsid w:val="000C7A31"/>
    <w:rsid w:val="000C7CAC"/>
    <w:rsid w:val="000D181A"/>
    <w:rsid w:val="000D30AF"/>
    <w:rsid w:val="000E0762"/>
    <w:rsid w:val="000E1BF6"/>
    <w:rsid w:val="000E4EE7"/>
    <w:rsid w:val="000E5F59"/>
    <w:rsid w:val="000E5F64"/>
    <w:rsid w:val="000F2FA0"/>
    <w:rsid w:val="000F6990"/>
    <w:rsid w:val="00101A96"/>
    <w:rsid w:val="001024B7"/>
    <w:rsid w:val="00104B75"/>
    <w:rsid w:val="001101CE"/>
    <w:rsid w:val="00111E17"/>
    <w:rsid w:val="0011397B"/>
    <w:rsid w:val="00115A34"/>
    <w:rsid w:val="00116E62"/>
    <w:rsid w:val="00116ED2"/>
    <w:rsid w:val="0011708D"/>
    <w:rsid w:val="001211E0"/>
    <w:rsid w:val="00121B50"/>
    <w:rsid w:val="00121C76"/>
    <w:rsid w:val="00122B30"/>
    <w:rsid w:val="00123521"/>
    <w:rsid w:val="00125A5D"/>
    <w:rsid w:val="00126EF0"/>
    <w:rsid w:val="00130959"/>
    <w:rsid w:val="00131855"/>
    <w:rsid w:val="00134E97"/>
    <w:rsid w:val="001356BB"/>
    <w:rsid w:val="00135A3F"/>
    <w:rsid w:val="00135F5D"/>
    <w:rsid w:val="00136911"/>
    <w:rsid w:val="00136C6D"/>
    <w:rsid w:val="001372A3"/>
    <w:rsid w:val="001415A6"/>
    <w:rsid w:val="00141618"/>
    <w:rsid w:val="00142292"/>
    <w:rsid w:val="0014448B"/>
    <w:rsid w:val="0014581C"/>
    <w:rsid w:val="001500D9"/>
    <w:rsid w:val="00150C8A"/>
    <w:rsid w:val="001524DF"/>
    <w:rsid w:val="001542C7"/>
    <w:rsid w:val="00156F0B"/>
    <w:rsid w:val="00161197"/>
    <w:rsid w:val="00162515"/>
    <w:rsid w:val="00166514"/>
    <w:rsid w:val="00167C78"/>
    <w:rsid w:val="0017170E"/>
    <w:rsid w:val="00175263"/>
    <w:rsid w:val="001752E4"/>
    <w:rsid w:val="00175903"/>
    <w:rsid w:val="00177F51"/>
    <w:rsid w:val="001819D7"/>
    <w:rsid w:val="00185EB5"/>
    <w:rsid w:val="00187CFF"/>
    <w:rsid w:val="00190F27"/>
    <w:rsid w:val="00191584"/>
    <w:rsid w:val="00191C27"/>
    <w:rsid w:val="001921DB"/>
    <w:rsid w:val="001947E5"/>
    <w:rsid w:val="001B0BB3"/>
    <w:rsid w:val="001B1C1C"/>
    <w:rsid w:val="001B2FA1"/>
    <w:rsid w:val="001B36CA"/>
    <w:rsid w:val="001B7933"/>
    <w:rsid w:val="001B7958"/>
    <w:rsid w:val="001C09ED"/>
    <w:rsid w:val="001C1F0F"/>
    <w:rsid w:val="001C6860"/>
    <w:rsid w:val="001C6FDD"/>
    <w:rsid w:val="001D2A87"/>
    <w:rsid w:val="001D7DE2"/>
    <w:rsid w:val="001E082C"/>
    <w:rsid w:val="001E13C7"/>
    <w:rsid w:val="001E409E"/>
    <w:rsid w:val="001E5A11"/>
    <w:rsid w:val="001E7765"/>
    <w:rsid w:val="001F0174"/>
    <w:rsid w:val="001F429E"/>
    <w:rsid w:val="001F62DD"/>
    <w:rsid w:val="001F698F"/>
    <w:rsid w:val="001F6F7B"/>
    <w:rsid w:val="00200AEB"/>
    <w:rsid w:val="002101D9"/>
    <w:rsid w:val="00212205"/>
    <w:rsid w:val="00212264"/>
    <w:rsid w:val="00214CAA"/>
    <w:rsid w:val="00221B98"/>
    <w:rsid w:val="002255A2"/>
    <w:rsid w:val="00231439"/>
    <w:rsid w:val="00240444"/>
    <w:rsid w:val="00244FB1"/>
    <w:rsid w:val="0024515A"/>
    <w:rsid w:val="00247723"/>
    <w:rsid w:val="002522DA"/>
    <w:rsid w:val="002522DB"/>
    <w:rsid w:val="0025520A"/>
    <w:rsid w:val="00261365"/>
    <w:rsid w:val="00262F3A"/>
    <w:rsid w:val="002664A5"/>
    <w:rsid w:val="00270A2B"/>
    <w:rsid w:val="00270B52"/>
    <w:rsid w:val="00274AA2"/>
    <w:rsid w:val="00277F43"/>
    <w:rsid w:val="002861EF"/>
    <w:rsid w:val="00297BB1"/>
    <w:rsid w:val="002A35C7"/>
    <w:rsid w:val="002A5FA4"/>
    <w:rsid w:val="002A71C9"/>
    <w:rsid w:val="002B0490"/>
    <w:rsid w:val="002B1456"/>
    <w:rsid w:val="002B148D"/>
    <w:rsid w:val="002B3E57"/>
    <w:rsid w:val="002C2903"/>
    <w:rsid w:val="002C6BDC"/>
    <w:rsid w:val="002D0126"/>
    <w:rsid w:val="002D4537"/>
    <w:rsid w:val="002D49EB"/>
    <w:rsid w:val="002D5595"/>
    <w:rsid w:val="002E1365"/>
    <w:rsid w:val="002E358A"/>
    <w:rsid w:val="002E35D0"/>
    <w:rsid w:val="002E3F85"/>
    <w:rsid w:val="002E45ED"/>
    <w:rsid w:val="002E5680"/>
    <w:rsid w:val="002F6FA4"/>
    <w:rsid w:val="002F6FB3"/>
    <w:rsid w:val="0030068A"/>
    <w:rsid w:val="00310BB3"/>
    <w:rsid w:val="00311380"/>
    <w:rsid w:val="0031683A"/>
    <w:rsid w:val="003200C2"/>
    <w:rsid w:val="00320937"/>
    <w:rsid w:val="00322E8E"/>
    <w:rsid w:val="003231C8"/>
    <w:rsid w:val="00324ECF"/>
    <w:rsid w:val="00332972"/>
    <w:rsid w:val="0033466B"/>
    <w:rsid w:val="00334900"/>
    <w:rsid w:val="003410CC"/>
    <w:rsid w:val="00341970"/>
    <w:rsid w:val="00346FAD"/>
    <w:rsid w:val="00350D9D"/>
    <w:rsid w:val="0035376F"/>
    <w:rsid w:val="00360064"/>
    <w:rsid w:val="003606D6"/>
    <w:rsid w:val="003627BE"/>
    <w:rsid w:val="0036302B"/>
    <w:rsid w:val="00365E56"/>
    <w:rsid w:val="00367EC1"/>
    <w:rsid w:val="0037085A"/>
    <w:rsid w:val="003708EC"/>
    <w:rsid w:val="00375C1C"/>
    <w:rsid w:val="00376D5F"/>
    <w:rsid w:val="0038298E"/>
    <w:rsid w:val="00387C13"/>
    <w:rsid w:val="0039043C"/>
    <w:rsid w:val="00394058"/>
    <w:rsid w:val="003952DF"/>
    <w:rsid w:val="003959CA"/>
    <w:rsid w:val="003A1407"/>
    <w:rsid w:val="003A434F"/>
    <w:rsid w:val="003A4F48"/>
    <w:rsid w:val="003A6074"/>
    <w:rsid w:val="003A6979"/>
    <w:rsid w:val="003B093E"/>
    <w:rsid w:val="003B119F"/>
    <w:rsid w:val="003C24D8"/>
    <w:rsid w:val="003C5F6C"/>
    <w:rsid w:val="003C701C"/>
    <w:rsid w:val="003D25AF"/>
    <w:rsid w:val="003D2D18"/>
    <w:rsid w:val="003E7856"/>
    <w:rsid w:val="003F1CF1"/>
    <w:rsid w:val="003F4A93"/>
    <w:rsid w:val="003F5EB1"/>
    <w:rsid w:val="00401C53"/>
    <w:rsid w:val="00403035"/>
    <w:rsid w:val="00404E3B"/>
    <w:rsid w:val="00406221"/>
    <w:rsid w:val="004074C8"/>
    <w:rsid w:val="00407C88"/>
    <w:rsid w:val="00422341"/>
    <w:rsid w:val="00423694"/>
    <w:rsid w:val="00426477"/>
    <w:rsid w:val="00430716"/>
    <w:rsid w:val="0043086C"/>
    <w:rsid w:val="00434DCD"/>
    <w:rsid w:val="00435850"/>
    <w:rsid w:val="00436032"/>
    <w:rsid w:val="0044191E"/>
    <w:rsid w:val="00444D57"/>
    <w:rsid w:val="00444EF3"/>
    <w:rsid w:val="00445221"/>
    <w:rsid w:val="0044742A"/>
    <w:rsid w:val="00451CE0"/>
    <w:rsid w:val="00457442"/>
    <w:rsid w:val="00457BD8"/>
    <w:rsid w:val="00460578"/>
    <w:rsid w:val="00460A28"/>
    <w:rsid w:val="004615C7"/>
    <w:rsid w:val="00464299"/>
    <w:rsid w:val="00464847"/>
    <w:rsid w:val="00465D20"/>
    <w:rsid w:val="00466FE8"/>
    <w:rsid w:val="004730BA"/>
    <w:rsid w:val="00477C9C"/>
    <w:rsid w:val="00480AA7"/>
    <w:rsid w:val="00481F33"/>
    <w:rsid w:val="00485B14"/>
    <w:rsid w:val="00486D48"/>
    <w:rsid w:val="00487379"/>
    <w:rsid w:val="00492EAE"/>
    <w:rsid w:val="00493C24"/>
    <w:rsid w:val="004A3A8B"/>
    <w:rsid w:val="004A3CF1"/>
    <w:rsid w:val="004A4C05"/>
    <w:rsid w:val="004B5EB8"/>
    <w:rsid w:val="004B6277"/>
    <w:rsid w:val="004C1E26"/>
    <w:rsid w:val="004D0F85"/>
    <w:rsid w:val="004D3703"/>
    <w:rsid w:val="004D5203"/>
    <w:rsid w:val="004E5915"/>
    <w:rsid w:val="004E5D8B"/>
    <w:rsid w:val="004F32E0"/>
    <w:rsid w:val="004F3E04"/>
    <w:rsid w:val="004F503C"/>
    <w:rsid w:val="004F611A"/>
    <w:rsid w:val="005016DF"/>
    <w:rsid w:val="00501C14"/>
    <w:rsid w:val="00503E75"/>
    <w:rsid w:val="00505A83"/>
    <w:rsid w:val="00512FC2"/>
    <w:rsid w:val="0051489A"/>
    <w:rsid w:val="00515D85"/>
    <w:rsid w:val="0051617F"/>
    <w:rsid w:val="005166D7"/>
    <w:rsid w:val="0052119A"/>
    <w:rsid w:val="00523DE6"/>
    <w:rsid w:val="0052626D"/>
    <w:rsid w:val="00527415"/>
    <w:rsid w:val="005303F5"/>
    <w:rsid w:val="00530E85"/>
    <w:rsid w:val="005316F9"/>
    <w:rsid w:val="0053188A"/>
    <w:rsid w:val="0053288E"/>
    <w:rsid w:val="005345DD"/>
    <w:rsid w:val="005359B9"/>
    <w:rsid w:val="005376C1"/>
    <w:rsid w:val="00540DC5"/>
    <w:rsid w:val="00552584"/>
    <w:rsid w:val="00557E26"/>
    <w:rsid w:val="00575668"/>
    <w:rsid w:val="00576C97"/>
    <w:rsid w:val="00581AEB"/>
    <w:rsid w:val="00581EA9"/>
    <w:rsid w:val="00583398"/>
    <w:rsid w:val="00592716"/>
    <w:rsid w:val="00594706"/>
    <w:rsid w:val="005A2A6D"/>
    <w:rsid w:val="005A4B2F"/>
    <w:rsid w:val="005A6A61"/>
    <w:rsid w:val="005A79B9"/>
    <w:rsid w:val="005A7CDF"/>
    <w:rsid w:val="005B1968"/>
    <w:rsid w:val="005B2712"/>
    <w:rsid w:val="005B33AA"/>
    <w:rsid w:val="005C2DED"/>
    <w:rsid w:val="005C63ED"/>
    <w:rsid w:val="005D2232"/>
    <w:rsid w:val="005D2EDF"/>
    <w:rsid w:val="005D64AA"/>
    <w:rsid w:val="005D75C0"/>
    <w:rsid w:val="005E396B"/>
    <w:rsid w:val="005E4960"/>
    <w:rsid w:val="005E4FEE"/>
    <w:rsid w:val="005E50BF"/>
    <w:rsid w:val="005E7A7D"/>
    <w:rsid w:val="005F521B"/>
    <w:rsid w:val="006006AB"/>
    <w:rsid w:val="006012C1"/>
    <w:rsid w:val="00601F6E"/>
    <w:rsid w:val="00606837"/>
    <w:rsid w:val="00612EE9"/>
    <w:rsid w:val="00623471"/>
    <w:rsid w:val="00626E2B"/>
    <w:rsid w:val="00631C6B"/>
    <w:rsid w:val="006337E6"/>
    <w:rsid w:val="0063708F"/>
    <w:rsid w:val="00647766"/>
    <w:rsid w:val="0065161C"/>
    <w:rsid w:val="0065439B"/>
    <w:rsid w:val="00655A5F"/>
    <w:rsid w:val="0065653B"/>
    <w:rsid w:val="00661268"/>
    <w:rsid w:val="006668E6"/>
    <w:rsid w:val="00670CED"/>
    <w:rsid w:val="00682C03"/>
    <w:rsid w:val="00683266"/>
    <w:rsid w:val="0068666E"/>
    <w:rsid w:val="00693877"/>
    <w:rsid w:val="0069575D"/>
    <w:rsid w:val="0069716F"/>
    <w:rsid w:val="0069792B"/>
    <w:rsid w:val="006A191F"/>
    <w:rsid w:val="006A539D"/>
    <w:rsid w:val="006B162E"/>
    <w:rsid w:val="006B7AAB"/>
    <w:rsid w:val="006C0867"/>
    <w:rsid w:val="006C2937"/>
    <w:rsid w:val="006C417A"/>
    <w:rsid w:val="006C4B85"/>
    <w:rsid w:val="006C5A0D"/>
    <w:rsid w:val="006C6AA2"/>
    <w:rsid w:val="006E3D92"/>
    <w:rsid w:val="006F09CE"/>
    <w:rsid w:val="006F6244"/>
    <w:rsid w:val="006F7CB4"/>
    <w:rsid w:val="00700132"/>
    <w:rsid w:val="00701569"/>
    <w:rsid w:val="00704875"/>
    <w:rsid w:val="007101F7"/>
    <w:rsid w:val="00712C2D"/>
    <w:rsid w:val="00714084"/>
    <w:rsid w:val="00714975"/>
    <w:rsid w:val="00714C29"/>
    <w:rsid w:val="007155B5"/>
    <w:rsid w:val="00715A4E"/>
    <w:rsid w:val="0071602E"/>
    <w:rsid w:val="00716804"/>
    <w:rsid w:val="00717AA0"/>
    <w:rsid w:val="00724544"/>
    <w:rsid w:val="00725EF2"/>
    <w:rsid w:val="007274B9"/>
    <w:rsid w:val="007331DF"/>
    <w:rsid w:val="007362B8"/>
    <w:rsid w:val="00743F20"/>
    <w:rsid w:val="00744755"/>
    <w:rsid w:val="007479D0"/>
    <w:rsid w:val="00747A7E"/>
    <w:rsid w:val="0075470E"/>
    <w:rsid w:val="00755BC6"/>
    <w:rsid w:val="00757EEE"/>
    <w:rsid w:val="00762530"/>
    <w:rsid w:val="00762D56"/>
    <w:rsid w:val="00764D70"/>
    <w:rsid w:val="00767496"/>
    <w:rsid w:val="00770DE5"/>
    <w:rsid w:val="007752E4"/>
    <w:rsid w:val="007768B1"/>
    <w:rsid w:val="007777EA"/>
    <w:rsid w:val="00780E62"/>
    <w:rsid w:val="007848A5"/>
    <w:rsid w:val="007947F6"/>
    <w:rsid w:val="00794C83"/>
    <w:rsid w:val="00795377"/>
    <w:rsid w:val="00795C0F"/>
    <w:rsid w:val="00795E25"/>
    <w:rsid w:val="007960A4"/>
    <w:rsid w:val="00797AF3"/>
    <w:rsid w:val="00797F71"/>
    <w:rsid w:val="007B0741"/>
    <w:rsid w:val="007B1471"/>
    <w:rsid w:val="007B201A"/>
    <w:rsid w:val="007B332C"/>
    <w:rsid w:val="007B3B59"/>
    <w:rsid w:val="007C52B1"/>
    <w:rsid w:val="007C690F"/>
    <w:rsid w:val="007D0677"/>
    <w:rsid w:val="007D2640"/>
    <w:rsid w:val="007D5408"/>
    <w:rsid w:val="007D546F"/>
    <w:rsid w:val="007D58DA"/>
    <w:rsid w:val="007D66EC"/>
    <w:rsid w:val="007E6DE2"/>
    <w:rsid w:val="007F10E8"/>
    <w:rsid w:val="007F17A0"/>
    <w:rsid w:val="007F24CF"/>
    <w:rsid w:val="00801680"/>
    <w:rsid w:val="00805CDC"/>
    <w:rsid w:val="00805D2B"/>
    <w:rsid w:val="00807DF2"/>
    <w:rsid w:val="00823927"/>
    <w:rsid w:val="00823A84"/>
    <w:rsid w:val="00825266"/>
    <w:rsid w:val="00826A9A"/>
    <w:rsid w:val="008321FF"/>
    <w:rsid w:val="008345B8"/>
    <w:rsid w:val="00835FFD"/>
    <w:rsid w:val="008362C1"/>
    <w:rsid w:val="00836CB3"/>
    <w:rsid w:val="00845DFC"/>
    <w:rsid w:val="00845E62"/>
    <w:rsid w:val="00846A77"/>
    <w:rsid w:val="008474DA"/>
    <w:rsid w:val="00850BC9"/>
    <w:rsid w:val="008518E1"/>
    <w:rsid w:val="008521D4"/>
    <w:rsid w:val="00853C9A"/>
    <w:rsid w:val="00854C83"/>
    <w:rsid w:val="00856F6C"/>
    <w:rsid w:val="00861F8E"/>
    <w:rsid w:val="00862543"/>
    <w:rsid w:val="008630A1"/>
    <w:rsid w:val="00864416"/>
    <w:rsid w:val="00866391"/>
    <w:rsid w:val="00872C0D"/>
    <w:rsid w:val="00872D37"/>
    <w:rsid w:val="00876BF3"/>
    <w:rsid w:val="008802DA"/>
    <w:rsid w:val="00884E6B"/>
    <w:rsid w:val="00890AAD"/>
    <w:rsid w:val="0089230F"/>
    <w:rsid w:val="008969FD"/>
    <w:rsid w:val="008978C7"/>
    <w:rsid w:val="008A015F"/>
    <w:rsid w:val="008A0FB6"/>
    <w:rsid w:val="008A1821"/>
    <w:rsid w:val="008A2A3E"/>
    <w:rsid w:val="008A6073"/>
    <w:rsid w:val="008B1115"/>
    <w:rsid w:val="008B137E"/>
    <w:rsid w:val="008B25AA"/>
    <w:rsid w:val="008B7D0D"/>
    <w:rsid w:val="008C43D3"/>
    <w:rsid w:val="008C5B77"/>
    <w:rsid w:val="008D2DEC"/>
    <w:rsid w:val="008E2DF8"/>
    <w:rsid w:val="008E521E"/>
    <w:rsid w:val="008E7DCE"/>
    <w:rsid w:val="008F4790"/>
    <w:rsid w:val="008F5674"/>
    <w:rsid w:val="00900571"/>
    <w:rsid w:val="009029F3"/>
    <w:rsid w:val="009059F3"/>
    <w:rsid w:val="00910511"/>
    <w:rsid w:val="00911C46"/>
    <w:rsid w:val="00911F1F"/>
    <w:rsid w:val="009120EE"/>
    <w:rsid w:val="00913ECF"/>
    <w:rsid w:val="00914A66"/>
    <w:rsid w:val="00914D85"/>
    <w:rsid w:val="00915434"/>
    <w:rsid w:val="00916CC0"/>
    <w:rsid w:val="00917311"/>
    <w:rsid w:val="00921825"/>
    <w:rsid w:val="00923773"/>
    <w:rsid w:val="00925F97"/>
    <w:rsid w:val="009268C9"/>
    <w:rsid w:val="009272FC"/>
    <w:rsid w:val="00932869"/>
    <w:rsid w:val="00935B3C"/>
    <w:rsid w:val="0093704D"/>
    <w:rsid w:val="00944209"/>
    <w:rsid w:val="009458B8"/>
    <w:rsid w:val="00946B2D"/>
    <w:rsid w:val="00952B14"/>
    <w:rsid w:val="00953E2E"/>
    <w:rsid w:val="00967356"/>
    <w:rsid w:val="00970B59"/>
    <w:rsid w:val="009712E2"/>
    <w:rsid w:val="0097176D"/>
    <w:rsid w:val="00973D3D"/>
    <w:rsid w:val="00974D39"/>
    <w:rsid w:val="0097630E"/>
    <w:rsid w:val="00976CE9"/>
    <w:rsid w:val="00980ADB"/>
    <w:rsid w:val="00980B08"/>
    <w:rsid w:val="00985337"/>
    <w:rsid w:val="00985B0F"/>
    <w:rsid w:val="009939A3"/>
    <w:rsid w:val="00993A85"/>
    <w:rsid w:val="009A4201"/>
    <w:rsid w:val="009A468A"/>
    <w:rsid w:val="009A4C73"/>
    <w:rsid w:val="009B05D9"/>
    <w:rsid w:val="009B3AD0"/>
    <w:rsid w:val="009B6507"/>
    <w:rsid w:val="009C0986"/>
    <w:rsid w:val="009C773E"/>
    <w:rsid w:val="009C7AFB"/>
    <w:rsid w:val="009D0F35"/>
    <w:rsid w:val="009D61E0"/>
    <w:rsid w:val="009D7392"/>
    <w:rsid w:val="009E1F7A"/>
    <w:rsid w:val="009E2274"/>
    <w:rsid w:val="009E32CC"/>
    <w:rsid w:val="009E3CA9"/>
    <w:rsid w:val="009E61CD"/>
    <w:rsid w:val="009E7438"/>
    <w:rsid w:val="009F0661"/>
    <w:rsid w:val="009F7375"/>
    <w:rsid w:val="00A00452"/>
    <w:rsid w:val="00A02CA5"/>
    <w:rsid w:val="00A052B5"/>
    <w:rsid w:val="00A14942"/>
    <w:rsid w:val="00A1538A"/>
    <w:rsid w:val="00A15EF8"/>
    <w:rsid w:val="00A17A16"/>
    <w:rsid w:val="00A17E89"/>
    <w:rsid w:val="00A17FDF"/>
    <w:rsid w:val="00A2519F"/>
    <w:rsid w:val="00A2722B"/>
    <w:rsid w:val="00A31683"/>
    <w:rsid w:val="00A354B7"/>
    <w:rsid w:val="00A37FFC"/>
    <w:rsid w:val="00A41447"/>
    <w:rsid w:val="00A422FE"/>
    <w:rsid w:val="00A42C55"/>
    <w:rsid w:val="00A45405"/>
    <w:rsid w:val="00A46ED9"/>
    <w:rsid w:val="00A47A9F"/>
    <w:rsid w:val="00A47C0C"/>
    <w:rsid w:val="00A50029"/>
    <w:rsid w:val="00A509BB"/>
    <w:rsid w:val="00A547A6"/>
    <w:rsid w:val="00A55397"/>
    <w:rsid w:val="00A62C0C"/>
    <w:rsid w:val="00A62FA0"/>
    <w:rsid w:val="00A64361"/>
    <w:rsid w:val="00A64CEB"/>
    <w:rsid w:val="00A7335A"/>
    <w:rsid w:val="00A7607E"/>
    <w:rsid w:val="00A7748B"/>
    <w:rsid w:val="00A8037A"/>
    <w:rsid w:val="00A805FF"/>
    <w:rsid w:val="00A82384"/>
    <w:rsid w:val="00AA0687"/>
    <w:rsid w:val="00AA1622"/>
    <w:rsid w:val="00AA5207"/>
    <w:rsid w:val="00AA547A"/>
    <w:rsid w:val="00AA5C88"/>
    <w:rsid w:val="00AA6393"/>
    <w:rsid w:val="00AB15A4"/>
    <w:rsid w:val="00AB7B88"/>
    <w:rsid w:val="00AC0DFA"/>
    <w:rsid w:val="00AC165C"/>
    <w:rsid w:val="00AC2D49"/>
    <w:rsid w:val="00AC341A"/>
    <w:rsid w:val="00AC3DCB"/>
    <w:rsid w:val="00AC3F9E"/>
    <w:rsid w:val="00AC6551"/>
    <w:rsid w:val="00AC70E2"/>
    <w:rsid w:val="00AD1DC9"/>
    <w:rsid w:val="00AD3EA3"/>
    <w:rsid w:val="00AD47C6"/>
    <w:rsid w:val="00AE40FE"/>
    <w:rsid w:val="00AE433F"/>
    <w:rsid w:val="00AE4781"/>
    <w:rsid w:val="00AE52A5"/>
    <w:rsid w:val="00AF001E"/>
    <w:rsid w:val="00AF060E"/>
    <w:rsid w:val="00AF0DC9"/>
    <w:rsid w:val="00B0175E"/>
    <w:rsid w:val="00B124B6"/>
    <w:rsid w:val="00B143C2"/>
    <w:rsid w:val="00B22670"/>
    <w:rsid w:val="00B25254"/>
    <w:rsid w:val="00B2563E"/>
    <w:rsid w:val="00B2630E"/>
    <w:rsid w:val="00B30021"/>
    <w:rsid w:val="00B30B5A"/>
    <w:rsid w:val="00B37153"/>
    <w:rsid w:val="00B426AC"/>
    <w:rsid w:val="00B43049"/>
    <w:rsid w:val="00B4635D"/>
    <w:rsid w:val="00B4776D"/>
    <w:rsid w:val="00B50A92"/>
    <w:rsid w:val="00B54FF5"/>
    <w:rsid w:val="00B6374D"/>
    <w:rsid w:val="00B6594F"/>
    <w:rsid w:val="00B742CC"/>
    <w:rsid w:val="00B7439B"/>
    <w:rsid w:val="00B76C18"/>
    <w:rsid w:val="00B80D99"/>
    <w:rsid w:val="00B813A1"/>
    <w:rsid w:val="00B820ED"/>
    <w:rsid w:val="00B87E24"/>
    <w:rsid w:val="00B909C2"/>
    <w:rsid w:val="00B93E29"/>
    <w:rsid w:val="00B962C0"/>
    <w:rsid w:val="00BA3CE4"/>
    <w:rsid w:val="00BB36C3"/>
    <w:rsid w:val="00BD06F8"/>
    <w:rsid w:val="00BD0A5A"/>
    <w:rsid w:val="00BD6322"/>
    <w:rsid w:val="00BE0C71"/>
    <w:rsid w:val="00BF183B"/>
    <w:rsid w:val="00BF2812"/>
    <w:rsid w:val="00BF47FD"/>
    <w:rsid w:val="00BF74FE"/>
    <w:rsid w:val="00C06A20"/>
    <w:rsid w:val="00C07063"/>
    <w:rsid w:val="00C106BF"/>
    <w:rsid w:val="00C12AA2"/>
    <w:rsid w:val="00C14BF8"/>
    <w:rsid w:val="00C17C71"/>
    <w:rsid w:val="00C20C76"/>
    <w:rsid w:val="00C23DA7"/>
    <w:rsid w:val="00C3081B"/>
    <w:rsid w:val="00C30AB3"/>
    <w:rsid w:val="00C33676"/>
    <w:rsid w:val="00C33B1D"/>
    <w:rsid w:val="00C43853"/>
    <w:rsid w:val="00C52278"/>
    <w:rsid w:val="00C624FD"/>
    <w:rsid w:val="00C63A90"/>
    <w:rsid w:val="00C664AE"/>
    <w:rsid w:val="00C7197A"/>
    <w:rsid w:val="00C7388F"/>
    <w:rsid w:val="00C739E6"/>
    <w:rsid w:val="00C74DE7"/>
    <w:rsid w:val="00C779FA"/>
    <w:rsid w:val="00C77B74"/>
    <w:rsid w:val="00C812C1"/>
    <w:rsid w:val="00C84E40"/>
    <w:rsid w:val="00C868CE"/>
    <w:rsid w:val="00CA11B1"/>
    <w:rsid w:val="00CA4EAE"/>
    <w:rsid w:val="00CA7803"/>
    <w:rsid w:val="00CA7BCE"/>
    <w:rsid w:val="00CB38AC"/>
    <w:rsid w:val="00CB514C"/>
    <w:rsid w:val="00CB6317"/>
    <w:rsid w:val="00CC1051"/>
    <w:rsid w:val="00CC3856"/>
    <w:rsid w:val="00CC6D75"/>
    <w:rsid w:val="00CD241E"/>
    <w:rsid w:val="00CE2EBD"/>
    <w:rsid w:val="00CE5BB2"/>
    <w:rsid w:val="00CE6A22"/>
    <w:rsid w:val="00CF061B"/>
    <w:rsid w:val="00CF76E6"/>
    <w:rsid w:val="00D008A2"/>
    <w:rsid w:val="00D03F40"/>
    <w:rsid w:val="00D043F1"/>
    <w:rsid w:val="00D07FB9"/>
    <w:rsid w:val="00D161FB"/>
    <w:rsid w:val="00D200CB"/>
    <w:rsid w:val="00D21E23"/>
    <w:rsid w:val="00D220A8"/>
    <w:rsid w:val="00D22E52"/>
    <w:rsid w:val="00D25178"/>
    <w:rsid w:val="00D25AE4"/>
    <w:rsid w:val="00D273C3"/>
    <w:rsid w:val="00D32F9C"/>
    <w:rsid w:val="00D34850"/>
    <w:rsid w:val="00D361C1"/>
    <w:rsid w:val="00D436E6"/>
    <w:rsid w:val="00D45E1C"/>
    <w:rsid w:val="00D4755A"/>
    <w:rsid w:val="00D540EA"/>
    <w:rsid w:val="00D6442D"/>
    <w:rsid w:val="00D645F0"/>
    <w:rsid w:val="00D64FF6"/>
    <w:rsid w:val="00D653E6"/>
    <w:rsid w:val="00D65548"/>
    <w:rsid w:val="00D74980"/>
    <w:rsid w:val="00D77989"/>
    <w:rsid w:val="00D77FA4"/>
    <w:rsid w:val="00D84B32"/>
    <w:rsid w:val="00D93D15"/>
    <w:rsid w:val="00D95D58"/>
    <w:rsid w:val="00D9718B"/>
    <w:rsid w:val="00DA3B52"/>
    <w:rsid w:val="00DA77B7"/>
    <w:rsid w:val="00DB4FA8"/>
    <w:rsid w:val="00DB5B2F"/>
    <w:rsid w:val="00DB6423"/>
    <w:rsid w:val="00DB761C"/>
    <w:rsid w:val="00DB7760"/>
    <w:rsid w:val="00DC1103"/>
    <w:rsid w:val="00DC18CC"/>
    <w:rsid w:val="00DC3CF5"/>
    <w:rsid w:val="00DD38E1"/>
    <w:rsid w:val="00DD58DA"/>
    <w:rsid w:val="00DD5A9E"/>
    <w:rsid w:val="00DE7182"/>
    <w:rsid w:val="00DE7D8E"/>
    <w:rsid w:val="00DF01A5"/>
    <w:rsid w:val="00E00CB5"/>
    <w:rsid w:val="00E013A2"/>
    <w:rsid w:val="00E07BE5"/>
    <w:rsid w:val="00E1580F"/>
    <w:rsid w:val="00E15E4A"/>
    <w:rsid w:val="00E1718F"/>
    <w:rsid w:val="00E17296"/>
    <w:rsid w:val="00E177FF"/>
    <w:rsid w:val="00E23E5D"/>
    <w:rsid w:val="00E2431F"/>
    <w:rsid w:val="00E25093"/>
    <w:rsid w:val="00E25EC5"/>
    <w:rsid w:val="00E27427"/>
    <w:rsid w:val="00E315B3"/>
    <w:rsid w:val="00E32F4B"/>
    <w:rsid w:val="00E3311E"/>
    <w:rsid w:val="00E33326"/>
    <w:rsid w:val="00E344C8"/>
    <w:rsid w:val="00E35D30"/>
    <w:rsid w:val="00E36DD2"/>
    <w:rsid w:val="00E449A4"/>
    <w:rsid w:val="00E464DB"/>
    <w:rsid w:val="00E477E7"/>
    <w:rsid w:val="00E50FAB"/>
    <w:rsid w:val="00E56C07"/>
    <w:rsid w:val="00E57D2D"/>
    <w:rsid w:val="00E64731"/>
    <w:rsid w:val="00E65E61"/>
    <w:rsid w:val="00E7018F"/>
    <w:rsid w:val="00E72058"/>
    <w:rsid w:val="00E72E1A"/>
    <w:rsid w:val="00E74828"/>
    <w:rsid w:val="00E751E6"/>
    <w:rsid w:val="00E76773"/>
    <w:rsid w:val="00E80F66"/>
    <w:rsid w:val="00EA08DD"/>
    <w:rsid w:val="00EA0DF8"/>
    <w:rsid w:val="00EB3207"/>
    <w:rsid w:val="00EB33C0"/>
    <w:rsid w:val="00EB5819"/>
    <w:rsid w:val="00EB5B06"/>
    <w:rsid w:val="00EC4F52"/>
    <w:rsid w:val="00EC6BC8"/>
    <w:rsid w:val="00ED0F21"/>
    <w:rsid w:val="00ED142A"/>
    <w:rsid w:val="00ED2AA2"/>
    <w:rsid w:val="00EE31E3"/>
    <w:rsid w:val="00EE34E2"/>
    <w:rsid w:val="00EE4847"/>
    <w:rsid w:val="00EE4C5D"/>
    <w:rsid w:val="00EE5989"/>
    <w:rsid w:val="00EF1417"/>
    <w:rsid w:val="00EF195D"/>
    <w:rsid w:val="00EF3FF4"/>
    <w:rsid w:val="00EF46A6"/>
    <w:rsid w:val="00EF6D98"/>
    <w:rsid w:val="00F005D4"/>
    <w:rsid w:val="00F03E96"/>
    <w:rsid w:val="00F07C46"/>
    <w:rsid w:val="00F1290D"/>
    <w:rsid w:val="00F21E71"/>
    <w:rsid w:val="00F25B24"/>
    <w:rsid w:val="00F26B1C"/>
    <w:rsid w:val="00F27CD7"/>
    <w:rsid w:val="00F30C18"/>
    <w:rsid w:val="00F32026"/>
    <w:rsid w:val="00F35394"/>
    <w:rsid w:val="00F35AF8"/>
    <w:rsid w:val="00F3625A"/>
    <w:rsid w:val="00F404D5"/>
    <w:rsid w:val="00F4319D"/>
    <w:rsid w:val="00F445AA"/>
    <w:rsid w:val="00F44E84"/>
    <w:rsid w:val="00F45FCA"/>
    <w:rsid w:val="00F50E22"/>
    <w:rsid w:val="00F512EB"/>
    <w:rsid w:val="00F51BFA"/>
    <w:rsid w:val="00F561E0"/>
    <w:rsid w:val="00F5658E"/>
    <w:rsid w:val="00F611EC"/>
    <w:rsid w:val="00F61EE2"/>
    <w:rsid w:val="00F6436E"/>
    <w:rsid w:val="00F71A72"/>
    <w:rsid w:val="00F72515"/>
    <w:rsid w:val="00F76131"/>
    <w:rsid w:val="00F763DE"/>
    <w:rsid w:val="00F77F17"/>
    <w:rsid w:val="00F81234"/>
    <w:rsid w:val="00F8267D"/>
    <w:rsid w:val="00F8472A"/>
    <w:rsid w:val="00F84897"/>
    <w:rsid w:val="00F84B5C"/>
    <w:rsid w:val="00F92E4F"/>
    <w:rsid w:val="00F92EE2"/>
    <w:rsid w:val="00F9438B"/>
    <w:rsid w:val="00F94705"/>
    <w:rsid w:val="00F94A0A"/>
    <w:rsid w:val="00F94E1F"/>
    <w:rsid w:val="00F9740C"/>
    <w:rsid w:val="00FA12D3"/>
    <w:rsid w:val="00FA2E1C"/>
    <w:rsid w:val="00FB10C1"/>
    <w:rsid w:val="00FB3A52"/>
    <w:rsid w:val="00FC4D7C"/>
    <w:rsid w:val="00FC5B35"/>
    <w:rsid w:val="00FC77B2"/>
    <w:rsid w:val="00FD113D"/>
    <w:rsid w:val="00FD72C5"/>
    <w:rsid w:val="00FE02C7"/>
    <w:rsid w:val="00FE39EC"/>
    <w:rsid w:val="00FE4D7F"/>
    <w:rsid w:val="00FE6390"/>
    <w:rsid w:val="00FF124F"/>
    <w:rsid w:val="00FF1D2F"/>
    <w:rsid w:val="00FF3C37"/>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4DFC67"/>
  <w15:docId w15:val="{521C3645-3501-4818-A40A-8BC46F6DB6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SimSun" w:hAnsi="Calibri" w:cs="Calibr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120"/>
      <w:outlineLvl w:val="0"/>
    </w:pPr>
    <w:rPr>
      <w:b/>
      <w:sz w:val="48"/>
      <w:szCs w:val="48"/>
    </w:rPr>
  </w:style>
  <w:style w:type="paragraph" w:styleId="Heading2">
    <w:name w:val="heading 2"/>
    <w:basedOn w:val="Normal"/>
    <w:next w:val="Normal"/>
    <w:link w:val="Heading2Char"/>
    <w:uiPriority w:val="9"/>
    <w:semiHidden/>
    <w:unhideWhenUsed/>
    <w:qFormat/>
    <w:rsid w:val="00A3397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D1730E"/>
    <w:pPr>
      <w:keepNext/>
      <w:keepLines/>
      <w:spacing w:before="40" w:after="0" w:line="240" w:lineRule="auto"/>
      <w:outlineLvl w:val="2"/>
    </w:pPr>
    <w:rPr>
      <w:rFonts w:ascii="Times New Roman" w:eastAsiaTheme="majorEastAsia" w:hAnsi="Times New Roman" w:cstheme="majorBidi"/>
      <w:b/>
      <w:i/>
      <w:szCs w:val="28"/>
    </w:rPr>
  </w:style>
  <w:style w:type="paragraph" w:styleId="Heading4">
    <w:name w:val="heading 4"/>
    <w:basedOn w:val="Normal"/>
    <w:next w:val="Normal"/>
    <w:link w:val="Heading4Char"/>
    <w:uiPriority w:val="9"/>
    <w:semiHidden/>
    <w:unhideWhenUsed/>
    <w:qFormat/>
    <w:pPr>
      <w:keepNext/>
      <w:keepLines/>
      <w:spacing w:before="240" w:after="40"/>
      <w:outlineLvl w:val="3"/>
    </w:pPr>
    <w:rPr>
      <w:b/>
      <w:sz w:val="24"/>
      <w:szCs w:val="24"/>
    </w:rPr>
  </w:style>
  <w:style w:type="paragraph" w:styleId="Heading5">
    <w:name w:val="heading 5"/>
    <w:basedOn w:val="Normal"/>
    <w:next w:val="Normal"/>
    <w:link w:val="Heading5Char"/>
    <w:uiPriority w:val="9"/>
    <w:semiHidden/>
    <w:unhideWhenUsed/>
    <w:qFormat/>
    <w:pPr>
      <w:keepNext/>
      <w:keepLines/>
      <w:spacing w:before="220" w:after="40"/>
      <w:outlineLvl w:val="4"/>
    </w:pPr>
    <w:rPr>
      <w:b/>
    </w:rPr>
  </w:style>
  <w:style w:type="paragraph" w:styleId="Heading6">
    <w:name w:val="heading 6"/>
    <w:basedOn w:val="Normal"/>
    <w:next w:val="Normal"/>
    <w:link w:val="Heading6Char"/>
    <w:uiPriority w:val="9"/>
    <w:semiHidden/>
    <w:unhideWhenUsed/>
    <w:qFormat/>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111E17"/>
    <w:pPr>
      <w:keepNext/>
      <w:keepLines/>
      <w:spacing w:before="40" w:after="0" w:line="278" w:lineRule="auto"/>
      <w:outlineLvl w:val="6"/>
    </w:pPr>
    <w:rPr>
      <w:rFonts w:asciiTheme="minorHAnsi" w:eastAsiaTheme="majorEastAsia" w:hAnsiTheme="minorHAnsi" w:cstheme="majorBidi"/>
      <w:color w:val="595959"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111E17"/>
    <w:pPr>
      <w:keepNext/>
      <w:keepLines/>
      <w:spacing w:after="0" w:line="278" w:lineRule="auto"/>
      <w:outlineLvl w:val="7"/>
    </w:pPr>
    <w:rPr>
      <w:rFonts w:asciiTheme="minorHAnsi" w:eastAsiaTheme="majorEastAsia" w:hAnsiTheme="minorHAnsi" w:cstheme="majorBidi"/>
      <w:i/>
      <w:iCs/>
      <w:color w:val="272727"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111E17"/>
    <w:pPr>
      <w:keepNext/>
      <w:keepLines/>
      <w:spacing w:after="0" w:line="278" w:lineRule="auto"/>
      <w:outlineLvl w:val="8"/>
    </w:pPr>
    <w:rPr>
      <w:rFonts w:asciiTheme="minorHAnsi" w:eastAsiaTheme="majorEastAsia" w:hAnsiTheme="minorHAnsi" w:cstheme="majorBidi"/>
      <w:color w:val="272727" w:themeColor="text1" w:themeTint="D8"/>
      <w:kern w:val="2"/>
      <w:sz w:val="24"/>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before="480" w:after="120"/>
    </w:pPr>
    <w:rPr>
      <w:b/>
      <w:sz w:val="72"/>
      <w:szCs w:val="72"/>
    </w:rPr>
  </w:style>
  <w:style w:type="paragraph" w:styleId="Header">
    <w:name w:val="header"/>
    <w:basedOn w:val="Normal"/>
    <w:link w:val="HeaderChar"/>
    <w:uiPriority w:val="99"/>
    <w:unhideWhenUsed/>
    <w:rsid w:val="00A800E4"/>
    <w:pPr>
      <w:tabs>
        <w:tab w:val="center" w:pos="4513"/>
        <w:tab w:val="right" w:pos="9026"/>
      </w:tabs>
      <w:spacing w:after="0" w:line="240" w:lineRule="auto"/>
    </w:pPr>
  </w:style>
  <w:style w:type="character" w:customStyle="1" w:styleId="HeaderChar">
    <w:name w:val="Header Char"/>
    <w:basedOn w:val="DefaultParagraphFont"/>
    <w:link w:val="Header"/>
    <w:uiPriority w:val="99"/>
    <w:rsid w:val="00A800E4"/>
  </w:style>
  <w:style w:type="paragraph" w:styleId="Footer">
    <w:name w:val="footer"/>
    <w:basedOn w:val="Normal"/>
    <w:link w:val="FooterChar"/>
    <w:uiPriority w:val="99"/>
    <w:unhideWhenUsed/>
    <w:rsid w:val="00A800E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800E4"/>
  </w:style>
  <w:style w:type="paragraph" w:styleId="ListParagraph">
    <w:name w:val="List Paragraph"/>
    <w:basedOn w:val="Normal"/>
    <w:uiPriority w:val="34"/>
    <w:qFormat/>
    <w:rsid w:val="00A800E4"/>
    <w:pPr>
      <w:ind w:left="720"/>
      <w:contextualSpacing/>
    </w:pPr>
  </w:style>
  <w:style w:type="table" w:styleId="TableGrid">
    <w:name w:val="Table Grid"/>
    <w:basedOn w:val="TableNormal"/>
    <w:uiPriority w:val="39"/>
    <w:rsid w:val="00D1730E"/>
    <w:pPr>
      <w:spacing w:after="0" w:line="240" w:lineRule="auto"/>
    </w:pPr>
    <w:rPr>
      <w:sz w:val="2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1730E"/>
    <w:rPr>
      <w:color w:val="0563C1" w:themeColor="hyperlink"/>
      <w:u w:val="single"/>
    </w:rPr>
  </w:style>
  <w:style w:type="character" w:customStyle="1" w:styleId="Heading3Char">
    <w:name w:val="Heading 3 Char"/>
    <w:basedOn w:val="DefaultParagraphFont"/>
    <w:link w:val="Heading3"/>
    <w:uiPriority w:val="9"/>
    <w:rsid w:val="00D1730E"/>
    <w:rPr>
      <w:rFonts w:ascii="Times New Roman" w:eastAsiaTheme="majorEastAsia" w:hAnsi="Times New Roman" w:cstheme="majorBidi"/>
      <w:b/>
      <w:i/>
      <w:kern w:val="0"/>
      <w:szCs w:val="28"/>
    </w:rPr>
  </w:style>
  <w:style w:type="paragraph" w:customStyle="1" w:styleId="Thirdhead">
    <w:name w:val="Third head"/>
    <w:basedOn w:val="Normal"/>
    <w:link w:val="ThirdheadChar"/>
    <w:rsid w:val="00D1730E"/>
    <w:rPr>
      <w:rFonts w:ascii="Times New Roman" w:hAnsi="Times New Roman" w:cs="Times New Roman"/>
      <w:b/>
      <w:bCs/>
      <w:i/>
    </w:rPr>
  </w:style>
  <w:style w:type="character" w:customStyle="1" w:styleId="ThirdheadChar">
    <w:name w:val="Third head Char"/>
    <w:basedOn w:val="DefaultParagraphFont"/>
    <w:link w:val="Thirdhead"/>
    <w:rsid w:val="00D1730E"/>
    <w:rPr>
      <w:rFonts w:ascii="Times New Roman" w:hAnsi="Times New Roman" w:cs="Times New Roman"/>
      <w:b/>
      <w:bCs/>
      <w:i/>
      <w:kern w:val="0"/>
    </w:rPr>
  </w:style>
  <w:style w:type="character" w:customStyle="1" w:styleId="Heading2Char">
    <w:name w:val="Heading 2 Char"/>
    <w:basedOn w:val="DefaultParagraphFont"/>
    <w:link w:val="Heading2"/>
    <w:uiPriority w:val="9"/>
    <w:semiHidden/>
    <w:rsid w:val="00A33971"/>
    <w:rPr>
      <w:rFonts w:asciiTheme="majorHAnsi" w:eastAsiaTheme="majorEastAsia" w:hAnsiTheme="majorHAnsi" w:cstheme="majorBidi"/>
      <w:color w:val="2F5496" w:themeColor="accent1" w:themeShade="BF"/>
      <w:sz w:val="26"/>
      <w:szCs w:val="26"/>
    </w:rPr>
  </w:style>
  <w:style w:type="table" w:customStyle="1" w:styleId="TableGrid1">
    <w:name w:val="Table Grid1"/>
    <w:basedOn w:val="TableNormal"/>
    <w:next w:val="TableGrid"/>
    <w:uiPriority w:val="39"/>
    <w:rsid w:val="00A33971"/>
    <w:pPr>
      <w:spacing w:after="0" w:line="240" w:lineRule="auto"/>
    </w:pPr>
    <w:rPr>
      <w:sz w:val="2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C07F1C"/>
    <w:rPr>
      <w:sz w:val="16"/>
      <w:szCs w:val="16"/>
    </w:rPr>
  </w:style>
  <w:style w:type="paragraph" w:styleId="CommentText">
    <w:name w:val="annotation text"/>
    <w:basedOn w:val="Normal"/>
    <w:link w:val="CommentTextChar"/>
    <w:uiPriority w:val="99"/>
    <w:unhideWhenUsed/>
    <w:rsid w:val="00C07F1C"/>
    <w:pPr>
      <w:spacing w:line="240" w:lineRule="auto"/>
    </w:pPr>
    <w:rPr>
      <w:sz w:val="20"/>
      <w:szCs w:val="20"/>
    </w:rPr>
  </w:style>
  <w:style w:type="character" w:customStyle="1" w:styleId="CommentTextChar">
    <w:name w:val="Comment Text Char"/>
    <w:basedOn w:val="DefaultParagraphFont"/>
    <w:link w:val="CommentText"/>
    <w:uiPriority w:val="99"/>
    <w:rsid w:val="00C07F1C"/>
    <w:rPr>
      <w:sz w:val="20"/>
      <w:szCs w:val="20"/>
    </w:rPr>
  </w:style>
  <w:style w:type="paragraph" w:styleId="CommentSubject">
    <w:name w:val="annotation subject"/>
    <w:basedOn w:val="CommentText"/>
    <w:next w:val="CommentText"/>
    <w:link w:val="CommentSubjectChar"/>
    <w:uiPriority w:val="99"/>
    <w:semiHidden/>
    <w:unhideWhenUsed/>
    <w:rsid w:val="00C07F1C"/>
    <w:rPr>
      <w:b/>
      <w:bCs/>
    </w:rPr>
  </w:style>
  <w:style w:type="character" w:customStyle="1" w:styleId="CommentSubjectChar">
    <w:name w:val="Comment Subject Char"/>
    <w:basedOn w:val="CommentTextChar"/>
    <w:link w:val="CommentSubject"/>
    <w:uiPriority w:val="99"/>
    <w:semiHidden/>
    <w:rsid w:val="00C07F1C"/>
    <w:rPr>
      <w:b/>
      <w:bCs/>
      <w:sz w:val="20"/>
      <w:szCs w:val="20"/>
    </w:rPr>
  </w:style>
  <w:style w:type="character" w:styleId="FollowedHyperlink">
    <w:name w:val="FollowedHyperlink"/>
    <w:basedOn w:val="DefaultParagraphFont"/>
    <w:uiPriority w:val="99"/>
    <w:semiHidden/>
    <w:unhideWhenUsed/>
    <w:rsid w:val="009B4DC3"/>
    <w:rPr>
      <w:color w:val="954F72" w:themeColor="followedHyperlink"/>
      <w:u w:val="single"/>
    </w:rPr>
  </w:style>
  <w:style w:type="character" w:styleId="PlaceholderText">
    <w:name w:val="Placeholder Text"/>
    <w:basedOn w:val="DefaultParagraphFont"/>
    <w:uiPriority w:val="99"/>
    <w:semiHidden/>
    <w:rsid w:val="000B5618"/>
    <w:rPr>
      <w:color w:val="666666"/>
    </w:rPr>
  </w:style>
  <w:style w:type="character" w:styleId="UnresolvedMention">
    <w:name w:val="Unresolved Mention"/>
    <w:basedOn w:val="DefaultParagraphFont"/>
    <w:uiPriority w:val="99"/>
    <w:semiHidden/>
    <w:unhideWhenUsed/>
    <w:rsid w:val="00920875"/>
    <w:rPr>
      <w:color w:val="605E5C"/>
      <w:shd w:val="clear" w:color="auto" w:fill="E1DFDD"/>
    </w:rPr>
  </w:style>
  <w:style w:type="character" w:customStyle="1" w:styleId="cf01">
    <w:name w:val="cf01"/>
    <w:basedOn w:val="DefaultParagraphFont"/>
    <w:rsid w:val="001D1E44"/>
    <w:rPr>
      <w:rFonts w:ascii="Segoe UI" w:hAnsi="Segoe UI" w:cs="Segoe UI" w:hint="default"/>
      <w:sz w:val="18"/>
      <w:szCs w:val="18"/>
    </w:rPr>
  </w:style>
  <w:style w:type="paragraph" w:styleId="Revision">
    <w:name w:val="Revision"/>
    <w:hidden/>
    <w:uiPriority w:val="99"/>
    <w:semiHidden/>
    <w:rsid w:val="004A3DE3"/>
    <w:pPr>
      <w:spacing w:after="0" w:line="240" w:lineRule="auto"/>
    </w:pPr>
  </w:style>
  <w:style w:type="table" w:styleId="PlainTable4">
    <w:name w:val="Plain Table 4"/>
    <w:basedOn w:val="TableNormal"/>
    <w:uiPriority w:val="44"/>
    <w:rsid w:val="001E57E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unhideWhenUsed/>
    <w:rsid w:val="008E66B2"/>
    <w:pPr>
      <w:spacing w:before="100" w:beforeAutospacing="1" w:after="100" w:afterAutospacing="1" w:line="240" w:lineRule="auto"/>
    </w:pPr>
    <w:rPr>
      <w:rFonts w:ascii="Times New Roman" w:eastAsia="Times New Roman" w:hAnsi="Times New Roman" w:cs="Times New Roman"/>
      <w:sz w:val="24"/>
      <w:szCs w:val="24"/>
    </w:rPr>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sz w:val="21"/>
      <w:szCs w:val="21"/>
    </w:rPr>
    <w:tblPr>
      <w:tblStyleRowBandSize w:val="1"/>
      <w:tblStyleColBandSize w:val="1"/>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0">
    <w:basedOn w:val="TableNormal"/>
    <w:pPr>
      <w:spacing w:after="0" w:line="240" w:lineRule="auto"/>
    </w:pPr>
    <w:rPr>
      <w:sz w:val="21"/>
      <w:szCs w:val="21"/>
    </w:rPr>
    <w:tblPr>
      <w:tblStyleRowBandSize w:val="1"/>
      <w:tblStyleColBandSize w:val="1"/>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1">
    <w:basedOn w:val="TableNormal"/>
    <w:pPr>
      <w:spacing w:after="0" w:line="240" w:lineRule="auto"/>
    </w:pPr>
    <w:rPr>
      <w:sz w:val="21"/>
      <w:szCs w:val="21"/>
    </w:rPr>
    <w:tblPr>
      <w:tblStyleRowBandSize w:val="1"/>
      <w:tblStyleColBandSize w:val="1"/>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styleId="PlainTable3">
    <w:name w:val="Plain Table 3"/>
    <w:basedOn w:val="TableNormal"/>
    <w:uiPriority w:val="43"/>
    <w:rsid w:val="0039089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ListTable6Colorful">
    <w:name w:val="List Table 6 Colorful"/>
    <w:basedOn w:val="TableNormal"/>
    <w:uiPriority w:val="51"/>
    <w:rsid w:val="00390892"/>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3">
    <w:name w:val="List Table 6 Colorful Accent 3"/>
    <w:basedOn w:val="TableNormal"/>
    <w:uiPriority w:val="51"/>
    <w:rsid w:val="00AD1713"/>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a2">
    <w:basedOn w:val="TableNormal"/>
    <w:pPr>
      <w:spacing w:after="0" w:line="240" w:lineRule="auto"/>
    </w:pPr>
    <w:rPr>
      <w:color w:val="7B7B7B"/>
      <w:sz w:val="21"/>
      <w:szCs w:val="21"/>
    </w:rPr>
    <w:tblPr>
      <w:tblStyleRowBandSize w:val="1"/>
      <w:tblStyleColBandSize w:val="1"/>
    </w:tblPr>
    <w:tblStylePr w:type="firstRow">
      <w:rPr>
        <w:b/>
      </w:rPr>
      <w:tblPr/>
      <w:tcPr>
        <w:tcBorders>
          <w:bottom w:val="single" w:sz="4" w:space="0" w:color="000000"/>
        </w:tcBorders>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3">
    <w:basedOn w:val="TableNormal"/>
    <w:pPr>
      <w:spacing w:after="0" w:line="240" w:lineRule="auto"/>
    </w:pPr>
    <w:rPr>
      <w:color w:val="7B7B7B"/>
      <w:sz w:val="21"/>
      <w:szCs w:val="21"/>
    </w:rPr>
    <w:tblPr>
      <w:tblStyleRowBandSize w:val="1"/>
      <w:tblStyleColBandSize w:val="1"/>
    </w:tblPr>
    <w:tblStylePr w:type="firstRow">
      <w:rPr>
        <w:b/>
      </w:rPr>
      <w:tblPr/>
      <w:tcPr>
        <w:tcBorders>
          <w:bottom w:val="single" w:sz="4" w:space="0" w:color="A5A5A5"/>
        </w:tcBorders>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4">
    <w:basedOn w:val="TableNormal"/>
    <w:pPr>
      <w:spacing w:after="0" w:line="240" w:lineRule="auto"/>
    </w:pPr>
    <w:rPr>
      <w:color w:val="7B7B7B"/>
      <w:sz w:val="21"/>
      <w:szCs w:val="21"/>
    </w:rPr>
    <w:tblPr>
      <w:tblStyleRowBandSize w:val="1"/>
      <w:tblStyleColBandSize w:val="1"/>
    </w:tblPr>
    <w:tblStylePr w:type="firstRow">
      <w:rPr>
        <w:b/>
      </w:rPr>
      <w:tblPr/>
      <w:tcPr>
        <w:tcBorders>
          <w:bottom w:val="single" w:sz="4" w:space="0" w:color="000000"/>
        </w:tcBorders>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5">
    <w:basedOn w:val="TableNormal"/>
    <w:pPr>
      <w:spacing w:after="0" w:line="240" w:lineRule="auto"/>
    </w:pPr>
    <w:rPr>
      <w:color w:val="7B7B7B"/>
      <w:sz w:val="21"/>
      <w:szCs w:val="21"/>
    </w:rPr>
    <w:tblPr>
      <w:tblStyleRowBandSize w:val="1"/>
      <w:tblStyleColBandSize w:val="1"/>
    </w:tblPr>
    <w:tblStylePr w:type="firstRow">
      <w:rPr>
        <w:b/>
      </w:rPr>
      <w:tblPr/>
      <w:tcPr>
        <w:tcBorders>
          <w:bottom w:val="single" w:sz="4" w:space="0" w:color="000000"/>
        </w:tcBorders>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6">
    <w:basedOn w:val="TableNormal"/>
    <w:pPr>
      <w:spacing w:after="0" w:line="240" w:lineRule="auto"/>
    </w:pPr>
    <w:rPr>
      <w:color w:val="7B7B7B"/>
      <w:sz w:val="21"/>
      <w:szCs w:val="21"/>
    </w:rPr>
    <w:tblPr>
      <w:tblStyleRowBandSize w:val="1"/>
      <w:tblStyleColBandSize w:val="1"/>
    </w:tblPr>
    <w:tblStylePr w:type="firstRow">
      <w:rPr>
        <w:b/>
      </w:rPr>
      <w:tblPr/>
      <w:tcPr>
        <w:tcBorders>
          <w:bottom w:val="single" w:sz="4" w:space="0" w:color="A5A5A5"/>
        </w:tcBorders>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7">
    <w:basedOn w:val="TableNormal"/>
    <w:pPr>
      <w:spacing w:after="0" w:line="240" w:lineRule="auto"/>
    </w:pPr>
    <w:rPr>
      <w:color w:val="7B7B7B"/>
      <w:sz w:val="21"/>
      <w:szCs w:val="21"/>
    </w:rPr>
    <w:tblPr>
      <w:tblStyleRowBandSize w:val="1"/>
      <w:tblStyleColBandSize w:val="1"/>
    </w:tblPr>
    <w:tblStylePr w:type="firstRow">
      <w:rPr>
        <w:b/>
      </w:rPr>
      <w:tblPr/>
      <w:tcPr>
        <w:tcBorders>
          <w:bottom w:val="single" w:sz="4" w:space="0" w:color="000000"/>
        </w:tcBorders>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pPr>
      <w:spacing w:after="0" w:line="240" w:lineRule="auto"/>
    </w:pPr>
    <w:rPr>
      <w:color w:val="7B7B7B"/>
      <w:sz w:val="21"/>
      <w:szCs w:val="21"/>
    </w:rPr>
    <w:tblPr>
      <w:tblStyleRowBandSize w:val="1"/>
      <w:tblStyleColBandSize w:val="1"/>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pPr>
      <w:spacing w:after="0" w:line="240" w:lineRule="auto"/>
    </w:pPr>
    <w:rPr>
      <w:color w:val="7B7B7B"/>
      <w:sz w:val="21"/>
      <w:szCs w:val="21"/>
    </w:rPr>
    <w:tblPr>
      <w:tblStyleRowBandSize w:val="1"/>
      <w:tblStyleColBandSize w:val="1"/>
      <w:tblCellMar>
        <w:top w:w="100" w:type="dxa"/>
        <w:left w:w="100" w:type="dxa"/>
        <w:bottom w:w="100" w:type="dxa"/>
        <w:right w:w="100" w:type="dxa"/>
      </w:tblCellMar>
    </w:tblPr>
  </w:style>
  <w:style w:type="table" w:customStyle="1" w:styleId="ac">
    <w:basedOn w:val="TableNormal"/>
    <w:pPr>
      <w:spacing w:after="0" w:line="240" w:lineRule="auto"/>
    </w:pPr>
    <w:rPr>
      <w:color w:val="7B7B7B"/>
      <w:sz w:val="21"/>
      <w:szCs w:val="21"/>
    </w:rPr>
    <w:tblPr>
      <w:tblStyleRowBandSize w:val="1"/>
      <w:tblStyleColBandSize w:val="1"/>
      <w:tblCellMar>
        <w:top w:w="100" w:type="dxa"/>
        <w:left w:w="100" w:type="dxa"/>
        <w:bottom w:w="100" w:type="dxa"/>
        <w:right w:w="100" w:type="dxa"/>
      </w:tblCellMar>
    </w:tblPr>
  </w:style>
  <w:style w:type="table" w:customStyle="1" w:styleId="ad">
    <w:basedOn w:val="TableNormal"/>
    <w:pPr>
      <w:spacing w:after="0" w:line="240" w:lineRule="auto"/>
    </w:pPr>
    <w:rPr>
      <w:color w:val="7B7B7B"/>
      <w:sz w:val="21"/>
      <w:szCs w:val="21"/>
    </w:rPr>
    <w:tblPr>
      <w:tblStyleRowBandSize w:val="1"/>
      <w:tblStyleColBandSize w:val="1"/>
      <w:tblCellMar>
        <w:top w:w="100" w:type="dxa"/>
        <w:left w:w="100" w:type="dxa"/>
        <w:bottom w:w="100" w:type="dxa"/>
        <w:right w:w="100" w:type="dxa"/>
      </w:tblCellMar>
    </w:tblPr>
  </w:style>
  <w:style w:type="table" w:customStyle="1" w:styleId="ae">
    <w:basedOn w:val="TableNormal"/>
    <w:pPr>
      <w:spacing w:after="0" w:line="240" w:lineRule="auto"/>
    </w:pPr>
    <w:rPr>
      <w:color w:val="7B7B7B"/>
      <w:sz w:val="21"/>
      <w:szCs w:val="21"/>
    </w:rPr>
    <w:tblPr>
      <w:tblStyleRowBandSize w:val="1"/>
      <w:tblStyleColBandSize w:val="1"/>
      <w:tblCellMar>
        <w:top w:w="100" w:type="dxa"/>
        <w:left w:w="100" w:type="dxa"/>
        <w:bottom w:w="100" w:type="dxa"/>
        <w:right w:w="100" w:type="dxa"/>
      </w:tblCellMar>
    </w:tblPr>
  </w:style>
  <w:style w:type="table" w:customStyle="1" w:styleId="af">
    <w:basedOn w:val="TableNormal"/>
    <w:pPr>
      <w:spacing w:after="0" w:line="240" w:lineRule="auto"/>
    </w:pPr>
    <w:rPr>
      <w:color w:val="7B7B7B"/>
      <w:sz w:val="21"/>
      <w:szCs w:val="21"/>
    </w:rPr>
    <w:tblPr>
      <w:tblStyleRowBandSize w:val="1"/>
      <w:tblStyleColBandSize w:val="1"/>
      <w:tblCellMar>
        <w:top w:w="100" w:type="dxa"/>
        <w:left w:w="100" w:type="dxa"/>
        <w:bottom w:w="100" w:type="dxa"/>
        <w:right w:w="100" w:type="dxa"/>
      </w:tblCellMar>
    </w:tblPr>
  </w:style>
  <w:style w:type="table" w:customStyle="1" w:styleId="af0">
    <w:basedOn w:val="TableNormal"/>
    <w:pPr>
      <w:spacing w:after="0" w:line="240" w:lineRule="auto"/>
    </w:pPr>
    <w:rPr>
      <w:color w:val="7B7B7B"/>
      <w:sz w:val="21"/>
      <w:szCs w:val="21"/>
    </w:rPr>
    <w:tblPr>
      <w:tblStyleRowBandSize w:val="1"/>
      <w:tblStyleColBandSize w:val="1"/>
      <w:tblCellMar>
        <w:top w:w="100" w:type="dxa"/>
        <w:left w:w="100" w:type="dxa"/>
        <w:bottom w:w="100" w:type="dxa"/>
        <w:right w:w="100" w:type="dxa"/>
      </w:tblCellMar>
    </w:tblPr>
  </w:style>
  <w:style w:type="table" w:customStyle="1" w:styleId="af1">
    <w:basedOn w:val="TableNormal"/>
    <w:pPr>
      <w:spacing w:after="0" w:line="240" w:lineRule="auto"/>
    </w:pPr>
    <w:rPr>
      <w:color w:val="7B7B7B"/>
      <w:sz w:val="21"/>
      <w:szCs w:val="21"/>
    </w:rPr>
    <w:tblPr>
      <w:tblStyleRowBandSize w:val="1"/>
      <w:tblStyleColBandSize w:val="1"/>
      <w:tblCellMar>
        <w:top w:w="100" w:type="dxa"/>
        <w:left w:w="100" w:type="dxa"/>
        <w:bottom w:w="100" w:type="dxa"/>
        <w:right w:w="100" w:type="dxa"/>
      </w:tblCellMar>
    </w:tblPr>
  </w:style>
  <w:style w:type="table" w:customStyle="1" w:styleId="af2">
    <w:basedOn w:val="TableNormal"/>
    <w:pPr>
      <w:spacing w:after="0" w:line="240" w:lineRule="auto"/>
    </w:pPr>
    <w:rPr>
      <w:color w:val="7B7B7B"/>
      <w:sz w:val="21"/>
      <w:szCs w:val="21"/>
    </w:rPr>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pPr>
      <w:spacing w:after="0" w:line="240" w:lineRule="auto"/>
    </w:pPr>
    <w:rPr>
      <w:color w:val="7B7B7B"/>
      <w:sz w:val="21"/>
      <w:szCs w:val="21"/>
    </w:rPr>
    <w:tblPr>
      <w:tblStyleRowBandSize w:val="1"/>
      <w:tblStyleColBandSize w:val="1"/>
      <w:tblCellMar>
        <w:top w:w="100" w:type="dxa"/>
        <w:left w:w="100" w:type="dxa"/>
        <w:bottom w:w="100" w:type="dxa"/>
        <w:right w:w="100" w:type="dxa"/>
      </w:tblCellMar>
    </w:tblPr>
  </w:style>
  <w:style w:type="table" w:customStyle="1" w:styleId="af5">
    <w:basedOn w:val="TableNormal"/>
    <w:pPr>
      <w:spacing w:after="0" w:line="240" w:lineRule="auto"/>
    </w:pPr>
    <w:rPr>
      <w:color w:val="7B7B7B"/>
      <w:sz w:val="21"/>
      <w:szCs w:val="21"/>
    </w:rPr>
    <w:tblPr>
      <w:tblStyleRowBandSize w:val="1"/>
      <w:tblStyleColBandSize w:val="1"/>
      <w:tblCellMar>
        <w:top w:w="100" w:type="dxa"/>
        <w:left w:w="100" w:type="dxa"/>
        <w:bottom w:w="100" w:type="dxa"/>
        <w:right w:w="100" w:type="dxa"/>
      </w:tblCellMar>
    </w:tblPr>
  </w:style>
  <w:style w:type="table" w:customStyle="1" w:styleId="af6">
    <w:basedOn w:val="TableNormal"/>
    <w:pPr>
      <w:spacing w:after="0" w:line="240" w:lineRule="auto"/>
    </w:pPr>
    <w:rPr>
      <w:color w:val="7B7B7B"/>
      <w:sz w:val="21"/>
      <w:szCs w:val="21"/>
    </w:rPr>
    <w:tblPr>
      <w:tblStyleRowBandSize w:val="1"/>
      <w:tblStyleColBandSize w:val="1"/>
      <w:tblCellMar>
        <w:top w:w="100" w:type="dxa"/>
        <w:left w:w="100" w:type="dxa"/>
        <w:bottom w:w="100" w:type="dxa"/>
        <w:right w:w="100" w:type="dxa"/>
      </w:tblCellMar>
    </w:tblPr>
  </w:style>
  <w:style w:type="character" w:styleId="LineNumber">
    <w:name w:val="line number"/>
    <w:basedOn w:val="DefaultParagraphFont"/>
    <w:uiPriority w:val="99"/>
    <w:semiHidden/>
    <w:unhideWhenUsed/>
    <w:rsid w:val="00776017"/>
  </w:style>
  <w:style w:type="paragraph" w:styleId="Date">
    <w:name w:val="Date"/>
    <w:basedOn w:val="Normal"/>
    <w:next w:val="Normal"/>
    <w:link w:val="DateChar"/>
    <w:uiPriority w:val="99"/>
    <w:semiHidden/>
    <w:unhideWhenUsed/>
    <w:rsid w:val="00661268"/>
  </w:style>
  <w:style w:type="character" w:customStyle="1" w:styleId="DateChar">
    <w:name w:val="Date Char"/>
    <w:basedOn w:val="DefaultParagraphFont"/>
    <w:link w:val="Date"/>
    <w:uiPriority w:val="99"/>
    <w:semiHidden/>
    <w:rsid w:val="00661268"/>
  </w:style>
  <w:style w:type="character" w:customStyle="1" w:styleId="Heading7Char">
    <w:name w:val="Heading 7 Char"/>
    <w:basedOn w:val="DefaultParagraphFont"/>
    <w:link w:val="Heading7"/>
    <w:uiPriority w:val="9"/>
    <w:semiHidden/>
    <w:rsid w:val="00111E17"/>
    <w:rPr>
      <w:rFonts w:asciiTheme="minorHAnsi" w:eastAsiaTheme="majorEastAsia" w:hAnsiTheme="minorHAnsi" w:cstheme="majorBidi"/>
      <w:color w:val="595959" w:themeColor="text1" w:themeTint="A6"/>
      <w:kern w:val="2"/>
      <w:sz w:val="24"/>
      <w:szCs w:val="24"/>
      <w14:ligatures w14:val="standardContextual"/>
    </w:rPr>
  </w:style>
  <w:style w:type="character" w:customStyle="1" w:styleId="Heading8Char">
    <w:name w:val="Heading 8 Char"/>
    <w:basedOn w:val="DefaultParagraphFont"/>
    <w:link w:val="Heading8"/>
    <w:uiPriority w:val="9"/>
    <w:semiHidden/>
    <w:rsid w:val="00111E17"/>
    <w:rPr>
      <w:rFonts w:asciiTheme="minorHAnsi" w:eastAsiaTheme="majorEastAsia" w:hAnsiTheme="minorHAnsi" w:cstheme="majorBidi"/>
      <w:i/>
      <w:iCs/>
      <w:color w:val="272727" w:themeColor="text1" w:themeTint="D8"/>
      <w:kern w:val="2"/>
      <w:sz w:val="24"/>
      <w:szCs w:val="24"/>
      <w14:ligatures w14:val="standardContextual"/>
    </w:rPr>
  </w:style>
  <w:style w:type="character" w:customStyle="1" w:styleId="Heading9Char">
    <w:name w:val="Heading 9 Char"/>
    <w:basedOn w:val="DefaultParagraphFont"/>
    <w:link w:val="Heading9"/>
    <w:uiPriority w:val="9"/>
    <w:semiHidden/>
    <w:rsid w:val="00111E17"/>
    <w:rPr>
      <w:rFonts w:asciiTheme="minorHAnsi" w:eastAsiaTheme="majorEastAsia" w:hAnsiTheme="minorHAnsi" w:cstheme="majorBidi"/>
      <w:color w:val="272727" w:themeColor="text1" w:themeTint="D8"/>
      <w:kern w:val="2"/>
      <w:sz w:val="24"/>
      <w:szCs w:val="24"/>
      <w14:ligatures w14:val="standardContextual"/>
    </w:rPr>
  </w:style>
  <w:style w:type="character" w:customStyle="1" w:styleId="Heading1Char">
    <w:name w:val="Heading 1 Char"/>
    <w:basedOn w:val="DefaultParagraphFont"/>
    <w:link w:val="Heading1"/>
    <w:uiPriority w:val="9"/>
    <w:rsid w:val="00111E17"/>
    <w:rPr>
      <w:b/>
      <w:sz w:val="48"/>
      <w:szCs w:val="48"/>
    </w:rPr>
  </w:style>
  <w:style w:type="character" w:customStyle="1" w:styleId="Heading4Char">
    <w:name w:val="Heading 4 Char"/>
    <w:basedOn w:val="DefaultParagraphFont"/>
    <w:link w:val="Heading4"/>
    <w:uiPriority w:val="9"/>
    <w:semiHidden/>
    <w:rsid w:val="00111E17"/>
    <w:rPr>
      <w:b/>
      <w:sz w:val="24"/>
      <w:szCs w:val="24"/>
    </w:rPr>
  </w:style>
  <w:style w:type="character" w:customStyle="1" w:styleId="Heading5Char">
    <w:name w:val="Heading 5 Char"/>
    <w:basedOn w:val="DefaultParagraphFont"/>
    <w:link w:val="Heading5"/>
    <w:uiPriority w:val="9"/>
    <w:semiHidden/>
    <w:rsid w:val="00111E17"/>
    <w:rPr>
      <w:b/>
    </w:rPr>
  </w:style>
  <w:style w:type="character" w:customStyle="1" w:styleId="Heading6Char">
    <w:name w:val="Heading 6 Char"/>
    <w:basedOn w:val="DefaultParagraphFont"/>
    <w:link w:val="Heading6"/>
    <w:uiPriority w:val="9"/>
    <w:semiHidden/>
    <w:rsid w:val="00111E17"/>
    <w:rPr>
      <w:b/>
      <w:sz w:val="20"/>
      <w:szCs w:val="20"/>
    </w:rPr>
  </w:style>
  <w:style w:type="character" w:customStyle="1" w:styleId="TitleChar">
    <w:name w:val="Title Char"/>
    <w:basedOn w:val="DefaultParagraphFont"/>
    <w:link w:val="Title"/>
    <w:uiPriority w:val="10"/>
    <w:rsid w:val="00111E17"/>
    <w:rPr>
      <w:b/>
      <w:sz w:val="72"/>
      <w:szCs w:val="72"/>
    </w:rPr>
  </w:style>
  <w:style w:type="character" w:customStyle="1" w:styleId="SubtitleChar">
    <w:name w:val="Subtitle Char"/>
    <w:basedOn w:val="DefaultParagraphFont"/>
    <w:link w:val="Subtitle"/>
    <w:uiPriority w:val="11"/>
    <w:rsid w:val="00111E17"/>
    <w:rPr>
      <w:rFonts w:ascii="Georgia" w:eastAsia="Georgia" w:hAnsi="Georgia" w:cs="Georgia"/>
      <w:i/>
      <w:color w:val="666666"/>
      <w:sz w:val="48"/>
      <w:szCs w:val="48"/>
    </w:rPr>
  </w:style>
  <w:style w:type="paragraph" w:styleId="Quote">
    <w:name w:val="Quote"/>
    <w:basedOn w:val="Normal"/>
    <w:next w:val="Normal"/>
    <w:link w:val="QuoteChar"/>
    <w:uiPriority w:val="29"/>
    <w:qFormat/>
    <w:rsid w:val="00111E17"/>
    <w:pPr>
      <w:spacing w:before="160" w:line="278" w:lineRule="auto"/>
      <w:jc w:val="center"/>
    </w:pPr>
    <w:rPr>
      <w:rFonts w:asciiTheme="minorHAnsi" w:eastAsiaTheme="minorEastAsia" w:hAnsiTheme="minorHAnsi" w:cstheme="minorBidi"/>
      <w:i/>
      <w:iCs/>
      <w:color w:val="404040" w:themeColor="text1" w:themeTint="BF"/>
      <w:kern w:val="2"/>
      <w:sz w:val="24"/>
      <w:szCs w:val="24"/>
      <w14:ligatures w14:val="standardContextual"/>
    </w:rPr>
  </w:style>
  <w:style w:type="character" w:customStyle="1" w:styleId="QuoteChar">
    <w:name w:val="Quote Char"/>
    <w:basedOn w:val="DefaultParagraphFont"/>
    <w:link w:val="Quote"/>
    <w:uiPriority w:val="29"/>
    <w:rsid w:val="00111E17"/>
    <w:rPr>
      <w:rFonts w:asciiTheme="minorHAnsi" w:eastAsiaTheme="minorEastAsia" w:hAnsiTheme="minorHAnsi" w:cstheme="minorBidi"/>
      <w:i/>
      <w:iCs/>
      <w:color w:val="404040" w:themeColor="text1" w:themeTint="BF"/>
      <w:kern w:val="2"/>
      <w:sz w:val="24"/>
      <w:szCs w:val="24"/>
      <w14:ligatures w14:val="standardContextual"/>
    </w:rPr>
  </w:style>
  <w:style w:type="character" w:styleId="IntenseEmphasis">
    <w:name w:val="Intense Emphasis"/>
    <w:basedOn w:val="DefaultParagraphFont"/>
    <w:uiPriority w:val="21"/>
    <w:qFormat/>
    <w:rsid w:val="00111E17"/>
    <w:rPr>
      <w:i/>
      <w:iCs/>
      <w:color w:val="2F5496" w:themeColor="accent1" w:themeShade="BF"/>
    </w:rPr>
  </w:style>
  <w:style w:type="paragraph" w:styleId="IntenseQuote">
    <w:name w:val="Intense Quote"/>
    <w:basedOn w:val="Normal"/>
    <w:next w:val="Normal"/>
    <w:link w:val="IntenseQuoteChar"/>
    <w:uiPriority w:val="30"/>
    <w:qFormat/>
    <w:rsid w:val="00111E17"/>
    <w:pPr>
      <w:pBdr>
        <w:top w:val="single" w:sz="4" w:space="10" w:color="2F5496" w:themeColor="accent1" w:themeShade="BF"/>
        <w:bottom w:val="single" w:sz="4" w:space="10" w:color="2F5496" w:themeColor="accent1" w:themeShade="BF"/>
      </w:pBdr>
      <w:spacing w:before="360" w:after="360" w:line="278" w:lineRule="auto"/>
      <w:ind w:left="864" w:right="864"/>
      <w:jc w:val="center"/>
    </w:pPr>
    <w:rPr>
      <w:rFonts w:asciiTheme="minorHAnsi" w:eastAsiaTheme="minorEastAsia" w:hAnsiTheme="minorHAnsi" w:cstheme="minorBidi"/>
      <w:i/>
      <w:iCs/>
      <w:color w:val="2F5496"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111E17"/>
    <w:rPr>
      <w:rFonts w:asciiTheme="minorHAnsi" w:eastAsiaTheme="minorEastAsia" w:hAnsiTheme="minorHAnsi" w:cstheme="minorBidi"/>
      <w:i/>
      <w:iCs/>
      <w:color w:val="2F5496" w:themeColor="accent1" w:themeShade="BF"/>
      <w:kern w:val="2"/>
      <w:sz w:val="24"/>
      <w:szCs w:val="24"/>
      <w14:ligatures w14:val="standardContextual"/>
    </w:rPr>
  </w:style>
  <w:style w:type="character" w:styleId="IntenseReference">
    <w:name w:val="Intense Reference"/>
    <w:basedOn w:val="DefaultParagraphFont"/>
    <w:uiPriority w:val="32"/>
    <w:qFormat/>
    <w:rsid w:val="00111E17"/>
    <w:rPr>
      <w:b/>
      <w:bCs/>
      <w:smallCaps/>
      <w:color w:val="2F5496" w:themeColor="accent1" w:themeShade="BF"/>
      <w:spacing w:val="5"/>
    </w:rPr>
  </w:style>
  <w:style w:type="table" w:styleId="PlainTable2">
    <w:name w:val="Plain Table 2"/>
    <w:basedOn w:val="TableNormal"/>
    <w:uiPriority w:val="42"/>
    <w:rsid w:val="00111E17"/>
    <w:pPr>
      <w:spacing w:after="0" w:line="240" w:lineRule="auto"/>
    </w:pPr>
    <w:rPr>
      <w:rFonts w:asciiTheme="minorHAnsi" w:eastAsiaTheme="minorEastAsia" w:hAnsiTheme="minorHAnsi" w:cstheme="minorBidi"/>
      <w:kern w:val="2"/>
      <w:sz w:val="24"/>
      <w:szCs w:val="24"/>
      <w14:ligatures w14:val="standardContextual"/>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23717817">
      <w:bodyDiv w:val="1"/>
      <w:marLeft w:val="0"/>
      <w:marRight w:val="0"/>
      <w:marTop w:val="0"/>
      <w:marBottom w:val="0"/>
      <w:divBdr>
        <w:top w:val="none" w:sz="0" w:space="0" w:color="auto"/>
        <w:left w:val="none" w:sz="0" w:space="0" w:color="auto"/>
        <w:bottom w:val="none" w:sz="0" w:space="0" w:color="auto"/>
        <w:right w:val="none" w:sz="0" w:space="0" w:color="auto"/>
      </w:divBdr>
    </w:div>
    <w:div w:id="844901661">
      <w:bodyDiv w:val="1"/>
      <w:marLeft w:val="0"/>
      <w:marRight w:val="0"/>
      <w:marTop w:val="0"/>
      <w:marBottom w:val="0"/>
      <w:divBdr>
        <w:top w:val="none" w:sz="0" w:space="0" w:color="auto"/>
        <w:left w:val="none" w:sz="0" w:space="0" w:color="auto"/>
        <w:bottom w:val="none" w:sz="0" w:space="0" w:color="auto"/>
        <w:right w:val="none" w:sz="0" w:space="0" w:color="auto"/>
      </w:divBdr>
    </w:div>
    <w:div w:id="1305811658">
      <w:bodyDiv w:val="1"/>
      <w:marLeft w:val="0"/>
      <w:marRight w:val="0"/>
      <w:marTop w:val="0"/>
      <w:marBottom w:val="0"/>
      <w:divBdr>
        <w:top w:val="none" w:sz="0" w:space="0" w:color="auto"/>
        <w:left w:val="none" w:sz="0" w:space="0" w:color="auto"/>
        <w:bottom w:val="none" w:sz="0" w:space="0" w:color="auto"/>
        <w:right w:val="none" w:sz="0" w:space="0" w:color="auto"/>
      </w:divBdr>
    </w:div>
    <w:div w:id="13642060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doi.org/10.1038/s41467-022-32258-4" TargetMode="External"/><Relationship Id="rId21" Type="http://schemas.openxmlformats.org/officeDocument/2006/relationships/hyperlink" Target="https://doi.org/10.1097/EE9.0000000000000158" TargetMode="External"/><Relationship Id="rId42" Type="http://schemas.openxmlformats.org/officeDocument/2006/relationships/hyperlink" Target="https://doi.org/10.1016/j.scs.2022.104229" TargetMode="External"/><Relationship Id="rId47" Type="http://schemas.openxmlformats.org/officeDocument/2006/relationships/hyperlink" Target="https://doi.org/10.1017/9781009325844.011" TargetMode="External"/><Relationship Id="rId63" Type="http://schemas.openxmlformats.org/officeDocument/2006/relationships/hyperlink" Target="https://doi.org/10.1029/2023GH000996" TargetMode="External"/><Relationship Id="rId68" Type="http://schemas.openxmlformats.org/officeDocument/2006/relationships/hyperlink" Target="https://doi.org/10.3389/frsc.2023.989266" TargetMode="External"/><Relationship Id="rId84" Type="http://schemas.openxmlformats.org/officeDocument/2006/relationships/hyperlink" Target="https://doi.org/10.1016/j.landusepol.2019.104319" TargetMode="External"/><Relationship Id="rId89" Type="http://schemas.openxmlformats.org/officeDocument/2006/relationships/hyperlink" Target="https://population.un.org/wpp/Publications/Files/WPP2019_Highlights.pdf" TargetMode="External"/><Relationship Id="rId16" Type="http://schemas.openxmlformats.org/officeDocument/2006/relationships/image" Target="media/image8.png"/><Relationship Id="rId107" Type="http://schemas.openxmlformats.org/officeDocument/2006/relationships/fontTable" Target="fontTable.xml"/><Relationship Id="rId11" Type="http://schemas.openxmlformats.org/officeDocument/2006/relationships/image" Target="media/image3.png"/><Relationship Id="rId32" Type="http://schemas.openxmlformats.org/officeDocument/2006/relationships/hyperlink" Target="https://doi.org/10.1016/j.landurbplan.2018.06.001" TargetMode="External"/><Relationship Id="rId37" Type="http://schemas.openxmlformats.org/officeDocument/2006/relationships/hyperlink" Target="https://doi.org/10.1016/j.gloenvcha.2017.01.002" TargetMode="External"/><Relationship Id="rId53" Type="http://schemas.openxmlformats.org/officeDocument/2006/relationships/hyperlink" Target="https://doi.org/10.1016/j.scitotenv.2019.01.299" TargetMode="External"/><Relationship Id="rId58" Type="http://schemas.openxmlformats.org/officeDocument/2006/relationships/hyperlink" Target="https://doi.org/10.1016/j.ufug.2016.10.003" TargetMode="External"/><Relationship Id="rId74" Type="http://schemas.openxmlformats.org/officeDocument/2006/relationships/hyperlink" Target="https://doi.org/10.3390/rs13030403" TargetMode="External"/><Relationship Id="rId79" Type="http://schemas.openxmlformats.org/officeDocument/2006/relationships/hyperlink" Target="https://doi.org/10.4324/9780429495274" TargetMode="External"/><Relationship Id="rId102" Type="http://schemas.openxmlformats.org/officeDocument/2006/relationships/hyperlink" Target="https://doi.org/10.1016/j.ufug.2020.126630" TargetMode="External"/><Relationship Id="rId5" Type="http://schemas.openxmlformats.org/officeDocument/2006/relationships/settings" Target="settings.xml"/><Relationship Id="rId90" Type="http://schemas.openxmlformats.org/officeDocument/2006/relationships/hyperlink" Target="https://www.un.org/development/desa/pd/content/worlds-cities-2018-data-booklet" TargetMode="External"/><Relationship Id="rId95" Type="http://schemas.openxmlformats.org/officeDocument/2006/relationships/hyperlink" Target="https://hub.worldpop.org/geodata/listing?id=69" TargetMode="External"/><Relationship Id="rId22" Type="http://schemas.openxmlformats.org/officeDocument/2006/relationships/hyperlink" Target="https://doi.org/10.1016/j.heliyon.2019.e01339" TargetMode="External"/><Relationship Id="rId27" Type="http://schemas.openxmlformats.org/officeDocument/2006/relationships/hyperlink" Target="https://doi.org/10.1016/j.ufug.2023.128178" TargetMode="External"/><Relationship Id="rId43" Type="http://schemas.openxmlformats.org/officeDocument/2006/relationships/hyperlink" Target="https://doi.org/10.1016/j.buildenv.2012.06.011" TargetMode="External"/><Relationship Id="rId48" Type="http://schemas.openxmlformats.org/officeDocument/2006/relationships/hyperlink" Target="http://documents.worldbank.org/curated/en/216861634812305202/Executive-summary" TargetMode="External"/><Relationship Id="rId64" Type="http://schemas.openxmlformats.org/officeDocument/2006/relationships/hyperlink" Target="https://doi.org/10.1016/j.landurbplan.2024.105231" TargetMode="External"/><Relationship Id="rId69" Type="http://schemas.openxmlformats.org/officeDocument/2006/relationships/hyperlink" Target="https://modis.gsfc.nasa.gov/data/dataprod/mod11.php" TargetMode="External"/><Relationship Id="rId80" Type="http://schemas.openxmlformats.org/officeDocument/2006/relationships/hyperlink" Target="https://doi.org/10.1016/j.cities.2022.103792" TargetMode="External"/><Relationship Id="rId85" Type="http://schemas.openxmlformats.org/officeDocument/2006/relationships/hyperlink" Target="https://www.tpl.org/parkscore" TargetMode="External"/><Relationship Id="rId12" Type="http://schemas.openxmlformats.org/officeDocument/2006/relationships/image" Target="media/image4.png"/><Relationship Id="rId17" Type="http://schemas.openxmlformats.org/officeDocument/2006/relationships/hyperlink" Target="https://doi.org/10.1029/2021EF002488" TargetMode="External"/><Relationship Id="rId33" Type="http://schemas.openxmlformats.org/officeDocument/2006/relationships/hyperlink" Target="https://doi.org/10.18167/DVN1/CD2ZTF" TargetMode="External"/><Relationship Id="rId38" Type="http://schemas.openxmlformats.org/officeDocument/2006/relationships/hyperlink" Target="https://doi.org/10.1080/17445647.2020.1721343" TargetMode="External"/><Relationship Id="rId59" Type="http://schemas.openxmlformats.org/officeDocument/2006/relationships/hyperlink" Target="https://doi.org/10.1007/s40300-020-001648" TargetMode="External"/><Relationship Id="rId103" Type="http://schemas.openxmlformats.org/officeDocument/2006/relationships/hyperlink" Target="https://doi.org/10.1016/j.uclim.2024.102135" TargetMode="External"/><Relationship Id="rId108" Type="http://schemas.openxmlformats.org/officeDocument/2006/relationships/theme" Target="theme/theme1.xml"/><Relationship Id="rId20" Type="http://schemas.openxmlformats.org/officeDocument/2006/relationships/hyperlink" Target="https://doi.org/10.1038/s41598-018-38034-z" TargetMode="External"/><Relationship Id="rId41" Type="http://schemas.openxmlformats.org/officeDocument/2006/relationships/hyperlink" Target="https://doi.org/10.1016/j.ufug.2009.09.003" TargetMode="External"/><Relationship Id="rId54" Type="http://schemas.openxmlformats.org/officeDocument/2006/relationships/hyperlink" Target="https://doi.org/10.1080/20964471.2019.1625151" TargetMode="External"/><Relationship Id="rId62" Type="http://schemas.openxmlformats.org/officeDocument/2006/relationships/hyperlink" Target="https://doi.org/10.1016/j.buildenv.2023.110660" TargetMode="External"/><Relationship Id="rId70" Type="http://schemas.openxmlformats.org/officeDocument/2006/relationships/hyperlink" Target="https://doi.org/10.1002/qj.49710845502" TargetMode="External"/><Relationship Id="rId75" Type="http://schemas.openxmlformats.org/officeDocument/2006/relationships/hyperlink" Target="https://doi.org/10.2166/bgs.2020.002" TargetMode="External"/><Relationship Id="rId83" Type="http://schemas.openxmlformats.org/officeDocument/2006/relationships/hyperlink" Target="https://doi.org/10.1016/j.envint.2021.106778" TargetMode="External"/><Relationship Id="rId88" Type="http://schemas.openxmlformats.org/officeDocument/2006/relationships/hyperlink" Target="https://habitat3.org/wp-content/uploads/NUA-English.pdf" TargetMode="External"/><Relationship Id="rId91" Type="http://schemas.openxmlformats.org/officeDocument/2006/relationships/hyperlink" Target="https://www.unep.org/resources/adaptation-gap-report-2021" TargetMode="External"/><Relationship Id="rId96" Type="http://schemas.openxmlformats.org/officeDocument/2006/relationships/hyperlink" Target="https://doi.org/10.1038/s43017-020-00129-5"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doi.org/10.1016/j.landusepol.2011.08.009" TargetMode="External"/><Relationship Id="rId28" Type="http://schemas.openxmlformats.org/officeDocument/2006/relationships/hyperlink" Target="https://doi.org/10.1080/19475705.2018.1564375" TargetMode="External"/><Relationship Id="rId36" Type="http://schemas.openxmlformats.org/officeDocument/2006/relationships/hyperlink" Target="https://www.germanwatch.org/en/19777" TargetMode="External"/><Relationship Id="rId49" Type="http://schemas.openxmlformats.org/officeDocument/2006/relationships/hyperlink" Target="https://doi.org/10.1016/S0140-6736(21)01209-5" TargetMode="External"/><Relationship Id="rId57" Type="http://schemas.openxmlformats.org/officeDocument/2006/relationships/hyperlink" Target="https://doi.org/10.1016/j.rse.2012.12.008" TargetMode="External"/><Relationship Id="rId106"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hyperlink" Target="https://doi.org/10.1016/j.ecolind.2016.02.030" TargetMode="External"/><Relationship Id="rId44" Type="http://schemas.openxmlformats.org/officeDocument/2006/relationships/hyperlink" Target="https://doi.org/10.1016/j.ufug.2024.128372" TargetMode="External"/><Relationship Id="rId52" Type="http://schemas.openxmlformats.org/officeDocument/2006/relationships/hyperlink" Target="https://doi.org/10.1038/s41598-023-36850-6" TargetMode="External"/><Relationship Id="rId60" Type="http://schemas.openxmlformats.org/officeDocument/2006/relationships/hyperlink" Target="https://doi.org/10.1038/s43247-022-00539-x" TargetMode="External"/><Relationship Id="rId65" Type="http://schemas.openxmlformats.org/officeDocument/2006/relationships/hyperlink" Target="https://doi.org/10.1016/j.landurbplan.2018.10.023" TargetMode="External"/><Relationship Id="rId73" Type="http://schemas.openxmlformats.org/officeDocument/2006/relationships/hyperlink" Target="https://doi.org/10.1016/j.rse.2015.11.004" TargetMode="External"/><Relationship Id="rId78" Type="http://schemas.openxmlformats.org/officeDocument/2006/relationships/hyperlink" Target="https://doi.org/10.1002/joc.7243" TargetMode="External"/><Relationship Id="rId81" Type="http://schemas.openxmlformats.org/officeDocument/2006/relationships/hyperlink" Target="https://doi.org/10.1016/j.cities.2018.04.012" TargetMode="External"/><Relationship Id="rId86" Type="http://schemas.openxmlformats.org/officeDocument/2006/relationships/hyperlink" Target="https://sdgs.un.org/goals" TargetMode="External"/><Relationship Id="rId94" Type="http://schemas.openxmlformats.org/officeDocument/2006/relationships/hyperlink" Target="https://documents.worldbank.org/curated/en/517211592452939643/pdf/Towards-an-Urban-Land-Reform-in-Madagascar-Support-to-Urban-Land-Policy.pdf" TargetMode="External"/><Relationship Id="rId99" Type="http://schemas.openxmlformats.org/officeDocument/2006/relationships/hyperlink" Target="https://doi.org/10.1186/s40201-015-0204-6" TargetMode="External"/><Relationship Id="rId101" Type="http://schemas.openxmlformats.org/officeDocument/2006/relationships/hyperlink" Target="https://doi.org/10.1088/1748-9326/ac64a3"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doi.org/10.1029/2021EF002488" TargetMode="External"/><Relationship Id="rId39" Type="http://schemas.openxmlformats.org/officeDocument/2006/relationships/hyperlink" Target="https://doi.org/10.1016/j.landurbplan.2022.104709" TargetMode="External"/><Relationship Id="rId34" Type="http://schemas.openxmlformats.org/officeDocument/2006/relationships/hyperlink" Target="https://doi.org/10.18167/DVN1/RE1MDM" TargetMode="External"/><Relationship Id="rId50" Type="http://schemas.openxmlformats.org/officeDocument/2006/relationships/hyperlink" Target="https://doi.org/10.3390/ijerph16030452" TargetMode="External"/><Relationship Id="rId55" Type="http://schemas.openxmlformats.org/officeDocument/2006/relationships/hyperlink" Target="https://doi.org/10.3390/cli10110164" TargetMode="External"/><Relationship Id="rId76" Type="http://schemas.openxmlformats.org/officeDocument/2006/relationships/hyperlink" Target="https://doi.org/10.3390/w13020149" TargetMode="External"/><Relationship Id="rId97" Type="http://schemas.openxmlformats.org/officeDocument/2006/relationships/hyperlink" Target="https://doi.org/10.1016/j.landurbplan.2024.105224" TargetMode="External"/><Relationship Id="rId104" Type="http://schemas.openxmlformats.org/officeDocument/2006/relationships/hyperlink" Target="https://doi.org/10.1016/j.oneear.2021.11.010" TargetMode="External"/><Relationship Id="rId7" Type="http://schemas.openxmlformats.org/officeDocument/2006/relationships/footnotes" Target="footnotes.xml"/><Relationship Id="rId71" Type="http://schemas.openxmlformats.org/officeDocument/2006/relationships/hyperlink" Target="https://doi.org/10.1016/j.landurbplan.2023.104831" TargetMode="External"/><Relationship Id="rId92" Type="http://schemas.openxmlformats.org/officeDocument/2006/relationships/hyperlink" Target="https://doi.org/10.1016/j.jclepro.2019.117858" TargetMode="External"/><Relationship Id="rId2" Type="http://schemas.openxmlformats.org/officeDocument/2006/relationships/customXml" Target="../customXml/item2.xml"/><Relationship Id="rId29" Type="http://schemas.openxmlformats.org/officeDocument/2006/relationships/hyperlink" Target="https://doi.org/10.1016/j.rse.2016.08.023" TargetMode="External"/><Relationship Id="rId24" Type="http://schemas.openxmlformats.org/officeDocument/2006/relationships/hyperlink" Target="https://doi.org/10.1080/26395916.2025.2469853" TargetMode="External"/><Relationship Id="rId40" Type="http://schemas.openxmlformats.org/officeDocument/2006/relationships/hyperlink" Target="https://doi.org/10.1016/j.ufug.2022.127737" TargetMode="External"/><Relationship Id="rId45" Type="http://schemas.openxmlformats.org/officeDocument/2006/relationships/hyperlink" Target="https://doi.org/10.1016/j.scs.2024.105530" TargetMode="External"/><Relationship Id="rId66" Type="http://schemas.openxmlformats.org/officeDocument/2006/relationships/hyperlink" Target="https://doi.org/10.3390/ijerph17103524" TargetMode="External"/><Relationship Id="rId87" Type="http://schemas.openxmlformats.org/officeDocument/2006/relationships/hyperlink" Target="https://www.un.org/development/desa/pd/sites/www.un.org.development.desa.pd/files/unpd_egm_201709_s3_paper-awunbila-final.pdf" TargetMode="External"/><Relationship Id="rId61" Type="http://schemas.openxmlformats.org/officeDocument/2006/relationships/hyperlink" Target="https://doi.org/10.1016/j.uclim.2024.102140" TargetMode="External"/><Relationship Id="rId82" Type="http://schemas.openxmlformats.org/officeDocument/2006/relationships/hyperlink" Target="https://doi.org/10.1016/j.uclim.2021.100857" TargetMode="External"/><Relationship Id="rId19" Type="http://schemas.openxmlformats.org/officeDocument/2006/relationships/hyperlink" Target="https://doi.org/10.4103/IJPSYM.IJPSYM_193_19" TargetMode="External"/><Relationship Id="rId14" Type="http://schemas.openxmlformats.org/officeDocument/2006/relationships/image" Target="media/image6.png"/><Relationship Id="rId30" Type="http://schemas.openxmlformats.org/officeDocument/2006/relationships/hyperlink" Target="https://browser.dataspace.copernicus.eu/" TargetMode="External"/><Relationship Id="rId35" Type="http://schemas.openxmlformats.org/officeDocument/2006/relationships/hyperlink" Target="https://doi.org/10.1016/j.dib.2020.105952" TargetMode="External"/><Relationship Id="rId56" Type="http://schemas.openxmlformats.org/officeDocument/2006/relationships/hyperlink" Target="https://doi.org/10.1038/s41467-024-51355-0" TargetMode="External"/><Relationship Id="rId77" Type="http://schemas.openxmlformats.org/officeDocument/2006/relationships/hyperlink" Target="https://doi.org/10.1016/j.ijdrr.2016.04.013" TargetMode="External"/><Relationship Id="rId100" Type="http://schemas.openxmlformats.org/officeDocument/2006/relationships/hyperlink" Target="https://doi.org/10.1080/10095020.2020.1834882" TargetMode="External"/><Relationship Id="rId105" Type="http://schemas.openxmlformats.org/officeDocument/2006/relationships/hyperlink" Target="https://doi.org/10.1016/j.landurbplan.2022.104449" TargetMode="External"/><Relationship Id="rId8" Type="http://schemas.openxmlformats.org/officeDocument/2006/relationships/endnotes" Target="endnotes.xml"/><Relationship Id="rId51" Type="http://schemas.openxmlformats.org/officeDocument/2006/relationships/hyperlink" Target="https://doi.org/10.1016/j.uclim.2024.102145" TargetMode="External"/><Relationship Id="rId72" Type="http://schemas.openxmlformats.org/officeDocument/2006/relationships/hyperlink" Target="https://doi.org/10.1016/j.gloenvcha.2020.102190" TargetMode="External"/><Relationship Id="rId93" Type="http://schemas.openxmlformats.org/officeDocument/2006/relationships/hyperlink" Target="https://doi.org/10.1016/j.uclim.2024.102220" TargetMode="External"/><Relationship Id="rId98" Type="http://schemas.openxmlformats.org/officeDocument/2006/relationships/hyperlink" Target="https://www.researchgate.net/publication/335422149" TargetMode="External"/><Relationship Id="rId3" Type="http://schemas.openxmlformats.org/officeDocument/2006/relationships/numbering" Target="numbering.xml"/><Relationship Id="rId25" Type="http://schemas.openxmlformats.org/officeDocument/2006/relationships/hyperlink" Target="https://doi.org/10.1016/j.scitotenv.2019.01.299" TargetMode="External"/><Relationship Id="rId46" Type="http://schemas.openxmlformats.org/officeDocument/2006/relationships/hyperlink" Target="https://documents1.worldbank.org/curated/en/587761530803052116/pdf/127982-WP-REVISED-deep-south-V27-07-2018-web.pdf" TargetMode="External"/><Relationship Id="rId67" Type="http://schemas.openxmlformats.org/officeDocument/2006/relationships/hyperlink" Target="https://doi.org/10.1016/j.uclim.2021.101004"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gkcjnlKkoishGJMukRax1G4S1Aw==">CgMxLjAyCGguZ2pkZ3hzMg5oLms2cWh2cGltNGp5aDIOaC5sdml5Zjh1MDg5eTIyCGgudHlqY3d0Mg5oLndybTM2bHducXRxcTIJaC4zZHk2dmttMg5oLnM3N3c3NDIydHNrNzgAciExWWRIT0o3NUFDQnR1RmhKRENPeTVuTU15SjQ4UHVuTF8=</go:docsCustomData>
</go:gDocsCustomXmlDataStorage>
</file>

<file path=customXml/itemProps1.xml><?xml version="1.0" encoding="utf-8"?>
<ds:datastoreItem xmlns:ds="http://schemas.openxmlformats.org/officeDocument/2006/customXml" ds:itemID="{C5434977-2AA0-405C-87C9-76AA51AEEF2E}">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484</TotalTime>
  <Pages>21</Pages>
  <Words>10782</Words>
  <Characters>61463</Characters>
  <Application>Microsoft Office Word</Application>
  <DocSecurity>0</DocSecurity>
  <Lines>512</Lines>
  <Paragraphs>144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Rui Han</dc:creator>
  <cp:lastModifiedBy>Rui Han</cp:lastModifiedBy>
  <cp:revision>31</cp:revision>
  <dcterms:created xsi:type="dcterms:W3CDTF">2025-04-18T16:34:00Z</dcterms:created>
  <dcterms:modified xsi:type="dcterms:W3CDTF">2025-06-23T15:08:00Z</dcterms:modified>
</cp:coreProperties>
</file>