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5740" w14:textId="77777777" w:rsidR="003F3B4C" w:rsidRPr="00001F99" w:rsidRDefault="003F3B4C" w:rsidP="003F3B4C">
      <w:pPr>
        <w:jc w:val="center"/>
        <w:rPr>
          <w:rFonts w:ascii="Calibri" w:hAnsi="Calibri" w:cs="Calibri"/>
          <w:b/>
          <w:bCs/>
        </w:rPr>
      </w:pPr>
    </w:p>
    <w:p w14:paraId="70AC014C" w14:textId="77777777" w:rsidR="003F3B4C" w:rsidRPr="00001F99" w:rsidRDefault="003F3B4C" w:rsidP="003F3B4C">
      <w:pPr>
        <w:jc w:val="center"/>
        <w:rPr>
          <w:rFonts w:ascii="Calibri" w:hAnsi="Calibri" w:cs="Calibri"/>
          <w:b/>
          <w:bCs/>
        </w:rPr>
      </w:pPr>
    </w:p>
    <w:p w14:paraId="11BAB2A7" w14:textId="77777777" w:rsidR="003F3B4C" w:rsidRPr="00001F99" w:rsidRDefault="003F3B4C" w:rsidP="003F3B4C">
      <w:pPr>
        <w:jc w:val="center"/>
        <w:rPr>
          <w:rFonts w:ascii="Calibri" w:hAnsi="Calibri" w:cs="Calibri"/>
          <w:b/>
          <w:bCs/>
          <w:sz w:val="24"/>
          <w:szCs w:val="24"/>
        </w:rPr>
      </w:pPr>
      <w:r w:rsidRPr="00001F99">
        <w:rPr>
          <w:rFonts w:ascii="Calibri" w:hAnsi="Calibri" w:cs="Calibri"/>
          <w:b/>
          <w:bCs/>
          <w:sz w:val="24"/>
          <w:szCs w:val="24"/>
        </w:rPr>
        <w:t>A Composite Face Effect for Vertically Divided Faces</w:t>
      </w:r>
    </w:p>
    <w:p w14:paraId="426475D4" w14:textId="77777777" w:rsidR="003F3B4C" w:rsidRPr="00001F99" w:rsidRDefault="003F3B4C" w:rsidP="003F3B4C">
      <w:pPr>
        <w:pStyle w:val="TitlePage01AH"/>
        <w:spacing w:line="360" w:lineRule="auto"/>
        <w:rPr>
          <w:rFonts w:ascii="Calibri" w:hAnsi="Calibri" w:cs="Calibri"/>
        </w:rPr>
      </w:pPr>
    </w:p>
    <w:p w14:paraId="23091298" w14:textId="77777777" w:rsidR="003F3B4C" w:rsidRPr="00001F99" w:rsidRDefault="003F3B4C" w:rsidP="003F3B4C">
      <w:pPr>
        <w:pStyle w:val="TitlePage01AH"/>
        <w:spacing w:line="360" w:lineRule="auto"/>
        <w:rPr>
          <w:rFonts w:ascii="Calibri" w:hAnsi="Calibri" w:cs="Calibri"/>
          <w:vertAlign w:val="superscript"/>
        </w:rPr>
      </w:pPr>
      <w:r w:rsidRPr="00001F99">
        <w:rPr>
          <w:rFonts w:ascii="Calibri" w:hAnsi="Calibri" w:cs="Calibri"/>
        </w:rPr>
        <w:t>Bartholomew P. A. Quinn</w:t>
      </w:r>
      <w:r w:rsidRPr="00001F99">
        <w:rPr>
          <w:rFonts w:ascii="Calibri" w:hAnsi="Calibri" w:cs="Calibri"/>
          <w:vertAlign w:val="superscript"/>
        </w:rPr>
        <w:t>1</w:t>
      </w:r>
      <w:r w:rsidRPr="00001F99">
        <w:rPr>
          <w:rFonts w:ascii="Calibri" w:hAnsi="Calibri" w:cs="Calibri"/>
        </w:rPr>
        <w:t>, A. Mike Burton</w:t>
      </w:r>
      <w:r w:rsidRPr="00001F99">
        <w:rPr>
          <w:rFonts w:ascii="Calibri" w:hAnsi="Calibri" w:cs="Calibri"/>
          <w:vertAlign w:val="superscript"/>
        </w:rPr>
        <w:t>1,2</w:t>
      </w:r>
      <w:r w:rsidRPr="00001F99">
        <w:rPr>
          <w:rFonts w:ascii="Calibri" w:hAnsi="Calibri" w:cs="Calibri"/>
        </w:rPr>
        <w:t>, and Timothy J. Andrews</w:t>
      </w:r>
      <w:r w:rsidRPr="00001F99">
        <w:rPr>
          <w:rFonts w:ascii="Calibri" w:hAnsi="Calibri" w:cs="Calibri"/>
          <w:vertAlign w:val="superscript"/>
        </w:rPr>
        <w:t>1</w:t>
      </w:r>
    </w:p>
    <w:p w14:paraId="2E1B1D1F" w14:textId="77777777" w:rsidR="003F3B4C" w:rsidRPr="00001F99" w:rsidRDefault="003F3B4C" w:rsidP="003F3B4C">
      <w:pPr>
        <w:pStyle w:val="TitlePage02AH"/>
        <w:spacing w:line="360" w:lineRule="auto"/>
        <w:jc w:val="center"/>
        <w:rPr>
          <w:rFonts w:ascii="Calibri" w:hAnsi="Calibri" w:cs="Calibri"/>
          <w:color w:val="auto"/>
        </w:rPr>
      </w:pPr>
      <w:r w:rsidRPr="00001F99">
        <w:rPr>
          <w:rFonts w:ascii="Calibri" w:hAnsi="Calibri" w:cs="Calibri"/>
          <w:color w:val="auto"/>
          <w:vertAlign w:val="superscript"/>
        </w:rPr>
        <w:t>1</w:t>
      </w:r>
      <w:r w:rsidRPr="00001F99">
        <w:rPr>
          <w:rFonts w:ascii="Calibri" w:hAnsi="Calibri" w:cs="Calibri"/>
          <w:color w:val="auto"/>
        </w:rPr>
        <w:t>Department of Psychology, University of York, UK</w:t>
      </w:r>
    </w:p>
    <w:p w14:paraId="6139082D" w14:textId="77777777" w:rsidR="003F3B4C" w:rsidRPr="00001F99" w:rsidRDefault="003F3B4C" w:rsidP="003F3B4C">
      <w:pPr>
        <w:pStyle w:val="TitlePage02AH"/>
        <w:spacing w:line="360" w:lineRule="auto"/>
        <w:jc w:val="center"/>
        <w:rPr>
          <w:rFonts w:ascii="Calibri" w:hAnsi="Calibri" w:cs="Calibri"/>
          <w:color w:val="auto"/>
        </w:rPr>
      </w:pPr>
      <w:r w:rsidRPr="00001F99">
        <w:rPr>
          <w:rFonts w:ascii="Calibri" w:hAnsi="Calibri" w:cs="Calibri"/>
          <w:color w:val="auto"/>
          <w:vertAlign w:val="superscript"/>
        </w:rPr>
        <w:t>2</w:t>
      </w:r>
      <w:r w:rsidRPr="00001F99">
        <w:rPr>
          <w:rFonts w:ascii="Calibri" w:hAnsi="Calibri" w:cs="Calibri"/>
          <w:color w:val="auto"/>
        </w:rPr>
        <w:t>Faculty of Society and Design, Bond University, Australia</w:t>
      </w:r>
    </w:p>
    <w:p w14:paraId="63FB7EFC" w14:textId="77777777" w:rsidR="003F3B4C" w:rsidRPr="00001F99" w:rsidRDefault="003F3B4C" w:rsidP="003F3B4C">
      <w:pPr>
        <w:pStyle w:val="TitlePage02AH"/>
        <w:spacing w:line="360" w:lineRule="auto"/>
        <w:rPr>
          <w:rFonts w:ascii="Calibri" w:hAnsi="Calibri" w:cs="Calibri"/>
          <w:color w:val="auto"/>
        </w:rPr>
      </w:pPr>
    </w:p>
    <w:p w14:paraId="4243852E" w14:textId="77777777" w:rsidR="003F3B4C" w:rsidRPr="00001F99" w:rsidRDefault="003F3B4C" w:rsidP="003F3B4C">
      <w:pPr>
        <w:jc w:val="center"/>
        <w:rPr>
          <w:rFonts w:ascii="Calibri" w:hAnsi="Calibri" w:cs="Calibri"/>
          <w:sz w:val="24"/>
          <w:szCs w:val="24"/>
        </w:rPr>
      </w:pPr>
    </w:p>
    <w:p w14:paraId="33590450" w14:textId="77777777" w:rsidR="003F3B4C" w:rsidRPr="00001F99" w:rsidRDefault="003F3B4C" w:rsidP="003F3B4C">
      <w:pPr>
        <w:jc w:val="center"/>
        <w:rPr>
          <w:rFonts w:ascii="Calibri" w:hAnsi="Calibri" w:cs="Calibri"/>
          <w:sz w:val="24"/>
          <w:szCs w:val="24"/>
        </w:rPr>
      </w:pPr>
      <w:r w:rsidRPr="00001F99">
        <w:rPr>
          <w:rFonts w:ascii="Calibri" w:hAnsi="Calibri" w:cs="Calibri"/>
          <w:sz w:val="24"/>
          <w:szCs w:val="24"/>
        </w:rPr>
        <w:t>* Corresponding</w:t>
      </w:r>
      <w:r w:rsidRPr="003F3B4C">
        <w:rPr>
          <w:rFonts w:ascii="Calibri" w:hAnsi="Calibri" w:cs="Calibri"/>
          <w:sz w:val="24"/>
          <w:szCs w:val="24"/>
        </w:rPr>
        <w:t xml:space="preserve"> authors: </w:t>
      </w:r>
      <w:r w:rsidRPr="003F3B4C">
        <w:rPr>
          <w:rStyle w:val="InternetLink"/>
          <w:rFonts w:ascii="Calibri" w:hAnsi="Calibri" w:cs="Calibri"/>
          <w:color w:val="auto"/>
          <w:sz w:val="24"/>
          <w:szCs w:val="24"/>
        </w:rPr>
        <w:t>bpaq500@york.ac.uk</w:t>
      </w:r>
      <w:r w:rsidRPr="003F3B4C">
        <w:rPr>
          <w:rFonts w:ascii="Calibri" w:hAnsi="Calibri" w:cs="Calibri"/>
          <w:sz w:val="24"/>
          <w:szCs w:val="24"/>
        </w:rPr>
        <w:t xml:space="preserve"> &amp; </w:t>
      </w:r>
      <w:hyperlink r:id="rId8">
        <w:r w:rsidRPr="003F3B4C">
          <w:rPr>
            <w:rStyle w:val="InternetLink"/>
            <w:rFonts w:ascii="Calibri" w:hAnsi="Calibri" w:cs="Calibri"/>
            <w:color w:val="auto"/>
            <w:sz w:val="24"/>
            <w:szCs w:val="24"/>
          </w:rPr>
          <w:t>timothy.andrews@york.ac.uk</w:t>
        </w:r>
      </w:hyperlink>
    </w:p>
    <w:p w14:paraId="7907394A" w14:textId="77777777" w:rsidR="003F3B4C" w:rsidRPr="00001F99" w:rsidRDefault="003F3B4C" w:rsidP="003F3B4C">
      <w:pPr>
        <w:pStyle w:val="TitlePage02AH"/>
        <w:spacing w:line="360" w:lineRule="auto"/>
        <w:jc w:val="center"/>
        <w:rPr>
          <w:rStyle w:val="InternetLink"/>
          <w:rFonts w:ascii="Calibri" w:hAnsi="Calibri" w:cs="Calibri"/>
          <w:color w:val="auto"/>
        </w:rPr>
      </w:pPr>
    </w:p>
    <w:p w14:paraId="252DCFFC" w14:textId="77777777" w:rsidR="003F3B4C" w:rsidRPr="00001F99" w:rsidRDefault="003F3B4C" w:rsidP="003F3B4C">
      <w:pPr>
        <w:pStyle w:val="TitlePage02AH"/>
        <w:spacing w:line="360" w:lineRule="auto"/>
        <w:ind w:left="0" w:firstLine="0"/>
        <w:jc w:val="center"/>
        <w:rPr>
          <w:rFonts w:ascii="Calibri" w:hAnsi="Calibri" w:cs="Calibri"/>
          <w:color w:val="auto"/>
        </w:rPr>
      </w:pPr>
    </w:p>
    <w:p w14:paraId="6990B303" w14:textId="77777777" w:rsidR="003F3B4C" w:rsidRPr="00001F99" w:rsidRDefault="003F3B4C" w:rsidP="003F3B4C">
      <w:pPr>
        <w:pStyle w:val="TitlePage02AH"/>
        <w:spacing w:line="360" w:lineRule="auto"/>
        <w:ind w:left="0" w:firstLine="0"/>
        <w:jc w:val="center"/>
        <w:rPr>
          <w:rFonts w:ascii="Calibri" w:hAnsi="Calibri" w:cs="Calibri"/>
          <w:color w:val="auto"/>
        </w:rPr>
      </w:pPr>
    </w:p>
    <w:p w14:paraId="6F306A54" w14:textId="77777777" w:rsidR="003F3B4C" w:rsidRPr="00001F99" w:rsidRDefault="003F3B4C" w:rsidP="003F3B4C">
      <w:pPr>
        <w:pStyle w:val="TitlePage02AH"/>
        <w:spacing w:after="0" w:line="360" w:lineRule="auto"/>
        <w:ind w:left="0" w:firstLine="0"/>
        <w:jc w:val="center"/>
        <w:rPr>
          <w:rFonts w:ascii="Calibri" w:hAnsi="Calibri" w:cs="Calibri"/>
          <w:b/>
          <w:color w:val="auto"/>
        </w:rPr>
      </w:pPr>
      <w:r w:rsidRPr="00001F99">
        <w:rPr>
          <w:rFonts w:ascii="Calibri" w:hAnsi="Calibri" w:cs="Calibri"/>
          <w:b/>
          <w:color w:val="auto"/>
        </w:rPr>
        <w:t>Author ORCID identifiers:</w:t>
      </w:r>
    </w:p>
    <w:p w14:paraId="2F6C1C77" w14:textId="77777777" w:rsidR="003F3B4C" w:rsidRPr="00001F99" w:rsidRDefault="003F3B4C" w:rsidP="003F3B4C">
      <w:pPr>
        <w:pStyle w:val="TitlePage02AH"/>
        <w:spacing w:after="0" w:line="360" w:lineRule="auto"/>
        <w:ind w:left="0" w:firstLine="0"/>
        <w:jc w:val="center"/>
        <w:rPr>
          <w:rFonts w:ascii="Calibri" w:hAnsi="Calibri" w:cs="Calibri"/>
          <w:b/>
          <w:color w:val="auto"/>
        </w:rPr>
      </w:pPr>
    </w:p>
    <w:p w14:paraId="618CD61F" w14:textId="77777777" w:rsidR="003F3B4C" w:rsidRPr="00001F99" w:rsidRDefault="003F3B4C" w:rsidP="003F3B4C">
      <w:pPr>
        <w:pStyle w:val="TitlePage02AH"/>
        <w:spacing w:after="0" w:line="360" w:lineRule="auto"/>
        <w:ind w:left="0" w:firstLine="0"/>
        <w:jc w:val="center"/>
        <w:rPr>
          <w:rFonts w:ascii="Calibri" w:hAnsi="Calibri" w:cs="Calibri"/>
          <w:color w:val="auto"/>
        </w:rPr>
      </w:pPr>
      <w:r w:rsidRPr="00001F99">
        <w:rPr>
          <w:rFonts w:ascii="Calibri" w:hAnsi="Calibri" w:cs="Calibri"/>
          <w:color w:val="auto"/>
        </w:rPr>
        <w:t xml:space="preserve">Bartholomew Quinn: </w:t>
      </w:r>
      <w:r w:rsidRPr="00001F99">
        <w:rPr>
          <w:rFonts w:ascii="Calibri" w:hAnsi="Calibri" w:cs="Calibri"/>
          <w:color w:val="auto"/>
        </w:rPr>
        <w:tab/>
      </w:r>
      <w:hyperlink r:id="rId9">
        <w:r w:rsidRPr="00001F99">
          <w:rPr>
            <w:rStyle w:val="InternetLink"/>
            <w:rFonts w:ascii="Calibri" w:hAnsi="Calibri" w:cs="Calibri"/>
            <w:color w:val="auto"/>
          </w:rPr>
          <w:t xml:space="preserve">https://orcid.org/0000-0001-8595-4433 </w:t>
        </w:r>
      </w:hyperlink>
    </w:p>
    <w:p w14:paraId="72FF5BBE" w14:textId="77777777" w:rsidR="003F3B4C" w:rsidRPr="00001F99" w:rsidRDefault="003F3B4C" w:rsidP="003F3B4C">
      <w:pPr>
        <w:pStyle w:val="TitlePage02AH"/>
        <w:spacing w:after="0" w:line="360" w:lineRule="auto"/>
        <w:ind w:left="0" w:firstLine="0"/>
        <w:jc w:val="center"/>
        <w:rPr>
          <w:rFonts w:ascii="Calibri" w:hAnsi="Calibri" w:cs="Calibri"/>
          <w:color w:val="auto"/>
        </w:rPr>
      </w:pPr>
      <w:r w:rsidRPr="00001F99">
        <w:rPr>
          <w:rFonts w:ascii="Calibri" w:hAnsi="Calibri" w:cs="Calibri"/>
          <w:color w:val="auto"/>
        </w:rPr>
        <w:t>Mike Burton:</w:t>
      </w:r>
      <w:r w:rsidRPr="00001F99">
        <w:rPr>
          <w:rFonts w:ascii="Calibri" w:hAnsi="Calibri" w:cs="Calibri"/>
          <w:color w:val="auto"/>
        </w:rPr>
        <w:tab/>
      </w:r>
      <w:r w:rsidRPr="00001F99">
        <w:rPr>
          <w:rFonts w:ascii="Calibri" w:hAnsi="Calibri" w:cs="Calibri"/>
          <w:color w:val="auto"/>
        </w:rPr>
        <w:tab/>
      </w:r>
      <w:r w:rsidRPr="00001F99">
        <w:rPr>
          <w:rStyle w:val="InternetLink"/>
          <w:rFonts w:ascii="Calibri" w:hAnsi="Calibri" w:cs="Calibri"/>
          <w:color w:val="auto"/>
        </w:rPr>
        <w:t>https://orcid.org/0000-0002-2035-2084</w:t>
      </w:r>
    </w:p>
    <w:p w14:paraId="496F8B39" w14:textId="77777777" w:rsidR="003F3B4C" w:rsidRPr="00001F99" w:rsidRDefault="003F3B4C" w:rsidP="003F3B4C">
      <w:pPr>
        <w:pStyle w:val="TitlePage02AH"/>
        <w:spacing w:after="0" w:line="360" w:lineRule="auto"/>
        <w:ind w:left="0" w:firstLine="0"/>
        <w:jc w:val="center"/>
        <w:rPr>
          <w:rStyle w:val="InternetLink"/>
          <w:rFonts w:ascii="Calibri" w:hAnsi="Calibri" w:cs="Calibri"/>
          <w:color w:val="auto"/>
        </w:rPr>
      </w:pPr>
      <w:r w:rsidRPr="00001F99">
        <w:rPr>
          <w:rFonts w:ascii="Calibri" w:hAnsi="Calibri" w:cs="Calibri"/>
          <w:color w:val="auto"/>
        </w:rPr>
        <w:t>Tim Andrews:</w:t>
      </w:r>
      <w:r w:rsidRPr="00001F99">
        <w:rPr>
          <w:rFonts w:ascii="Calibri" w:hAnsi="Calibri" w:cs="Calibri"/>
          <w:color w:val="auto"/>
        </w:rPr>
        <w:tab/>
        <w:t xml:space="preserve"> </w:t>
      </w:r>
      <w:r w:rsidRPr="00001F99">
        <w:rPr>
          <w:rFonts w:ascii="Calibri" w:hAnsi="Calibri" w:cs="Calibri"/>
          <w:color w:val="auto"/>
        </w:rPr>
        <w:tab/>
      </w:r>
      <w:hyperlink r:id="rId10">
        <w:r w:rsidRPr="00001F99">
          <w:rPr>
            <w:rStyle w:val="InternetLink"/>
            <w:rFonts w:ascii="Calibri" w:hAnsi="Calibri" w:cs="Calibri"/>
            <w:color w:val="auto"/>
          </w:rPr>
          <w:t>https://orcid.org/0000-0001-8255-9120</w:t>
        </w:r>
      </w:hyperlink>
    </w:p>
    <w:p w14:paraId="573CE5A5" w14:textId="77777777" w:rsidR="003F3B4C" w:rsidRPr="00001F99" w:rsidRDefault="003F3B4C" w:rsidP="003F3B4C">
      <w:pPr>
        <w:pStyle w:val="TitlePage02AH"/>
        <w:spacing w:after="0" w:line="360" w:lineRule="auto"/>
        <w:ind w:left="0" w:firstLine="0"/>
        <w:jc w:val="center"/>
        <w:rPr>
          <w:rStyle w:val="InternetLink"/>
          <w:rFonts w:ascii="Calibri" w:hAnsi="Calibri" w:cs="Calibri"/>
          <w:color w:val="auto"/>
        </w:rPr>
      </w:pPr>
    </w:p>
    <w:p w14:paraId="5642BFE9" w14:textId="77777777" w:rsidR="003F3B4C" w:rsidRPr="00001F99" w:rsidRDefault="003F3B4C" w:rsidP="003F3B4C">
      <w:pPr>
        <w:pStyle w:val="TitlePage02AH"/>
        <w:spacing w:after="0" w:line="360" w:lineRule="auto"/>
        <w:ind w:left="0" w:firstLine="0"/>
        <w:jc w:val="center"/>
        <w:rPr>
          <w:rStyle w:val="InternetLink"/>
          <w:rFonts w:ascii="Calibri" w:hAnsi="Calibri" w:cs="Calibri"/>
          <w:color w:val="auto"/>
        </w:rPr>
      </w:pPr>
    </w:p>
    <w:p w14:paraId="59C926BC" w14:textId="77777777" w:rsidR="003F3B4C" w:rsidRDefault="003F3B4C" w:rsidP="003F3B4C">
      <w:pPr>
        <w:rPr>
          <w:rFonts w:ascii="Calibri" w:eastAsia="Arial" w:hAnsi="Calibri" w:cs="Calibri"/>
          <w:sz w:val="24"/>
          <w:szCs w:val="24"/>
        </w:rPr>
      </w:pPr>
      <w:r>
        <w:rPr>
          <w:rFonts w:ascii="Calibri" w:hAnsi="Calibri" w:cs="Calibri"/>
        </w:rPr>
        <w:br w:type="page"/>
      </w:r>
    </w:p>
    <w:p w14:paraId="5AFCDC84" w14:textId="54531DCF" w:rsidR="009A0165" w:rsidRDefault="009A0165" w:rsidP="009A0165">
      <w:pPr>
        <w:pStyle w:val="Heading1"/>
      </w:pPr>
      <w:r>
        <w:lastRenderedPageBreak/>
        <w:t>Abstract</w:t>
      </w:r>
    </w:p>
    <w:p w14:paraId="3450D8E8" w14:textId="49D712E6" w:rsidR="009A0165" w:rsidRDefault="009A0165" w:rsidP="009A0165">
      <w:r w:rsidRPr="009A0165">
        <w:t>The composite face effect (CFE) provides evidence for holistic face processing by demonstrating that when halves of different faces are aligned to resemble a single face, recognition of the component identities is disrupted. However, if the face halves are misaligned, the component identities become easier to recognise. While the horizontal CFE – wherein the top and bottom halves of the face are aligned – has been extensively studied, the existence of a vertical CFE – involving the combination of left-right face halves – remains unclear. This study investigated the vertical CFE using composite stimuli created by pairing familiar and unfamiliar faces. Participants made familiarity judgments for aligned and misaligned vertical and horizontal composites. Familiarity judgements were made more accurately and with faster response times with misaligned compared to aligned composites. The magnitude of the vertical CFE was comparable to the horizontal CFE and was unaffected by identity priming or which half of the face was attended. However, the size of the CFE was reduced when attention was not directed to a specific face half. These findings suggest that both the vertical and horizontal CFE reflect a common mechanism for integrating facial information across the visual field, underscoring holistic processing as a fundamental process in face recognition.</w:t>
      </w:r>
    </w:p>
    <w:p w14:paraId="66F31522" w14:textId="77777777" w:rsidR="009A0165" w:rsidRDefault="009A0165">
      <w:pPr>
        <w:spacing w:line="259" w:lineRule="auto"/>
        <w:jc w:val="left"/>
      </w:pPr>
      <w:r>
        <w:br w:type="page"/>
      </w:r>
    </w:p>
    <w:p w14:paraId="1C9DFA79" w14:textId="167EB1EA" w:rsidR="009A0165" w:rsidRPr="00C644C3" w:rsidRDefault="009A0165" w:rsidP="009A0165">
      <w:pPr>
        <w:pStyle w:val="Heading1"/>
      </w:pPr>
      <w:bookmarkStart w:id="0" w:name="_Toc198559626"/>
      <w:bookmarkStart w:id="1" w:name="_Toc198648763"/>
      <w:bookmarkStart w:id="2" w:name="_Toc198648851"/>
      <w:bookmarkStart w:id="3" w:name="_Toc199406028"/>
      <w:r w:rsidRPr="00C644C3">
        <w:lastRenderedPageBreak/>
        <w:t>Introduction</w:t>
      </w:r>
      <w:bookmarkEnd w:id="0"/>
      <w:bookmarkEnd w:id="1"/>
      <w:bookmarkEnd w:id="2"/>
      <w:bookmarkEnd w:id="3"/>
    </w:p>
    <w:p w14:paraId="739EC4A7" w14:textId="77777777" w:rsidR="009A0165" w:rsidRPr="00C644C3" w:rsidRDefault="009A0165" w:rsidP="009A0165">
      <w:r w:rsidRPr="00C644C3">
        <w:t>Humans can rapidly and accurately distinguish identities based on subtle differences in facial structure (Bruce &amp; Young, 2012). The effectiveness of human face recognition has, in part, been attributed to holistic processing, in which facial information is integrated into a simultaneously processed</w:t>
      </w:r>
      <w:r>
        <w:t>,</w:t>
      </w:r>
      <w:r w:rsidRPr="00C644C3">
        <w:t xml:space="preserve"> unified perceptual representation, rather than</w:t>
      </w:r>
      <w:r>
        <w:t xml:space="preserve"> being</w:t>
      </w:r>
      <w:r w:rsidRPr="00C644C3">
        <w:t xml:space="preserve"> analysed as isolated features (Tanaka &amp; Farah, 1993; Tanaka &amp; Gordon, 2011; </w:t>
      </w:r>
      <w:proofErr w:type="spellStart"/>
      <w:r w:rsidRPr="00C644C3">
        <w:t>Rossion</w:t>
      </w:r>
      <w:proofErr w:type="spellEnd"/>
      <w:r w:rsidRPr="00C644C3">
        <w:t xml:space="preserve"> &amp; </w:t>
      </w:r>
      <w:proofErr w:type="spellStart"/>
      <w:r w:rsidRPr="00C644C3">
        <w:t>Boremanse</w:t>
      </w:r>
      <w:proofErr w:type="spellEnd"/>
      <w:r w:rsidRPr="00C644C3">
        <w:t>, 2008). Support for this holistic integration is evident in the part-whole task, in which participants more accurately recognise facial features when viewed in the context of the whole face compared to when viewed in isolation (Tanaka &amp; Farah, 1993).</w:t>
      </w:r>
    </w:p>
    <w:p w14:paraId="2CEB2C8F" w14:textId="77777777" w:rsidR="009A0165" w:rsidRPr="00C644C3" w:rsidRDefault="009A0165" w:rsidP="009A0165">
      <w:r w:rsidRPr="00C644C3">
        <w:t>Holistic processing is also shown by the composite face effect (CFE), in which the top half of one face is combined with the bottom half of another. In their seminal study, Young and colleagues (1987) found that when the top and bottom halves of different familiar faces were aligned to resemble a single face, participants struggled to recognise the identity of either half. In contrast, when the halves were misaligned, participants more easily recognised the halves’ identity. These findings suggest that when the horizontally divided halves of a composite are aligned, facial features are not processed in isolation but are instead automatically integrated into a holistic representation, leading to a unified percept that can interfere with the recognition of individual components. In contrast, when the halves of a composite are misaligned, holistic integration is no longer initiated, and it, therefore, becomes easier to recognise the identity of either component half without interference from the other (</w:t>
      </w:r>
      <w:proofErr w:type="spellStart"/>
      <w:r w:rsidRPr="00C644C3">
        <w:t>Rossion</w:t>
      </w:r>
      <w:proofErr w:type="spellEnd"/>
      <w:r w:rsidRPr="00C644C3">
        <w:t>, 2013; Murphy</w:t>
      </w:r>
      <w:r>
        <w:t xml:space="preserve"> </w:t>
      </w:r>
      <w:r w:rsidRPr="00EC53A1">
        <w:rPr>
          <w:i/>
          <w:iCs/>
        </w:rPr>
        <w:t>et al.</w:t>
      </w:r>
      <w:r w:rsidRPr="00C644C3">
        <w:t xml:space="preserve">, 2017). </w:t>
      </w:r>
    </w:p>
    <w:p w14:paraId="55194762" w14:textId="77777777" w:rsidR="009A0165" w:rsidRPr="00C644C3" w:rsidDel="00012C5D" w:rsidRDefault="009A0165" w:rsidP="009A0165">
      <w:r w:rsidRPr="00C644C3" w:rsidDel="00012C5D">
        <w:t xml:space="preserve">The CFE has also been observed with unfamiliar faces. For example, participants have difficulty perceiving whether two identical top halves are the same, if the bottom halves are different (Hole, 1994). As with familiar faces, this task becomes easier if the composites are misaligned. Additionally, the CFE is also evident for facial judgements other than identity, such as expression (Calder </w:t>
      </w:r>
      <w:r w:rsidRPr="00EC53A1">
        <w:rPr>
          <w:i/>
          <w:iCs/>
        </w:rPr>
        <w:t>et al.</w:t>
      </w:r>
      <w:r w:rsidRPr="00C644C3" w:rsidDel="00012C5D">
        <w:rPr>
          <w:i/>
          <w:iCs/>
        </w:rPr>
        <w:t>,</w:t>
      </w:r>
      <w:r w:rsidRPr="00C644C3" w:rsidDel="00012C5D">
        <w:t xml:space="preserve"> 2000; Palermo </w:t>
      </w:r>
      <w:r w:rsidRPr="00EC53A1">
        <w:rPr>
          <w:i/>
          <w:iCs/>
        </w:rPr>
        <w:t>et al.</w:t>
      </w:r>
      <w:r w:rsidRPr="00C644C3" w:rsidDel="00012C5D">
        <w:rPr>
          <w:i/>
          <w:iCs/>
        </w:rPr>
        <w:t>,</w:t>
      </w:r>
      <w:r w:rsidRPr="00C644C3" w:rsidDel="00012C5D">
        <w:t xml:space="preserve"> 2011; Tanaka </w:t>
      </w:r>
      <w:r w:rsidRPr="00EC53A1">
        <w:rPr>
          <w:i/>
          <w:iCs/>
        </w:rPr>
        <w:t>et al.</w:t>
      </w:r>
      <w:r w:rsidRPr="00C644C3" w:rsidDel="00012C5D">
        <w:rPr>
          <w:i/>
          <w:iCs/>
        </w:rPr>
        <w:t>,</w:t>
      </w:r>
      <w:r w:rsidRPr="00C644C3" w:rsidDel="00012C5D">
        <w:t> 2012), race (Michel</w:t>
      </w:r>
      <w:r>
        <w:t xml:space="preserve"> </w:t>
      </w:r>
      <w:r w:rsidRPr="00EC53A1">
        <w:rPr>
          <w:i/>
          <w:iCs/>
        </w:rPr>
        <w:t>et al.</w:t>
      </w:r>
      <w:r w:rsidRPr="00C644C3" w:rsidDel="00012C5D">
        <w:t xml:space="preserve">, 2007), and gender (Baudouin &amp; Humphreys, 2006). This evidence </w:t>
      </w:r>
      <w:r>
        <w:t>indicates</w:t>
      </w:r>
      <w:r w:rsidRPr="00C644C3" w:rsidDel="00012C5D">
        <w:t xml:space="preserve"> that holistic integration is a fundamental mechanism across various aspects of face perception. </w:t>
      </w:r>
    </w:p>
    <w:p w14:paraId="45D467D9" w14:textId="77777777" w:rsidR="009A0165" w:rsidRPr="00C644C3" w:rsidRDefault="009A0165" w:rsidP="009A0165">
      <w:r w:rsidRPr="00C644C3">
        <w:t>The anatomical structure of the human visual system suggests that this integration of information in the CFE is more likely to occur at later rather than early stages of visual processing. In natural viewing, we typically fixate upon the horizontal mid-point of faces, just below the eyes (Peterson &amp; Eckstein, 2012; Walker-Smith</w:t>
      </w:r>
      <w:r>
        <w:t xml:space="preserve"> </w:t>
      </w:r>
      <w:r w:rsidRPr="00EC53A1">
        <w:rPr>
          <w:i/>
          <w:iCs/>
        </w:rPr>
        <w:t>et al.</w:t>
      </w:r>
      <w:r w:rsidRPr="00C644C3">
        <w:t xml:space="preserve">, 2013; Hsiao &amp; Cottrell, 2008). While individual differences in attentive fixation have been shown to exist, these are rarely distant from the horizontal centre of the face, allowing diagnostic facial features to be processed with high visual acuity on the fovea (Peterson &amp; Eckstein, 2013). These typical patterns of fixation result in the left and right halves of the face being </w:t>
      </w:r>
      <w:r w:rsidRPr="00C644C3">
        <w:lastRenderedPageBreak/>
        <w:t>vertically divided across separate visual hemifields, with each projecting to early visual regions in the contralateral hemisphere (Hsia</w:t>
      </w:r>
      <w:r>
        <w:t xml:space="preserve">o </w:t>
      </w:r>
      <w:r w:rsidRPr="00EC53A1">
        <w:rPr>
          <w:i/>
          <w:iCs/>
        </w:rPr>
        <w:t>et al.</w:t>
      </w:r>
      <w:r w:rsidRPr="00C644C3">
        <w:t xml:space="preserve">, 2008). This suggests that the holistic processing of faces emerges as visual information advances to higher visual regions that support a unified facial percept. Neuroimaging evidence for integration of facial information at later stages of processing is shown by greater neural responses to whole faces compared to isolated facial features, or scrambled faces in the fusiform face area (Zhang </w:t>
      </w:r>
      <w:r w:rsidRPr="00EC53A1">
        <w:rPr>
          <w:i/>
          <w:iCs/>
        </w:rPr>
        <w:t>et al.</w:t>
      </w:r>
      <w:r w:rsidRPr="00C644C3">
        <w:t xml:space="preserve">, 2012; Tong </w:t>
      </w:r>
      <w:r w:rsidRPr="00EC53A1">
        <w:rPr>
          <w:i/>
          <w:iCs/>
        </w:rPr>
        <w:t>et al.</w:t>
      </w:r>
      <w:r w:rsidRPr="00C644C3">
        <w:t>, 2000; Kamps</w:t>
      </w:r>
      <w:r>
        <w:t xml:space="preserve"> </w:t>
      </w:r>
      <w:r w:rsidRPr="00EC53A1">
        <w:rPr>
          <w:i/>
          <w:iCs/>
        </w:rPr>
        <w:t>et al.</w:t>
      </w:r>
      <w:r w:rsidRPr="00C644C3">
        <w:t>, 2019;</w:t>
      </w:r>
      <w:r w:rsidRPr="00C644C3" w:rsidDel="00C87E9E">
        <w:t xml:space="preserve"> </w:t>
      </w:r>
      <w:r w:rsidRPr="00C644C3">
        <w:t>Liu</w:t>
      </w:r>
      <w:r>
        <w:t xml:space="preserve"> </w:t>
      </w:r>
      <w:r w:rsidRPr="00EC53A1">
        <w:rPr>
          <w:i/>
          <w:iCs/>
        </w:rPr>
        <w:t>et al.</w:t>
      </w:r>
      <w:r w:rsidRPr="00C644C3">
        <w:t xml:space="preserve">, 2010). </w:t>
      </w:r>
    </w:p>
    <w:p w14:paraId="00A0C33B" w14:textId="77777777" w:rsidR="009A0165" w:rsidRPr="00C644C3" w:rsidRDefault="009A0165" w:rsidP="009A0165">
      <w:r w:rsidRPr="00C644C3">
        <w:t xml:space="preserve">Despite strong evidence for the holistic integration of the upper and lower halves of the face, surprisingly few behavioural studies have examined the holistic integration of left and right face halves (Hole, 1994; Young </w:t>
      </w:r>
      <w:r w:rsidRPr="00EC53A1">
        <w:rPr>
          <w:i/>
          <w:iCs/>
        </w:rPr>
        <w:t>et al.</w:t>
      </w:r>
      <w:r w:rsidRPr="00C644C3">
        <w:t xml:space="preserve">, 1990; </w:t>
      </w:r>
      <w:proofErr w:type="spellStart"/>
      <w:r w:rsidRPr="00C644C3">
        <w:t>Strathie</w:t>
      </w:r>
      <w:proofErr w:type="spellEnd"/>
      <w:r>
        <w:t xml:space="preserve"> </w:t>
      </w:r>
      <w:r w:rsidRPr="00EC53A1">
        <w:rPr>
          <w:i/>
          <w:iCs/>
        </w:rPr>
        <w:t>et al.</w:t>
      </w:r>
      <w:r w:rsidRPr="00C644C3">
        <w:t xml:space="preserve">, 2012). Of these, only two studies have directly investigated the effects of alignment on vertically divided ‘vertical’ composites (Liu &amp; Behrmann, 2014; Liu </w:t>
      </w:r>
      <w:r w:rsidRPr="00EC53A1">
        <w:rPr>
          <w:i/>
          <w:iCs/>
        </w:rPr>
        <w:t>et al.</w:t>
      </w:r>
      <w:r w:rsidRPr="00C644C3">
        <w:t xml:space="preserve">, 2014). These have demonstrated that congruency between relevant and irrelevant vertically divided face halves facilitates same/different judgments in a matching task. For example, a face half that remains the same through study and test phases is more accurately identified as such when the irrelevant half also remains the same, compared to when it differs. This effect is only evident when face halves are aligned. This is taken to indicate that, when perceiving a whole face, the ability to match a relevant half is affected by the irrelevant half, regardless of its congruency. This ‘complete’ CFE paradigm characterises holistic processing as a failure of selective attention to face parts (Richler </w:t>
      </w:r>
      <w:r w:rsidRPr="00EC53A1">
        <w:rPr>
          <w:i/>
          <w:iCs/>
        </w:rPr>
        <w:t>et al.</w:t>
      </w:r>
      <w:r w:rsidRPr="00C644C3">
        <w:t xml:space="preserve">, 2008a; 2008b). In contrast, the interference effect demonstrated by Young </w:t>
      </w:r>
      <w:r w:rsidRPr="00EC53A1">
        <w:rPr>
          <w:i/>
          <w:iCs/>
        </w:rPr>
        <w:t>et al.</w:t>
      </w:r>
      <w:r w:rsidRPr="00C644C3">
        <w:t xml:space="preserve"> (1987) in their original ‘partial’ CFE study is taken to reflect perceptual integration. While the merits of these respective designs and the interpretation of their results are debated (e.g., </w:t>
      </w:r>
      <w:proofErr w:type="spellStart"/>
      <w:r w:rsidRPr="00C644C3">
        <w:t>Rossion</w:t>
      </w:r>
      <w:proofErr w:type="spellEnd"/>
      <w:r w:rsidRPr="00C644C3">
        <w:t xml:space="preserve">, 2013; Richler &amp; Gauthier, 2013; 2014), it has been suggested that theoretical conclusions regarding holistic integration must rely upon converging evidence across different paradigms (Jin </w:t>
      </w:r>
      <w:r w:rsidRPr="00EC53A1">
        <w:rPr>
          <w:i/>
          <w:iCs/>
        </w:rPr>
        <w:t>et al.</w:t>
      </w:r>
      <w:r w:rsidRPr="00C644C3">
        <w:t xml:space="preserve">, 2024; Li </w:t>
      </w:r>
      <w:r w:rsidRPr="00EC53A1">
        <w:rPr>
          <w:i/>
          <w:iCs/>
        </w:rPr>
        <w:t>et al.</w:t>
      </w:r>
      <w:r w:rsidRPr="00C644C3">
        <w:t xml:space="preserve">, 2017; 2019; Boutet </w:t>
      </w:r>
      <w:r w:rsidRPr="00EC53A1">
        <w:rPr>
          <w:i/>
          <w:iCs/>
        </w:rPr>
        <w:t>et al.</w:t>
      </w:r>
      <w:r w:rsidRPr="00C644C3">
        <w:t xml:space="preserve">, 2021). </w:t>
      </w:r>
    </w:p>
    <w:p w14:paraId="326E6848" w14:textId="77777777" w:rsidR="009A0165" w:rsidRPr="00C644C3" w:rsidRDefault="009A0165" w:rsidP="009A0165">
      <w:r w:rsidRPr="00C644C3">
        <w:t xml:space="preserve">To firmly establish if left and right halves of the face </w:t>
      </w:r>
      <w:proofErr w:type="gramStart"/>
      <w:r w:rsidRPr="00C644C3">
        <w:t>are</w:t>
      </w:r>
      <w:proofErr w:type="gramEnd"/>
      <w:r w:rsidRPr="00C644C3">
        <w:t xml:space="preserve"> holistically integrated, a number of questions need to be addressed. First, it is important to show the CFE for vertically divided faces using the original ‘partial’ design (Young </w:t>
      </w:r>
      <w:r w:rsidRPr="00EC53A1">
        <w:rPr>
          <w:i/>
          <w:iCs/>
        </w:rPr>
        <w:t>et al.</w:t>
      </w:r>
      <w:r w:rsidRPr="00C644C3">
        <w:t xml:space="preserve">, 1987). Second, it must be shown to be relevant to ecologically valid face recognition and not to rely on low-level visual mechanisms such as image matching or priming (Ellis </w:t>
      </w:r>
      <w:r w:rsidRPr="00EC53A1">
        <w:rPr>
          <w:i/>
          <w:iCs/>
        </w:rPr>
        <w:t>et al.</w:t>
      </w:r>
      <w:r w:rsidRPr="00C644C3">
        <w:t xml:space="preserve">, 1987; Bruce &amp; Valentine, 1985). Finally, if instigated by the same holistic mechanism, a vertical CFE should have a similar magnitude to the horizontal CFE. While anecdotal evidence has suggested that the CFE produced by aligned vertical composites is ‘not as strong as in the case of the horizontally split faces’ (Hole, 1994, p. 72), this has yet to be systematically examined. </w:t>
      </w:r>
    </w:p>
    <w:p w14:paraId="50A34E53" w14:textId="77777777" w:rsidR="009A0165" w:rsidRPr="00C644C3" w:rsidRDefault="009A0165" w:rsidP="009A0165">
      <w:r w:rsidRPr="00C644C3">
        <w:t xml:space="preserve">The aim of this study was therefore to explore whether there is a vertical CFE indicative of perceptual integration of the left and right halves of the face. We used familiar face composites in a comparable </w:t>
      </w:r>
      <w:r w:rsidRPr="00C644C3">
        <w:lastRenderedPageBreak/>
        <w:t xml:space="preserve">partial paradigm to that used by Young </w:t>
      </w:r>
      <w:r w:rsidRPr="00EC53A1">
        <w:rPr>
          <w:i/>
          <w:iCs/>
        </w:rPr>
        <w:t>et al.</w:t>
      </w:r>
      <w:r w:rsidRPr="00C644C3">
        <w:t xml:space="preserve"> (1987). To address the issues of effective alignment (see Experiment 1), we created composites in which we combined a face half from a famous face with a face half from an unfamiliar foil. This allowed us to make localised manipulations to the configuration of the unfamiliar face so that it effectively aligned with the familiar face, while leaving the familiar face unchanged. The combination of familiar and unfamiliar face halves also allowed us to use a naturalistic familiar/unfamiliar judgment on each half of the composite, rather than relying on an unfamiliar image matching task. The same approach was used to measure the CFE with horizontal composites, providing a direct point of comparison for CFE magnitude. Our pre-registered hypotheses (tested across 4 experiments) were that an interference effect suggestive of holistic integration of left and right halves would be evident for judgements of familiarity in both vertical and horizontal composites.</w:t>
      </w:r>
    </w:p>
    <w:p w14:paraId="28FF50B3" w14:textId="77777777" w:rsidR="009A0165" w:rsidRDefault="009A0165">
      <w:pPr>
        <w:spacing w:line="259" w:lineRule="auto"/>
        <w:jc w:val="left"/>
        <w:rPr>
          <w:b/>
          <w:bCs/>
          <w:i/>
          <w:iCs/>
          <w:lang w:val="en-US"/>
        </w:rPr>
      </w:pPr>
      <w:bookmarkStart w:id="4" w:name="_Toc198559627"/>
      <w:bookmarkStart w:id="5" w:name="_Toc198648764"/>
      <w:bookmarkStart w:id="6" w:name="_Toc198648852"/>
      <w:bookmarkStart w:id="7" w:name="_Toc199406029"/>
      <w:r>
        <w:br w:type="page"/>
      </w:r>
    </w:p>
    <w:p w14:paraId="2400A606" w14:textId="65C7B2E6" w:rsidR="009A0165" w:rsidRPr="00C644C3" w:rsidRDefault="009A0165" w:rsidP="009A0165">
      <w:pPr>
        <w:pStyle w:val="Heading1"/>
      </w:pPr>
      <w:r w:rsidRPr="00C644C3">
        <w:lastRenderedPageBreak/>
        <w:t>Experiment 1</w:t>
      </w:r>
      <w:bookmarkEnd w:id="4"/>
      <w:bookmarkEnd w:id="5"/>
      <w:bookmarkEnd w:id="6"/>
      <w:bookmarkEnd w:id="7"/>
    </w:p>
    <w:p w14:paraId="47EE0A7F" w14:textId="77777777" w:rsidR="009A0165" w:rsidRPr="00C644C3" w:rsidRDefault="009A0165" w:rsidP="009A0165">
      <w:r w:rsidRPr="00C644C3">
        <w:t xml:space="preserve">The aim of this experiment was to establish whether there is a CFE for vertically divided faces, and if so, to compare its magnitude to the CFE for horizontally divided faces. Evidence for the CFE, including its vertical counterpart (Liu &amp; Behrmann, 2014; Liu </w:t>
      </w:r>
      <w:r w:rsidRPr="00EC53A1">
        <w:rPr>
          <w:i/>
          <w:iCs/>
        </w:rPr>
        <w:t>et al.</w:t>
      </w:r>
      <w:r w:rsidRPr="00C644C3">
        <w:t xml:space="preserve">, 2014), has predominantly used unfamiliar faces to create composites. While indubitably informative due to high levels of control, unfamiliar face recognition represents a task with low ecological validity – we rarely need to recognise unfamiliar individuals from a single image in real-world situations. Accordingly, recognition of unfamiliar faces relies upon qualitatively different mechanisms than their ecologically relevant familiar counterparts, which are used regularly, and encoded based upon their multidimensional variability experienced in natural viewing (Johnston &amp; Edmonds, 2009; Young &amp; Burton, 2017). While studies such as that of Young </w:t>
      </w:r>
      <w:r w:rsidRPr="00EC53A1">
        <w:rPr>
          <w:i/>
          <w:iCs/>
        </w:rPr>
        <w:t>et al.</w:t>
      </w:r>
      <w:r w:rsidRPr="00C644C3">
        <w:t xml:space="preserve"> (1987) have shown that the horizontal CFE is sufficiently robust to affect naturalistic familiar face recognition, this has yet to be demonstrated for vertically divided composites.  </w:t>
      </w:r>
    </w:p>
    <w:p w14:paraId="12158D92" w14:textId="77777777" w:rsidR="009A0165" w:rsidRPr="00C644C3" w:rsidRDefault="009A0165" w:rsidP="009A0165">
      <w:r w:rsidRPr="00C644C3">
        <w:t xml:space="preserve">The lack of evidence for a vertical CFE derived from familiar face recognition may result from the difficulty of effectively aligning left and right face halves. Although the construction of horizontal composites relies on the alignment of a few consistently positioned facial features (nose and cheekbones), vertical composites require the alignment of many features (chin, mouth, nose, eyes, brows, hairline). Effective manipulation of these into a plausible composite is extremely difficult using only linear manipulations of the image (see Young </w:t>
      </w:r>
      <w:r w:rsidRPr="00EC53A1">
        <w:rPr>
          <w:i/>
          <w:iCs/>
        </w:rPr>
        <w:t>et al.</w:t>
      </w:r>
      <w:r w:rsidRPr="00C644C3">
        <w:t>, 1990; Fig. 2), given that a misalignment by only 8% of image width is sufficient to break the CFE (</w:t>
      </w:r>
      <w:proofErr w:type="spellStart"/>
      <w:r w:rsidRPr="00C644C3">
        <w:t>Laguesse</w:t>
      </w:r>
      <w:proofErr w:type="spellEnd"/>
      <w:r w:rsidRPr="00C644C3">
        <w:t xml:space="preserve"> &amp; </w:t>
      </w:r>
      <w:proofErr w:type="spellStart"/>
      <w:r w:rsidRPr="00C644C3">
        <w:t>Rossion</w:t>
      </w:r>
      <w:proofErr w:type="spellEnd"/>
      <w:r w:rsidRPr="00C644C3">
        <w:t xml:space="preserve">, 2013). Furthermore, the effective production of a CFE also relies on the biological plausibility of the image (Taubert &amp; Alais, 2009). Evidence suggests that facial processing is disproportionately attuned to the horizontal orientation structure within faces, particularly naturalistic predictable sequences of luminance contrast (Dakin &amp; Watt, 2009; </w:t>
      </w:r>
      <w:proofErr w:type="spellStart"/>
      <w:r w:rsidRPr="00C644C3">
        <w:t>Goffaux</w:t>
      </w:r>
      <w:proofErr w:type="spellEnd"/>
      <w:r w:rsidRPr="00C644C3">
        <w:t xml:space="preserve"> &amp; Dakin, 2010). The plausibility of a vertical composite may therefore be more disrupted by inconsistencies in the predicted sequence of horizontal information across the left and right halves, than upper and lower halves to which processing is less sensitive. As such, it is not clear whether there has yet been an adequate test of the vertical CFE for ecologically valid face recognition. </w:t>
      </w:r>
    </w:p>
    <w:p w14:paraId="5FE4CEF0" w14:textId="77777777" w:rsidR="009A0165" w:rsidRPr="00C644C3" w:rsidRDefault="009A0165" w:rsidP="009A0165">
      <w:r w:rsidRPr="00C644C3">
        <w:t xml:space="preserve">To address these concerns and create a task suitable to ascertain if vertically divided composites would demonstrate the interference effect first demonstrated by Young </w:t>
      </w:r>
      <w:r w:rsidRPr="00EC53A1">
        <w:rPr>
          <w:i/>
          <w:iCs/>
        </w:rPr>
        <w:t>et al.</w:t>
      </w:r>
      <w:r w:rsidRPr="00C644C3">
        <w:t xml:space="preserve"> (1987), we developed a novel form of composite face comprised one half from a ‘familiar’ famous face and the other half from an unfamiliar face whose features had been manipulated to align with the familiar half. This had the advantage of allowing single presentations of faces for a more ecologically valid familiar face judgment, </w:t>
      </w:r>
      <w:r w:rsidRPr="00C644C3">
        <w:lastRenderedPageBreak/>
        <w:t xml:space="preserve">while at the same time letting us manipulate and align composites without removing pre-existing identity information. </w:t>
      </w:r>
    </w:p>
    <w:p w14:paraId="67E3B02A" w14:textId="77777777" w:rsidR="009A0165" w:rsidRPr="00C644C3" w:rsidRDefault="009A0165" w:rsidP="009A0165">
      <w:r w:rsidRPr="00C644C3">
        <w:t xml:space="preserve">The task for this experiment was to indicate which face half appeared familiar, and, in doing so, determining whether the familiar/unfamiliar composite images would demonstrate the well-established horizontal CFE. Additionally, whether a similar CFE would be evident for vertical composites. Given the assumption that the holistic integration of features is a fundamental element of facial processing (Murphy </w:t>
      </w:r>
      <w:r w:rsidRPr="00EC53A1">
        <w:rPr>
          <w:i/>
          <w:iCs/>
        </w:rPr>
        <w:t>et al.</w:t>
      </w:r>
      <w:r w:rsidRPr="00C644C3">
        <w:t>, 2017), and should cause an interference effect of the irrelevant face half, we predicted that both vertical and horizontal composites should have lower identification accuracy rates and increased reaction times when aligned compared to when they were misaligned. If the integrative process was comparable across horizontal and vertical composite divisions, we should expect no significant difference in the magnitude of the CFE.</w:t>
      </w:r>
    </w:p>
    <w:p w14:paraId="24EA3970" w14:textId="18638CF1" w:rsidR="009A0165" w:rsidRPr="009A0165" w:rsidRDefault="009A0165" w:rsidP="009A0165">
      <w:pPr>
        <w:pStyle w:val="Heading2"/>
      </w:pPr>
      <w:bookmarkStart w:id="8" w:name="_Toc199406030"/>
      <w:r w:rsidRPr="009A0165">
        <w:t>Materials and Methods</w:t>
      </w:r>
      <w:bookmarkEnd w:id="8"/>
    </w:p>
    <w:p w14:paraId="48AA5308" w14:textId="3E22B006" w:rsidR="009A0165" w:rsidRPr="009A0165" w:rsidRDefault="009A0165" w:rsidP="009A0165">
      <w:pPr>
        <w:pStyle w:val="Heading3"/>
      </w:pPr>
      <w:bookmarkStart w:id="9" w:name="_Toc199406031"/>
      <w:r w:rsidRPr="009A0165">
        <w:t>Participants</w:t>
      </w:r>
      <w:bookmarkEnd w:id="9"/>
    </w:p>
    <w:p w14:paraId="49402F79" w14:textId="77777777" w:rsidR="009A0165" w:rsidRPr="00C644C3" w:rsidRDefault="009A0165" w:rsidP="009A0165">
      <w:r w:rsidRPr="00C644C3">
        <w:t xml:space="preserve">Prior to data collection, sample size was calculated using G*Power (Faul </w:t>
      </w:r>
      <w:r w:rsidRPr="00EC53A1">
        <w:rPr>
          <w:i/>
          <w:iCs/>
        </w:rPr>
        <w:t>et al.</w:t>
      </w:r>
      <w:r w:rsidRPr="00C644C3">
        <w:t xml:space="preserve">, 2007). Based on indications of a small effect size for a similar button-press task for familiar face composites (Garcia-Marques </w:t>
      </w:r>
      <w:r w:rsidRPr="00EC53A1">
        <w:rPr>
          <w:i/>
          <w:iCs/>
        </w:rPr>
        <w:t>et al.</w:t>
      </w:r>
      <w:r w:rsidRPr="00C644C3">
        <w:t xml:space="preserve">, 2015; Isolate condition) and unfamiliar composites (Harrison &amp; Strother, 2020, Exp. 1a) in a comparable participant demographic, power analysis (Cohen’s </w:t>
      </w:r>
      <w:r w:rsidRPr="00C644C3">
        <w:rPr>
          <w:i/>
          <w:iCs/>
        </w:rPr>
        <w:t>d</w:t>
      </w:r>
      <w:r w:rsidRPr="00C644C3">
        <w:t xml:space="preserve"> = 0.40, power = .95, α=.05) revealed a minimum sample size of 57 participants. To maintain even counterbalancing groups, we aimed to recruit 64 participants. Although 67 participants took part in the experiment, 3 were excluded due to insufficient familiarity with the celebrity faces used (&lt;50%). The remaining 64 participants (58 female; mean age = 19.0, </w:t>
      </w:r>
      <w:r w:rsidRPr="00C644C3">
        <w:rPr>
          <w:i/>
          <w:iCs/>
        </w:rPr>
        <w:t>SD</w:t>
      </w:r>
      <w:r w:rsidRPr="00C644C3">
        <w:t xml:space="preserve"> = 0.8, range = 18 - 22; all right-handed by self-report) were divided into eight counterbalanced groups (counterbalanced by: block ordering (vertically divided first, horizontally divided first); input hand use (left, right); and familiarity keypresses (G familiar &amp; H unfamiliar, H familiar &amp; G familiar)). All participants in this and the following experiments were predominantly white, middle-class university students, and reported normal or corrected-to-normal vision and no known neurological disorders. They provided written informed consent and were compensated with course credit. All experiments were approved by the ethics committee of the University of York Psychology department.</w:t>
      </w:r>
    </w:p>
    <w:p w14:paraId="3E6A1F6E" w14:textId="4B6BA395" w:rsidR="009A0165" w:rsidRPr="00C644C3" w:rsidRDefault="009A0165" w:rsidP="009A0165">
      <w:pPr>
        <w:pStyle w:val="Heading3"/>
      </w:pPr>
      <w:bookmarkStart w:id="10" w:name="_Toc199406032"/>
      <w:r w:rsidRPr="00C644C3">
        <w:lastRenderedPageBreak/>
        <w:t>Stimuli</w:t>
      </w:r>
      <w:bookmarkEnd w:id="10"/>
    </w:p>
    <w:p w14:paraId="08449D13" w14:textId="31E995F7" w:rsidR="009A0165" w:rsidRPr="00C644C3" w:rsidRDefault="009A0165" w:rsidP="009A0165">
      <w:r w:rsidRPr="00C644C3">
        <w:t xml:space="preserve">Composite faces were generated by combining images of familiar and unfamiliar faces from different individuals. Front-facing, high-resolution images of famous people (i.e., actors, politicians, musicians; detailed in </w:t>
      </w:r>
      <w:r w:rsidR="006F1FB4">
        <w:t>Suppl.</w:t>
      </w:r>
      <w:r>
        <w:t xml:space="preserve"> Table </w:t>
      </w:r>
      <w:r w:rsidRPr="00C644C3">
        <w:t xml:space="preserve">1) were collected using Google Image search (familiar faces). Faces were selected without consideration towards even counterbalancing of race or gender, but were predominantly chosen based on an assumed high level of familiarity to the participant demographic (see </w:t>
      </w:r>
      <w:r w:rsidR="006F1FB4">
        <w:t>Suppl.</w:t>
      </w:r>
      <w:r>
        <w:t xml:space="preserve"> Table </w:t>
      </w:r>
      <w:r w:rsidRPr="00C644C3">
        <w:t>2 for overall participant recognition accuracy statistics for each experiment). Front-facing, high-resolution face images of non-famous individuals (unfamiliar faces) were collected from different face database repositories (</w:t>
      </w:r>
      <w:proofErr w:type="spellStart"/>
      <w:r w:rsidRPr="00C644C3">
        <w:t>SiblingsDB</w:t>
      </w:r>
      <w:proofErr w:type="spellEnd"/>
      <w:r w:rsidRPr="00C644C3">
        <w:t xml:space="preserve">, Vieira </w:t>
      </w:r>
      <w:r w:rsidRPr="00EC53A1">
        <w:rPr>
          <w:i/>
          <w:iCs/>
        </w:rPr>
        <w:t>et al.</w:t>
      </w:r>
      <w:r w:rsidRPr="00C644C3">
        <w:t>, 2014; Chicago Face Database, Ma</w:t>
      </w:r>
      <w:r>
        <w:t xml:space="preserve"> </w:t>
      </w:r>
      <w:r w:rsidRPr="00EC53A1">
        <w:rPr>
          <w:i/>
          <w:iCs/>
        </w:rPr>
        <w:t>et al.</w:t>
      </w:r>
      <w:r w:rsidRPr="00C644C3">
        <w:t xml:space="preserve">, 2020; The London Set, Debruine &amp; Jones, 2017) and stock photo repositories (www.flickr.com, www.unsplash.com, and www.gettyimages.co.uk). Unfamiliar face images were individually selected based on comparability to one of the familiar face identities (similar hair colour/style, skin tone, &amp; face shape). All Faces were standardised by cropping them from backgrounds, converting them to greyscale, pasting them onto a uniform grey background, and scaling them to a height of 480px. One standardised face was created for each identity, totalling 55 standardised familiar faces, and 55 standardised comparable unfamiliar faces. All experiments used these same faces to create composites. In each instance, the same 50 familiar and 50 unfamiliar faces were used in the main blocks, while five familiar and five unfamiliar images were kept separate for use in practice blocks only. </w:t>
      </w:r>
    </w:p>
    <w:p w14:paraId="4B4A9AC6" w14:textId="77777777" w:rsidR="009A0165" w:rsidRPr="00C644C3" w:rsidRDefault="009A0165" w:rsidP="009A0165">
      <w:r w:rsidRPr="00C644C3">
        <w:t>Vertical composites were created by splitting a familiar face and its matched unfamiliar face into left and right halves at the mid-point of the nose. Unfamiliar and familiar halves were combined into an aligned composite. The unfamiliar half was edited to align salient facial features with the familiar face along the midline (e.g. eyes, nose, lips, hairline, chin), and adjust contrast and luminance values to match the familiar half as closely as possible. The familiar half was not manipulated. Misaligned horizontal composites were created by moving the left half of an aligned composite downward by 30px, and the right half upward by 30px (</w:t>
      </w:r>
      <w:proofErr w:type="spellStart"/>
      <w:r w:rsidRPr="00C644C3">
        <w:t>Laguesse</w:t>
      </w:r>
      <w:proofErr w:type="spellEnd"/>
      <w:r w:rsidRPr="00C644C3">
        <w:t xml:space="preserve"> &amp; </w:t>
      </w:r>
      <w:proofErr w:type="spellStart"/>
      <w:r w:rsidRPr="00C644C3">
        <w:t>Rossion</w:t>
      </w:r>
      <w:proofErr w:type="spellEnd"/>
      <w:r w:rsidRPr="00C644C3">
        <w:t xml:space="preserve">, 2013; Taubert &amp; Alais, 2009). Horizontal composites were created in the same manner, but using upper and lower halves of faces, split at the mid-point of the nose. Misaligned horizontal composites adjusted the upper half of an aligned composite rightward by 30px, and the lower half leftward by 30px. Images were standardised and edited using Adobe Photoshop CS6 (Version 13.0.1; www.adobe.com).  Examples of all stimulus conditions for a single identity are provided in Figure 3.1.   </w:t>
      </w:r>
    </w:p>
    <w:p w14:paraId="0820729A" w14:textId="77777777" w:rsidR="009A0165" w:rsidRPr="00C644C3" w:rsidRDefault="009A0165" w:rsidP="009A0165"/>
    <w:p w14:paraId="5FD93B29" w14:textId="77777777" w:rsidR="009A0165" w:rsidRPr="00C644C3" w:rsidRDefault="009A0165" w:rsidP="009A0165">
      <w:r w:rsidRPr="00C644C3">
        <w:rPr>
          <w:noProof/>
        </w:rPr>
        <w:lastRenderedPageBreak/>
        <w:drawing>
          <wp:inline distT="0" distB="0" distL="0" distR="0" wp14:anchorId="1C20B2C1" wp14:editId="49766F55">
            <wp:extent cx="5709920" cy="4902835"/>
            <wp:effectExtent l="0" t="0" r="5080" b="0"/>
            <wp:docPr id="395184198" name="Picture 1" descr="A collage of different types of men's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30179" name="Picture 1" descr="A collage of different types of men's fac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9920" cy="4902835"/>
                    </a:xfrm>
                    <a:prstGeom prst="rect">
                      <a:avLst/>
                    </a:prstGeom>
                    <a:noFill/>
                    <a:ln>
                      <a:noFill/>
                    </a:ln>
                  </pic:spPr>
                </pic:pic>
              </a:graphicData>
            </a:graphic>
          </wp:inline>
        </w:drawing>
      </w:r>
    </w:p>
    <w:p w14:paraId="2BBF7D18" w14:textId="149B6559" w:rsidR="009A0165" w:rsidRPr="00C644C3" w:rsidRDefault="009A0165" w:rsidP="009A0165">
      <w:pPr>
        <w:pStyle w:val="Table"/>
      </w:pPr>
      <w:bookmarkStart w:id="11" w:name="_Toc198649254"/>
      <w:r w:rsidRPr="009A0165">
        <w:rPr>
          <w:i w:val="0"/>
          <w:iCs w:val="0"/>
        </w:rPr>
        <w:t>Figure 1</w:t>
      </w:r>
      <w:r w:rsidRPr="00C644C3">
        <w:t>. Example stimuli used in experiments 1-4. (a) a familiar (left; former U.K. Prime Minister Boris Johnson) and unfamiliar face (right) used to construct a composite. (b) Aligned composites using these faces were divided vertically or horizontally. (c) Misaligned composites using these faces were also divided vertically and horizontally. Directions listed on the x-axis indicate the familiar half of each composite. Across four experiments, participants had to indicate whether a portion of the face was familiar or unfamiliar. Images of Boris Johnson is reproduced here under creative commons licence, Source: https://commons.wikimedia.org/w/index.php?curid=73747417, Attribution: Foreign and Commonwealth Office, CC BY 2.0. Unfamiliar face is reproduced here under creative commons licence, Source: https://www.flickr.com/photos/139820784@N07/26237907116, Attribution: M. SegnestamDSC_0068, Public Domain Mark.</w:t>
      </w:r>
      <w:bookmarkEnd w:id="11"/>
      <w:r w:rsidRPr="00C644C3">
        <w:t xml:space="preserve">   </w:t>
      </w:r>
    </w:p>
    <w:p w14:paraId="6C2EDC74" w14:textId="709EAB73" w:rsidR="009A0165" w:rsidRPr="00C644C3" w:rsidRDefault="009A0165" w:rsidP="009A0165">
      <w:pPr>
        <w:pStyle w:val="Heading3"/>
      </w:pPr>
      <w:bookmarkStart w:id="12" w:name="_Toc199406033"/>
      <w:r w:rsidRPr="00C644C3">
        <w:t>Procedure</w:t>
      </w:r>
      <w:bookmarkEnd w:id="12"/>
    </w:p>
    <w:p w14:paraId="5CCC4D11" w14:textId="77777777" w:rsidR="009A0165" w:rsidRPr="00C644C3" w:rsidRDefault="009A0165" w:rsidP="009A0165">
      <w:r w:rsidRPr="00C644C3">
        <w:t xml:space="preserve">The experiment was presented online via </w:t>
      </w:r>
      <w:proofErr w:type="spellStart"/>
      <w:r w:rsidRPr="00C644C3">
        <w:t>Pavlovia</w:t>
      </w:r>
      <w:proofErr w:type="spellEnd"/>
      <w:r w:rsidRPr="00C644C3">
        <w:t xml:space="preserve"> (www.pavlovia.org). Participants were requested to sit in an evenly lit room at an approximate distance of 80cm from their screen. While participant screen size and resolution could not be precisely controlled, to ensure stimulus viewing angle was generally consistent across participant screens (height = 9.72°), the experiment began with a screen scaling task </w:t>
      </w:r>
      <w:r w:rsidRPr="00C644C3">
        <w:lastRenderedPageBreak/>
        <w:t xml:space="preserve">adapted from the </w:t>
      </w:r>
      <w:proofErr w:type="spellStart"/>
      <w:r w:rsidRPr="00C644C3">
        <w:t>Pavlovia</w:t>
      </w:r>
      <w:proofErr w:type="spellEnd"/>
      <w:r w:rsidRPr="00C644C3">
        <w:t xml:space="preserve"> database (https://gitlab.pavlovia.org/Wake/screenscale), and stimulus scaling was adjusted automatically. The experiment was built using </w:t>
      </w:r>
      <w:proofErr w:type="spellStart"/>
      <w:r w:rsidRPr="00C644C3">
        <w:t>PsychoPy</w:t>
      </w:r>
      <w:proofErr w:type="spellEnd"/>
      <w:r w:rsidRPr="00C644C3">
        <w:t xml:space="preserve"> (Version 2021.2.3; www.psychopy.org), and consisted of three blocks. This and subsequent experiments each featured a within-subjects design, with participants completing all blocks. </w:t>
      </w:r>
    </w:p>
    <w:p w14:paraId="24B579FE" w14:textId="6D17898A" w:rsidR="009A0165" w:rsidRPr="00C644C3" w:rsidRDefault="009A0165" w:rsidP="009A0165">
      <w:r w:rsidRPr="00C644C3">
        <w:t xml:space="preserve">In the first block, we determined whether participants were familiar with the identities of the famous faces used to generate the composites by presenting them with the same face images used in the construction of the composites. This is consistent with previous experiments using familiar face composites, which have measured familiarity with the identities used prior to presenting the composite faces (e.g., Young </w:t>
      </w:r>
      <w:r w:rsidRPr="00EC53A1">
        <w:rPr>
          <w:i/>
          <w:iCs/>
        </w:rPr>
        <w:t>et al.</w:t>
      </w:r>
      <w:r w:rsidRPr="00C644C3">
        <w:t xml:space="preserve">, 1987). Participants indicated whether they recognised a face by inputting a name, or relevant identity-specific information into a textbox (e.g., a specific role they had played in a film). If participants did not recognise the individual, they could respond with a button press and move to the next trial. Composites constructed from any faces which were not recognised in the first block were excluded from the analysis of the following two blocks. Any participants who were unable to identify over 50% of the familiar identities used were completely removed from the analysed sample. Range and median number of exclusions per participant for each experiment are reported in </w:t>
      </w:r>
      <w:r w:rsidR="006F1FB4">
        <w:t>Suppl.</w:t>
      </w:r>
      <w:r>
        <w:t xml:space="preserve"> Table </w:t>
      </w:r>
      <w:r w:rsidRPr="00C644C3">
        <w:t xml:space="preserve">2.  </w:t>
      </w:r>
    </w:p>
    <w:p w14:paraId="6115BF91" w14:textId="77777777" w:rsidR="009A0165" w:rsidRPr="00C644C3" w:rsidRDefault="009A0165" w:rsidP="009A0165">
      <w:r w:rsidRPr="00C644C3">
        <w:t xml:space="preserve">In the second and third block, participants viewed either vertical or horizontal composites, the order of which was counterbalanced across participants.  Each of these two blocks began with practice trials, in which five composite faces in the aligned and misaligned conditions were presented. The identities of these faces were not used elsewhere in the experiment and were provided to familiarise participants with the task. In each block, after the practice trials, participants viewed 100 composite trials, composed of 50 familiar and 50 unfamiliar faces. Each of the 50 familiar and 50 unfamiliar faces appeared in two composites within each block, once with the familiar face as the left/upper half, and once with the familiar face as the right/lower half. Within each block, one of these composites was presented aligned, and one misaligned, with these alignment and familiar half combinations counterbalanced evenly across participants. The order in which the composite faces were presented was randomised across participants. </w:t>
      </w:r>
    </w:p>
    <w:p w14:paraId="1A6303A8" w14:textId="77777777" w:rsidR="009A0165" w:rsidRPr="00C644C3" w:rsidRDefault="009A0165" w:rsidP="009A0165">
      <w:r w:rsidRPr="00C644C3">
        <w:t xml:space="preserve">Trials began with a white fixation cross in the centre of the screen, which participants were instructed to fixate on for the duration of each trial, 500ms later, they were presented with a composite face centred on the location of the fixation cross. Based on indications of more reliable and substantial CFEs for judgements focused on the upper half of the face (Wang </w:t>
      </w:r>
      <w:r w:rsidRPr="00EC53A1">
        <w:rPr>
          <w:i/>
          <w:iCs/>
        </w:rPr>
        <w:t>et al.</w:t>
      </w:r>
      <w:r w:rsidRPr="00C644C3">
        <w:t xml:space="preserve">, 2023; 2019; Young </w:t>
      </w:r>
      <w:r w:rsidRPr="00EC53A1">
        <w:rPr>
          <w:i/>
          <w:iCs/>
        </w:rPr>
        <w:t>et al.</w:t>
      </w:r>
      <w:r w:rsidRPr="00C644C3">
        <w:t xml:space="preserve">, 1987), and an advantage for holistic processing in the left visual field (Bradshaw &amp; Nettleton, 1981; </w:t>
      </w:r>
      <w:proofErr w:type="spellStart"/>
      <w:r w:rsidRPr="00C644C3">
        <w:t>Bombari</w:t>
      </w:r>
      <w:proofErr w:type="spellEnd"/>
      <w:r w:rsidRPr="00C644C3">
        <w:t xml:space="preserve">, Preuss, &amp; Mast, 2014), in this initial experiment, participants were asked to judge the familiarity of the </w:t>
      </w:r>
      <w:r w:rsidRPr="00C644C3">
        <w:lastRenderedPageBreak/>
        <w:t xml:space="preserve">upper half of the face in the horizontal composite condition, or the left half of the face in the vertical composite condition. </w:t>
      </w:r>
    </w:p>
    <w:p w14:paraId="638FFFAC" w14:textId="77777777" w:rsidR="009A0165" w:rsidRPr="00C644C3" w:rsidRDefault="009A0165" w:rsidP="009A0165">
      <w:r>
        <w:t>Participants</w:t>
      </w:r>
      <w:r w:rsidRPr="00C644C3">
        <w:t xml:space="preserve"> were instructed to respond using the ‘G’ and ‘H’ keys on a keypad to provide familiar and unfamiliar responses as rapidly and accurately as possible. Response hand (left or right hand) and response input key (the ‘G’ key representing familiar, and the ‘H’ key representing unfamiliar, or the reverse) were counterbalanced. Composites remained on the screen until a response was made. Accuracy and reaction time for correct responses were recorded. Only results from faces that had been correctly recognised by each participant in the recognition block of the experiment were used in the subsequent analysis. </w:t>
      </w:r>
    </w:p>
    <w:p w14:paraId="265059CE" w14:textId="77777777" w:rsidR="009A0165" w:rsidRPr="00C644C3" w:rsidRDefault="009A0165" w:rsidP="009A0165">
      <w:r w:rsidRPr="00C644C3">
        <w:t xml:space="preserve">The study design, hypotheses, and analysis plan for the experiment were preregistered (https://osf.io/tpgbj). All data for this and subsequent experiments is publicly available on the Open Science Framework (https://osf.io/3y2kp). Our pre-registered hypotheses test the following predictions: H1) For horizontal composites, </w:t>
      </w:r>
      <w:proofErr w:type="spellStart"/>
      <w:r w:rsidRPr="00C644C3">
        <w:t>i</w:t>
      </w:r>
      <w:proofErr w:type="spellEnd"/>
      <w:r w:rsidRPr="00C644C3">
        <w:t xml:space="preserve">) lower accuracy of familiarity judgments in the aligned compared to misaligned condition; ii) slower reaction times for correct familiarity judgements in the aligned compared to the misaligned condition; H2) For vertical composites, </w:t>
      </w:r>
      <w:proofErr w:type="spellStart"/>
      <w:r w:rsidRPr="00C644C3">
        <w:t>i</w:t>
      </w:r>
      <w:proofErr w:type="spellEnd"/>
      <w:r w:rsidRPr="00C644C3">
        <w:t xml:space="preserve">) lower accuracy of familiarity judgments in the aligned compared to misaligned condition; ii) slower reaction times for correct familiarity judgements in the aligned compared to the misaligned condition. In all experiments within-subjects comparisons were used to compare the effects of alignment. The results of paired sample </w:t>
      </w:r>
      <w:r w:rsidRPr="00CF671E">
        <w:rPr>
          <w:i/>
          <w:iCs/>
        </w:rPr>
        <w:t>t</w:t>
      </w:r>
      <w:r w:rsidRPr="00C644C3">
        <w:t xml:space="preserve">-tests used to examine these hypotheses directly were corrected using the Holm-Bonferroni method for multiple comparisons (for the 4 tests within each experiment: Vertical accuracy, Vertical RT, Horizontal accuracy, &amp; Horizontal RT). To compare the magnitude of the CFE between vertically and horizontally divided composites, we integrated our dependent variables into balanced integration scores (BIS; </w:t>
      </w:r>
      <w:proofErr w:type="spellStart"/>
      <w:r w:rsidRPr="00C644C3">
        <w:t>Liesefeld</w:t>
      </w:r>
      <w:proofErr w:type="spellEnd"/>
      <w:r w:rsidRPr="00C644C3">
        <w:t xml:space="preserve"> </w:t>
      </w:r>
      <w:r w:rsidRPr="00EC53A1">
        <w:rPr>
          <w:i/>
          <w:iCs/>
        </w:rPr>
        <w:t>et al.</w:t>
      </w:r>
      <w:r w:rsidRPr="00C644C3">
        <w:t xml:space="preserve">, 2015, </w:t>
      </w:r>
      <w:proofErr w:type="spellStart"/>
      <w:r w:rsidRPr="00C644C3">
        <w:t>Liesefeld</w:t>
      </w:r>
      <w:proofErr w:type="spellEnd"/>
      <w:r w:rsidRPr="00C644C3">
        <w:t xml:space="preserve"> &amp; Janczyk, 2019), comparing these within-subjects using paired sample </w:t>
      </w:r>
      <w:r w:rsidRPr="00CF671E">
        <w:rPr>
          <w:i/>
          <w:iCs/>
        </w:rPr>
        <w:t>t</w:t>
      </w:r>
      <w:r w:rsidRPr="00C644C3">
        <w:t>-tests, incorporating Bayesian statistics. Familiar and unfamiliar faces are not made publicly available for copyright reasons, but licensed examples are provided in this paper.</w:t>
      </w:r>
    </w:p>
    <w:p w14:paraId="7391F206" w14:textId="288BCF6A" w:rsidR="009A0165" w:rsidRPr="00C644C3" w:rsidRDefault="009A0165" w:rsidP="009A0165">
      <w:pPr>
        <w:pStyle w:val="Heading2"/>
      </w:pPr>
      <w:bookmarkStart w:id="13" w:name="_Toc199406034"/>
      <w:r w:rsidRPr="00C644C3">
        <w:t>Results</w:t>
      </w:r>
      <w:bookmarkEnd w:id="13"/>
    </w:p>
    <w:p w14:paraId="40FEC73E" w14:textId="77777777" w:rsidR="009A0165" w:rsidRPr="00C644C3" w:rsidRDefault="009A0165" w:rsidP="009A0165">
      <w:r w:rsidRPr="00C644C3">
        <w:t xml:space="preserve">To identify a CFE for vertical composites and compare it with that of horizontal composites, a repeated-measures ANOVA was used to assess the effect of Composite (vertical, horizontal), and Alignment (aligned, misaligned) on accuracy and reaction time. The results of this analysis are shown in Figure 3.2. </w:t>
      </w:r>
    </w:p>
    <w:p w14:paraId="092E6121" w14:textId="77777777" w:rsidR="009A0165" w:rsidRPr="00C644C3" w:rsidRDefault="009A0165" w:rsidP="009A0165">
      <w:r w:rsidRPr="00C644C3">
        <w:rPr>
          <w:noProof/>
        </w:rPr>
        <w:lastRenderedPageBreak/>
        <w:drawing>
          <wp:inline distT="0" distB="0" distL="0" distR="0" wp14:anchorId="30C936CF" wp14:editId="324875C5">
            <wp:extent cx="5727700" cy="2070100"/>
            <wp:effectExtent l="0" t="0" r="6350" b="6350"/>
            <wp:docPr id="1678919279" name="Picture 1" descr="A comparison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80071" name="Picture 1" descr="A comparison of a graph&#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7700" cy="2070100"/>
                    </a:xfrm>
                    <a:prstGeom prst="rect">
                      <a:avLst/>
                    </a:prstGeom>
                    <a:noFill/>
                    <a:ln>
                      <a:noFill/>
                    </a:ln>
                  </pic:spPr>
                </pic:pic>
              </a:graphicData>
            </a:graphic>
          </wp:inline>
        </w:drawing>
      </w:r>
    </w:p>
    <w:p w14:paraId="5350ED07" w14:textId="3FC03DA8" w:rsidR="009A0165" w:rsidRPr="00C644C3" w:rsidRDefault="009A0165" w:rsidP="009A0165">
      <w:pPr>
        <w:pStyle w:val="Table"/>
      </w:pPr>
      <w:bookmarkStart w:id="14" w:name="_Toc198649255"/>
      <w:r w:rsidRPr="009A0165">
        <w:rPr>
          <w:i w:val="0"/>
          <w:iCs w:val="0"/>
        </w:rPr>
        <w:t>Figure 2.</w:t>
      </w:r>
      <w:r w:rsidRPr="00C644C3">
        <w:t xml:space="preserve"> Experiment 1 - (a) Lower accuracy and (b) slower reaction times were evident for aligned compared to misaligned composites. This effect was evident for both vertical and horizontal composites. Error bars represent Cousineau’s Y within-subject error values.</w:t>
      </w:r>
      <w:bookmarkEnd w:id="14"/>
      <w:r w:rsidRPr="00C644C3">
        <w:t xml:space="preserve">  </w:t>
      </w:r>
    </w:p>
    <w:p w14:paraId="62A20EAA" w14:textId="77777777" w:rsidR="009A0165" w:rsidRPr="00C644C3" w:rsidRDefault="009A0165" w:rsidP="009A0165">
      <w:r w:rsidRPr="00C644C3">
        <w:t>For accuracy (Figure 3.2a), there was a significant effect of alignment [</w:t>
      </w:r>
      <w:proofErr w:type="gramStart"/>
      <w:r w:rsidRPr="00C644C3">
        <w:rPr>
          <w:i/>
          <w:iCs/>
        </w:rPr>
        <w:t>F</w:t>
      </w:r>
      <w:r w:rsidRPr="00C644C3">
        <w:t>(</w:t>
      </w:r>
      <w:proofErr w:type="gramEnd"/>
      <w:r w:rsidRPr="00C644C3">
        <w:t xml:space="preserve">1, 63) = 50.43, </w:t>
      </w:r>
      <w:proofErr w:type="gramStart"/>
      <w:r w:rsidRPr="00C644C3">
        <w:rPr>
          <w:i/>
          <w:iCs/>
        </w:rPr>
        <w:t>p</w:t>
      </w:r>
      <w:r w:rsidRPr="00C644C3">
        <w:t xml:space="preserve">  &lt;</w:t>
      </w:r>
      <w:proofErr w:type="gramEnd"/>
      <w:r w:rsidRPr="00C644C3">
        <w:t xml:space="preserve"> .001, </w:t>
      </w:r>
      <w:r w:rsidRPr="00C644C3">
        <w:rPr>
          <w:rStyle w:val="hgkelc"/>
          <w:i/>
          <w:iCs/>
        </w:rPr>
        <w:t>η</w:t>
      </w:r>
      <w:r w:rsidRPr="00C644C3">
        <w:rPr>
          <w:rStyle w:val="hgkelc"/>
          <w:i/>
          <w:iCs/>
          <w:vertAlign w:val="subscript"/>
        </w:rPr>
        <w:t>p</w:t>
      </w:r>
      <w:r w:rsidRPr="00C644C3">
        <w:rPr>
          <w:rStyle w:val="hgkelc"/>
          <w:i/>
          <w:iCs/>
          <w:vertAlign w:val="superscript"/>
        </w:rPr>
        <w:t>2</w:t>
      </w:r>
      <w:r w:rsidRPr="00C644C3">
        <w:t xml:space="preserve"> = 0.44], and composite [</w:t>
      </w:r>
      <w:proofErr w:type="gramStart"/>
      <w:r w:rsidRPr="00C644C3">
        <w:rPr>
          <w:i/>
          <w:iCs/>
        </w:rPr>
        <w:t>F</w:t>
      </w:r>
      <w:r w:rsidRPr="00C644C3">
        <w:t>(</w:t>
      </w:r>
      <w:proofErr w:type="gramEnd"/>
      <w:r w:rsidRPr="00C644C3">
        <w:t xml:space="preserve">1, 63) = 5.18, </w:t>
      </w:r>
      <w:r w:rsidRPr="00C644C3">
        <w:rPr>
          <w:i/>
          <w:iCs/>
        </w:rPr>
        <w:t>p</w:t>
      </w:r>
      <w:r w:rsidRPr="00C644C3">
        <w:t xml:space="preserve"> = .026, </w:t>
      </w:r>
      <w:r w:rsidRPr="00C644C3">
        <w:rPr>
          <w:rStyle w:val="hgkelc"/>
          <w:i/>
          <w:iCs/>
        </w:rPr>
        <w:t>η</w:t>
      </w:r>
      <w:r w:rsidRPr="00C644C3">
        <w:rPr>
          <w:rStyle w:val="hgkelc"/>
          <w:i/>
          <w:iCs/>
          <w:vertAlign w:val="subscript"/>
        </w:rPr>
        <w:t>p</w:t>
      </w:r>
      <w:r w:rsidRPr="00C644C3">
        <w:rPr>
          <w:rStyle w:val="hgkelc"/>
          <w:i/>
          <w:iCs/>
          <w:vertAlign w:val="superscript"/>
        </w:rPr>
        <w:t>2</w:t>
      </w:r>
      <w:r w:rsidRPr="00C644C3">
        <w:t xml:space="preserve"> = 0.08], but no interaction between alignment and composite [</w:t>
      </w:r>
      <w:proofErr w:type="gramStart"/>
      <w:r w:rsidRPr="00C644C3">
        <w:rPr>
          <w:i/>
          <w:iCs/>
        </w:rPr>
        <w:t>F</w:t>
      </w:r>
      <w:r w:rsidRPr="00C644C3">
        <w:t>(</w:t>
      </w:r>
      <w:proofErr w:type="gramEnd"/>
      <w:r w:rsidRPr="00C644C3">
        <w:t xml:space="preserve">1, 63) = 2.71, </w:t>
      </w:r>
      <w:r w:rsidRPr="00C644C3">
        <w:rPr>
          <w:i/>
          <w:iCs/>
        </w:rPr>
        <w:t>p</w:t>
      </w:r>
      <w:r w:rsidRPr="00C644C3">
        <w:t xml:space="preserve"> = .105]. </w:t>
      </w:r>
      <w:r w:rsidRPr="00C644C3">
        <w:rPr>
          <w:rFonts w:eastAsia="Times New Roman"/>
          <w:kern w:val="0"/>
          <w14:ligatures w14:val="none"/>
        </w:rPr>
        <w:t>To assess our pre-registered hypotheses, planned comparisons</w:t>
      </w:r>
      <w:r w:rsidRPr="00C644C3">
        <w:t xml:space="preserve"> (paired sample </w:t>
      </w:r>
      <w:r w:rsidRPr="00C644C3">
        <w:rPr>
          <w:i/>
          <w:iCs/>
        </w:rPr>
        <w:t>t</w:t>
      </w:r>
      <w:r w:rsidRPr="00C644C3">
        <w:t xml:space="preserve">-tests) were conducted on the effect of alignment for each composite condition (Table 3.1). For vertical composites (Aligned </w:t>
      </w:r>
      <w:r w:rsidRPr="00C644C3">
        <w:rPr>
          <w:i/>
          <w:iCs/>
        </w:rPr>
        <w:t>M</w:t>
      </w:r>
      <w:r w:rsidRPr="00C644C3">
        <w:t xml:space="preserve"> = 93.5%, </w:t>
      </w:r>
      <w:r w:rsidRPr="00C644C3">
        <w:rPr>
          <w:i/>
          <w:iCs/>
        </w:rPr>
        <w:t xml:space="preserve">SD </w:t>
      </w:r>
      <w:r w:rsidRPr="00C644C3">
        <w:t xml:space="preserve">= 4.8; Misaligned </w:t>
      </w:r>
      <w:r w:rsidRPr="00C644C3">
        <w:rPr>
          <w:i/>
          <w:iCs/>
        </w:rPr>
        <w:t>M</w:t>
      </w:r>
      <w:r w:rsidRPr="00C644C3">
        <w:t xml:space="preserve"> = 95.5%, </w:t>
      </w:r>
      <w:r w:rsidRPr="00C644C3">
        <w:rPr>
          <w:i/>
          <w:iCs/>
        </w:rPr>
        <w:t xml:space="preserve">SD </w:t>
      </w:r>
      <w:r w:rsidRPr="00C644C3">
        <w:t xml:space="preserve">= 4.8) and horizontal composites (Aligned </w:t>
      </w:r>
      <w:r w:rsidRPr="00C644C3">
        <w:rPr>
          <w:i/>
          <w:iCs/>
        </w:rPr>
        <w:t>M</w:t>
      </w:r>
      <w:r w:rsidRPr="00C644C3">
        <w:t xml:space="preserve"> = 90.8%, </w:t>
      </w:r>
      <w:r w:rsidRPr="00C644C3">
        <w:rPr>
          <w:i/>
          <w:iCs/>
        </w:rPr>
        <w:t xml:space="preserve">SD </w:t>
      </w:r>
      <w:r w:rsidRPr="00C644C3">
        <w:t xml:space="preserve">= 7.0; Misaligned </w:t>
      </w:r>
      <w:r w:rsidRPr="00C644C3">
        <w:rPr>
          <w:i/>
          <w:iCs/>
        </w:rPr>
        <w:t>M</w:t>
      </w:r>
      <w:r w:rsidRPr="00C644C3">
        <w:t xml:space="preserve"> = 94.3%, </w:t>
      </w:r>
      <w:r w:rsidRPr="00C644C3">
        <w:rPr>
          <w:i/>
          <w:iCs/>
        </w:rPr>
        <w:t xml:space="preserve">SD </w:t>
      </w:r>
      <w:r w:rsidRPr="00C644C3">
        <w:t>= 5.6), aligned images were less accurately recognised than misaligned images.</w:t>
      </w:r>
    </w:p>
    <w:p w14:paraId="7E1989E3" w14:textId="77777777" w:rsidR="009A0165" w:rsidRDefault="009A0165" w:rsidP="009A0165">
      <w:r w:rsidRPr="00C644C3">
        <w:t>For reaction time (Figure 3.2b), the ANOVA showed only a significant effect for alignment [</w:t>
      </w:r>
      <w:proofErr w:type="gramStart"/>
      <w:r w:rsidRPr="00C644C3">
        <w:rPr>
          <w:i/>
          <w:iCs/>
        </w:rPr>
        <w:t>F</w:t>
      </w:r>
      <w:r w:rsidRPr="00C644C3">
        <w:t>(</w:t>
      </w:r>
      <w:proofErr w:type="gramEnd"/>
      <w:r w:rsidRPr="00C644C3">
        <w:t xml:space="preserve">1, 63) = 15.26, </w:t>
      </w:r>
      <w:r w:rsidRPr="00C644C3">
        <w:rPr>
          <w:i/>
          <w:iCs/>
        </w:rPr>
        <w:t>p</w:t>
      </w:r>
      <w:r w:rsidRPr="00C644C3">
        <w:t xml:space="preserve"> &lt;.001, </w:t>
      </w:r>
      <w:r w:rsidRPr="00C644C3">
        <w:rPr>
          <w:rStyle w:val="hgkelc"/>
          <w:i/>
          <w:iCs/>
        </w:rPr>
        <w:t>η</w:t>
      </w:r>
      <w:r w:rsidRPr="00C644C3">
        <w:rPr>
          <w:rStyle w:val="hgkelc"/>
          <w:i/>
          <w:iCs/>
          <w:vertAlign w:val="subscript"/>
        </w:rPr>
        <w:t>p</w:t>
      </w:r>
      <w:proofErr w:type="gramStart"/>
      <w:r w:rsidRPr="00C644C3">
        <w:rPr>
          <w:rStyle w:val="hgkelc"/>
          <w:i/>
          <w:iCs/>
          <w:vertAlign w:val="superscript"/>
        </w:rPr>
        <w:t xml:space="preserve">2 </w:t>
      </w:r>
      <w:r w:rsidRPr="00C644C3">
        <w:t xml:space="preserve"> =</w:t>
      </w:r>
      <w:proofErr w:type="gramEnd"/>
      <w:r w:rsidRPr="00C644C3">
        <w:t xml:space="preserve"> 0.20]. However, there was no effect of composite [</w:t>
      </w:r>
      <w:proofErr w:type="gramStart"/>
      <w:r w:rsidRPr="00C644C3">
        <w:rPr>
          <w:i/>
          <w:iCs/>
        </w:rPr>
        <w:t>F</w:t>
      </w:r>
      <w:r w:rsidRPr="00C644C3">
        <w:t>(</w:t>
      </w:r>
      <w:proofErr w:type="gramEnd"/>
      <w:r w:rsidRPr="00C644C3">
        <w:t xml:space="preserve">1, 63) = 0.05, </w:t>
      </w:r>
      <w:r w:rsidRPr="00C644C3">
        <w:rPr>
          <w:i/>
          <w:iCs/>
        </w:rPr>
        <w:t>p</w:t>
      </w:r>
      <w:r w:rsidRPr="00C644C3">
        <w:t xml:space="preserve"> = .820], nor any interaction between alignment and composite [</w:t>
      </w:r>
      <w:proofErr w:type="gramStart"/>
      <w:r w:rsidRPr="00C644C3">
        <w:rPr>
          <w:i/>
          <w:iCs/>
        </w:rPr>
        <w:t>F</w:t>
      </w:r>
      <w:r w:rsidRPr="00C644C3">
        <w:t>(</w:t>
      </w:r>
      <w:proofErr w:type="gramEnd"/>
      <w:r w:rsidRPr="00C644C3">
        <w:t xml:space="preserve">1, 63) = 0.24, </w:t>
      </w:r>
      <w:r w:rsidRPr="00C644C3">
        <w:rPr>
          <w:i/>
          <w:iCs/>
        </w:rPr>
        <w:t>p</w:t>
      </w:r>
      <w:r w:rsidRPr="00C644C3">
        <w:t xml:space="preserve"> = .623]. </w:t>
      </w:r>
      <w:r w:rsidRPr="00C644C3">
        <w:rPr>
          <w:rFonts w:eastAsia="Times New Roman"/>
          <w:kern w:val="0"/>
          <w14:ligatures w14:val="none"/>
        </w:rPr>
        <w:t>To assess our pre-registered hypotheses, planned comparisons</w:t>
      </w:r>
      <w:r w:rsidRPr="00C644C3">
        <w:t xml:space="preserve"> (paired sample </w:t>
      </w:r>
      <w:r w:rsidRPr="00C644C3">
        <w:rPr>
          <w:i/>
          <w:iCs/>
        </w:rPr>
        <w:t>t</w:t>
      </w:r>
      <w:r w:rsidRPr="00C644C3">
        <w:t xml:space="preserve">-tests) were conducted on the effect of alignment for each composite condition (Table 3.1). For vertical composites (Aligned </w:t>
      </w:r>
      <w:r w:rsidRPr="00C644C3">
        <w:rPr>
          <w:i/>
          <w:iCs/>
        </w:rPr>
        <w:t>M</w:t>
      </w:r>
      <w:r w:rsidRPr="00C644C3">
        <w:t xml:space="preserve"> = 0.85s, </w:t>
      </w:r>
      <w:r w:rsidRPr="00C644C3">
        <w:rPr>
          <w:i/>
          <w:iCs/>
        </w:rPr>
        <w:t xml:space="preserve">SD </w:t>
      </w:r>
      <w:r w:rsidRPr="00C644C3">
        <w:t xml:space="preserve">= 0.16; Misaligned </w:t>
      </w:r>
      <w:r w:rsidRPr="00C644C3">
        <w:rPr>
          <w:i/>
          <w:iCs/>
        </w:rPr>
        <w:t>M</w:t>
      </w:r>
      <w:r w:rsidRPr="00C644C3">
        <w:t xml:space="preserve"> = 0.82s, </w:t>
      </w:r>
      <w:r w:rsidRPr="00C644C3">
        <w:rPr>
          <w:i/>
          <w:iCs/>
        </w:rPr>
        <w:t xml:space="preserve">SD </w:t>
      </w:r>
      <w:r w:rsidRPr="00C644C3">
        <w:t xml:space="preserve">= 0.15) and horizontal composites (Aligned </w:t>
      </w:r>
      <w:r w:rsidRPr="00C644C3">
        <w:rPr>
          <w:i/>
          <w:iCs/>
        </w:rPr>
        <w:t>M</w:t>
      </w:r>
      <w:r w:rsidRPr="00C644C3">
        <w:t xml:space="preserve"> = 0.85s, </w:t>
      </w:r>
      <w:r w:rsidRPr="00C644C3">
        <w:rPr>
          <w:i/>
          <w:iCs/>
        </w:rPr>
        <w:t xml:space="preserve">SD </w:t>
      </w:r>
      <w:r w:rsidRPr="00C644C3">
        <w:t xml:space="preserve">= 0.21; Misaligned </w:t>
      </w:r>
      <w:r w:rsidRPr="00C644C3">
        <w:rPr>
          <w:i/>
          <w:iCs/>
        </w:rPr>
        <w:t>M</w:t>
      </w:r>
      <w:r w:rsidRPr="00C644C3">
        <w:t xml:space="preserve"> = 0.83s, </w:t>
      </w:r>
      <w:r w:rsidRPr="00C644C3">
        <w:rPr>
          <w:i/>
          <w:iCs/>
        </w:rPr>
        <w:t xml:space="preserve">SD </w:t>
      </w:r>
      <w:r w:rsidRPr="00C644C3">
        <w:t>= 0.18), there was a slower reaction time for aligned images compared to misaligned images.</w:t>
      </w:r>
    </w:p>
    <w:p w14:paraId="5244330C" w14:textId="77777777" w:rsidR="00EE62F1" w:rsidRDefault="00EE62F1" w:rsidP="009A0165"/>
    <w:p w14:paraId="1B8B4033" w14:textId="77777777" w:rsidR="00EE62F1" w:rsidRDefault="00EE62F1" w:rsidP="009A0165"/>
    <w:p w14:paraId="67E45A0B" w14:textId="77777777" w:rsidR="00EE62F1" w:rsidRDefault="00EE62F1" w:rsidP="009A0165"/>
    <w:p w14:paraId="539E5034" w14:textId="77777777" w:rsidR="00EE62F1" w:rsidRPr="00C644C3" w:rsidRDefault="00EE62F1" w:rsidP="009A0165"/>
    <w:p w14:paraId="34CBCC84" w14:textId="1ED9B24B" w:rsidR="009A0165" w:rsidRPr="00C644C3" w:rsidRDefault="009A0165" w:rsidP="009A0165">
      <w:bookmarkStart w:id="15" w:name="_Toc199406141"/>
      <w:r w:rsidRPr="00C644C3">
        <w:lastRenderedPageBreak/>
        <w:t xml:space="preserve">Table 1. </w:t>
      </w:r>
      <w:r w:rsidRPr="009A0165">
        <w:rPr>
          <w:i/>
          <w:iCs/>
        </w:rPr>
        <w:t>Statistical differences in accuracy and reaction time for aligned &gt; misaligned conditions of the vertical and horizontal composite faces in Experiment 1.</w:t>
      </w:r>
      <w:bookmarkEnd w:id="15"/>
      <w:r w:rsidRPr="00C644C3">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2239"/>
        <w:gridCol w:w="987"/>
        <w:gridCol w:w="1134"/>
        <w:gridCol w:w="1274"/>
        <w:gridCol w:w="1135"/>
        <w:gridCol w:w="1507"/>
      </w:tblGrid>
      <w:tr w:rsidR="009A0165" w:rsidRPr="00C644C3" w14:paraId="69CBE8AA" w14:textId="77777777" w:rsidTr="00731391">
        <w:trPr>
          <w:trHeight w:val="284"/>
        </w:trPr>
        <w:tc>
          <w:tcPr>
            <w:tcW w:w="1655" w:type="pct"/>
            <w:gridSpan w:val="2"/>
            <w:tcBorders>
              <w:top w:val="single" w:sz="4" w:space="0" w:color="auto"/>
              <w:bottom w:val="single" w:sz="4" w:space="0" w:color="auto"/>
            </w:tcBorders>
            <w:vAlign w:val="center"/>
          </w:tcPr>
          <w:p w14:paraId="0971B1F5" w14:textId="77777777" w:rsidR="009A0165" w:rsidRPr="00C644C3" w:rsidRDefault="009A0165" w:rsidP="009A0165"/>
        </w:tc>
        <w:tc>
          <w:tcPr>
            <w:tcW w:w="547" w:type="pct"/>
            <w:tcBorders>
              <w:top w:val="single" w:sz="4" w:space="0" w:color="auto"/>
              <w:bottom w:val="single" w:sz="4" w:space="0" w:color="auto"/>
            </w:tcBorders>
            <w:vAlign w:val="center"/>
          </w:tcPr>
          <w:p w14:paraId="69C4BAD9" w14:textId="77777777" w:rsidR="009A0165" w:rsidRPr="00C644C3" w:rsidRDefault="009A0165" w:rsidP="009A0165">
            <w:proofErr w:type="spellStart"/>
            <w:r w:rsidRPr="00C644C3">
              <w:t>df</w:t>
            </w:r>
            <w:proofErr w:type="spellEnd"/>
          </w:p>
        </w:tc>
        <w:tc>
          <w:tcPr>
            <w:tcW w:w="628" w:type="pct"/>
            <w:tcBorders>
              <w:top w:val="single" w:sz="4" w:space="0" w:color="auto"/>
              <w:bottom w:val="single" w:sz="4" w:space="0" w:color="auto"/>
            </w:tcBorders>
            <w:vAlign w:val="center"/>
          </w:tcPr>
          <w:p w14:paraId="3B411589" w14:textId="77777777" w:rsidR="009A0165" w:rsidRPr="00C644C3" w:rsidRDefault="009A0165" w:rsidP="009A0165">
            <w:r w:rsidRPr="00C644C3">
              <w:t>t</w:t>
            </w:r>
          </w:p>
        </w:tc>
        <w:tc>
          <w:tcPr>
            <w:tcW w:w="706" w:type="pct"/>
            <w:tcBorders>
              <w:top w:val="single" w:sz="4" w:space="0" w:color="auto"/>
              <w:bottom w:val="single" w:sz="4" w:space="0" w:color="auto"/>
            </w:tcBorders>
            <w:vAlign w:val="center"/>
          </w:tcPr>
          <w:p w14:paraId="4AE40887" w14:textId="77777777" w:rsidR="009A0165" w:rsidRPr="00C644C3" w:rsidRDefault="009A0165" w:rsidP="009A0165">
            <w:r w:rsidRPr="00C644C3">
              <w:t>p</w:t>
            </w:r>
          </w:p>
        </w:tc>
        <w:tc>
          <w:tcPr>
            <w:tcW w:w="629" w:type="pct"/>
            <w:tcBorders>
              <w:top w:val="single" w:sz="4" w:space="0" w:color="auto"/>
              <w:bottom w:val="single" w:sz="4" w:space="0" w:color="auto"/>
            </w:tcBorders>
            <w:vAlign w:val="center"/>
          </w:tcPr>
          <w:p w14:paraId="29280221" w14:textId="77777777" w:rsidR="009A0165" w:rsidRPr="00C644C3" w:rsidRDefault="009A0165" w:rsidP="009A0165">
            <w:proofErr w:type="spellStart"/>
            <w:r w:rsidRPr="00C644C3">
              <w:t>d</w:t>
            </w:r>
            <w:r w:rsidRPr="00C644C3">
              <w:rPr>
                <w:vertAlign w:val="subscript"/>
              </w:rPr>
              <w:t>avg</w:t>
            </w:r>
            <w:proofErr w:type="spellEnd"/>
          </w:p>
        </w:tc>
        <w:tc>
          <w:tcPr>
            <w:tcW w:w="836" w:type="pct"/>
            <w:tcBorders>
              <w:top w:val="single" w:sz="4" w:space="0" w:color="auto"/>
              <w:bottom w:val="single" w:sz="4" w:space="0" w:color="auto"/>
            </w:tcBorders>
          </w:tcPr>
          <w:p w14:paraId="7EE672B8" w14:textId="77777777" w:rsidR="009A0165" w:rsidRPr="00C644C3" w:rsidRDefault="009A0165" w:rsidP="009A0165">
            <w:r w:rsidRPr="00C644C3">
              <w:t>BF</w:t>
            </w:r>
            <w:r w:rsidRPr="00C644C3">
              <w:rPr>
                <w:vertAlign w:val="subscript"/>
              </w:rPr>
              <w:t>10</w:t>
            </w:r>
          </w:p>
        </w:tc>
      </w:tr>
      <w:tr w:rsidR="009A0165" w:rsidRPr="00C644C3" w14:paraId="272FA876" w14:textId="77777777" w:rsidTr="00731391">
        <w:trPr>
          <w:trHeight w:val="284"/>
        </w:trPr>
        <w:tc>
          <w:tcPr>
            <w:tcW w:w="1655" w:type="pct"/>
            <w:gridSpan w:val="2"/>
            <w:tcBorders>
              <w:top w:val="single" w:sz="4" w:space="0" w:color="auto"/>
            </w:tcBorders>
            <w:vAlign w:val="center"/>
          </w:tcPr>
          <w:p w14:paraId="4EA9AA48" w14:textId="77777777" w:rsidR="009A0165" w:rsidRPr="00C644C3" w:rsidRDefault="009A0165" w:rsidP="009A0165">
            <w:r w:rsidRPr="00C644C3">
              <w:t xml:space="preserve">Accuracy </w:t>
            </w:r>
          </w:p>
        </w:tc>
        <w:tc>
          <w:tcPr>
            <w:tcW w:w="547" w:type="pct"/>
            <w:tcBorders>
              <w:top w:val="single" w:sz="4" w:space="0" w:color="auto"/>
            </w:tcBorders>
            <w:vAlign w:val="center"/>
          </w:tcPr>
          <w:p w14:paraId="5DF674E8" w14:textId="77777777" w:rsidR="009A0165" w:rsidRPr="00C644C3" w:rsidRDefault="009A0165" w:rsidP="009A0165"/>
        </w:tc>
        <w:tc>
          <w:tcPr>
            <w:tcW w:w="628" w:type="pct"/>
            <w:tcBorders>
              <w:top w:val="single" w:sz="4" w:space="0" w:color="auto"/>
            </w:tcBorders>
            <w:vAlign w:val="center"/>
          </w:tcPr>
          <w:p w14:paraId="52EFBF92" w14:textId="77777777" w:rsidR="009A0165" w:rsidRPr="00C644C3" w:rsidRDefault="009A0165" w:rsidP="009A0165"/>
        </w:tc>
        <w:tc>
          <w:tcPr>
            <w:tcW w:w="706" w:type="pct"/>
            <w:tcBorders>
              <w:top w:val="single" w:sz="4" w:space="0" w:color="auto"/>
            </w:tcBorders>
            <w:vAlign w:val="center"/>
          </w:tcPr>
          <w:p w14:paraId="52953554" w14:textId="77777777" w:rsidR="009A0165" w:rsidRPr="00C644C3" w:rsidRDefault="009A0165" w:rsidP="009A0165"/>
        </w:tc>
        <w:tc>
          <w:tcPr>
            <w:tcW w:w="629" w:type="pct"/>
            <w:tcBorders>
              <w:top w:val="single" w:sz="4" w:space="0" w:color="auto"/>
            </w:tcBorders>
            <w:vAlign w:val="center"/>
          </w:tcPr>
          <w:p w14:paraId="412BC9EE" w14:textId="77777777" w:rsidR="009A0165" w:rsidRPr="00C644C3" w:rsidRDefault="009A0165" w:rsidP="009A0165"/>
        </w:tc>
        <w:tc>
          <w:tcPr>
            <w:tcW w:w="836" w:type="pct"/>
            <w:tcBorders>
              <w:top w:val="single" w:sz="4" w:space="0" w:color="auto"/>
            </w:tcBorders>
          </w:tcPr>
          <w:p w14:paraId="47EE9750" w14:textId="77777777" w:rsidR="009A0165" w:rsidRPr="00C644C3" w:rsidRDefault="009A0165" w:rsidP="009A0165"/>
        </w:tc>
      </w:tr>
      <w:tr w:rsidR="009A0165" w:rsidRPr="00C644C3" w14:paraId="25BA742D" w14:textId="77777777" w:rsidTr="00731391">
        <w:trPr>
          <w:trHeight w:val="284"/>
        </w:trPr>
        <w:tc>
          <w:tcPr>
            <w:tcW w:w="415" w:type="pct"/>
            <w:vAlign w:val="center"/>
          </w:tcPr>
          <w:p w14:paraId="6A5E8CE2" w14:textId="77777777" w:rsidR="009A0165" w:rsidRPr="00C644C3" w:rsidRDefault="009A0165" w:rsidP="009A0165"/>
        </w:tc>
        <w:tc>
          <w:tcPr>
            <w:tcW w:w="1239" w:type="pct"/>
            <w:vAlign w:val="center"/>
          </w:tcPr>
          <w:p w14:paraId="484FA805" w14:textId="77777777" w:rsidR="009A0165" w:rsidRPr="00C644C3" w:rsidRDefault="009A0165" w:rsidP="009A0165">
            <w:r w:rsidRPr="00C644C3">
              <w:t>Vertical composite</w:t>
            </w:r>
          </w:p>
        </w:tc>
        <w:tc>
          <w:tcPr>
            <w:tcW w:w="547" w:type="pct"/>
            <w:vAlign w:val="center"/>
          </w:tcPr>
          <w:p w14:paraId="32EDB390" w14:textId="77777777" w:rsidR="009A0165" w:rsidRPr="00C644C3" w:rsidRDefault="009A0165" w:rsidP="009A0165">
            <w:r w:rsidRPr="00C644C3">
              <w:t>63</w:t>
            </w:r>
          </w:p>
        </w:tc>
        <w:tc>
          <w:tcPr>
            <w:tcW w:w="628" w:type="pct"/>
            <w:vAlign w:val="center"/>
          </w:tcPr>
          <w:p w14:paraId="640E7CCB" w14:textId="77777777" w:rsidR="009A0165" w:rsidRPr="00C644C3" w:rsidRDefault="009A0165" w:rsidP="009A0165">
            <w:r w:rsidRPr="00C644C3">
              <w:t>3.37</w:t>
            </w:r>
          </w:p>
        </w:tc>
        <w:tc>
          <w:tcPr>
            <w:tcW w:w="706" w:type="pct"/>
            <w:vAlign w:val="center"/>
          </w:tcPr>
          <w:p w14:paraId="1AD65DA7" w14:textId="77777777" w:rsidR="009A0165" w:rsidRPr="00C644C3" w:rsidRDefault="009A0165" w:rsidP="009A0165">
            <w:r w:rsidRPr="00C644C3">
              <w:t>.001</w:t>
            </w:r>
          </w:p>
        </w:tc>
        <w:tc>
          <w:tcPr>
            <w:tcW w:w="629" w:type="pct"/>
            <w:vAlign w:val="center"/>
          </w:tcPr>
          <w:p w14:paraId="2CD38458" w14:textId="77777777" w:rsidR="009A0165" w:rsidRPr="00C644C3" w:rsidRDefault="009A0165" w:rsidP="009A0165">
            <w:r w:rsidRPr="00C644C3">
              <w:t>0.43</w:t>
            </w:r>
          </w:p>
        </w:tc>
        <w:tc>
          <w:tcPr>
            <w:tcW w:w="836" w:type="pct"/>
          </w:tcPr>
          <w:p w14:paraId="4988F20B" w14:textId="77777777" w:rsidR="009A0165" w:rsidRPr="00C644C3" w:rsidRDefault="009A0165" w:rsidP="009A0165">
            <w:r w:rsidRPr="00C644C3">
              <w:t>41.21</w:t>
            </w:r>
          </w:p>
        </w:tc>
      </w:tr>
      <w:tr w:rsidR="009A0165" w:rsidRPr="00C644C3" w14:paraId="11740705" w14:textId="77777777" w:rsidTr="00731391">
        <w:trPr>
          <w:trHeight w:val="284"/>
        </w:trPr>
        <w:tc>
          <w:tcPr>
            <w:tcW w:w="415" w:type="pct"/>
            <w:vAlign w:val="center"/>
          </w:tcPr>
          <w:p w14:paraId="7D07B690" w14:textId="77777777" w:rsidR="009A0165" w:rsidRPr="00C644C3" w:rsidRDefault="009A0165" w:rsidP="009A0165"/>
        </w:tc>
        <w:tc>
          <w:tcPr>
            <w:tcW w:w="1239" w:type="pct"/>
            <w:vAlign w:val="center"/>
          </w:tcPr>
          <w:p w14:paraId="2BF3B8CF" w14:textId="77777777" w:rsidR="009A0165" w:rsidRPr="00C644C3" w:rsidRDefault="009A0165" w:rsidP="009A0165">
            <w:r w:rsidRPr="00C644C3">
              <w:t>Horizontal composite</w:t>
            </w:r>
          </w:p>
        </w:tc>
        <w:tc>
          <w:tcPr>
            <w:tcW w:w="547" w:type="pct"/>
            <w:vAlign w:val="center"/>
          </w:tcPr>
          <w:p w14:paraId="4005B8D6" w14:textId="77777777" w:rsidR="009A0165" w:rsidRPr="00C644C3" w:rsidRDefault="009A0165" w:rsidP="009A0165">
            <w:r w:rsidRPr="00C644C3">
              <w:t>63</w:t>
            </w:r>
          </w:p>
        </w:tc>
        <w:tc>
          <w:tcPr>
            <w:tcW w:w="628" w:type="pct"/>
            <w:vAlign w:val="center"/>
          </w:tcPr>
          <w:p w14:paraId="3690C934" w14:textId="77777777" w:rsidR="009A0165" w:rsidRPr="00C644C3" w:rsidRDefault="009A0165" w:rsidP="009A0165">
            <w:r w:rsidRPr="00C644C3">
              <w:t>6.11</w:t>
            </w:r>
          </w:p>
        </w:tc>
        <w:tc>
          <w:tcPr>
            <w:tcW w:w="706" w:type="pct"/>
            <w:vAlign w:val="center"/>
          </w:tcPr>
          <w:p w14:paraId="6B839319" w14:textId="77777777" w:rsidR="009A0165" w:rsidRPr="00C644C3" w:rsidRDefault="009A0165" w:rsidP="009A0165">
            <w:r w:rsidRPr="00C644C3">
              <w:t>&lt;.001</w:t>
            </w:r>
          </w:p>
        </w:tc>
        <w:tc>
          <w:tcPr>
            <w:tcW w:w="629" w:type="pct"/>
            <w:vAlign w:val="center"/>
          </w:tcPr>
          <w:p w14:paraId="31AF23AA" w14:textId="77777777" w:rsidR="009A0165" w:rsidRPr="00C644C3" w:rsidRDefault="009A0165" w:rsidP="009A0165">
            <w:r w:rsidRPr="00C644C3">
              <w:t>0.56</w:t>
            </w:r>
          </w:p>
        </w:tc>
        <w:tc>
          <w:tcPr>
            <w:tcW w:w="836" w:type="pct"/>
          </w:tcPr>
          <w:p w14:paraId="26F7F4B8" w14:textId="77777777" w:rsidR="009A0165" w:rsidRPr="00C644C3" w:rsidRDefault="009A0165" w:rsidP="009A0165">
            <w:r w:rsidRPr="00C644C3">
              <w:t>&gt;100</w:t>
            </w:r>
          </w:p>
        </w:tc>
      </w:tr>
      <w:tr w:rsidR="009A0165" w:rsidRPr="00C644C3" w14:paraId="253569AF" w14:textId="77777777" w:rsidTr="00731391">
        <w:trPr>
          <w:trHeight w:val="284"/>
        </w:trPr>
        <w:tc>
          <w:tcPr>
            <w:tcW w:w="1655" w:type="pct"/>
            <w:gridSpan w:val="2"/>
            <w:vAlign w:val="center"/>
          </w:tcPr>
          <w:p w14:paraId="2B3E0BEE" w14:textId="77777777" w:rsidR="009A0165" w:rsidRPr="00C644C3" w:rsidRDefault="009A0165" w:rsidP="009A0165">
            <w:r w:rsidRPr="00C644C3">
              <w:t xml:space="preserve">Reaction Time </w:t>
            </w:r>
          </w:p>
        </w:tc>
        <w:tc>
          <w:tcPr>
            <w:tcW w:w="547" w:type="pct"/>
            <w:vAlign w:val="center"/>
          </w:tcPr>
          <w:p w14:paraId="065C7D62" w14:textId="77777777" w:rsidR="009A0165" w:rsidRPr="00C644C3" w:rsidRDefault="009A0165" w:rsidP="009A0165"/>
        </w:tc>
        <w:tc>
          <w:tcPr>
            <w:tcW w:w="628" w:type="pct"/>
            <w:vAlign w:val="center"/>
          </w:tcPr>
          <w:p w14:paraId="2542DCDD" w14:textId="77777777" w:rsidR="009A0165" w:rsidRPr="00C644C3" w:rsidRDefault="009A0165" w:rsidP="009A0165"/>
        </w:tc>
        <w:tc>
          <w:tcPr>
            <w:tcW w:w="706" w:type="pct"/>
            <w:vAlign w:val="center"/>
          </w:tcPr>
          <w:p w14:paraId="111FCFF9" w14:textId="77777777" w:rsidR="009A0165" w:rsidRPr="00C644C3" w:rsidRDefault="009A0165" w:rsidP="009A0165"/>
        </w:tc>
        <w:tc>
          <w:tcPr>
            <w:tcW w:w="629" w:type="pct"/>
            <w:vAlign w:val="center"/>
          </w:tcPr>
          <w:p w14:paraId="0C7A3417" w14:textId="77777777" w:rsidR="009A0165" w:rsidRPr="00C644C3" w:rsidRDefault="009A0165" w:rsidP="009A0165"/>
        </w:tc>
        <w:tc>
          <w:tcPr>
            <w:tcW w:w="836" w:type="pct"/>
          </w:tcPr>
          <w:p w14:paraId="472D0569" w14:textId="77777777" w:rsidR="009A0165" w:rsidRPr="00C644C3" w:rsidRDefault="009A0165" w:rsidP="009A0165"/>
        </w:tc>
      </w:tr>
      <w:tr w:rsidR="009A0165" w:rsidRPr="00C644C3" w14:paraId="257DC9D6" w14:textId="77777777" w:rsidTr="00731391">
        <w:trPr>
          <w:trHeight w:val="284"/>
        </w:trPr>
        <w:tc>
          <w:tcPr>
            <w:tcW w:w="415" w:type="pct"/>
            <w:vAlign w:val="center"/>
          </w:tcPr>
          <w:p w14:paraId="0D241E91" w14:textId="77777777" w:rsidR="009A0165" w:rsidRPr="00C644C3" w:rsidRDefault="009A0165" w:rsidP="009A0165"/>
        </w:tc>
        <w:tc>
          <w:tcPr>
            <w:tcW w:w="1239" w:type="pct"/>
            <w:vAlign w:val="center"/>
          </w:tcPr>
          <w:p w14:paraId="3DB558CC" w14:textId="77777777" w:rsidR="009A0165" w:rsidRPr="00C644C3" w:rsidRDefault="009A0165" w:rsidP="009A0165">
            <w:r w:rsidRPr="00C644C3">
              <w:t>Vertical composite</w:t>
            </w:r>
          </w:p>
        </w:tc>
        <w:tc>
          <w:tcPr>
            <w:tcW w:w="547" w:type="pct"/>
            <w:vAlign w:val="center"/>
          </w:tcPr>
          <w:p w14:paraId="711C65D2" w14:textId="77777777" w:rsidR="009A0165" w:rsidRPr="00C644C3" w:rsidRDefault="009A0165" w:rsidP="009A0165">
            <w:r w:rsidRPr="00C644C3">
              <w:t>63</w:t>
            </w:r>
          </w:p>
        </w:tc>
        <w:tc>
          <w:tcPr>
            <w:tcW w:w="628" w:type="pct"/>
            <w:vAlign w:val="center"/>
          </w:tcPr>
          <w:p w14:paraId="697B0FB7" w14:textId="77777777" w:rsidR="009A0165" w:rsidRPr="00C644C3" w:rsidRDefault="009A0165" w:rsidP="009A0165">
            <w:r w:rsidRPr="00C644C3">
              <w:t>3.90</w:t>
            </w:r>
          </w:p>
        </w:tc>
        <w:tc>
          <w:tcPr>
            <w:tcW w:w="706" w:type="pct"/>
            <w:vAlign w:val="center"/>
          </w:tcPr>
          <w:p w14:paraId="3116C502" w14:textId="77777777" w:rsidR="009A0165" w:rsidRPr="00C644C3" w:rsidRDefault="009A0165" w:rsidP="009A0165">
            <w:r w:rsidRPr="00C644C3">
              <w:t>&lt;.001</w:t>
            </w:r>
          </w:p>
        </w:tc>
        <w:tc>
          <w:tcPr>
            <w:tcW w:w="629" w:type="pct"/>
            <w:vAlign w:val="center"/>
          </w:tcPr>
          <w:p w14:paraId="5190BC49" w14:textId="77777777" w:rsidR="009A0165" w:rsidRPr="00C644C3" w:rsidRDefault="009A0165" w:rsidP="009A0165">
            <w:r w:rsidRPr="00C644C3">
              <w:t>0.16</w:t>
            </w:r>
          </w:p>
        </w:tc>
        <w:tc>
          <w:tcPr>
            <w:tcW w:w="836" w:type="pct"/>
          </w:tcPr>
          <w:p w14:paraId="38941F33" w14:textId="77777777" w:rsidR="009A0165" w:rsidRPr="00C644C3" w:rsidRDefault="009A0165" w:rsidP="009A0165">
            <w:r w:rsidRPr="00C644C3">
              <w:t>&gt;100</w:t>
            </w:r>
          </w:p>
        </w:tc>
      </w:tr>
      <w:tr w:rsidR="009A0165" w:rsidRPr="00C644C3" w14:paraId="683E8996" w14:textId="77777777" w:rsidTr="00731391">
        <w:trPr>
          <w:trHeight w:val="284"/>
        </w:trPr>
        <w:tc>
          <w:tcPr>
            <w:tcW w:w="415" w:type="pct"/>
            <w:vAlign w:val="center"/>
          </w:tcPr>
          <w:p w14:paraId="65B4D634" w14:textId="77777777" w:rsidR="009A0165" w:rsidRPr="00C644C3" w:rsidRDefault="009A0165" w:rsidP="009A0165"/>
        </w:tc>
        <w:tc>
          <w:tcPr>
            <w:tcW w:w="1239" w:type="pct"/>
            <w:vAlign w:val="center"/>
          </w:tcPr>
          <w:p w14:paraId="658A8352" w14:textId="77777777" w:rsidR="009A0165" w:rsidRPr="00C644C3" w:rsidRDefault="009A0165" w:rsidP="009A0165">
            <w:r w:rsidRPr="00C644C3">
              <w:t>Horizontal composite</w:t>
            </w:r>
          </w:p>
        </w:tc>
        <w:tc>
          <w:tcPr>
            <w:tcW w:w="547" w:type="pct"/>
            <w:vAlign w:val="center"/>
          </w:tcPr>
          <w:p w14:paraId="0DDCD95A" w14:textId="77777777" w:rsidR="009A0165" w:rsidRPr="00C644C3" w:rsidRDefault="009A0165" w:rsidP="009A0165">
            <w:r w:rsidRPr="00C644C3">
              <w:t>63</w:t>
            </w:r>
          </w:p>
        </w:tc>
        <w:tc>
          <w:tcPr>
            <w:tcW w:w="628" w:type="pct"/>
            <w:vAlign w:val="center"/>
          </w:tcPr>
          <w:p w14:paraId="6C8B0F22" w14:textId="77777777" w:rsidR="009A0165" w:rsidRPr="00C644C3" w:rsidRDefault="009A0165" w:rsidP="009A0165">
            <w:r w:rsidRPr="00C644C3">
              <w:t>2.11</w:t>
            </w:r>
          </w:p>
        </w:tc>
        <w:tc>
          <w:tcPr>
            <w:tcW w:w="706" w:type="pct"/>
            <w:vAlign w:val="center"/>
          </w:tcPr>
          <w:p w14:paraId="2DD08975" w14:textId="77777777" w:rsidR="009A0165" w:rsidRPr="00C644C3" w:rsidRDefault="009A0165" w:rsidP="009A0165">
            <w:r w:rsidRPr="00C644C3">
              <w:t>.019</w:t>
            </w:r>
          </w:p>
        </w:tc>
        <w:tc>
          <w:tcPr>
            <w:tcW w:w="629" w:type="pct"/>
            <w:vAlign w:val="center"/>
          </w:tcPr>
          <w:p w14:paraId="34361BF4" w14:textId="77777777" w:rsidR="009A0165" w:rsidRPr="00C644C3" w:rsidRDefault="009A0165" w:rsidP="009A0165">
            <w:r w:rsidRPr="00C644C3">
              <w:t>0.10</w:t>
            </w:r>
          </w:p>
        </w:tc>
        <w:tc>
          <w:tcPr>
            <w:tcW w:w="836" w:type="pct"/>
          </w:tcPr>
          <w:p w14:paraId="1ADB404D" w14:textId="77777777" w:rsidR="009A0165" w:rsidRPr="00C644C3" w:rsidRDefault="009A0165" w:rsidP="009A0165">
            <w:r w:rsidRPr="00C644C3">
              <w:t>2.18</w:t>
            </w:r>
          </w:p>
        </w:tc>
      </w:tr>
    </w:tbl>
    <w:p w14:paraId="42312180" w14:textId="77777777" w:rsidR="009A0165" w:rsidRPr="00C644C3" w:rsidRDefault="009A0165" w:rsidP="009A0165"/>
    <w:p w14:paraId="71DEF574" w14:textId="6F446538" w:rsidR="009A0165" w:rsidRPr="00C644C3" w:rsidRDefault="009A0165" w:rsidP="009A0165">
      <w:r w:rsidRPr="00C644C3">
        <w:t xml:space="preserve">To provide an integrated measure that combines accuracy and reaction time, we also calculated BIS. Accuracy and reaction time measures were converted to standardised z-scores, before subtracting standardised accuracy from standardised reaction time to generate the BIS. Paired sample </w:t>
      </w:r>
      <w:r w:rsidRPr="00CF671E">
        <w:rPr>
          <w:i/>
          <w:iCs/>
        </w:rPr>
        <w:t>t</w:t>
      </w:r>
      <w:r w:rsidRPr="00C644C3">
        <w:t>-tests were also calculated for alignment effects on BIS, these showed the same pattern as shown for the non-integrated measures (</w:t>
      </w:r>
      <w:r w:rsidRPr="00C644C3">
        <w:rPr>
          <w:i/>
          <w:iCs/>
        </w:rPr>
        <w:t>p</w:t>
      </w:r>
      <w:r w:rsidRPr="00C644C3">
        <w:t xml:space="preserve"> &lt; .001), and descriptive statistics and results for these comparisons are reported in </w:t>
      </w:r>
      <w:r w:rsidR="006F1FB4">
        <w:t>Suppl.</w:t>
      </w:r>
      <w:r w:rsidRPr="00C644C3">
        <w:t xml:space="preserve"> Tables </w:t>
      </w:r>
      <w:r w:rsidR="006F1FB4">
        <w:t>3</w:t>
      </w:r>
      <w:r w:rsidRPr="00C644C3">
        <w:t xml:space="preserve"> &amp; </w:t>
      </w:r>
      <w:r w:rsidR="006F1FB4">
        <w:t>4</w:t>
      </w:r>
      <w:r w:rsidRPr="00C644C3">
        <w:t>. CFE size was calculated using aligned – misaligned BIS for horizontal and vertically divided composites independently, and these were compared using standard and Bayesian statistics. The CFE for horizontal (</w:t>
      </w:r>
      <w:r w:rsidRPr="00C644C3">
        <w:rPr>
          <w:i/>
          <w:iCs/>
        </w:rPr>
        <w:t>M</w:t>
      </w:r>
      <w:r w:rsidRPr="00C644C3">
        <w:t xml:space="preserve"> = 0.72, </w:t>
      </w:r>
      <w:r w:rsidRPr="00C644C3">
        <w:rPr>
          <w:i/>
          <w:iCs/>
        </w:rPr>
        <w:t>SD</w:t>
      </w:r>
      <w:r w:rsidRPr="00C644C3">
        <w:t xml:space="preserve"> = 0.94) and vertical (</w:t>
      </w:r>
      <w:r w:rsidRPr="00C644C3">
        <w:rPr>
          <w:i/>
          <w:iCs/>
        </w:rPr>
        <w:t>M</w:t>
      </w:r>
      <w:r w:rsidRPr="00C644C3">
        <w:t xml:space="preserve"> = 0.50, </w:t>
      </w:r>
      <w:r w:rsidRPr="00C644C3">
        <w:rPr>
          <w:i/>
          <w:iCs/>
        </w:rPr>
        <w:t>SD</w:t>
      </w:r>
      <w:r w:rsidRPr="00C644C3">
        <w:t xml:space="preserve"> = 0.86) composites were not significantly different </w:t>
      </w:r>
      <w:r w:rsidRPr="00C644C3">
        <w:rPr>
          <w:rFonts w:eastAsia="Times New Roman"/>
          <w:kern w:val="0"/>
          <w14:ligatures w14:val="none"/>
        </w:rPr>
        <w:t>[</w:t>
      </w:r>
      <w:proofErr w:type="gramStart"/>
      <w:r w:rsidRPr="00C644C3">
        <w:rPr>
          <w:rFonts w:eastAsia="Times New Roman"/>
          <w:i/>
          <w:iCs/>
          <w:kern w:val="0"/>
          <w14:ligatures w14:val="none"/>
        </w:rPr>
        <w:t>t</w:t>
      </w:r>
      <w:r w:rsidRPr="00C644C3">
        <w:rPr>
          <w:rFonts w:eastAsia="Times New Roman"/>
          <w:kern w:val="0"/>
          <w14:ligatures w14:val="none"/>
        </w:rPr>
        <w:t>(</w:t>
      </w:r>
      <w:proofErr w:type="gramEnd"/>
      <w:r w:rsidRPr="00C644C3">
        <w:rPr>
          <w:rFonts w:eastAsia="Times New Roman"/>
          <w:kern w:val="0"/>
          <w14:ligatures w14:val="none"/>
        </w:rPr>
        <w:t xml:space="preserve">63) = 1.33, </w:t>
      </w:r>
      <w:r w:rsidRPr="00C644C3">
        <w:rPr>
          <w:rFonts w:eastAsia="Times New Roman"/>
          <w:i/>
          <w:iCs/>
          <w:kern w:val="0"/>
          <w14:ligatures w14:val="none"/>
        </w:rPr>
        <w:t>p</w:t>
      </w:r>
      <w:r w:rsidRPr="00C644C3">
        <w:rPr>
          <w:rFonts w:eastAsia="Times New Roman"/>
          <w:kern w:val="0"/>
          <w14:ligatures w14:val="none"/>
        </w:rPr>
        <w:t xml:space="preserve"> = .188]</w:t>
      </w:r>
      <w:r w:rsidRPr="00C644C3">
        <w:t>.  There was moderate evidence in favour of a lack of difference between vertical and horizontal composites (BF</w:t>
      </w:r>
      <w:r w:rsidRPr="00C644C3">
        <w:rPr>
          <w:vertAlign w:val="subscript"/>
        </w:rPr>
        <w:t>01</w:t>
      </w:r>
      <w:r w:rsidRPr="00C644C3">
        <w:t xml:space="preserve"> = 3.17). Comparison of CFE size was also calculated for accuracy and reaction time measures independently, which also showed no significant difference between composite division directions (</w:t>
      </w:r>
      <w:r w:rsidRPr="00C644C3">
        <w:rPr>
          <w:i/>
          <w:iCs/>
        </w:rPr>
        <w:t>p</w:t>
      </w:r>
      <w:r w:rsidRPr="00C644C3">
        <w:t xml:space="preserve"> &gt; .105). Descriptive statistics and results from these comparisons are reported in </w:t>
      </w:r>
      <w:r w:rsidR="006F1FB4">
        <w:t>Suppl.</w:t>
      </w:r>
      <w:r w:rsidRPr="00C644C3">
        <w:t xml:space="preserve"> Tables </w:t>
      </w:r>
      <w:r w:rsidR="006F1FB4">
        <w:t>5</w:t>
      </w:r>
      <w:r w:rsidRPr="00C644C3">
        <w:t xml:space="preserve"> &amp; </w:t>
      </w:r>
      <w:r w:rsidR="006F1FB4">
        <w:t>6</w:t>
      </w:r>
      <w:r w:rsidRPr="00C644C3">
        <w:t xml:space="preserve">. </w:t>
      </w:r>
    </w:p>
    <w:p w14:paraId="77801B08" w14:textId="77777777" w:rsidR="006F1FB4" w:rsidRDefault="006F1FB4">
      <w:pPr>
        <w:spacing w:line="259" w:lineRule="auto"/>
        <w:jc w:val="left"/>
        <w:rPr>
          <w:b/>
          <w:bCs/>
          <w:caps/>
          <w:lang w:val="en-US"/>
        </w:rPr>
      </w:pPr>
      <w:bookmarkStart w:id="16" w:name="_Toc198559628"/>
      <w:bookmarkStart w:id="17" w:name="_Toc198648765"/>
      <w:bookmarkStart w:id="18" w:name="_Toc198648853"/>
      <w:bookmarkStart w:id="19" w:name="_Toc199406035"/>
      <w:r>
        <w:br w:type="page"/>
      </w:r>
    </w:p>
    <w:p w14:paraId="117B47B3" w14:textId="7C58D8BF" w:rsidR="009A0165" w:rsidRPr="00C644C3" w:rsidRDefault="009A0165" w:rsidP="009A0165">
      <w:pPr>
        <w:pStyle w:val="Heading1"/>
      </w:pPr>
      <w:r w:rsidRPr="00C644C3">
        <w:lastRenderedPageBreak/>
        <w:t>Experiment 2</w:t>
      </w:r>
      <w:bookmarkEnd w:id="16"/>
      <w:bookmarkEnd w:id="17"/>
      <w:bookmarkEnd w:id="18"/>
      <w:bookmarkEnd w:id="19"/>
    </w:p>
    <w:p w14:paraId="417A4883" w14:textId="77777777" w:rsidR="009A0165" w:rsidRPr="00C644C3" w:rsidRDefault="009A0165" w:rsidP="009A0165">
      <w:r w:rsidRPr="00C644C3">
        <w:t xml:space="preserve">The results of Experiment 1 showed a comparably sized CFE for vertical and horizontal composites. This suggests that the left and right face halves also appear to be holistically bound together during face perception and require cognitive effort to disentangle their component identities. An important feature of the design for Experiment 1 was that participants viewed the famous faces used to make the composites in a familiarity block before the composites were presented. This was consistent with the approach used in previous studies examining the CFE using familiar faces (e.g., Young </w:t>
      </w:r>
      <w:r w:rsidRPr="00EC53A1">
        <w:rPr>
          <w:i/>
          <w:iCs/>
        </w:rPr>
        <w:t>et al.</w:t>
      </w:r>
      <w:r w:rsidRPr="00C644C3">
        <w:t xml:space="preserve">, 1987; Chen </w:t>
      </w:r>
      <w:r w:rsidRPr="00EC53A1">
        <w:rPr>
          <w:i/>
          <w:iCs/>
        </w:rPr>
        <w:t>et al.</w:t>
      </w:r>
      <w:r w:rsidRPr="00C644C3">
        <w:t xml:space="preserve">, 2018; </w:t>
      </w:r>
      <w:proofErr w:type="spellStart"/>
      <w:r w:rsidRPr="00C644C3">
        <w:t>Fitousi</w:t>
      </w:r>
      <w:proofErr w:type="spellEnd"/>
      <w:r w:rsidRPr="00C644C3">
        <w:t xml:space="preserve">, 2020; Robbins &amp; McKone, 2003). Image and identity priming of faces is known to facilitate subsequent familiarity decision tasks (Ellis </w:t>
      </w:r>
      <w:r w:rsidRPr="00EC53A1">
        <w:rPr>
          <w:i/>
          <w:iCs/>
        </w:rPr>
        <w:t>et al.</w:t>
      </w:r>
      <w:r w:rsidRPr="00C644C3">
        <w:t xml:space="preserve">, 1987; Bruce &amp; Valentine, 1985). Our paradigm which avoids the sequential presentation of matching images, necessary in an unfamiliar composite paradigm, removes any immediate repetition priming effects from familiarity judgements. However, our composites included previously seen (familiar) and previously unseen (unfamiliar) components. Given that priming effects on face recognition are known to persist over periods of time longer than our experiment (e.g. Roberts &amp; Bruce, 1989), it is unclear if prior exposure or priming is relevant to CFE production. To determine whether prior exposure to these images was important, we repeated the experiment without exposing participants to the full familiar faces before composite testing. Based on the results of Experiment 1, we predicted lower identification accuracy and increased reaction times for aligned, compared to misaligned vertical and horizontal composites. If face priming is important for the CFE, we would also expect smaller CFE sizes when compared with Experiment 1. </w:t>
      </w:r>
    </w:p>
    <w:p w14:paraId="0B3CA30F" w14:textId="2F07680F" w:rsidR="009A0165" w:rsidRPr="00C644C3" w:rsidRDefault="009A0165" w:rsidP="009A0165">
      <w:pPr>
        <w:pStyle w:val="Heading2"/>
      </w:pPr>
      <w:bookmarkStart w:id="20" w:name="_Toc199406036"/>
      <w:r w:rsidRPr="00C644C3">
        <w:t>Materials and Methods</w:t>
      </w:r>
      <w:bookmarkEnd w:id="20"/>
    </w:p>
    <w:p w14:paraId="30482548" w14:textId="5843F773" w:rsidR="009A0165" w:rsidRPr="00C644C3" w:rsidRDefault="009A0165" w:rsidP="009A0165">
      <w:pPr>
        <w:pStyle w:val="Heading3"/>
      </w:pPr>
      <w:bookmarkStart w:id="21" w:name="_Toc199406037"/>
      <w:r w:rsidRPr="00C644C3">
        <w:t>Participants</w:t>
      </w:r>
      <w:bookmarkEnd w:id="21"/>
    </w:p>
    <w:p w14:paraId="5ACB02C9" w14:textId="77777777" w:rsidR="009A0165" w:rsidRPr="00C644C3" w:rsidRDefault="009A0165" w:rsidP="009A0165">
      <w:r w:rsidRPr="00C644C3">
        <w:t xml:space="preserve">69 participants were recruited for this experiment, although 5 were excluded due to insufficient familiarity with the celebrity faces used (&lt;50%), or failure to meet the laterality quotient to indicate dominant right-handedness (&lt;+40). The remaining 64 right-handed (mean laterality quotient = 89.5, </w:t>
      </w:r>
      <w:r w:rsidRPr="00C644C3">
        <w:rPr>
          <w:i/>
          <w:iCs/>
        </w:rPr>
        <w:t>SD</w:t>
      </w:r>
      <w:r w:rsidRPr="00C644C3">
        <w:t xml:space="preserve"> = 16.1) participants (59 female, mean age = 19.7, </w:t>
      </w:r>
      <w:r w:rsidRPr="00C644C3">
        <w:rPr>
          <w:i/>
          <w:iCs/>
        </w:rPr>
        <w:t>SD</w:t>
      </w:r>
      <w:r w:rsidRPr="00C644C3">
        <w:t xml:space="preserve"> = 3.6, range = 18 - 31) were randomly divided into the eight counterbalancing groups described in Experiment 1. Participants who had completed any experiment in the series were excluded from participation in any other experiment to avoid previous exposure to the stimuli.  </w:t>
      </w:r>
    </w:p>
    <w:p w14:paraId="3936CBBC" w14:textId="0F615917" w:rsidR="009A0165" w:rsidRPr="00C644C3" w:rsidRDefault="009A0165" w:rsidP="009A0165">
      <w:pPr>
        <w:pStyle w:val="Heading3"/>
      </w:pPr>
      <w:bookmarkStart w:id="22" w:name="_Toc199406038"/>
      <w:r w:rsidRPr="00C644C3">
        <w:lastRenderedPageBreak/>
        <w:t>Stimuli</w:t>
      </w:r>
      <w:bookmarkEnd w:id="22"/>
    </w:p>
    <w:p w14:paraId="0632C8A9" w14:textId="77777777" w:rsidR="009A0165" w:rsidRPr="00C644C3" w:rsidRDefault="009A0165" w:rsidP="009A0165">
      <w:r w:rsidRPr="00C644C3">
        <w:t xml:space="preserve">The same stimuli used in Experiment 1 were reused in Experiment 2. </w:t>
      </w:r>
    </w:p>
    <w:p w14:paraId="6548BB4E" w14:textId="24A36EB2" w:rsidR="009A0165" w:rsidRPr="00C644C3" w:rsidRDefault="009A0165" w:rsidP="009A0165">
      <w:pPr>
        <w:pStyle w:val="Heading3"/>
      </w:pPr>
      <w:bookmarkStart w:id="23" w:name="_Toc199406039"/>
      <w:r w:rsidRPr="00C644C3">
        <w:t>Procedure</w:t>
      </w:r>
      <w:bookmarkEnd w:id="23"/>
    </w:p>
    <w:p w14:paraId="32469D37" w14:textId="77777777" w:rsidR="009A0165" w:rsidRPr="00C644C3" w:rsidRDefault="009A0165" w:rsidP="009A0165">
      <w:r w:rsidRPr="00C644C3">
        <w:t xml:space="preserve">Experiment 2 was conducted in-person. Participants were seated in an evenly lit laboratory 80cm from a computer screen with the dimensions 544mm x 306mm (1920px x 1080px). Images of aligned faces subtended a height of 9.72° of visual angle. Stimuli were presented using </w:t>
      </w:r>
      <w:proofErr w:type="spellStart"/>
      <w:r w:rsidRPr="00C644C3">
        <w:t>PsychoPy</w:t>
      </w:r>
      <w:proofErr w:type="spellEnd"/>
      <w:r w:rsidRPr="00C644C3">
        <w:t xml:space="preserve"> (Version 2021.2.3; www.psychopy.org). Participants were asked to judge the familiarity of the left half of the face in the vertical composite condition, or the upper half of the face in the horizontal composite condition. The experiment used the same trial-within-block structure and counterbalancing as described in Experiment 1. However, to mitigate any potential effects of face priming on CFE production, in Experiment 2, the recognition block</w:t>
      </w:r>
      <w:r>
        <w:t>,</w:t>
      </w:r>
      <w:r w:rsidRPr="00C644C3">
        <w:t xml:space="preserve"> in which participants had to indicate whether they were familiar with the faces used to construct the composites, was always presented after the vertical and horizontal composite blocks had been completed. Despite the differences in block ordering, as in Experiment 1, only results from faces reported to have been correctly recognised by each participant in the recognition block of the experiment were retained in the subsequent analysis.</w:t>
      </w:r>
    </w:p>
    <w:p w14:paraId="5A0A26D0" w14:textId="77777777" w:rsidR="009A0165" w:rsidRPr="00C644C3" w:rsidRDefault="009A0165" w:rsidP="009A0165">
      <w:r w:rsidRPr="00C644C3">
        <w:t xml:space="preserve">The study design, hypotheses, and analysis plan for the experiment were preregistered (https://osf.io/54vcf). Our pre-registered hypotheses test the following predictions: H1) For horizontal composites, </w:t>
      </w:r>
      <w:proofErr w:type="spellStart"/>
      <w:r w:rsidRPr="00C644C3">
        <w:t>i</w:t>
      </w:r>
      <w:proofErr w:type="spellEnd"/>
      <w:r w:rsidRPr="00C644C3">
        <w:t xml:space="preserve">) lower accuracy of familiarity judgments in the aligned compared to misaligned condition; ii) slower reaction times for correct familiarity judgements in the aligned compared to the misaligned condition; H2) For vertical composites, </w:t>
      </w:r>
      <w:proofErr w:type="spellStart"/>
      <w:r w:rsidRPr="00C644C3">
        <w:t>i</w:t>
      </w:r>
      <w:proofErr w:type="spellEnd"/>
      <w:r w:rsidRPr="00C644C3">
        <w:t xml:space="preserve">) lower accuracy of familiarity judgments in the aligned compared to misaligned condition; ii) slower reaction times for correct familiarity judgements in the aligned compared to the misaligned condition. In addition to the within-subjects comparisons described in Experiment 1, to examine the effects of priming we also compared BIS between-subjects of Experiments 1 and 2 using independent </w:t>
      </w:r>
      <w:r w:rsidRPr="00CF671E">
        <w:rPr>
          <w:i/>
          <w:iCs/>
        </w:rPr>
        <w:t>t</w:t>
      </w:r>
      <w:r w:rsidRPr="00C644C3">
        <w:t>-tests, incorporating Bayesian statistics.</w:t>
      </w:r>
    </w:p>
    <w:p w14:paraId="527FDF9D" w14:textId="45AF61AA" w:rsidR="009A0165" w:rsidRPr="00C644C3" w:rsidRDefault="009A0165" w:rsidP="009A0165">
      <w:pPr>
        <w:pStyle w:val="Heading3"/>
      </w:pPr>
      <w:bookmarkStart w:id="24" w:name="_Toc199406040"/>
      <w:r w:rsidRPr="00C644C3">
        <w:t>Results</w:t>
      </w:r>
      <w:bookmarkEnd w:id="24"/>
    </w:p>
    <w:p w14:paraId="0EB27303" w14:textId="77777777" w:rsidR="009A0165" w:rsidRPr="00C644C3" w:rsidRDefault="009A0165" w:rsidP="009A0165">
      <w:r w:rsidRPr="00C644C3">
        <w:t xml:space="preserve">To assess the effects of absent familiar face priming in the production of the CFE, a repeated-measures ANOVA was used to assess the effect of Composite (vertical, horizontal), and Alignment (aligned, misaligned) on accuracy and reaction time. The results of this analysis are shown in Figure 3.3. </w:t>
      </w:r>
    </w:p>
    <w:p w14:paraId="6EF2FFEC" w14:textId="77777777" w:rsidR="009A0165" w:rsidRPr="00C644C3" w:rsidRDefault="009A0165" w:rsidP="009A0165">
      <w:r w:rsidRPr="00C644C3">
        <w:rPr>
          <w:noProof/>
        </w:rPr>
        <w:lastRenderedPageBreak/>
        <w:drawing>
          <wp:inline distT="0" distB="0" distL="0" distR="0" wp14:anchorId="20DAE6DA" wp14:editId="08D6FC56">
            <wp:extent cx="5727700" cy="2067151"/>
            <wp:effectExtent l="0" t="0" r="6350" b="9525"/>
            <wp:docPr id="474841305" name="Picture 1" descr="A comparison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47518" name="Picture 1" descr="A comparison of a graph&#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27700" cy="2067151"/>
                    </a:xfrm>
                    <a:prstGeom prst="rect">
                      <a:avLst/>
                    </a:prstGeom>
                    <a:noFill/>
                    <a:ln>
                      <a:noFill/>
                    </a:ln>
                  </pic:spPr>
                </pic:pic>
              </a:graphicData>
            </a:graphic>
          </wp:inline>
        </w:drawing>
      </w:r>
    </w:p>
    <w:p w14:paraId="7B50E5A9" w14:textId="5C058988" w:rsidR="009A0165" w:rsidRPr="00C644C3" w:rsidRDefault="009A0165" w:rsidP="009A0165">
      <w:pPr>
        <w:pStyle w:val="Table"/>
      </w:pPr>
      <w:bookmarkStart w:id="25" w:name="_Toc198649256"/>
      <w:r w:rsidRPr="009A0165">
        <w:rPr>
          <w:i w:val="0"/>
          <w:iCs w:val="0"/>
        </w:rPr>
        <w:t>Figure 3.</w:t>
      </w:r>
      <w:r w:rsidRPr="00C644C3">
        <w:t xml:space="preserve"> Experiment 2 - (a) Lower accuracy and (b) slower reaction times were evident for aligned compared to misaligned composites. This effect was evident for both vertical and horizontal composites. Error bars represent Cousineau’s Y within-subject error values.</w:t>
      </w:r>
      <w:bookmarkEnd w:id="25"/>
    </w:p>
    <w:p w14:paraId="69877802" w14:textId="77777777" w:rsidR="009A0165" w:rsidRPr="00C644C3" w:rsidRDefault="009A0165" w:rsidP="009A0165">
      <w:r w:rsidRPr="00C644C3">
        <w:t>For accuracy (Figure 3.3a), there was a significant effect of Alignment [</w:t>
      </w:r>
      <w:proofErr w:type="gramStart"/>
      <w:r w:rsidRPr="00C644C3">
        <w:rPr>
          <w:i/>
          <w:iCs/>
        </w:rPr>
        <w:t>F</w:t>
      </w:r>
      <w:r w:rsidRPr="00C644C3">
        <w:t>(</w:t>
      </w:r>
      <w:proofErr w:type="gramEnd"/>
      <w:r w:rsidRPr="00C644C3">
        <w:t xml:space="preserve">1, 63) = 36.28, </w:t>
      </w:r>
      <w:r w:rsidRPr="00C644C3">
        <w:rPr>
          <w:i/>
          <w:iCs/>
        </w:rPr>
        <w:t>p</w:t>
      </w:r>
      <w:r w:rsidRPr="00C644C3">
        <w:t xml:space="preserve"> &lt; .001, </w:t>
      </w:r>
      <w:r w:rsidRPr="00C644C3">
        <w:rPr>
          <w:rStyle w:val="hgkelc"/>
          <w:i/>
          <w:iCs/>
        </w:rPr>
        <w:t>η</w:t>
      </w:r>
      <w:r w:rsidRPr="00C644C3">
        <w:rPr>
          <w:rStyle w:val="hgkelc"/>
          <w:i/>
          <w:iCs/>
          <w:vertAlign w:val="subscript"/>
        </w:rPr>
        <w:t>p</w:t>
      </w:r>
      <w:r w:rsidRPr="00C644C3">
        <w:rPr>
          <w:rStyle w:val="hgkelc"/>
          <w:i/>
          <w:iCs/>
          <w:vertAlign w:val="superscript"/>
        </w:rPr>
        <w:t>2</w:t>
      </w:r>
      <w:r w:rsidRPr="00C644C3">
        <w:t xml:space="preserve"> = 0.36], and Composite [</w:t>
      </w:r>
      <w:proofErr w:type="gramStart"/>
      <w:r w:rsidRPr="00C644C3">
        <w:rPr>
          <w:i/>
          <w:iCs/>
        </w:rPr>
        <w:t>F</w:t>
      </w:r>
      <w:r w:rsidRPr="00C644C3">
        <w:t>(</w:t>
      </w:r>
      <w:proofErr w:type="gramEnd"/>
      <w:r w:rsidRPr="00C644C3">
        <w:t xml:space="preserve">1, 63) = 4.26, </w:t>
      </w:r>
      <w:r w:rsidRPr="00C644C3">
        <w:rPr>
          <w:i/>
          <w:iCs/>
        </w:rPr>
        <w:t>p</w:t>
      </w:r>
      <w:r w:rsidRPr="00C644C3">
        <w:t xml:space="preserve"> = .043, </w:t>
      </w:r>
      <w:r w:rsidRPr="00C644C3">
        <w:rPr>
          <w:rStyle w:val="hgkelc"/>
          <w:i/>
          <w:iCs/>
        </w:rPr>
        <w:t>η</w:t>
      </w:r>
      <w:r w:rsidRPr="00C644C3">
        <w:rPr>
          <w:rStyle w:val="hgkelc"/>
          <w:i/>
          <w:iCs/>
          <w:vertAlign w:val="subscript"/>
        </w:rPr>
        <w:t>p</w:t>
      </w:r>
      <w:r w:rsidRPr="00C644C3">
        <w:rPr>
          <w:rStyle w:val="hgkelc"/>
          <w:i/>
          <w:iCs/>
          <w:vertAlign w:val="superscript"/>
        </w:rPr>
        <w:t>2</w:t>
      </w:r>
      <w:r w:rsidRPr="00C644C3">
        <w:t xml:space="preserve"> = 0.06], but no interaction between Alignment and Composite [</w:t>
      </w:r>
      <w:proofErr w:type="gramStart"/>
      <w:r w:rsidRPr="00C644C3">
        <w:rPr>
          <w:i/>
          <w:iCs/>
        </w:rPr>
        <w:t>F</w:t>
      </w:r>
      <w:r w:rsidRPr="00C644C3">
        <w:t>(</w:t>
      </w:r>
      <w:proofErr w:type="gramEnd"/>
      <w:r w:rsidRPr="00C644C3">
        <w:t xml:space="preserve">1, 63) = 3.79, </w:t>
      </w:r>
      <w:r w:rsidRPr="00C644C3">
        <w:rPr>
          <w:i/>
          <w:iCs/>
        </w:rPr>
        <w:t>p</w:t>
      </w:r>
      <w:r w:rsidRPr="00C644C3">
        <w:t xml:space="preserve"> = .056].</w:t>
      </w:r>
      <w:r w:rsidRPr="00C644C3">
        <w:rPr>
          <w:rFonts w:eastAsia="Times New Roman"/>
          <w:kern w:val="0"/>
          <w14:ligatures w14:val="none"/>
        </w:rPr>
        <w:t xml:space="preserve"> To assess our pre-registered hypotheses, planned comparisons</w:t>
      </w:r>
      <w:r w:rsidRPr="00C644C3">
        <w:t xml:space="preserve"> (paired sample </w:t>
      </w:r>
      <w:r w:rsidRPr="00C644C3">
        <w:rPr>
          <w:i/>
          <w:iCs/>
        </w:rPr>
        <w:t>t</w:t>
      </w:r>
      <w:r w:rsidRPr="00C644C3">
        <w:t xml:space="preserve">-tests) were conducted on the effect of alignment for each composite condition (Table 3.2). For vertical composites (Aligned </w:t>
      </w:r>
      <w:r w:rsidRPr="00C644C3">
        <w:rPr>
          <w:i/>
          <w:iCs/>
        </w:rPr>
        <w:t>M</w:t>
      </w:r>
      <w:r w:rsidRPr="00C644C3">
        <w:t xml:space="preserve"> = 89.3%, </w:t>
      </w:r>
      <w:r w:rsidRPr="00C644C3">
        <w:rPr>
          <w:i/>
          <w:iCs/>
        </w:rPr>
        <w:t xml:space="preserve">SD </w:t>
      </w:r>
      <w:r w:rsidRPr="00C644C3">
        <w:t xml:space="preserve">= 7.5; Misaligned </w:t>
      </w:r>
      <w:r w:rsidRPr="00C644C3">
        <w:rPr>
          <w:i/>
          <w:iCs/>
        </w:rPr>
        <w:t>M</w:t>
      </w:r>
      <w:r w:rsidRPr="00C644C3">
        <w:t xml:space="preserve"> = 91.5%, </w:t>
      </w:r>
      <w:r w:rsidRPr="00C644C3">
        <w:rPr>
          <w:i/>
          <w:iCs/>
        </w:rPr>
        <w:t xml:space="preserve">SD </w:t>
      </w:r>
      <w:r w:rsidRPr="00C644C3">
        <w:t xml:space="preserve">= 6.3) and horizontal composites (Aligned </w:t>
      </w:r>
      <w:r w:rsidRPr="00C644C3">
        <w:rPr>
          <w:i/>
          <w:iCs/>
        </w:rPr>
        <w:t>M</w:t>
      </w:r>
      <w:r w:rsidRPr="00C644C3">
        <w:t xml:space="preserve"> = 86.4%, </w:t>
      </w:r>
      <w:r w:rsidRPr="00C644C3">
        <w:rPr>
          <w:i/>
          <w:iCs/>
        </w:rPr>
        <w:t xml:space="preserve">SD </w:t>
      </w:r>
      <w:r w:rsidRPr="00C644C3">
        <w:t xml:space="preserve">= 7.8; Misaligned </w:t>
      </w:r>
      <w:r w:rsidRPr="00C644C3">
        <w:rPr>
          <w:i/>
          <w:iCs/>
        </w:rPr>
        <w:t>M</w:t>
      </w:r>
      <w:r w:rsidRPr="00C644C3">
        <w:t xml:space="preserve"> = 91.3%, </w:t>
      </w:r>
      <w:r w:rsidRPr="00C644C3">
        <w:rPr>
          <w:i/>
          <w:iCs/>
        </w:rPr>
        <w:t xml:space="preserve">SD </w:t>
      </w:r>
      <w:r w:rsidRPr="00C644C3">
        <w:t>= 5.9), aligned images were less accurately recognised than misaligned images.</w:t>
      </w:r>
    </w:p>
    <w:p w14:paraId="0D13C90F" w14:textId="77777777" w:rsidR="009A0165" w:rsidRDefault="009A0165" w:rsidP="009A0165">
      <w:r w:rsidRPr="00C644C3">
        <w:t>For reaction time (Figure 3.3b), the ANOVA only showed a significant effect for alignment [</w:t>
      </w:r>
      <w:proofErr w:type="gramStart"/>
      <w:r w:rsidRPr="00C644C3">
        <w:rPr>
          <w:i/>
          <w:iCs/>
        </w:rPr>
        <w:t>F</w:t>
      </w:r>
      <w:r w:rsidRPr="00C644C3">
        <w:t>(</w:t>
      </w:r>
      <w:proofErr w:type="gramEnd"/>
      <w:r w:rsidRPr="00C644C3">
        <w:t xml:space="preserve">1, 63) = 16.44, </w:t>
      </w:r>
      <w:r w:rsidRPr="00C644C3">
        <w:rPr>
          <w:i/>
          <w:iCs/>
        </w:rPr>
        <w:t>p</w:t>
      </w:r>
      <w:r w:rsidRPr="00C644C3">
        <w:t xml:space="preserve"> &lt; .001, </w:t>
      </w:r>
      <w:r w:rsidRPr="00C644C3">
        <w:rPr>
          <w:rStyle w:val="hgkelc"/>
          <w:i/>
          <w:iCs/>
        </w:rPr>
        <w:t>η</w:t>
      </w:r>
      <w:r w:rsidRPr="00C644C3">
        <w:rPr>
          <w:rStyle w:val="hgkelc"/>
          <w:i/>
          <w:iCs/>
          <w:vertAlign w:val="subscript"/>
        </w:rPr>
        <w:t>p</w:t>
      </w:r>
      <w:r w:rsidRPr="00C644C3">
        <w:rPr>
          <w:rStyle w:val="hgkelc"/>
          <w:i/>
          <w:iCs/>
          <w:vertAlign w:val="superscript"/>
        </w:rPr>
        <w:t>2</w:t>
      </w:r>
      <w:r w:rsidRPr="00C644C3">
        <w:t xml:space="preserve"> = 0.21]. There was no effect of composite [</w:t>
      </w:r>
      <w:proofErr w:type="gramStart"/>
      <w:r w:rsidRPr="00C644C3">
        <w:rPr>
          <w:i/>
          <w:iCs/>
        </w:rPr>
        <w:t>F</w:t>
      </w:r>
      <w:r w:rsidRPr="00C644C3">
        <w:t>(</w:t>
      </w:r>
      <w:proofErr w:type="gramEnd"/>
      <w:r w:rsidRPr="00C644C3">
        <w:t xml:space="preserve">1, 63) = 0.11, </w:t>
      </w:r>
      <w:r w:rsidRPr="00C644C3">
        <w:rPr>
          <w:i/>
          <w:iCs/>
        </w:rPr>
        <w:t>p</w:t>
      </w:r>
      <w:r w:rsidRPr="00C644C3">
        <w:t xml:space="preserve"> = .741], nor any interaction between alignment and composite [</w:t>
      </w:r>
      <w:proofErr w:type="gramStart"/>
      <w:r w:rsidRPr="00C644C3">
        <w:rPr>
          <w:i/>
          <w:iCs/>
        </w:rPr>
        <w:t>F</w:t>
      </w:r>
      <w:r w:rsidRPr="00C644C3">
        <w:t>(</w:t>
      </w:r>
      <w:proofErr w:type="gramEnd"/>
      <w:r w:rsidRPr="00C644C3">
        <w:t xml:space="preserve">1, 63) = 0.34, </w:t>
      </w:r>
      <w:r w:rsidRPr="00C644C3">
        <w:rPr>
          <w:i/>
          <w:iCs/>
        </w:rPr>
        <w:t>p</w:t>
      </w:r>
      <w:r w:rsidRPr="00C644C3">
        <w:t xml:space="preserve"> = .565]. </w:t>
      </w:r>
      <w:r w:rsidRPr="00C644C3">
        <w:rPr>
          <w:rFonts w:eastAsia="Times New Roman"/>
          <w:kern w:val="0"/>
          <w14:ligatures w14:val="none"/>
        </w:rPr>
        <w:t>To assess our pre-registered hypotheses, planned comparisons</w:t>
      </w:r>
      <w:r w:rsidRPr="00C644C3">
        <w:t xml:space="preserve"> (paired sample </w:t>
      </w:r>
      <w:r w:rsidRPr="00C644C3">
        <w:rPr>
          <w:i/>
          <w:iCs/>
        </w:rPr>
        <w:t>t</w:t>
      </w:r>
      <w:r w:rsidRPr="00C644C3">
        <w:t xml:space="preserve">-tests) were conducted on the effect of alignment for each composite condition (Table 3.2). For vertical composites (Aligned </w:t>
      </w:r>
      <w:r w:rsidRPr="00C644C3">
        <w:rPr>
          <w:i/>
          <w:iCs/>
        </w:rPr>
        <w:t>M</w:t>
      </w:r>
      <w:r w:rsidRPr="00C644C3">
        <w:t xml:space="preserve"> = 0.97s, </w:t>
      </w:r>
      <w:r w:rsidRPr="00C644C3">
        <w:rPr>
          <w:i/>
          <w:iCs/>
        </w:rPr>
        <w:t xml:space="preserve">SD </w:t>
      </w:r>
      <w:r w:rsidRPr="00C644C3">
        <w:t xml:space="preserve">= 0.27; Misaligned </w:t>
      </w:r>
      <w:r w:rsidRPr="00C644C3">
        <w:rPr>
          <w:i/>
          <w:iCs/>
        </w:rPr>
        <w:t>M</w:t>
      </w:r>
      <w:r w:rsidRPr="00C644C3">
        <w:t xml:space="preserve"> = 0.93s, </w:t>
      </w:r>
      <w:r w:rsidRPr="00C644C3">
        <w:rPr>
          <w:i/>
          <w:iCs/>
        </w:rPr>
        <w:t xml:space="preserve">SD </w:t>
      </w:r>
      <w:r w:rsidRPr="00C644C3">
        <w:t xml:space="preserve">= 0.23) and horizontal composites (Aligned </w:t>
      </w:r>
      <w:r w:rsidRPr="00C644C3">
        <w:rPr>
          <w:i/>
          <w:iCs/>
        </w:rPr>
        <w:t>M</w:t>
      </w:r>
      <w:r w:rsidRPr="00C644C3">
        <w:t xml:space="preserve"> = 0.95s, </w:t>
      </w:r>
      <w:r w:rsidRPr="00C644C3">
        <w:rPr>
          <w:i/>
          <w:iCs/>
        </w:rPr>
        <w:t xml:space="preserve">SD </w:t>
      </w:r>
      <w:r w:rsidRPr="00C644C3">
        <w:t xml:space="preserve">= 0.27; Misaligned </w:t>
      </w:r>
      <w:r w:rsidRPr="00C644C3">
        <w:rPr>
          <w:i/>
          <w:iCs/>
        </w:rPr>
        <w:t>M</w:t>
      </w:r>
      <w:r w:rsidRPr="00C644C3">
        <w:t xml:space="preserve"> = 0.92s, </w:t>
      </w:r>
      <w:r w:rsidRPr="00C644C3">
        <w:rPr>
          <w:i/>
          <w:iCs/>
        </w:rPr>
        <w:t xml:space="preserve">SD </w:t>
      </w:r>
      <w:r w:rsidRPr="00C644C3">
        <w:t>= 0.26), there was a slower reaction time for aligned images compared to misaligned images.</w:t>
      </w:r>
    </w:p>
    <w:p w14:paraId="100044DD" w14:textId="77777777" w:rsidR="00EE62F1" w:rsidRDefault="00EE62F1" w:rsidP="009A0165"/>
    <w:p w14:paraId="487C900F" w14:textId="77777777" w:rsidR="00EE62F1" w:rsidRDefault="00EE62F1" w:rsidP="009A0165"/>
    <w:p w14:paraId="3EA93EDE" w14:textId="77777777" w:rsidR="00EE62F1" w:rsidRDefault="00EE62F1" w:rsidP="009A0165"/>
    <w:p w14:paraId="4F22388F" w14:textId="77777777" w:rsidR="00EE62F1" w:rsidRPr="00C644C3" w:rsidRDefault="00EE62F1" w:rsidP="009A0165"/>
    <w:p w14:paraId="4B15003E" w14:textId="26A1BCEB" w:rsidR="009A0165" w:rsidRPr="009A0165" w:rsidRDefault="009A0165" w:rsidP="009A0165">
      <w:pPr>
        <w:rPr>
          <w:i/>
          <w:iCs/>
        </w:rPr>
      </w:pPr>
      <w:bookmarkStart w:id="26" w:name="_Toc199406142"/>
      <w:r w:rsidRPr="00C644C3">
        <w:lastRenderedPageBreak/>
        <w:t xml:space="preserve">Table 2. </w:t>
      </w:r>
      <w:r w:rsidRPr="009A0165">
        <w:rPr>
          <w:i/>
          <w:iCs/>
        </w:rPr>
        <w:t>Statistical differences in accuracy and reaction time for aligned &gt; misaligned conditions of the vertical and horizontal composite faces in Experiment 2.</w:t>
      </w:r>
      <w:bookmarkEnd w:id="26"/>
      <w:r w:rsidRPr="009A0165">
        <w:rPr>
          <w:i/>
          <w:iCs/>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2232"/>
        <w:gridCol w:w="1209"/>
        <w:gridCol w:w="913"/>
        <w:gridCol w:w="1135"/>
        <w:gridCol w:w="1274"/>
        <w:gridCol w:w="1513"/>
      </w:tblGrid>
      <w:tr w:rsidR="009A0165" w:rsidRPr="00C644C3" w14:paraId="7276A14F" w14:textId="77777777" w:rsidTr="00731391">
        <w:trPr>
          <w:trHeight w:val="284"/>
        </w:trPr>
        <w:tc>
          <w:tcPr>
            <w:tcW w:w="1651" w:type="pct"/>
            <w:gridSpan w:val="2"/>
            <w:tcBorders>
              <w:top w:val="single" w:sz="4" w:space="0" w:color="auto"/>
              <w:bottom w:val="single" w:sz="4" w:space="0" w:color="auto"/>
            </w:tcBorders>
            <w:vAlign w:val="center"/>
          </w:tcPr>
          <w:p w14:paraId="7FB72269" w14:textId="77777777" w:rsidR="009A0165" w:rsidRPr="00C644C3" w:rsidRDefault="009A0165" w:rsidP="009A0165"/>
        </w:tc>
        <w:tc>
          <w:tcPr>
            <w:tcW w:w="670" w:type="pct"/>
            <w:tcBorders>
              <w:top w:val="single" w:sz="4" w:space="0" w:color="auto"/>
              <w:bottom w:val="single" w:sz="4" w:space="0" w:color="auto"/>
            </w:tcBorders>
            <w:vAlign w:val="center"/>
          </w:tcPr>
          <w:p w14:paraId="2FB018D2" w14:textId="77777777" w:rsidR="009A0165" w:rsidRPr="00C644C3" w:rsidRDefault="009A0165" w:rsidP="009A0165">
            <w:proofErr w:type="spellStart"/>
            <w:r w:rsidRPr="00C644C3">
              <w:t>df</w:t>
            </w:r>
            <w:proofErr w:type="spellEnd"/>
          </w:p>
        </w:tc>
        <w:tc>
          <w:tcPr>
            <w:tcW w:w="506" w:type="pct"/>
            <w:tcBorders>
              <w:top w:val="single" w:sz="4" w:space="0" w:color="auto"/>
              <w:bottom w:val="single" w:sz="4" w:space="0" w:color="auto"/>
            </w:tcBorders>
            <w:vAlign w:val="center"/>
          </w:tcPr>
          <w:p w14:paraId="11B501BD" w14:textId="77777777" w:rsidR="009A0165" w:rsidRPr="00C644C3" w:rsidRDefault="009A0165" w:rsidP="009A0165">
            <w:r w:rsidRPr="00C644C3">
              <w:t>t</w:t>
            </w:r>
          </w:p>
        </w:tc>
        <w:tc>
          <w:tcPr>
            <w:tcW w:w="629" w:type="pct"/>
            <w:tcBorders>
              <w:top w:val="single" w:sz="4" w:space="0" w:color="auto"/>
              <w:bottom w:val="single" w:sz="4" w:space="0" w:color="auto"/>
            </w:tcBorders>
            <w:vAlign w:val="center"/>
          </w:tcPr>
          <w:p w14:paraId="68107424" w14:textId="77777777" w:rsidR="009A0165" w:rsidRPr="00C644C3" w:rsidRDefault="009A0165" w:rsidP="009A0165">
            <w:r w:rsidRPr="00C644C3">
              <w:t>p</w:t>
            </w:r>
          </w:p>
        </w:tc>
        <w:tc>
          <w:tcPr>
            <w:tcW w:w="706" w:type="pct"/>
            <w:tcBorders>
              <w:top w:val="single" w:sz="4" w:space="0" w:color="auto"/>
              <w:bottom w:val="single" w:sz="4" w:space="0" w:color="auto"/>
            </w:tcBorders>
            <w:vAlign w:val="center"/>
          </w:tcPr>
          <w:p w14:paraId="5A448A07" w14:textId="77777777" w:rsidR="009A0165" w:rsidRPr="00C644C3" w:rsidRDefault="009A0165" w:rsidP="009A0165">
            <w:proofErr w:type="spellStart"/>
            <w:r w:rsidRPr="00C644C3">
              <w:t>d</w:t>
            </w:r>
            <w:r w:rsidRPr="00C644C3">
              <w:rPr>
                <w:vertAlign w:val="subscript"/>
              </w:rPr>
              <w:t>avg</w:t>
            </w:r>
            <w:proofErr w:type="spellEnd"/>
          </w:p>
        </w:tc>
        <w:tc>
          <w:tcPr>
            <w:tcW w:w="838" w:type="pct"/>
            <w:tcBorders>
              <w:top w:val="single" w:sz="4" w:space="0" w:color="auto"/>
              <w:bottom w:val="single" w:sz="4" w:space="0" w:color="auto"/>
            </w:tcBorders>
          </w:tcPr>
          <w:p w14:paraId="12701F8A" w14:textId="77777777" w:rsidR="009A0165" w:rsidRPr="00C644C3" w:rsidRDefault="009A0165" w:rsidP="009A0165">
            <w:r w:rsidRPr="00C644C3">
              <w:t>BF</w:t>
            </w:r>
            <w:r w:rsidRPr="00C644C3">
              <w:rPr>
                <w:vertAlign w:val="subscript"/>
              </w:rPr>
              <w:t>10</w:t>
            </w:r>
          </w:p>
        </w:tc>
      </w:tr>
      <w:tr w:rsidR="009A0165" w:rsidRPr="00C644C3" w14:paraId="4E929F66" w14:textId="77777777" w:rsidTr="00731391">
        <w:trPr>
          <w:trHeight w:val="284"/>
        </w:trPr>
        <w:tc>
          <w:tcPr>
            <w:tcW w:w="1651" w:type="pct"/>
            <w:gridSpan w:val="2"/>
            <w:tcBorders>
              <w:top w:val="single" w:sz="4" w:space="0" w:color="auto"/>
            </w:tcBorders>
            <w:vAlign w:val="center"/>
          </w:tcPr>
          <w:p w14:paraId="4C174C09" w14:textId="77777777" w:rsidR="009A0165" w:rsidRPr="00C644C3" w:rsidRDefault="009A0165" w:rsidP="009A0165">
            <w:r w:rsidRPr="00C644C3">
              <w:t xml:space="preserve">Accuracy </w:t>
            </w:r>
          </w:p>
        </w:tc>
        <w:tc>
          <w:tcPr>
            <w:tcW w:w="670" w:type="pct"/>
            <w:tcBorders>
              <w:top w:val="single" w:sz="4" w:space="0" w:color="auto"/>
            </w:tcBorders>
            <w:vAlign w:val="center"/>
          </w:tcPr>
          <w:p w14:paraId="34CCC452" w14:textId="77777777" w:rsidR="009A0165" w:rsidRPr="00C644C3" w:rsidRDefault="009A0165" w:rsidP="009A0165"/>
        </w:tc>
        <w:tc>
          <w:tcPr>
            <w:tcW w:w="506" w:type="pct"/>
            <w:tcBorders>
              <w:top w:val="single" w:sz="4" w:space="0" w:color="auto"/>
            </w:tcBorders>
            <w:vAlign w:val="center"/>
          </w:tcPr>
          <w:p w14:paraId="2E944978" w14:textId="77777777" w:rsidR="009A0165" w:rsidRPr="00C644C3" w:rsidRDefault="009A0165" w:rsidP="009A0165"/>
        </w:tc>
        <w:tc>
          <w:tcPr>
            <w:tcW w:w="629" w:type="pct"/>
            <w:tcBorders>
              <w:top w:val="single" w:sz="4" w:space="0" w:color="auto"/>
            </w:tcBorders>
            <w:vAlign w:val="center"/>
          </w:tcPr>
          <w:p w14:paraId="09D3459B" w14:textId="77777777" w:rsidR="009A0165" w:rsidRPr="00C644C3" w:rsidRDefault="009A0165" w:rsidP="009A0165"/>
        </w:tc>
        <w:tc>
          <w:tcPr>
            <w:tcW w:w="706" w:type="pct"/>
            <w:tcBorders>
              <w:top w:val="single" w:sz="4" w:space="0" w:color="auto"/>
            </w:tcBorders>
            <w:vAlign w:val="center"/>
          </w:tcPr>
          <w:p w14:paraId="092209F4" w14:textId="77777777" w:rsidR="009A0165" w:rsidRPr="00C644C3" w:rsidRDefault="009A0165" w:rsidP="009A0165"/>
        </w:tc>
        <w:tc>
          <w:tcPr>
            <w:tcW w:w="838" w:type="pct"/>
            <w:tcBorders>
              <w:top w:val="single" w:sz="4" w:space="0" w:color="auto"/>
            </w:tcBorders>
          </w:tcPr>
          <w:p w14:paraId="79E4836B" w14:textId="77777777" w:rsidR="009A0165" w:rsidRPr="00C644C3" w:rsidRDefault="009A0165" w:rsidP="009A0165"/>
        </w:tc>
      </w:tr>
      <w:tr w:rsidR="009A0165" w:rsidRPr="00C644C3" w14:paraId="3DC7BE0A" w14:textId="77777777" w:rsidTr="00731391">
        <w:trPr>
          <w:trHeight w:val="284"/>
        </w:trPr>
        <w:tc>
          <w:tcPr>
            <w:tcW w:w="415" w:type="pct"/>
            <w:vAlign w:val="center"/>
          </w:tcPr>
          <w:p w14:paraId="69F9EBE3" w14:textId="77777777" w:rsidR="009A0165" w:rsidRPr="00C644C3" w:rsidRDefault="009A0165" w:rsidP="009A0165"/>
        </w:tc>
        <w:tc>
          <w:tcPr>
            <w:tcW w:w="1236" w:type="pct"/>
            <w:vAlign w:val="center"/>
          </w:tcPr>
          <w:p w14:paraId="33DB4985" w14:textId="77777777" w:rsidR="009A0165" w:rsidRPr="00C644C3" w:rsidRDefault="009A0165" w:rsidP="009A0165">
            <w:r w:rsidRPr="00C644C3">
              <w:t>Vertical composite</w:t>
            </w:r>
          </w:p>
        </w:tc>
        <w:tc>
          <w:tcPr>
            <w:tcW w:w="670" w:type="pct"/>
            <w:vAlign w:val="center"/>
          </w:tcPr>
          <w:p w14:paraId="7EA035ED" w14:textId="77777777" w:rsidR="009A0165" w:rsidRPr="00C644C3" w:rsidRDefault="009A0165" w:rsidP="009A0165">
            <w:r w:rsidRPr="00C644C3">
              <w:t>63</w:t>
            </w:r>
          </w:p>
        </w:tc>
        <w:tc>
          <w:tcPr>
            <w:tcW w:w="506" w:type="pct"/>
            <w:vAlign w:val="center"/>
          </w:tcPr>
          <w:p w14:paraId="6341B14B" w14:textId="77777777" w:rsidR="009A0165" w:rsidRPr="00C644C3" w:rsidRDefault="009A0165" w:rsidP="009A0165">
            <w:r w:rsidRPr="00C644C3">
              <w:t>2.63</w:t>
            </w:r>
          </w:p>
        </w:tc>
        <w:tc>
          <w:tcPr>
            <w:tcW w:w="629" w:type="pct"/>
            <w:vAlign w:val="center"/>
          </w:tcPr>
          <w:p w14:paraId="6A3B6F2C" w14:textId="77777777" w:rsidR="009A0165" w:rsidRPr="00C644C3" w:rsidRDefault="009A0165" w:rsidP="009A0165">
            <w:r w:rsidRPr="00C644C3">
              <w:t>.011</w:t>
            </w:r>
          </w:p>
        </w:tc>
        <w:tc>
          <w:tcPr>
            <w:tcW w:w="706" w:type="pct"/>
            <w:vAlign w:val="center"/>
          </w:tcPr>
          <w:p w14:paraId="0524DE87" w14:textId="77777777" w:rsidR="009A0165" w:rsidRPr="00C644C3" w:rsidRDefault="009A0165" w:rsidP="009A0165">
            <w:r w:rsidRPr="00C644C3">
              <w:t>0.33</w:t>
            </w:r>
          </w:p>
        </w:tc>
        <w:tc>
          <w:tcPr>
            <w:tcW w:w="838" w:type="pct"/>
          </w:tcPr>
          <w:p w14:paraId="727997F6" w14:textId="77777777" w:rsidR="009A0165" w:rsidRPr="00C644C3" w:rsidRDefault="009A0165" w:rsidP="009A0165">
            <w:r w:rsidRPr="00C644C3">
              <w:t>6.37</w:t>
            </w:r>
          </w:p>
        </w:tc>
      </w:tr>
      <w:tr w:rsidR="009A0165" w:rsidRPr="00C644C3" w14:paraId="17A08F7D" w14:textId="77777777" w:rsidTr="00731391">
        <w:trPr>
          <w:trHeight w:val="284"/>
        </w:trPr>
        <w:tc>
          <w:tcPr>
            <w:tcW w:w="415" w:type="pct"/>
            <w:vAlign w:val="center"/>
          </w:tcPr>
          <w:p w14:paraId="32D26145" w14:textId="77777777" w:rsidR="009A0165" w:rsidRPr="00C644C3" w:rsidRDefault="009A0165" w:rsidP="009A0165"/>
        </w:tc>
        <w:tc>
          <w:tcPr>
            <w:tcW w:w="1236" w:type="pct"/>
            <w:vAlign w:val="center"/>
          </w:tcPr>
          <w:p w14:paraId="4BEA7386" w14:textId="77777777" w:rsidR="009A0165" w:rsidRPr="00C644C3" w:rsidRDefault="009A0165" w:rsidP="009A0165">
            <w:r w:rsidRPr="00C644C3">
              <w:t>Horizontal composite</w:t>
            </w:r>
          </w:p>
        </w:tc>
        <w:tc>
          <w:tcPr>
            <w:tcW w:w="670" w:type="pct"/>
            <w:vAlign w:val="center"/>
          </w:tcPr>
          <w:p w14:paraId="7C5EC540" w14:textId="77777777" w:rsidR="009A0165" w:rsidRPr="00C644C3" w:rsidRDefault="009A0165" w:rsidP="009A0165">
            <w:r w:rsidRPr="00C644C3">
              <w:t>63</w:t>
            </w:r>
          </w:p>
        </w:tc>
        <w:tc>
          <w:tcPr>
            <w:tcW w:w="506" w:type="pct"/>
            <w:vAlign w:val="center"/>
          </w:tcPr>
          <w:p w14:paraId="5AC225D4" w14:textId="77777777" w:rsidR="009A0165" w:rsidRPr="00C644C3" w:rsidRDefault="009A0165" w:rsidP="009A0165">
            <w:r w:rsidRPr="00C644C3">
              <w:t>5.29</w:t>
            </w:r>
          </w:p>
        </w:tc>
        <w:tc>
          <w:tcPr>
            <w:tcW w:w="629" w:type="pct"/>
            <w:vAlign w:val="center"/>
          </w:tcPr>
          <w:p w14:paraId="65322056" w14:textId="77777777" w:rsidR="009A0165" w:rsidRPr="00C644C3" w:rsidRDefault="009A0165" w:rsidP="009A0165">
            <w:r w:rsidRPr="00C644C3">
              <w:t>&lt;.001</w:t>
            </w:r>
          </w:p>
        </w:tc>
        <w:tc>
          <w:tcPr>
            <w:tcW w:w="706" w:type="pct"/>
            <w:vAlign w:val="center"/>
          </w:tcPr>
          <w:p w14:paraId="4F0F79C7" w14:textId="77777777" w:rsidR="009A0165" w:rsidRPr="00C644C3" w:rsidRDefault="009A0165" w:rsidP="009A0165">
            <w:r w:rsidRPr="00C644C3">
              <w:t>0.70</w:t>
            </w:r>
          </w:p>
        </w:tc>
        <w:tc>
          <w:tcPr>
            <w:tcW w:w="838" w:type="pct"/>
          </w:tcPr>
          <w:p w14:paraId="1FBFAEC5" w14:textId="77777777" w:rsidR="009A0165" w:rsidRPr="00C644C3" w:rsidRDefault="009A0165" w:rsidP="009A0165">
            <w:r w:rsidRPr="00C644C3">
              <w:t>&gt;100</w:t>
            </w:r>
          </w:p>
        </w:tc>
      </w:tr>
      <w:tr w:rsidR="009A0165" w:rsidRPr="00C644C3" w14:paraId="0A612A04" w14:textId="77777777" w:rsidTr="00731391">
        <w:trPr>
          <w:trHeight w:val="284"/>
        </w:trPr>
        <w:tc>
          <w:tcPr>
            <w:tcW w:w="1651" w:type="pct"/>
            <w:gridSpan w:val="2"/>
            <w:vAlign w:val="center"/>
          </w:tcPr>
          <w:p w14:paraId="05AD72AC" w14:textId="77777777" w:rsidR="009A0165" w:rsidRPr="00C644C3" w:rsidRDefault="009A0165" w:rsidP="009A0165">
            <w:r w:rsidRPr="00C644C3">
              <w:t xml:space="preserve">Reaction Time </w:t>
            </w:r>
          </w:p>
        </w:tc>
        <w:tc>
          <w:tcPr>
            <w:tcW w:w="670" w:type="pct"/>
            <w:vAlign w:val="center"/>
          </w:tcPr>
          <w:p w14:paraId="6A14F62A" w14:textId="77777777" w:rsidR="009A0165" w:rsidRPr="00C644C3" w:rsidRDefault="009A0165" w:rsidP="009A0165"/>
        </w:tc>
        <w:tc>
          <w:tcPr>
            <w:tcW w:w="506" w:type="pct"/>
            <w:vAlign w:val="center"/>
          </w:tcPr>
          <w:p w14:paraId="4134A69D" w14:textId="77777777" w:rsidR="009A0165" w:rsidRPr="00C644C3" w:rsidRDefault="009A0165" w:rsidP="009A0165"/>
        </w:tc>
        <w:tc>
          <w:tcPr>
            <w:tcW w:w="629" w:type="pct"/>
            <w:vAlign w:val="center"/>
          </w:tcPr>
          <w:p w14:paraId="1BE8AA75" w14:textId="77777777" w:rsidR="009A0165" w:rsidRPr="00C644C3" w:rsidRDefault="009A0165" w:rsidP="009A0165"/>
        </w:tc>
        <w:tc>
          <w:tcPr>
            <w:tcW w:w="706" w:type="pct"/>
            <w:vAlign w:val="center"/>
          </w:tcPr>
          <w:p w14:paraId="47E000AD" w14:textId="77777777" w:rsidR="009A0165" w:rsidRPr="00C644C3" w:rsidRDefault="009A0165" w:rsidP="009A0165"/>
        </w:tc>
        <w:tc>
          <w:tcPr>
            <w:tcW w:w="838" w:type="pct"/>
          </w:tcPr>
          <w:p w14:paraId="7786D332" w14:textId="77777777" w:rsidR="009A0165" w:rsidRPr="00C644C3" w:rsidRDefault="009A0165" w:rsidP="009A0165"/>
        </w:tc>
      </w:tr>
      <w:tr w:rsidR="009A0165" w:rsidRPr="00C644C3" w14:paraId="6C2E52D1" w14:textId="77777777" w:rsidTr="00731391">
        <w:trPr>
          <w:trHeight w:val="284"/>
        </w:trPr>
        <w:tc>
          <w:tcPr>
            <w:tcW w:w="415" w:type="pct"/>
            <w:vAlign w:val="center"/>
          </w:tcPr>
          <w:p w14:paraId="4C9590E0" w14:textId="77777777" w:rsidR="009A0165" w:rsidRPr="00C644C3" w:rsidRDefault="009A0165" w:rsidP="009A0165"/>
        </w:tc>
        <w:tc>
          <w:tcPr>
            <w:tcW w:w="1236" w:type="pct"/>
            <w:vAlign w:val="center"/>
          </w:tcPr>
          <w:p w14:paraId="20E3CEC6" w14:textId="77777777" w:rsidR="009A0165" w:rsidRPr="00C644C3" w:rsidRDefault="009A0165" w:rsidP="009A0165">
            <w:r w:rsidRPr="00C644C3">
              <w:t>Vertical composite</w:t>
            </w:r>
          </w:p>
        </w:tc>
        <w:tc>
          <w:tcPr>
            <w:tcW w:w="670" w:type="pct"/>
            <w:vAlign w:val="center"/>
          </w:tcPr>
          <w:p w14:paraId="5E803CE6" w14:textId="77777777" w:rsidR="009A0165" w:rsidRPr="00C644C3" w:rsidRDefault="009A0165" w:rsidP="009A0165">
            <w:r w:rsidRPr="00C644C3">
              <w:t>63</w:t>
            </w:r>
          </w:p>
        </w:tc>
        <w:tc>
          <w:tcPr>
            <w:tcW w:w="506" w:type="pct"/>
            <w:vAlign w:val="center"/>
          </w:tcPr>
          <w:p w14:paraId="78AD1B84" w14:textId="77777777" w:rsidR="009A0165" w:rsidRPr="00C644C3" w:rsidRDefault="009A0165" w:rsidP="009A0165">
            <w:r w:rsidRPr="00C644C3">
              <w:t>3.59</w:t>
            </w:r>
          </w:p>
        </w:tc>
        <w:tc>
          <w:tcPr>
            <w:tcW w:w="629" w:type="pct"/>
            <w:vAlign w:val="center"/>
          </w:tcPr>
          <w:p w14:paraId="2405A099" w14:textId="77777777" w:rsidR="009A0165" w:rsidRPr="00C644C3" w:rsidRDefault="009A0165" w:rsidP="009A0165">
            <w:r w:rsidRPr="00C644C3">
              <w:t>&lt;.001</w:t>
            </w:r>
          </w:p>
        </w:tc>
        <w:tc>
          <w:tcPr>
            <w:tcW w:w="706" w:type="pct"/>
            <w:vAlign w:val="center"/>
          </w:tcPr>
          <w:p w14:paraId="06EEDAFD" w14:textId="77777777" w:rsidR="009A0165" w:rsidRPr="00C644C3" w:rsidRDefault="009A0165" w:rsidP="009A0165">
            <w:r w:rsidRPr="00C644C3">
              <w:t>0.15</w:t>
            </w:r>
          </w:p>
        </w:tc>
        <w:tc>
          <w:tcPr>
            <w:tcW w:w="838" w:type="pct"/>
          </w:tcPr>
          <w:p w14:paraId="1453C161" w14:textId="77777777" w:rsidR="009A0165" w:rsidRPr="00C644C3" w:rsidRDefault="009A0165" w:rsidP="009A0165">
            <w:r w:rsidRPr="00C644C3">
              <w:t>77.97</w:t>
            </w:r>
          </w:p>
        </w:tc>
      </w:tr>
      <w:tr w:rsidR="009A0165" w:rsidRPr="00C644C3" w14:paraId="2495DF21" w14:textId="77777777" w:rsidTr="00731391">
        <w:trPr>
          <w:trHeight w:val="284"/>
        </w:trPr>
        <w:tc>
          <w:tcPr>
            <w:tcW w:w="415" w:type="pct"/>
            <w:vAlign w:val="center"/>
          </w:tcPr>
          <w:p w14:paraId="482C1F0D" w14:textId="77777777" w:rsidR="009A0165" w:rsidRPr="00C644C3" w:rsidRDefault="009A0165" w:rsidP="009A0165"/>
        </w:tc>
        <w:tc>
          <w:tcPr>
            <w:tcW w:w="1236" w:type="pct"/>
            <w:vAlign w:val="center"/>
          </w:tcPr>
          <w:p w14:paraId="5FB00AC4" w14:textId="77777777" w:rsidR="009A0165" w:rsidRPr="00C644C3" w:rsidRDefault="009A0165" w:rsidP="009A0165">
            <w:r w:rsidRPr="00C644C3">
              <w:t>Horizontal composite</w:t>
            </w:r>
          </w:p>
        </w:tc>
        <w:tc>
          <w:tcPr>
            <w:tcW w:w="670" w:type="pct"/>
            <w:vAlign w:val="center"/>
          </w:tcPr>
          <w:p w14:paraId="7F99E142" w14:textId="77777777" w:rsidR="009A0165" w:rsidRPr="00C644C3" w:rsidRDefault="009A0165" w:rsidP="009A0165">
            <w:r w:rsidRPr="00C644C3">
              <w:t>63</w:t>
            </w:r>
          </w:p>
        </w:tc>
        <w:tc>
          <w:tcPr>
            <w:tcW w:w="506" w:type="pct"/>
            <w:vAlign w:val="center"/>
          </w:tcPr>
          <w:p w14:paraId="4D639BEF" w14:textId="77777777" w:rsidR="009A0165" w:rsidRPr="00C644C3" w:rsidRDefault="009A0165" w:rsidP="009A0165">
            <w:r w:rsidRPr="00C644C3">
              <w:t>2.37</w:t>
            </w:r>
          </w:p>
        </w:tc>
        <w:tc>
          <w:tcPr>
            <w:tcW w:w="629" w:type="pct"/>
            <w:vAlign w:val="center"/>
          </w:tcPr>
          <w:p w14:paraId="0161FC84" w14:textId="77777777" w:rsidR="009A0165" w:rsidRPr="00C644C3" w:rsidRDefault="009A0165" w:rsidP="009A0165">
            <w:r w:rsidRPr="00C644C3">
              <w:t>.011</w:t>
            </w:r>
          </w:p>
        </w:tc>
        <w:tc>
          <w:tcPr>
            <w:tcW w:w="706" w:type="pct"/>
            <w:vAlign w:val="center"/>
          </w:tcPr>
          <w:p w14:paraId="2720FB84" w14:textId="77777777" w:rsidR="009A0165" w:rsidRPr="00C644C3" w:rsidRDefault="009A0165" w:rsidP="009A0165">
            <w:r w:rsidRPr="00C644C3">
              <w:t>0.10</w:t>
            </w:r>
          </w:p>
        </w:tc>
        <w:tc>
          <w:tcPr>
            <w:tcW w:w="838" w:type="pct"/>
          </w:tcPr>
          <w:p w14:paraId="375DCD33" w14:textId="77777777" w:rsidR="009A0165" w:rsidRPr="00C644C3" w:rsidRDefault="009A0165" w:rsidP="009A0165">
            <w:r w:rsidRPr="00C644C3">
              <w:t>3.64</w:t>
            </w:r>
          </w:p>
        </w:tc>
      </w:tr>
    </w:tbl>
    <w:p w14:paraId="249DBC9F" w14:textId="77777777" w:rsidR="009A0165" w:rsidRPr="00C644C3" w:rsidRDefault="009A0165" w:rsidP="009A0165"/>
    <w:p w14:paraId="5259EC1D" w14:textId="718F9B6E" w:rsidR="009A0165" w:rsidRPr="00C644C3" w:rsidRDefault="009A0165" w:rsidP="009A0165">
      <w:r w:rsidRPr="00C644C3">
        <w:t>As described in Experiment 1, accuracy and reaction time measures were also integrated into BIS. These showed the same effects of alignment as reported for non-integrated measures (</w:t>
      </w:r>
      <w:r w:rsidRPr="00C644C3">
        <w:rPr>
          <w:i/>
          <w:iCs/>
        </w:rPr>
        <w:t xml:space="preserve">p </w:t>
      </w:r>
      <w:r w:rsidRPr="00C644C3">
        <w:t>&lt;</w:t>
      </w:r>
      <w:r w:rsidRPr="00C644C3">
        <w:rPr>
          <w:i/>
          <w:iCs/>
        </w:rPr>
        <w:t xml:space="preserve"> </w:t>
      </w:r>
      <w:r w:rsidRPr="00C644C3">
        <w:t xml:space="preserve">.001). Descriptive statistics and results for this comparison are reported in </w:t>
      </w:r>
      <w:r w:rsidR="006F1FB4">
        <w:t>Suppl.</w:t>
      </w:r>
      <w:r w:rsidRPr="00C644C3">
        <w:t xml:space="preserve"> Tables </w:t>
      </w:r>
      <w:r w:rsidR="006F1FB4">
        <w:t>3</w:t>
      </w:r>
      <w:r w:rsidRPr="00C644C3">
        <w:t xml:space="preserve"> &amp; </w:t>
      </w:r>
      <w:r w:rsidR="006F1FB4">
        <w:t>4</w:t>
      </w:r>
      <w:r w:rsidRPr="00C644C3">
        <w:t>. BIS were again used to provide a comparison of CFE size between vertical and horizontal composites with standard and Bayesian statistics. This comparison showed that the size of the CFE for BIS was not significantly different between vertical (</w:t>
      </w:r>
      <w:r w:rsidRPr="00C644C3">
        <w:rPr>
          <w:i/>
          <w:iCs/>
        </w:rPr>
        <w:t>M</w:t>
      </w:r>
      <w:r w:rsidRPr="00C644C3">
        <w:t xml:space="preserve"> = 0.47, </w:t>
      </w:r>
      <w:r w:rsidRPr="00C644C3">
        <w:rPr>
          <w:i/>
          <w:iCs/>
        </w:rPr>
        <w:t>SD</w:t>
      </w:r>
      <w:r w:rsidRPr="00C644C3">
        <w:t xml:space="preserve"> = 0.99) and horizontal (</w:t>
      </w:r>
      <w:r w:rsidRPr="00C644C3">
        <w:rPr>
          <w:i/>
          <w:iCs/>
        </w:rPr>
        <w:t>M</w:t>
      </w:r>
      <w:r w:rsidRPr="00C644C3">
        <w:t xml:space="preserve"> = 0.78, </w:t>
      </w:r>
      <w:r w:rsidRPr="00C644C3">
        <w:rPr>
          <w:i/>
          <w:iCs/>
        </w:rPr>
        <w:t>SD</w:t>
      </w:r>
      <w:r w:rsidRPr="00C644C3">
        <w:t xml:space="preserve"> = 1.15) composites </w:t>
      </w:r>
      <w:r w:rsidRPr="00C644C3">
        <w:rPr>
          <w:rFonts w:eastAsia="Times New Roman"/>
          <w:kern w:val="0"/>
          <w14:ligatures w14:val="none"/>
        </w:rPr>
        <w:t>[</w:t>
      </w:r>
      <w:proofErr w:type="gramStart"/>
      <w:r w:rsidRPr="00C644C3">
        <w:rPr>
          <w:rFonts w:eastAsia="Times New Roman"/>
          <w:i/>
          <w:iCs/>
          <w:kern w:val="0"/>
          <w14:ligatures w14:val="none"/>
        </w:rPr>
        <w:t>t</w:t>
      </w:r>
      <w:r w:rsidRPr="00C644C3">
        <w:rPr>
          <w:rFonts w:eastAsia="Times New Roman"/>
          <w:kern w:val="0"/>
          <w14:ligatures w14:val="none"/>
        </w:rPr>
        <w:t>(</w:t>
      </w:r>
      <w:proofErr w:type="gramEnd"/>
      <w:r w:rsidRPr="00C644C3">
        <w:rPr>
          <w:rFonts w:eastAsia="Times New Roman"/>
          <w:kern w:val="0"/>
          <w14:ligatures w14:val="none"/>
        </w:rPr>
        <w:t xml:space="preserve">63) = 1.56, </w:t>
      </w:r>
      <w:r w:rsidRPr="00C644C3">
        <w:rPr>
          <w:rFonts w:eastAsia="Times New Roman"/>
          <w:i/>
          <w:iCs/>
          <w:kern w:val="0"/>
          <w14:ligatures w14:val="none"/>
        </w:rPr>
        <w:t>p</w:t>
      </w:r>
      <w:r w:rsidRPr="00C644C3">
        <w:rPr>
          <w:rFonts w:eastAsia="Times New Roman"/>
          <w:kern w:val="0"/>
          <w14:ligatures w14:val="none"/>
        </w:rPr>
        <w:t xml:space="preserve"> = .124]</w:t>
      </w:r>
      <w:r w:rsidRPr="00C644C3">
        <w:t>.  There was moderate evidence in favour of a lack of difference between vertical and horizontal composites (BF</w:t>
      </w:r>
      <w:r w:rsidRPr="00C644C3">
        <w:rPr>
          <w:vertAlign w:val="subscript"/>
        </w:rPr>
        <w:t>01</w:t>
      </w:r>
      <w:r w:rsidRPr="00C644C3">
        <w:t xml:space="preserve"> = 4.31). Comparison of CFE size was also calculated for accuracy and reaction time measures independently, showing no significant differences between composite division directions (</w:t>
      </w:r>
      <w:r w:rsidRPr="00C644C3">
        <w:rPr>
          <w:i/>
          <w:iCs/>
        </w:rPr>
        <w:t xml:space="preserve">p </w:t>
      </w:r>
      <w:r w:rsidRPr="00C644C3">
        <w:t xml:space="preserve">&gt; .056). Descriptive statistics and results from these comparisons are reported in </w:t>
      </w:r>
      <w:r w:rsidR="006F1FB4">
        <w:t>Suppl.</w:t>
      </w:r>
      <w:r w:rsidRPr="00C644C3">
        <w:t xml:space="preserve"> Tables </w:t>
      </w:r>
      <w:r w:rsidR="006F1FB4">
        <w:t>5</w:t>
      </w:r>
      <w:r w:rsidRPr="00C644C3">
        <w:t xml:space="preserve"> &amp; </w:t>
      </w:r>
      <w:r w:rsidR="006F1FB4">
        <w:t>6</w:t>
      </w:r>
      <w:r w:rsidRPr="00C644C3">
        <w:t>.</w:t>
      </w:r>
    </w:p>
    <w:p w14:paraId="5EC3F1E5" w14:textId="7DEABB73" w:rsidR="009A0165" w:rsidRPr="00C644C3" w:rsidRDefault="009A0165" w:rsidP="009A0165">
      <w:r w:rsidRPr="00C644C3">
        <w:t>While both Experiments 1 and 2 produced evidence of a CFE, to examine if face priming had any effect on its magnitude, we compared BIS CFE sizes between experiments using standard and Bayesian statistics. We additionally compared the integrated accuracy and reaction time BIS score CFE sizes between Experiments 1 and 2, examining differences between these alongside Bayesian statistics. For vertical composites (</w:t>
      </w:r>
      <w:proofErr w:type="spellStart"/>
      <w:r w:rsidRPr="00C644C3">
        <w:t>Expt</w:t>
      </w:r>
      <w:proofErr w:type="spellEnd"/>
      <w:r w:rsidRPr="00C644C3">
        <w:t xml:space="preserve"> 1 </w:t>
      </w:r>
      <w:r w:rsidRPr="00C644C3">
        <w:rPr>
          <w:i/>
          <w:iCs/>
        </w:rPr>
        <w:t>M</w:t>
      </w:r>
      <w:r w:rsidRPr="00C644C3">
        <w:t xml:space="preserve"> = 0.50, </w:t>
      </w:r>
      <w:r w:rsidRPr="00C644C3">
        <w:rPr>
          <w:i/>
          <w:iCs/>
        </w:rPr>
        <w:t xml:space="preserve">SD </w:t>
      </w:r>
      <w:r w:rsidRPr="00C644C3">
        <w:t xml:space="preserve">= 0.86; </w:t>
      </w:r>
      <w:proofErr w:type="spellStart"/>
      <w:r w:rsidRPr="00C644C3">
        <w:t>Expt</w:t>
      </w:r>
      <w:proofErr w:type="spellEnd"/>
      <w:r w:rsidRPr="00C644C3">
        <w:t xml:space="preserve"> 2 </w:t>
      </w:r>
      <w:r w:rsidRPr="00C644C3">
        <w:rPr>
          <w:i/>
          <w:iCs/>
        </w:rPr>
        <w:t>M</w:t>
      </w:r>
      <w:r w:rsidRPr="00C644C3">
        <w:t xml:space="preserve"> = 0.47, </w:t>
      </w:r>
      <w:r w:rsidRPr="00C644C3">
        <w:rPr>
          <w:i/>
          <w:iCs/>
        </w:rPr>
        <w:t>SD</w:t>
      </w:r>
      <w:r w:rsidRPr="00C644C3">
        <w:t xml:space="preserve"> = 0.99), there were no significant differences in BIS CFE size between experiments [</w:t>
      </w:r>
      <w:proofErr w:type="gramStart"/>
      <w:r w:rsidRPr="00C644C3">
        <w:rPr>
          <w:i/>
          <w:iCs/>
        </w:rPr>
        <w:t>t</w:t>
      </w:r>
      <w:r w:rsidRPr="00C644C3">
        <w:t>(</w:t>
      </w:r>
      <w:proofErr w:type="gramEnd"/>
      <w:r w:rsidRPr="00C644C3">
        <w:t xml:space="preserve">126) = 0.17, </w:t>
      </w:r>
      <w:r w:rsidRPr="00C644C3">
        <w:rPr>
          <w:i/>
          <w:iCs/>
        </w:rPr>
        <w:t>p</w:t>
      </w:r>
      <w:r w:rsidRPr="00C644C3">
        <w:t xml:space="preserve"> = .863], with weak evidence in favour of a lack of CFE size difference between experiments (BF</w:t>
      </w:r>
      <w:r w:rsidRPr="00C644C3">
        <w:rPr>
          <w:vertAlign w:val="subscript"/>
        </w:rPr>
        <w:t>01</w:t>
      </w:r>
      <w:r w:rsidRPr="00C644C3">
        <w:t xml:space="preserve"> = 1.91).  Horizontal composites (</w:t>
      </w:r>
      <w:proofErr w:type="spellStart"/>
      <w:r w:rsidRPr="00C644C3">
        <w:t>Expt</w:t>
      </w:r>
      <w:proofErr w:type="spellEnd"/>
      <w:r w:rsidRPr="00C644C3">
        <w:t xml:space="preserve"> 1 </w:t>
      </w:r>
      <w:r w:rsidRPr="00C644C3">
        <w:rPr>
          <w:i/>
          <w:iCs/>
        </w:rPr>
        <w:t>M</w:t>
      </w:r>
      <w:r w:rsidRPr="00C644C3">
        <w:t xml:space="preserve"> = 0.72, </w:t>
      </w:r>
      <w:r w:rsidRPr="00C644C3">
        <w:rPr>
          <w:i/>
          <w:iCs/>
        </w:rPr>
        <w:t xml:space="preserve">SD </w:t>
      </w:r>
      <w:r w:rsidRPr="00C644C3">
        <w:t xml:space="preserve">= 0.94; </w:t>
      </w:r>
      <w:proofErr w:type="spellStart"/>
      <w:r w:rsidRPr="00C644C3">
        <w:t>Expt</w:t>
      </w:r>
      <w:proofErr w:type="spellEnd"/>
      <w:r w:rsidRPr="00C644C3">
        <w:t xml:space="preserve"> 2 </w:t>
      </w:r>
      <w:r w:rsidRPr="00C644C3">
        <w:rPr>
          <w:i/>
          <w:iCs/>
        </w:rPr>
        <w:t>M</w:t>
      </w:r>
      <w:r w:rsidRPr="00C644C3">
        <w:t xml:space="preserve"> = 0.78, </w:t>
      </w:r>
      <w:r w:rsidRPr="00C644C3">
        <w:rPr>
          <w:i/>
          <w:iCs/>
        </w:rPr>
        <w:t>SD</w:t>
      </w:r>
      <w:r w:rsidRPr="00C644C3">
        <w:t xml:space="preserve"> = 1.15), also showed a lack of significant difference between experiments [</w:t>
      </w:r>
      <w:proofErr w:type="gramStart"/>
      <w:r w:rsidRPr="00C644C3">
        <w:rPr>
          <w:i/>
          <w:iCs/>
        </w:rPr>
        <w:t>t</w:t>
      </w:r>
      <w:r w:rsidRPr="00C644C3">
        <w:t>(</w:t>
      </w:r>
      <w:proofErr w:type="gramEnd"/>
      <w:r w:rsidRPr="00C644C3">
        <w:t xml:space="preserve">126) = -0.36, </w:t>
      </w:r>
      <w:r w:rsidRPr="00C644C3">
        <w:rPr>
          <w:i/>
          <w:iCs/>
        </w:rPr>
        <w:t>p</w:t>
      </w:r>
      <w:r w:rsidRPr="00C644C3">
        <w:t xml:space="preserve"> = .721], again, with weak evidence in favour of a lack of CFE size difference between experiments (BF</w:t>
      </w:r>
      <w:r w:rsidRPr="00C644C3">
        <w:rPr>
          <w:vertAlign w:val="subscript"/>
        </w:rPr>
        <w:t>01</w:t>
      </w:r>
      <w:r w:rsidRPr="00C644C3">
        <w:t xml:space="preserve"> = 2.00). We also performed this comparison with accuracy and reaction time measures independently</w:t>
      </w:r>
      <w:r>
        <w:t>,</w:t>
      </w:r>
      <w:r w:rsidRPr="00C644C3">
        <w:t xml:space="preserve"> which showed no significant differences between experiments </w:t>
      </w:r>
      <w:r w:rsidRPr="00C644C3">
        <w:lastRenderedPageBreak/>
        <w:t>(</w:t>
      </w:r>
      <w:r w:rsidRPr="00C644C3">
        <w:rPr>
          <w:i/>
          <w:iCs/>
        </w:rPr>
        <w:t xml:space="preserve">p </w:t>
      </w:r>
      <w:r w:rsidRPr="00C644C3">
        <w:t xml:space="preserve">&gt; .213). The descriptive statistics and results of these comparisons are reported in </w:t>
      </w:r>
      <w:proofErr w:type="spellStart"/>
      <w:r w:rsidR="006F1FB4">
        <w:t>Suppl</w:t>
      </w:r>
      <w:proofErr w:type="spellEnd"/>
      <w:r w:rsidRPr="00C644C3">
        <w:t xml:space="preserve"> Tables </w:t>
      </w:r>
      <w:r w:rsidR="006F1FB4">
        <w:t>7 &amp; 8.</w:t>
      </w:r>
    </w:p>
    <w:p w14:paraId="75CE09BF" w14:textId="77777777" w:rsidR="006F1FB4" w:rsidRDefault="006F1FB4">
      <w:pPr>
        <w:spacing w:line="259" w:lineRule="auto"/>
        <w:jc w:val="left"/>
        <w:rPr>
          <w:b/>
          <w:bCs/>
          <w:caps/>
          <w:lang w:val="en-US"/>
        </w:rPr>
      </w:pPr>
      <w:bookmarkStart w:id="27" w:name="_Toc198559629"/>
      <w:bookmarkStart w:id="28" w:name="_Toc198648766"/>
      <w:bookmarkStart w:id="29" w:name="_Toc198648854"/>
      <w:bookmarkStart w:id="30" w:name="_Toc199406041"/>
      <w:r>
        <w:br w:type="page"/>
      </w:r>
    </w:p>
    <w:p w14:paraId="1E23C479" w14:textId="0D00E140" w:rsidR="009A0165" w:rsidRPr="00C644C3" w:rsidRDefault="009A0165" w:rsidP="006F1FB4">
      <w:pPr>
        <w:pStyle w:val="Heading1"/>
      </w:pPr>
      <w:r w:rsidRPr="00C644C3">
        <w:lastRenderedPageBreak/>
        <w:t>Experiment 3</w:t>
      </w:r>
      <w:bookmarkEnd w:id="27"/>
      <w:bookmarkEnd w:id="28"/>
      <w:bookmarkEnd w:id="29"/>
      <w:bookmarkEnd w:id="30"/>
    </w:p>
    <w:p w14:paraId="5D35071C" w14:textId="77777777" w:rsidR="009A0165" w:rsidRPr="00C644C3" w:rsidRDefault="009A0165" w:rsidP="009A0165">
      <w:r w:rsidRPr="00C644C3">
        <w:t xml:space="preserve">Experiments 1 &amp; 2 showed evidence of a reliable CFE for vertical composites, which was similar in size to the CFE of horizontal composites. Comparable CFE sizes across both experiments suggested that the size of this effect was not dependent on prior exposure (priming) of the familiar faces. Given that prior exposure was not necessary to elicit a CFE, subsequent experiments used the same structure used in Experiment 2, in which the face recognition block occurred at the end of the task.   </w:t>
      </w:r>
    </w:p>
    <w:p w14:paraId="565E9D01" w14:textId="77777777" w:rsidR="009A0165" w:rsidRPr="00C644C3" w:rsidRDefault="009A0165" w:rsidP="009A0165">
      <w:r w:rsidRPr="00C644C3">
        <w:t xml:space="preserve">In Experiments 1 &amp; 2 judgements of familiarity were focused on face halves that we assumed would elicit the most reliable CFEs. For horizontal composites, judgements of the upper half of the face produce more substantial and reliable CFEs than </w:t>
      </w:r>
      <w:r>
        <w:t xml:space="preserve">of </w:t>
      </w:r>
      <w:r w:rsidRPr="00C644C3">
        <w:t xml:space="preserve">the lower half of the face (Wang </w:t>
      </w:r>
      <w:r w:rsidRPr="00EC53A1">
        <w:rPr>
          <w:i/>
          <w:iCs/>
        </w:rPr>
        <w:t>et al.</w:t>
      </w:r>
      <w:r w:rsidRPr="00C644C3">
        <w:t>, 2023; 2019). For vertical composites, the left half of the face typically projects to the right hemisphere, which has been suggested to be dominant for facial processing (</w:t>
      </w:r>
      <w:proofErr w:type="spellStart"/>
      <w:r w:rsidRPr="00C644C3">
        <w:t>Rossion</w:t>
      </w:r>
      <w:proofErr w:type="spellEnd"/>
      <w:r w:rsidRPr="00C644C3">
        <w:t xml:space="preserve">, 2014; Prete &amp; Tommasi, 2018). Indeed, it has been suggested that the right hemisphere advantage may be due to greater specialisation for holistic processing (Bradshaw &amp; Nettleton, 1981; </w:t>
      </w:r>
      <w:proofErr w:type="spellStart"/>
      <w:r w:rsidRPr="00C644C3">
        <w:t>Bombari</w:t>
      </w:r>
      <w:proofErr w:type="spellEnd"/>
      <w:r w:rsidRPr="00C644C3">
        <w:t xml:space="preserve"> </w:t>
      </w:r>
      <w:r w:rsidRPr="00EC53A1">
        <w:rPr>
          <w:i/>
          <w:iCs/>
        </w:rPr>
        <w:t>et al.</w:t>
      </w:r>
      <w:r w:rsidRPr="00C644C3">
        <w:rPr>
          <w:i/>
          <w:iCs/>
        </w:rPr>
        <w:t>,</w:t>
      </w:r>
      <w:r w:rsidRPr="00C644C3">
        <w:t xml:space="preserve"> 2014). Evidence for this is shown by greater neural responses in face-selective areas in the right hemisphere when presented with whole, faces compared to parts of faces (</w:t>
      </w:r>
      <w:proofErr w:type="spellStart"/>
      <w:r w:rsidRPr="00C644C3">
        <w:t>Rossion</w:t>
      </w:r>
      <w:proofErr w:type="spellEnd"/>
      <w:r w:rsidRPr="00C644C3">
        <w:t xml:space="preserve"> </w:t>
      </w:r>
      <w:r w:rsidRPr="00EC53A1">
        <w:rPr>
          <w:i/>
          <w:iCs/>
        </w:rPr>
        <w:t>et al.</w:t>
      </w:r>
      <w:r w:rsidRPr="00C644C3">
        <w:rPr>
          <w:i/>
          <w:iCs/>
        </w:rPr>
        <w:t>,</w:t>
      </w:r>
      <w:r w:rsidRPr="00C644C3">
        <w:t xml:space="preserve"> 2000), and the selective responses of right (but not left) hemisphere areas to aligned, but not misaligned composite faces (Schiltz </w:t>
      </w:r>
      <w:r w:rsidRPr="00EC53A1">
        <w:rPr>
          <w:i/>
          <w:iCs/>
        </w:rPr>
        <w:t>et al.</w:t>
      </w:r>
      <w:r w:rsidRPr="00C644C3">
        <w:t xml:space="preserve">, 2010; Schiltz &amp; </w:t>
      </w:r>
      <w:proofErr w:type="spellStart"/>
      <w:r w:rsidRPr="00C644C3">
        <w:t>Rossion</w:t>
      </w:r>
      <w:proofErr w:type="spellEnd"/>
      <w:r w:rsidRPr="00C644C3">
        <w:t>, 2006).</w:t>
      </w:r>
    </w:p>
    <w:p w14:paraId="06BA156B" w14:textId="77777777" w:rsidR="009A0165" w:rsidRPr="00C644C3" w:rsidRDefault="009A0165" w:rsidP="009A0165">
      <w:r w:rsidRPr="00C644C3">
        <w:t xml:space="preserve">In Experiment 3, we focused judgements on either the lower half of the face (horizontal composites) or the right half of the face (vertical composites). Again, we predicted that both vertical and horizontal composites should lower identification accuracy and increase reaction times for aligned, compared to misaligned composites. However, it remains unclear if a right hemisphere bias in face processing would produce a less substantial CFE for judgements of right face halves projecting to the left hemisphere.  We also predicted smaller CFE sizes for horizontal composites in Experiment 3 than Experiment 2.  </w:t>
      </w:r>
    </w:p>
    <w:p w14:paraId="2BD46C7C" w14:textId="4D0A21C9" w:rsidR="009A0165" w:rsidRPr="00C644C3" w:rsidRDefault="009A0165" w:rsidP="009A0165">
      <w:pPr>
        <w:pStyle w:val="Heading2"/>
      </w:pPr>
      <w:bookmarkStart w:id="31" w:name="_Toc199406042"/>
      <w:r w:rsidRPr="00C644C3">
        <w:t>Materials and Methods</w:t>
      </w:r>
      <w:bookmarkEnd w:id="31"/>
    </w:p>
    <w:p w14:paraId="0F5296E2" w14:textId="286AE80B" w:rsidR="009A0165" w:rsidRPr="00C644C3" w:rsidRDefault="009A0165" w:rsidP="009A0165">
      <w:pPr>
        <w:pStyle w:val="Heading3"/>
      </w:pPr>
      <w:bookmarkStart w:id="32" w:name="_Toc199406043"/>
      <w:r w:rsidRPr="00C644C3">
        <w:t>Participants</w:t>
      </w:r>
      <w:bookmarkEnd w:id="32"/>
    </w:p>
    <w:p w14:paraId="6E731AAA" w14:textId="77777777" w:rsidR="009A0165" w:rsidRPr="00C644C3" w:rsidRDefault="009A0165" w:rsidP="009A0165">
      <w:r w:rsidRPr="00C644C3">
        <w:t xml:space="preserve">69 participants were recruited for this experiment, although 5 were excluded due to insufficient familiarity with the celebrity faces used (&lt;50%), or failure to meet the laterality quotient to indicate dominant right-handedness (&lt;+40). The remaining 64 right-handed (mean laterality quotient = 89.5, </w:t>
      </w:r>
      <w:r w:rsidRPr="00C644C3">
        <w:rPr>
          <w:i/>
          <w:iCs/>
        </w:rPr>
        <w:t>SD</w:t>
      </w:r>
      <w:r w:rsidRPr="00C644C3">
        <w:t xml:space="preserve"> = 16.1) participants (59 female, mean age = 19.7, </w:t>
      </w:r>
      <w:r w:rsidRPr="00C644C3">
        <w:rPr>
          <w:i/>
          <w:iCs/>
        </w:rPr>
        <w:t>SD</w:t>
      </w:r>
      <w:r w:rsidRPr="00C644C3">
        <w:t xml:space="preserve"> = 3.6, range = 18 - 37) were randomly divided into the eight counterbalancing groups described in Experiment 1. Participants who had completed </w:t>
      </w:r>
      <w:r w:rsidRPr="00C644C3">
        <w:lastRenderedPageBreak/>
        <w:t xml:space="preserve">any experiment in the series were excluded from participation in any other experiment to avoid previous exposure to the stimuli.  </w:t>
      </w:r>
    </w:p>
    <w:p w14:paraId="50D2DF4C" w14:textId="2CF43D26" w:rsidR="009A0165" w:rsidRPr="00C644C3" w:rsidRDefault="009A0165" w:rsidP="009A0165">
      <w:pPr>
        <w:pStyle w:val="Heading3"/>
      </w:pPr>
      <w:bookmarkStart w:id="33" w:name="_Toc199406044"/>
      <w:r w:rsidRPr="00C644C3">
        <w:t>Stimuli</w:t>
      </w:r>
      <w:bookmarkEnd w:id="33"/>
    </w:p>
    <w:p w14:paraId="44CD440C" w14:textId="77777777" w:rsidR="009A0165" w:rsidRPr="00C644C3" w:rsidRDefault="009A0165" w:rsidP="009A0165">
      <w:r w:rsidRPr="00C644C3">
        <w:t xml:space="preserve">The same stimuli used in the previous experiments were reused in Experiment 3. </w:t>
      </w:r>
    </w:p>
    <w:p w14:paraId="11B8473F" w14:textId="1A94911F" w:rsidR="009A0165" w:rsidRPr="00C644C3" w:rsidRDefault="009A0165" w:rsidP="009A0165">
      <w:pPr>
        <w:pStyle w:val="Heading3"/>
      </w:pPr>
      <w:bookmarkStart w:id="34" w:name="_Toc199406045"/>
      <w:r w:rsidRPr="00C644C3">
        <w:t>Procedure</w:t>
      </w:r>
      <w:bookmarkEnd w:id="34"/>
    </w:p>
    <w:p w14:paraId="6591E8EB" w14:textId="77777777" w:rsidR="009A0165" w:rsidRPr="00C644C3" w:rsidRDefault="009A0165" w:rsidP="009A0165">
      <w:r w:rsidRPr="00C644C3">
        <w:t xml:space="preserve">We used the same in-person procedure and block ordering that was used in Experiment 2. However, in this experiment, participants were asked to judge the familiarity of the right half of the face in the vertical composite condition, and the lower half of the face in the horizontal composite condition. Despite the change in the relevant half, participants were still requested to retain fixation on the central fixation cross during each trial. </w:t>
      </w:r>
    </w:p>
    <w:p w14:paraId="29A15F95" w14:textId="77777777" w:rsidR="009A0165" w:rsidRPr="00C644C3" w:rsidRDefault="009A0165" w:rsidP="009A0165">
      <w:r w:rsidRPr="00C644C3">
        <w:t xml:space="preserve">The study design, hypotheses, and analysis plan for the experiment were preregistered (https://osf.io/akmpv). Our pre-registered hypotheses test the following predictions: H1) For horizontal composites, </w:t>
      </w:r>
      <w:proofErr w:type="spellStart"/>
      <w:r w:rsidRPr="00C644C3">
        <w:t>i</w:t>
      </w:r>
      <w:proofErr w:type="spellEnd"/>
      <w:r w:rsidRPr="00C644C3">
        <w:t xml:space="preserve">) lower accuracy of familiarity judgments in the aligned compared to misaligned condition; ii) slower reaction times for correct familiarity judgements in the aligned compared to the misaligned condition; H2) For vertical composites, </w:t>
      </w:r>
      <w:proofErr w:type="spellStart"/>
      <w:r w:rsidRPr="00C644C3">
        <w:t>i</w:t>
      </w:r>
      <w:proofErr w:type="spellEnd"/>
      <w:r w:rsidRPr="00C644C3">
        <w:t xml:space="preserve">) lower accuracy of familiarity judgments in the aligned compared to misaligned condition; ii) slower reaction times for correct familiarity judgements in the aligned compared to the misaligned condition. H3) For horizontal composites, </w:t>
      </w:r>
      <w:r>
        <w:t>CFEs</w:t>
      </w:r>
      <w:r w:rsidRPr="00C644C3">
        <w:t xml:space="preserve"> for </w:t>
      </w:r>
      <w:proofErr w:type="spellStart"/>
      <w:r w:rsidRPr="00C644C3">
        <w:t>i</w:t>
      </w:r>
      <w:proofErr w:type="spellEnd"/>
      <w:r w:rsidRPr="00C644C3">
        <w:t>) accuracy, and ii) reaction time would be smaller than those elicited in Experiment 2. In addition to the within-subjects comparisons described in Experiment 1, to examine the effects of half attendance</w:t>
      </w:r>
      <w:r>
        <w:t>,</w:t>
      </w:r>
      <w:r w:rsidRPr="00C644C3">
        <w:t xml:space="preserve"> we also compared BIS between-subjects of Experiments 2 and 3 using independent </w:t>
      </w:r>
      <w:r w:rsidRPr="00CF671E">
        <w:rPr>
          <w:i/>
          <w:iCs/>
        </w:rPr>
        <w:t>t</w:t>
      </w:r>
      <w:r w:rsidRPr="00C644C3">
        <w:t>-tests, incorporating Bayesian statistics.</w:t>
      </w:r>
    </w:p>
    <w:p w14:paraId="2EDC934C" w14:textId="238A633A" w:rsidR="009A0165" w:rsidRPr="00C644C3" w:rsidRDefault="009A0165" w:rsidP="009A0165">
      <w:pPr>
        <w:pStyle w:val="Heading2"/>
      </w:pPr>
      <w:bookmarkStart w:id="35" w:name="_Toc199406046"/>
      <w:r w:rsidRPr="00C644C3">
        <w:t>Results</w:t>
      </w:r>
      <w:bookmarkEnd w:id="35"/>
    </w:p>
    <w:p w14:paraId="5F0B9EFA" w14:textId="77777777" w:rsidR="009A0165" w:rsidRPr="00C644C3" w:rsidRDefault="009A0165" w:rsidP="009A0165">
      <w:r w:rsidRPr="00C644C3">
        <w:t xml:space="preserve">To assess the reliability and versatility of the CFE, participants made familiarity judgements on the right half of the vertical composites and the lower half of the horizontal composites. A repeated-measures ANOVA was used to assess the effect of Composite (vertical, horizontal), and Alignment (aligned, misaligned) on accuracy and reaction time. The results of this analysis are shown in Figure 3.4. </w:t>
      </w:r>
    </w:p>
    <w:p w14:paraId="5BDECAE3" w14:textId="77777777" w:rsidR="009A0165" w:rsidRPr="00C644C3" w:rsidRDefault="009A0165" w:rsidP="009A0165">
      <w:r w:rsidRPr="00C644C3">
        <w:rPr>
          <w:noProof/>
        </w:rPr>
        <w:lastRenderedPageBreak/>
        <w:drawing>
          <wp:inline distT="0" distB="0" distL="0" distR="0" wp14:anchorId="3A9B1921" wp14:editId="6B1FCF11">
            <wp:extent cx="5727697" cy="2067151"/>
            <wp:effectExtent l="0" t="0" r="6985" b="0"/>
            <wp:docPr id="1533999970" name="Picture 1" descr="A comparison of a comparison of a comparison of a vertical and vertic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65018" name="Picture 1" descr="A comparison of a comparison of a comparison of a vertical and vertical&#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727697" cy="2067151"/>
                    </a:xfrm>
                    <a:prstGeom prst="rect">
                      <a:avLst/>
                    </a:prstGeom>
                    <a:noFill/>
                    <a:ln>
                      <a:noFill/>
                    </a:ln>
                  </pic:spPr>
                </pic:pic>
              </a:graphicData>
            </a:graphic>
          </wp:inline>
        </w:drawing>
      </w:r>
    </w:p>
    <w:p w14:paraId="0D1A6027" w14:textId="16E5C1A9" w:rsidR="009A0165" w:rsidRPr="00C644C3" w:rsidRDefault="009A0165" w:rsidP="009A0165">
      <w:pPr>
        <w:pStyle w:val="Table"/>
      </w:pPr>
      <w:bookmarkStart w:id="36" w:name="_Toc198649257"/>
      <w:r w:rsidRPr="009A0165">
        <w:rPr>
          <w:i w:val="0"/>
          <w:iCs w:val="0"/>
        </w:rPr>
        <w:t>Figure 4.</w:t>
      </w:r>
      <w:r w:rsidRPr="00C644C3">
        <w:t xml:space="preserve"> Experiment 3 - (a) Lower accuracy and (b) slower reaction times were evident for aligned compared to misaligned composites. This effect was evident for both vertical and horizontal composites. Error bars represent Cousineau’s Y within-subject error values.</w:t>
      </w:r>
      <w:bookmarkEnd w:id="36"/>
    </w:p>
    <w:p w14:paraId="47E76B0B" w14:textId="77777777" w:rsidR="009A0165" w:rsidRPr="00C644C3" w:rsidRDefault="009A0165" w:rsidP="009A0165">
      <w:r w:rsidRPr="00C644C3">
        <w:t>For accuracy (Figure 3.4a), there was a significant effect of alignment [</w:t>
      </w:r>
      <w:proofErr w:type="gramStart"/>
      <w:r w:rsidRPr="00C644C3">
        <w:rPr>
          <w:rFonts w:eastAsia="Times New Roman"/>
          <w:i/>
          <w:iCs/>
          <w:kern w:val="0"/>
          <w14:ligatures w14:val="none"/>
        </w:rPr>
        <w:t>F</w:t>
      </w:r>
      <w:r w:rsidRPr="00C644C3">
        <w:rPr>
          <w:rFonts w:eastAsia="Times New Roman"/>
          <w:kern w:val="0"/>
          <w14:ligatures w14:val="none"/>
        </w:rPr>
        <w:t>(</w:t>
      </w:r>
      <w:proofErr w:type="gramEnd"/>
      <w:r w:rsidRPr="00C644C3">
        <w:rPr>
          <w:rFonts w:eastAsia="Times New Roman"/>
          <w:kern w:val="0"/>
          <w14:ligatures w14:val="none"/>
        </w:rPr>
        <w:t xml:space="preserve">1, 63) = 32.79, </w:t>
      </w:r>
      <w:r w:rsidRPr="00C644C3">
        <w:rPr>
          <w:rFonts w:eastAsia="Times New Roman"/>
          <w:i/>
          <w:iCs/>
          <w:kern w:val="0"/>
          <w14:ligatures w14:val="none"/>
        </w:rPr>
        <w:t>p</w:t>
      </w:r>
      <w:r w:rsidRPr="00C644C3">
        <w:rPr>
          <w:rFonts w:eastAsia="Times New Roman"/>
          <w:kern w:val="0"/>
          <w14:ligatures w14:val="none"/>
        </w:rPr>
        <w:t xml:space="preserve"> &lt;.001, </w:t>
      </w:r>
      <w:r w:rsidRPr="00C644C3">
        <w:rPr>
          <w:rStyle w:val="hgkelc"/>
          <w:i/>
          <w:iCs/>
        </w:rPr>
        <w:t>η</w:t>
      </w:r>
      <w:r w:rsidRPr="00C644C3">
        <w:rPr>
          <w:rStyle w:val="hgkelc"/>
          <w:i/>
          <w:iCs/>
          <w:vertAlign w:val="subscript"/>
        </w:rPr>
        <w:t>p</w:t>
      </w:r>
      <w:r w:rsidRPr="00C644C3">
        <w:rPr>
          <w:rStyle w:val="hgkelc"/>
          <w:i/>
          <w:iCs/>
          <w:vertAlign w:val="superscript"/>
        </w:rPr>
        <w:t>2</w:t>
      </w:r>
      <w:r w:rsidRPr="00C644C3">
        <w:rPr>
          <w:rFonts w:eastAsia="Times New Roman"/>
          <w:kern w:val="0"/>
          <w14:ligatures w14:val="none"/>
        </w:rPr>
        <w:t xml:space="preserve"> = 0.34</w:t>
      </w:r>
      <w:r w:rsidRPr="00C644C3">
        <w:t>], and composite [</w:t>
      </w:r>
      <w:proofErr w:type="gramStart"/>
      <w:r w:rsidRPr="00C644C3">
        <w:rPr>
          <w:rFonts w:eastAsia="Times New Roman"/>
          <w:i/>
          <w:iCs/>
          <w:kern w:val="0"/>
          <w14:ligatures w14:val="none"/>
        </w:rPr>
        <w:t>F</w:t>
      </w:r>
      <w:r w:rsidRPr="00C644C3">
        <w:rPr>
          <w:rFonts w:eastAsia="Times New Roman"/>
          <w:kern w:val="0"/>
          <w14:ligatures w14:val="none"/>
        </w:rPr>
        <w:t>(</w:t>
      </w:r>
      <w:proofErr w:type="gramEnd"/>
      <w:r w:rsidRPr="00C644C3">
        <w:rPr>
          <w:rFonts w:eastAsia="Times New Roman"/>
          <w:kern w:val="0"/>
          <w14:ligatures w14:val="none"/>
        </w:rPr>
        <w:t xml:space="preserve">1, 63) = 5.14, </w:t>
      </w:r>
      <w:r w:rsidRPr="00C644C3">
        <w:rPr>
          <w:rFonts w:eastAsia="Times New Roman"/>
          <w:i/>
          <w:iCs/>
          <w:kern w:val="0"/>
          <w14:ligatures w14:val="none"/>
        </w:rPr>
        <w:t>p</w:t>
      </w:r>
      <w:r w:rsidRPr="00C644C3">
        <w:rPr>
          <w:rFonts w:eastAsia="Times New Roman"/>
          <w:kern w:val="0"/>
          <w14:ligatures w14:val="none"/>
        </w:rPr>
        <w:t xml:space="preserve"> = .027, </w:t>
      </w:r>
      <w:r w:rsidRPr="00C644C3">
        <w:rPr>
          <w:rStyle w:val="hgkelc"/>
          <w:i/>
          <w:iCs/>
        </w:rPr>
        <w:t>η</w:t>
      </w:r>
      <w:r w:rsidRPr="00C644C3">
        <w:rPr>
          <w:rStyle w:val="hgkelc"/>
          <w:i/>
          <w:iCs/>
          <w:vertAlign w:val="subscript"/>
        </w:rPr>
        <w:t>p</w:t>
      </w:r>
      <w:r w:rsidRPr="00C644C3">
        <w:rPr>
          <w:rStyle w:val="hgkelc"/>
          <w:i/>
          <w:iCs/>
          <w:vertAlign w:val="superscript"/>
        </w:rPr>
        <w:t>2</w:t>
      </w:r>
      <w:r w:rsidRPr="00C644C3">
        <w:rPr>
          <w:rFonts w:eastAsia="Times New Roman"/>
          <w:kern w:val="0"/>
          <w14:ligatures w14:val="none"/>
        </w:rPr>
        <w:t xml:space="preserve"> = 0.08</w:t>
      </w:r>
      <w:r w:rsidRPr="00C644C3">
        <w:t>], but no interaction between alignment and composite [</w:t>
      </w:r>
      <w:proofErr w:type="gramStart"/>
      <w:r w:rsidRPr="00C644C3">
        <w:rPr>
          <w:rFonts w:eastAsia="Times New Roman"/>
          <w:i/>
          <w:iCs/>
          <w:kern w:val="0"/>
          <w14:ligatures w14:val="none"/>
        </w:rPr>
        <w:t>F</w:t>
      </w:r>
      <w:r w:rsidRPr="00C644C3">
        <w:rPr>
          <w:rFonts w:eastAsia="Times New Roman"/>
          <w:kern w:val="0"/>
          <w14:ligatures w14:val="none"/>
        </w:rPr>
        <w:t>(</w:t>
      </w:r>
      <w:proofErr w:type="gramEnd"/>
      <w:r w:rsidRPr="00C644C3">
        <w:rPr>
          <w:rFonts w:eastAsia="Times New Roman"/>
          <w:kern w:val="0"/>
          <w14:ligatures w14:val="none"/>
        </w:rPr>
        <w:t xml:space="preserve">1, 63) = 1.84, </w:t>
      </w:r>
      <w:r w:rsidRPr="00C644C3">
        <w:rPr>
          <w:rFonts w:eastAsia="Times New Roman"/>
          <w:i/>
          <w:iCs/>
          <w:kern w:val="0"/>
          <w14:ligatures w14:val="none"/>
        </w:rPr>
        <w:t>p</w:t>
      </w:r>
      <w:r w:rsidRPr="00C644C3">
        <w:rPr>
          <w:rFonts w:eastAsia="Times New Roman"/>
          <w:kern w:val="0"/>
          <w14:ligatures w14:val="none"/>
        </w:rPr>
        <w:t xml:space="preserve"> = .179</w:t>
      </w:r>
      <w:r w:rsidRPr="00C644C3">
        <w:t xml:space="preserve">]. </w:t>
      </w:r>
      <w:r w:rsidRPr="00C644C3">
        <w:rPr>
          <w:rFonts w:eastAsia="Times New Roman"/>
          <w:kern w:val="0"/>
          <w14:ligatures w14:val="none"/>
        </w:rPr>
        <w:t>To assess our pre-registered hypotheses, planned comparisons</w:t>
      </w:r>
      <w:r w:rsidRPr="00C644C3">
        <w:t xml:space="preserve"> (paired sample </w:t>
      </w:r>
      <w:r w:rsidRPr="00C644C3">
        <w:rPr>
          <w:i/>
          <w:iCs/>
        </w:rPr>
        <w:t>t</w:t>
      </w:r>
      <w:r w:rsidRPr="00C644C3">
        <w:t xml:space="preserve">-tests) were conducted on the effect of alignment for each composite condition (Table 3.3). For vertical composites (Aligned </w:t>
      </w:r>
      <w:r w:rsidRPr="00C644C3">
        <w:rPr>
          <w:i/>
          <w:iCs/>
        </w:rPr>
        <w:t>M</w:t>
      </w:r>
      <w:r w:rsidRPr="00C644C3">
        <w:t xml:space="preserve"> = 78.0%, </w:t>
      </w:r>
      <w:r w:rsidRPr="00C644C3">
        <w:rPr>
          <w:i/>
          <w:iCs/>
        </w:rPr>
        <w:t xml:space="preserve">SD </w:t>
      </w:r>
      <w:r w:rsidRPr="00C644C3">
        <w:t xml:space="preserve">= 23.8; Misaligned </w:t>
      </w:r>
      <w:r w:rsidRPr="00C644C3">
        <w:rPr>
          <w:i/>
          <w:iCs/>
        </w:rPr>
        <w:t>M</w:t>
      </w:r>
      <w:r w:rsidRPr="00C644C3">
        <w:t xml:space="preserve"> = 81.5%, </w:t>
      </w:r>
      <w:r w:rsidRPr="00C644C3">
        <w:rPr>
          <w:i/>
          <w:iCs/>
        </w:rPr>
        <w:t xml:space="preserve">SD </w:t>
      </w:r>
      <w:r w:rsidRPr="00C644C3">
        <w:t xml:space="preserve">= 25.3) and horizontal composites (Aligned </w:t>
      </w:r>
      <w:r w:rsidRPr="00C644C3">
        <w:rPr>
          <w:i/>
          <w:iCs/>
        </w:rPr>
        <w:t>M</w:t>
      </w:r>
      <w:r w:rsidRPr="00C644C3">
        <w:t xml:space="preserve"> = 69.4%, </w:t>
      </w:r>
      <w:r w:rsidRPr="00C644C3">
        <w:rPr>
          <w:i/>
          <w:iCs/>
        </w:rPr>
        <w:t xml:space="preserve">SD </w:t>
      </w:r>
      <w:r w:rsidRPr="00C644C3">
        <w:t xml:space="preserve">= 14.8; Misaligned </w:t>
      </w:r>
      <w:r w:rsidRPr="00C644C3">
        <w:rPr>
          <w:i/>
          <w:iCs/>
        </w:rPr>
        <w:t>M</w:t>
      </w:r>
      <w:r w:rsidRPr="00C644C3">
        <w:t xml:space="preserve"> = 74.7%, </w:t>
      </w:r>
      <w:r w:rsidRPr="00C644C3">
        <w:rPr>
          <w:i/>
          <w:iCs/>
        </w:rPr>
        <w:t xml:space="preserve">SD </w:t>
      </w:r>
      <w:r w:rsidRPr="00C644C3">
        <w:t xml:space="preserve">= 13.3), aligned images were less accurately recognised than misaligned images. </w:t>
      </w:r>
    </w:p>
    <w:p w14:paraId="57269F7D" w14:textId="77777777" w:rsidR="00EE62F1" w:rsidRDefault="009A0165" w:rsidP="009A0165">
      <w:r w:rsidRPr="00C644C3">
        <w:t>For reaction time (Figure 3.4b), the ANOVA showed significant effects for both alignment [</w:t>
      </w:r>
      <w:proofErr w:type="gramStart"/>
      <w:r w:rsidRPr="00C644C3">
        <w:rPr>
          <w:i/>
          <w:iCs/>
        </w:rPr>
        <w:t>F</w:t>
      </w:r>
      <w:r w:rsidRPr="00C644C3">
        <w:t>(</w:t>
      </w:r>
      <w:proofErr w:type="gramEnd"/>
      <w:r w:rsidRPr="00C644C3">
        <w:t xml:space="preserve">1, 63) = 14.81, </w:t>
      </w:r>
      <w:r w:rsidRPr="00C644C3">
        <w:rPr>
          <w:i/>
          <w:iCs/>
        </w:rPr>
        <w:t>p</w:t>
      </w:r>
      <w:r w:rsidRPr="00C644C3">
        <w:t xml:space="preserve"> &lt;.001, </w:t>
      </w:r>
      <w:r w:rsidRPr="00C644C3">
        <w:rPr>
          <w:rStyle w:val="hgkelc"/>
          <w:i/>
          <w:iCs/>
        </w:rPr>
        <w:t>η</w:t>
      </w:r>
      <w:r w:rsidRPr="00C644C3">
        <w:rPr>
          <w:rStyle w:val="hgkelc"/>
          <w:i/>
          <w:iCs/>
          <w:vertAlign w:val="subscript"/>
        </w:rPr>
        <w:t>p</w:t>
      </w:r>
      <w:r w:rsidRPr="00C644C3">
        <w:rPr>
          <w:rStyle w:val="hgkelc"/>
          <w:i/>
          <w:iCs/>
          <w:vertAlign w:val="superscript"/>
        </w:rPr>
        <w:t>2</w:t>
      </w:r>
      <w:r w:rsidRPr="00C644C3">
        <w:t xml:space="preserve"> = 0.19], and composite [</w:t>
      </w:r>
      <w:proofErr w:type="gramStart"/>
      <w:r w:rsidRPr="00C644C3">
        <w:rPr>
          <w:i/>
          <w:iCs/>
        </w:rPr>
        <w:t>F</w:t>
      </w:r>
      <w:r w:rsidRPr="00C644C3">
        <w:t>(</w:t>
      </w:r>
      <w:proofErr w:type="gramEnd"/>
      <w:r w:rsidRPr="00C644C3">
        <w:t xml:space="preserve">1, 63) = 47.63, </w:t>
      </w:r>
      <w:r w:rsidRPr="00C644C3">
        <w:rPr>
          <w:i/>
          <w:iCs/>
        </w:rPr>
        <w:t>p</w:t>
      </w:r>
      <w:r w:rsidRPr="00C644C3">
        <w:t xml:space="preserve"> &lt;.001, </w:t>
      </w:r>
      <w:r w:rsidRPr="00C644C3">
        <w:rPr>
          <w:rStyle w:val="hgkelc"/>
          <w:i/>
          <w:iCs/>
        </w:rPr>
        <w:t>η</w:t>
      </w:r>
      <w:r w:rsidRPr="00C644C3">
        <w:rPr>
          <w:rStyle w:val="hgkelc"/>
          <w:i/>
          <w:iCs/>
          <w:vertAlign w:val="subscript"/>
        </w:rPr>
        <w:t>p</w:t>
      </w:r>
      <w:r w:rsidRPr="00C644C3">
        <w:rPr>
          <w:rStyle w:val="hgkelc"/>
          <w:i/>
          <w:iCs/>
          <w:vertAlign w:val="superscript"/>
        </w:rPr>
        <w:t>2</w:t>
      </w:r>
      <w:r w:rsidRPr="00C644C3">
        <w:t xml:space="preserve"> = 0.43], but no interaction between alignment and composite [</w:t>
      </w:r>
      <w:proofErr w:type="gramStart"/>
      <w:r w:rsidRPr="00C644C3">
        <w:rPr>
          <w:i/>
          <w:iCs/>
        </w:rPr>
        <w:t>F</w:t>
      </w:r>
      <w:r w:rsidRPr="00C644C3">
        <w:t>(</w:t>
      </w:r>
      <w:proofErr w:type="gramEnd"/>
      <w:r w:rsidRPr="00C644C3">
        <w:t xml:space="preserve">1, 63) = 0.12, </w:t>
      </w:r>
      <w:r w:rsidRPr="00C644C3">
        <w:rPr>
          <w:i/>
          <w:iCs/>
        </w:rPr>
        <w:t>p</w:t>
      </w:r>
      <w:r w:rsidRPr="00C644C3">
        <w:t xml:space="preserve"> = .733]. </w:t>
      </w:r>
      <w:r w:rsidRPr="00C644C3">
        <w:rPr>
          <w:rFonts w:eastAsia="Times New Roman"/>
          <w:kern w:val="0"/>
          <w14:ligatures w14:val="none"/>
        </w:rPr>
        <w:t>To assess our pre-registered hypotheses, planned comparisons</w:t>
      </w:r>
      <w:r w:rsidRPr="00C644C3">
        <w:t xml:space="preserve"> (paired sample </w:t>
      </w:r>
      <w:r w:rsidRPr="00C644C3">
        <w:rPr>
          <w:i/>
          <w:iCs/>
        </w:rPr>
        <w:t>t</w:t>
      </w:r>
      <w:r w:rsidRPr="00C644C3">
        <w:t xml:space="preserve">-tests) were conducted on the effect of alignment for each composite condition (Table 3.3). For vertical composites (Aligned </w:t>
      </w:r>
      <w:r w:rsidRPr="00C644C3">
        <w:rPr>
          <w:i/>
          <w:iCs/>
        </w:rPr>
        <w:t>M</w:t>
      </w:r>
      <w:r w:rsidRPr="00C644C3">
        <w:t xml:space="preserve"> = 0.98s, </w:t>
      </w:r>
      <w:r w:rsidRPr="00C644C3">
        <w:rPr>
          <w:i/>
          <w:iCs/>
        </w:rPr>
        <w:t xml:space="preserve">SD </w:t>
      </w:r>
      <w:r w:rsidRPr="00C644C3">
        <w:t xml:space="preserve">= 0.32; Misaligned </w:t>
      </w:r>
      <w:r w:rsidRPr="00C644C3">
        <w:rPr>
          <w:i/>
          <w:iCs/>
        </w:rPr>
        <w:t>M</w:t>
      </w:r>
      <w:r w:rsidRPr="00C644C3">
        <w:t xml:space="preserve"> = 0.92s, </w:t>
      </w:r>
      <w:r w:rsidRPr="00C644C3">
        <w:rPr>
          <w:i/>
          <w:iCs/>
        </w:rPr>
        <w:t xml:space="preserve">SD </w:t>
      </w:r>
      <w:r w:rsidRPr="00C644C3">
        <w:t xml:space="preserve">= 0.34) and horizontal composites (Aligned </w:t>
      </w:r>
      <w:r w:rsidRPr="00C644C3">
        <w:rPr>
          <w:i/>
          <w:iCs/>
        </w:rPr>
        <w:t>M</w:t>
      </w:r>
      <w:r w:rsidRPr="00C644C3">
        <w:t xml:space="preserve"> = 1.18s, </w:t>
      </w:r>
      <w:r w:rsidRPr="00C644C3">
        <w:rPr>
          <w:i/>
          <w:iCs/>
        </w:rPr>
        <w:t xml:space="preserve">SD </w:t>
      </w:r>
      <w:r w:rsidRPr="00C644C3">
        <w:t xml:space="preserve">= 0.32; Misaligned </w:t>
      </w:r>
      <w:r w:rsidRPr="00C644C3">
        <w:rPr>
          <w:i/>
          <w:iCs/>
        </w:rPr>
        <w:t>M</w:t>
      </w:r>
      <w:r w:rsidRPr="00C644C3">
        <w:t xml:space="preserve"> = 1.13s, </w:t>
      </w:r>
      <w:r w:rsidRPr="00C644C3">
        <w:rPr>
          <w:i/>
          <w:iCs/>
        </w:rPr>
        <w:t xml:space="preserve">SD </w:t>
      </w:r>
      <w:r w:rsidRPr="00C644C3">
        <w:t>= 0.27), there was a slower reaction time for aligned images compared to misaligned images.</w:t>
      </w:r>
    </w:p>
    <w:p w14:paraId="3AF577CC" w14:textId="77777777" w:rsidR="00EE62F1" w:rsidRDefault="00EE62F1" w:rsidP="009A0165"/>
    <w:p w14:paraId="37719555" w14:textId="77777777" w:rsidR="00EE62F1" w:rsidRDefault="00EE62F1" w:rsidP="009A0165"/>
    <w:p w14:paraId="4AB0C481" w14:textId="77777777" w:rsidR="00EE62F1" w:rsidRDefault="00EE62F1" w:rsidP="009A0165"/>
    <w:p w14:paraId="1C80F835" w14:textId="77777777" w:rsidR="00EE62F1" w:rsidRDefault="00EE62F1" w:rsidP="009A0165"/>
    <w:p w14:paraId="14026BA7" w14:textId="1ABEB863" w:rsidR="009A0165" w:rsidRPr="00C644C3" w:rsidRDefault="009A0165" w:rsidP="009A0165">
      <w:r w:rsidRPr="00C644C3">
        <w:t xml:space="preserve"> </w:t>
      </w:r>
    </w:p>
    <w:p w14:paraId="3BE8934D" w14:textId="0C73D893" w:rsidR="009A0165" w:rsidRPr="00C644C3" w:rsidRDefault="009A0165" w:rsidP="009A0165">
      <w:bookmarkStart w:id="37" w:name="_Toc199406143"/>
      <w:r w:rsidRPr="00C644C3">
        <w:lastRenderedPageBreak/>
        <w:t xml:space="preserve">Table 3. </w:t>
      </w:r>
      <w:r w:rsidRPr="009A0165">
        <w:rPr>
          <w:i/>
          <w:iCs/>
        </w:rPr>
        <w:t>Statistical differences in accuracy and reaction time for aligned &gt; misaligned conditions of the vertical and horizontal composite faces in Experiment 3.</w:t>
      </w:r>
      <w:bookmarkEnd w:id="37"/>
      <w:r w:rsidRPr="00C644C3">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
        <w:gridCol w:w="2231"/>
        <w:gridCol w:w="989"/>
        <w:gridCol w:w="1134"/>
        <w:gridCol w:w="1276"/>
        <w:gridCol w:w="993"/>
        <w:gridCol w:w="1654"/>
      </w:tblGrid>
      <w:tr w:rsidR="009A0165" w:rsidRPr="00C644C3" w14:paraId="329918D8" w14:textId="77777777" w:rsidTr="00731391">
        <w:trPr>
          <w:trHeight w:val="284"/>
        </w:trPr>
        <w:tc>
          <w:tcPr>
            <w:tcW w:w="1651" w:type="pct"/>
            <w:gridSpan w:val="2"/>
            <w:tcBorders>
              <w:top w:val="single" w:sz="4" w:space="0" w:color="auto"/>
              <w:bottom w:val="single" w:sz="4" w:space="0" w:color="auto"/>
            </w:tcBorders>
            <w:vAlign w:val="center"/>
          </w:tcPr>
          <w:p w14:paraId="6467BC33" w14:textId="77777777" w:rsidR="009A0165" w:rsidRPr="00C644C3" w:rsidRDefault="009A0165" w:rsidP="009A0165"/>
        </w:tc>
        <w:tc>
          <w:tcPr>
            <w:tcW w:w="548" w:type="pct"/>
            <w:tcBorders>
              <w:top w:val="single" w:sz="4" w:space="0" w:color="auto"/>
              <w:bottom w:val="single" w:sz="4" w:space="0" w:color="auto"/>
            </w:tcBorders>
            <w:vAlign w:val="center"/>
          </w:tcPr>
          <w:p w14:paraId="7AABD873" w14:textId="77777777" w:rsidR="009A0165" w:rsidRPr="00C644C3" w:rsidRDefault="009A0165" w:rsidP="009A0165">
            <w:proofErr w:type="spellStart"/>
            <w:r w:rsidRPr="00C644C3">
              <w:t>df</w:t>
            </w:r>
            <w:proofErr w:type="spellEnd"/>
          </w:p>
        </w:tc>
        <w:tc>
          <w:tcPr>
            <w:tcW w:w="628" w:type="pct"/>
            <w:tcBorders>
              <w:top w:val="single" w:sz="4" w:space="0" w:color="auto"/>
              <w:bottom w:val="single" w:sz="4" w:space="0" w:color="auto"/>
            </w:tcBorders>
            <w:vAlign w:val="center"/>
          </w:tcPr>
          <w:p w14:paraId="2D9BB182" w14:textId="77777777" w:rsidR="009A0165" w:rsidRPr="00C644C3" w:rsidRDefault="009A0165" w:rsidP="009A0165">
            <w:r w:rsidRPr="00C644C3">
              <w:t>t</w:t>
            </w:r>
          </w:p>
        </w:tc>
        <w:tc>
          <w:tcPr>
            <w:tcW w:w="707" w:type="pct"/>
            <w:tcBorders>
              <w:top w:val="single" w:sz="4" w:space="0" w:color="auto"/>
              <w:bottom w:val="single" w:sz="4" w:space="0" w:color="auto"/>
            </w:tcBorders>
            <w:vAlign w:val="center"/>
          </w:tcPr>
          <w:p w14:paraId="48F59A46" w14:textId="77777777" w:rsidR="009A0165" w:rsidRPr="00C644C3" w:rsidRDefault="009A0165" w:rsidP="009A0165">
            <w:r w:rsidRPr="00C644C3">
              <w:t>p</w:t>
            </w:r>
          </w:p>
        </w:tc>
        <w:tc>
          <w:tcPr>
            <w:tcW w:w="550" w:type="pct"/>
            <w:tcBorders>
              <w:top w:val="single" w:sz="4" w:space="0" w:color="auto"/>
              <w:bottom w:val="single" w:sz="4" w:space="0" w:color="auto"/>
            </w:tcBorders>
            <w:vAlign w:val="center"/>
          </w:tcPr>
          <w:p w14:paraId="112C454D" w14:textId="77777777" w:rsidR="009A0165" w:rsidRPr="00C644C3" w:rsidRDefault="009A0165" w:rsidP="009A0165">
            <w:proofErr w:type="spellStart"/>
            <w:r w:rsidRPr="00C644C3">
              <w:t>d</w:t>
            </w:r>
            <w:r w:rsidRPr="00C644C3">
              <w:rPr>
                <w:vertAlign w:val="subscript"/>
              </w:rPr>
              <w:t>avg</w:t>
            </w:r>
            <w:proofErr w:type="spellEnd"/>
          </w:p>
        </w:tc>
        <w:tc>
          <w:tcPr>
            <w:tcW w:w="917" w:type="pct"/>
            <w:tcBorders>
              <w:top w:val="single" w:sz="4" w:space="0" w:color="auto"/>
              <w:bottom w:val="single" w:sz="4" w:space="0" w:color="auto"/>
            </w:tcBorders>
          </w:tcPr>
          <w:p w14:paraId="6A6B5497" w14:textId="77777777" w:rsidR="009A0165" w:rsidRPr="00C644C3" w:rsidRDefault="009A0165" w:rsidP="009A0165">
            <w:r w:rsidRPr="00C644C3">
              <w:t>BF</w:t>
            </w:r>
            <w:r w:rsidRPr="00C644C3">
              <w:rPr>
                <w:vertAlign w:val="subscript"/>
              </w:rPr>
              <w:t>10</w:t>
            </w:r>
          </w:p>
        </w:tc>
      </w:tr>
      <w:tr w:rsidR="009A0165" w:rsidRPr="00C644C3" w14:paraId="6674BE2B" w14:textId="77777777" w:rsidTr="00731391">
        <w:trPr>
          <w:trHeight w:val="284"/>
        </w:trPr>
        <w:tc>
          <w:tcPr>
            <w:tcW w:w="1651" w:type="pct"/>
            <w:gridSpan w:val="2"/>
            <w:tcBorders>
              <w:top w:val="single" w:sz="4" w:space="0" w:color="auto"/>
            </w:tcBorders>
            <w:vAlign w:val="center"/>
          </w:tcPr>
          <w:p w14:paraId="365AF734" w14:textId="77777777" w:rsidR="009A0165" w:rsidRPr="00C644C3" w:rsidRDefault="009A0165" w:rsidP="009A0165">
            <w:r w:rsidRPr="00C644C3">
              <w:t xml:space="preserve">Accuracy </w:t>
            </w:r>
          </w:p>
        </w:tc>
        <w:tc>
          <w:tcPr>
            <w:tcW w:w="548" w:type="pct"/>
            <w:tcBorders>
              <w:top w:val="single" w:sz="4" w:space="0" w:color="auto"/>
            </w:tcBorders>
            <w:vAlign w:val="center"/>
          </w:tcPr>
          <w:p w14:paraId="5ACA4C79" w14:textId="77777777" w:rsidR="009A0165" w:rsidRPr="00C644C3" w:rsidRDefault="009A0165" w:rsidP="009A0165"/>
        </w:tc>
        <w:tc>
          <w:tcPr>
            <w:tcW w:w="628" w:type="pct"/>
            <w:tcBorders>
              <w:top w:val="single" w:sz="4" w:space="0" w:color="auto"/>
            </w:tcBorders>
            <w:vAlign w:val="center"/>
          </w:tcPr>
          <w:p w14:paraId="1DE49BD8" w14:textId="77777777" w:rsidR="009A0165" w:rsidRPr="00C644C3" w:rsidRDefault="009A0165" w:rsidP="009A0165"/>
        </w:tc>
        <w:tc>
          <w:tcPr>
            <w:tcW w:w="707" w:type="pct"/>
            <w:tcBorders>
              <w:top w:val="single" w:sz="4" w:space="0" w:color="auto"/>
            </w:tcBorders>
            <w:vAlign w:val="center"/>
          </w:tcPr>
          <w:p w14:paraId="663B77CC" w14:textId="77777777" w:rsidR="009A0165" w:rsidRPr="00C644C3" w:rsidRDefault="009A0165" w:rsidP="009A0165"/>
        </w:tc>
        <w:tc>
          <w:tcPr>
            <w:tcW w:w="550" w:type="pct"/>
            <w:tcBorders>
              <w:top w:val="single" w:sz="4" w:space="0" w:color="auto"/>
            </w:tcBorders>
            <w:vAlign w:val="center"/>
          </w:tcPr>
          <w:p w14:paraId="126FAE25" w14:textId="77777777" w:rsidR="009A0165" w:rsidRPr="00C644C3" w:rsidRDefault="009A0165" w:rsidP="009A0165"/>
        </w:tc>
        <w:tc>
          <w:tcPr>
            <w:tcW w:w="917" w:type="pct"/>
            <w:tcBorders>
              <w:top w:val="single" w:sz="4" w:space="0" w:color="auto"/>
            </w:tcBorders>
          </w:tcPr>
          <w:p w14:paraId="61787D88" w14:textId="77777777" w:rsidR="009A0165" w:rsidRPr="00C644C3" w:rsidRDefault="009A0165" w:rsidP="009A0165"/>
        </w:tc>
      </w:tr>
      <w:tr w:rsidR="009A0165" w:rsidRPr="00C644C3" w14:paraId="7070CE17" w14:textId="77777777" w:rsidTr="00731391">
        <w:trPr>
          <w:trHeight w:val="284"/>
        </w:trPr>
        <w:tc>
          <w:tcPr>
            <w:tcW w:w="415" w:type="pct"/>
            <w:vAlign w:val="center"/>
          </w:tcPr>
          <w:p w14:paraId="27B069D0" w14:textId="77777777" w:rsidR="009A0165" w:rsidRPr="00C644C3" w:rsidRDefault="009A0165" w:rsidP="009A0165"/>
        </w:tc>
        <w:tc>
          <w:tcPr>
            <w:tcW w:w="1236" w:type="pct"/>
            <w:vAlign w:val="center"/>
          </w:tcPr>
          <w:p w14:paraId="35D82382" w14:textId="77777777" w:rsidR="009A0165" w:rsidRPr="00C644C3" w:rsidRDefault="009A0165" w:rsidP="009A0165">
            <w:r w:rsidRPr="00C644C3">
              <w:t>Vertical composite</w:t>
            </w:r>
          </w:p>
        </w:tc>
        <w:tc>
          <w:tcPr>
            <w:tcW w:w="548" w:type="pct"/>
            <w:vAlign w:val="center"/>
          </w:tcPr>
          <w:p w14:paraId="3FD70EFD" w14:textId="77777777" w:rsidR="009A0165" w:rsidRPr="00C644C3" w:rsidRDefault="009A0165" w:rsidP="009A0165">
            <w:r w:rsidRPr="00C644C3">
              <w:t>63</w:t>
            </w:r>
          </w:p>
        </w:tc>
        <w:tc>
          <w:tcPr>
            <w:tcW w:w="628" w:type="pct"/>
            <w:vAlign w:val="center"/>
          </w:tcPr>
          <w:p w14:paraId="3866D4CE" w14:textId="77777777" w:rsidR="009A0165" w:rsidRPr="00C644C3" w:rsidRDefault="009A0165" w:rsidP="009A0165">
            <w:r w:rsidRPr="00C644C3">
              <w:t>4.03</w:t>
            </w:r>
          </w:p>
        </w:tc>
        <w:tc>
          <w:tcPr>
            <w:tcW w:w="707" w:type="pct"/>
            <w:vAlign w:val="center"/>
          </w:tcPr>
          <w:p w14:paraId="5BFEB4F5" w14:textId="77777777" w:rsidR="009A0165" w:rsidRPr="00C644C3" w:rsidRDefault="009A0165" w:rsidP="009A0165">
            <w:r w:rsidRPr="00C644C3">
              <w:t>&lt;.001</w:t>
            </w:r>
          </w:p>
        </w:tc>
        <w:tc>
          <w:tcPr>
            <w:tcW w:w="550" w:type="pct"/>
            <w:vAlign w:val="center"/>
          </w:tcPr>
          <w:p w14:paraId="5570F7D7" w14:textId="77777777" w:rsidR="009A0165" w:rsidRPr="00C644C3" w:rsidRDefault="009A0165" w:rsidP="009A0165">
            <w:r w:rsidRPr="00C644C3">
              <w:t>0.14</w:t>
            </w:r>
          </w:p>
        </w:tc>
        <w:tc>
          <w:tcPr>
            <w:tcW w:w="917" w:type="pct"/>
          </w:tcPr>
          <w:p w14:paraId="69E0CEF7" w14:textId="77777777" w:rsidR="009A0165" w:rsidRPr="00C644C3" w:rsidRDefault="009A0165" w:rsidP="009A0165">
            <w:r w:rsidRPr="00C644C3">
              <w:t>&gt;100</w:t>
            </w:r>
          </w:p>
        </w:tc>
      </w:tr>
      <w:tr w:rsidR="009A0165" w:rsidRPr="00C644C3" w14:paraId="0BF2F7E2" w14:textId="77777777" w:rsidTr="00731391">
        <w:trPr>
          <w:trHeight w:val="284"/>
        </w:trPr>
        <w:tc>
          <w:tcPr>
            <w:tcW w:w="415" w:type="pct"/>
            <w:vAlign w:val="center"/>
          </w:tcPr>
          <w:p w14:paraId="329F4BEE" w14:textId="77777777" w:rsidR="009A0165" w:rsidRPr="00C644C3" w:rsidRDefault="009A0165" w:rsidP="009A0165"/>
        </w:tc>
        <w:tc>
          <w:tcPr>
            <w:tcW w:w="1236" w:type="pct"/>
            <w:vAlign w:val="center"/>
          </w:tcPr>
          <w:p w14:paraId="2430C1CE" w14:textId="77777777" w:rsidR="009A0165" w:rsidRPr="00C644C3" w:rsidRDefault="009A0165" w:rsidP="009A0165">
            <w:r w:rsidRPr="00C644C3">
              <w:t>Horizontal composite</w:t>
            </w:r>
          </w:p>
        </w:tc>
        <w:tc>
          <w:tcPr>
            <w:tcW w:w="548" w:type="pct"/>
            <w:vAlign w:val="center"/>
          </w:tcPr>
          <w:p w14:paraId="7D87B53A" w14:textId="77777777" w:rsidR="009A0165" w:rsidRPr="00C644C3" w:rsidRDefault="009A0165" w:rsidP="009A0165">
            <w:r w:rsidRPr="00C644C3">
              <w:t>63</w:t>
            </w:r>
          </w:p>
        </w:tc>
        <w:tc>
          <w:tcPr>
            <w:tcW w:w="628" w:type="pct"/>
            <w:vAlign w:val="center"/>
          </w:tcPr>
          <w:p w14:paraId="5A407784" w14:textId="77777777" w:rsidR="009A0165" w:rsidRPr="00C644C3" w:rsidRDefault="009A0165" w:rsidP="009A0165">
            <w:r w:rsidRPr="00C644C3">
              <w:t>4.53</w:t>
            </w:r>
          </w:p>
        </w:tc>
        <w:tc>
          <w:tcPr>
            <w:tcW w:w="707" w:type="pct"/>
            <w:vAlign w:val="center"/>
          </w:tcPr>
          <w:p w14:paraId="7635F01F" w14:textId="77777777" w:rsidR="009A0165" w:rsidRPr="00C644C3" w:rsidRDefault="009A0165" w:rsidP="009A0165">
            <w:r w:rsidRPr="00C644C3">
              <w:t>&lt;.001</w:t>
            </w:r>
          </w:p>
        </w:tc>
        <w:tc>
          <w:tcPr>
            <w:tcW w:w="550" w:type="pct"/>
            <w:vAlign w:val="center"/>
          </w:tcPr>
          <w:p w14:paraId="0E49C80E" w14:textId="77777777" w:rsidR="009A0165" w:rsidRPr="00C644C3" w:rsidRDefault="009A0165" w:rsidP="009A0165">
            <w:r w:rsidRPr="00C644C3">
              <w:t>0.38</w:t>
            </w:r>
          </w:p>
        </w:tc>
        <w:tc>
          <w:tcPr>
            <w:tcW w:w="917" w:type="pct"/>
          </w:tcPr>
          <w:p w14:paraId="3F8C7F0D" w14:textId="77777777" w:rsidR="009A0165" w:rsidRPr="00C644C3" w:rsidRDefault="009A0165" w:rsidP="009A0165">
            <w:r w:rsidRPr="00C644C3">
              <w:t>&gt;100</w:t>
            </w:r>
          </w:p>
        </w:tc>
      </w:tr>
      <w:tr w:rsidR="009A0165" w:rsidRPr="00C644C3" w14:paraId="1361D6D3" w14:textId="77777777" w:rsidTr="00731391">
        <w:trPr>
          <w:trHeight w:val="284"/>
        </w:trPr>
        <w:tc>
          <w:tcPr>
            <w:tcW w:w="1651" w:type="pct"/>
            <w:gridSpan w:val="2"/>
            <w:vAlign w:val="center"/>
          </w:tcPr>
          <w:p w14:paraId="031C4AA2" w14:textId="77777777" w:rsidR="009A0165" w:rsidRPr="00C644C3" w:rsidRDefault="009A0165" w:rsidP="009A0165">
            <w:r w:rsidRPr="00C644C3">
              <w:t xml:space="preserve">Reaction Time </w:t>
            </w:r>
          </w:p>
        </w:tc>
        <w:tc>
          <w:tcPr>
            <w:tcW w:w="548" w:type="pct"/>
            <w:vAlign w:val="center"/>
          </w:tcPr>
          <w:p w14:paraId="6F67DECC" w14:textId="77777777" w:rsidR="009A0165" w:rsidRPr="00C644C3" w:rsidRDefault="009A0165" w:rsidP="009A0165"/>
        </w:tc>
        <w:tc>
          <w:tcPr>
            <w:tcW w:w="628" w:type="pct"/>
            <w:vAlign w:val="center"/>
          </w:tcPr>
          <w:p w14:paraId="7EDB2FEB" w14:textId="77777777" w:rsidR="009A0165" w:rsidRPr="00C644C3" w:rsidRDefault="009A0165" w:rsidP="009A0165"/>
        </w:tc>
        <w:tc>
          <w:tcPr>
            <w:tcW w:w="707" w:type="pct"/>
            <w:vAlign w:val="center"/>
          </w:tcPr>
          <w:p w14:paraId="39CA4C39" w14:textId="77777777" w:rsidR="009A0165" w:rsidRPr="00C644C3" w:rsidRDefault="009A0165" w:rsidP="009A0165"/>
        </w:tc>
        <w:tc>
          <w:tcPr>
            <w:tcW w:w="550" w:type="pct"/>
            <w:vAlign w:val="center"/>
          </w:tcPr>
          <w:p w14:paraId="20DAF84E" w14:textId="77777777" w:rsidR="009A0165" w:rsidRPr="00C644C3" w:rsidRDefault="009A0165" w:rsidP="009A0165"/>
        </w:tc>
        <w:tc>
          <w:tcPr>
            <w:tcW w:w="917" w:type="pct"/>
          </w:tcPr>
          <w:p w14:paraId="0B749AC3" w14:textId="77777777" w:rsidR="009A0165" w:rsidRPr="00C644C3" w:rsidRDefault="009A0165" w:rsidP="009A0165"/>
        </w:tc>
      </w:tr>
      <w:tr w:rsidR="009A0165" w:rsidRPr="00C644C3" w14:paraId="4A5779C9" w14:textId="77777777" w:rsidTr="00731391">
        <w:trPr>
          <w:trHeight w:val="284"/>
        </w:trPr>
        <w:tc>
          <w:tcPr>
            <w:tcW w:w="415" w:type="pct"/>
            <w:vAlign w:val="center"/>
          </w:tcPr>
          <w:p w14:paraId="2B7B2808" w14:textId="77777777" w:rsidR="009A0165" w:rsidRPr="00C644C3" w:rsidRDefault="009A0165" w:rsidP="009A0165"/>
        </w:tc>
        <w:tc>
          <w:tcPr>
            <w:tcW w:w="1236" w:type="pct"/>
            <w:vAlign w:val="center"/>
          </w:tcPr>
          <w:p w14:paraId="2EBB8A68" w14:textId="77777777" w:rsidR="009A0165" w:rsidRPr="00C644C3" w:rsidRDefault="009A0165" w:rsidP="009A0165">
            <w:r w:rsidRPr="00C644C3">
              <w:t>Vertical composite</w:t>
            </w:r>
          </w:p>
        </w:tc>
        <w:tc>
          <w:tcPr>
            <w:tcW w:w="548" w:type="pct"/>
            <w:vAlign w:val="center"/>
          </w:tcPr>
          <w:p w14:paraId="6BB986E7" w14:textId="77777777" w:rsidR="009A0165" w:rsidRPr="00C644C3" w:rsidRDefault="009A0165" w:rsidP="009A0165">
            <w:r w:rsidRPr="00C644C3">
              <w:t>63</w:t>
            </w:r>
          </w:p>
        </w:tc>
        <w:tc>
          <w:tcPr>
            <w:tcW w:w="628" w:type="pct"/>
            <w:vAlign w:val="center"/>
          </w:tcPr>
          <w:p w14:paraId="477944ED" w14:textId="77777777" w:rsidR="009A0165" w:rsidRPr="00C644C3" w:rsidRDefault="009A0165" w:rsidP="009A0165">
            <w:r w:rsidRPr="00C644C3">
              <w:t>3.30</w:t>
            </w:r>
          </w:p>
        </w:tc>
        <w:tc>
          <w:tcPr>
            <w:tcW w:w="707" w:type="pct"/>
            <w:vAlign w:val="center"/>
          </w:tcPr>
          <w:p w14:paraId="12561F6D" w14:textId="77777777" w:rsidR="009A0165" w:rsidRPr="00C644C3" w:rsidRDefault="009A0165" w:rsidP="009A0165">
            <w:r w:rsidRPr="00C644C3">
              <w:t>.002</w:t>
            </w:r>
          </w:p>
        </w:tc>
        <w:tc>
          <w:tcPr>
            <w:tcW w:w="550" w:type="pct"/>
            <w:vAlign w:val="center"/>
          </w:tcPr>
          <w:p w14:paraId="0D005E96" w14:textId="77777777" w:rsidR="009A0165" w:rsidRPr="00C644C3" w:rsidRDefault="009A0165" w:rsidP="009A0165">
            <w:r w:rsidRPr="00C644C3">
              <w:t>0.18</w:t>
            </w:r>
          </w:p>
        </w:tc>
        <w:tc>
          <w:tcPr>
            <w:tcW w:w="917" w:type="pct"/>
          </w:tcPr>
          <w:p w14:paraId="623946A1" w14:textId="77777777" w:rsidR="009A0165" w:rsidRPr="00C644C3" w:rsidRDefault="009A0165" w:rsidP="009A0165">
            <w:r w:rsidRPr="00C644C3">
              <w:t>34.72</w:t>
            </w:r>
          </w:p>
        </w:tc>
      </w:tr>
      <w:tr w:rsidR="009A0165" w:rsidRPr="00C644C3" w14:paraId="2C03FD5E" w14:textId="77777777" w:rsidTr="00731391">
        <w:trPr>
          <w:trHeight w:val="284"/>
        </w:trPr>
        <w:tc>
          <w:tcPr>
            <w:tcW w:w="415" w:type="pct"/>
            <w:vAlign w:val="center"/>
          </w:tcPr>
          <w:p w14:paraId="18E7F20F" w14:textId="77777777" w:rsidR="009A0165" w:rsidRPr="00C644C3" w:rsidRDefault="009A0165" w:rsidP="009A0165"/>
        </w:tc>
        <w:tc>
          <w:tcPr>
            <w:tcW w:w="1236" w:type="pct"/>
            <w:vAlign w:val="center"/>
          </w:tcPr>
          <w:p w14:paraId="153DDB5B" w14:textId="77777777" w:rsidR="009A0165" w:rsidRPr="00C644C3" w:rsidRDefault="009A0165" w:rsidP="009A0165">
            <w:r w:rsidRPr="00C644C3">
              <w:t>Horizontal composite</w:t>
            </w:r>
          </w:p>
        </w:tc>
        <w:tc>
          <w:tcPr>
            <w:tcW w:w="548" w:type="pct"/>
            <w:vAlign w:val="center"/>
          </w:tcPr>
          <w:p w14:paraId="0114E47D" w14:textId="77777777" w:rsidR="009A0165" w:rsidRPr="00C644C3" w:rsidRDefault="009A0165" w:rsidP="009A0165">
            <w:r w:rsidRPr="00C644C3">
              <w:t>63</w:t>
            </w:r>
          </w:p>
        </w:tc>
        <w:tc>
          <w:tcPr>
            <w:tcW w:w="628" w:type="pct"/>
            <w:vAlign w:val="center"/>
          </w:tcPr>
          <w:p w14:paraId="198E4C41" w14:textId="77777777" w:rsidR="009A0165" w:rsidRPr="00C644C3" w:rsidRDefault="009A0165" w:rsidP="009A0165">
            <w:r w:rsidRPr="00C644C3">
              <w:t>2.75</w:t>
            </w:r>
          </w:p>
        </w:tc>
        <w:tc>
          <w:tcPr>
            <w:tcW w:w="707" w:type="pct"/>
            <w:vAlign w:val="center"/>
          </w:tcPr>
          <w:p w14:paraId="03101FFA" w14:textId="77777777" w:rsidR="009A0165" w:rsidRPr="00C644C3" w:rsidRDefault="009A0165" w:rsidP="009A0165">
            <w:r w:rsidRPr="00C644C3">
              <w:t>.004</w:t>
            </w:r>
          </w:p>
        </w:tc>
        <w:tc>
          <w:tcPr>
            <w:tcW w:w="550" w:type="pct"/>
            <w:vAlign w:val="center"/>
          </w:tcPr>
          <w:p w14:paraId="1CA767F1" w14:textId="77777777" w:rsidR="009A0165" w:rsidRPr="00C644C3" w:rsidRDefault="009A0165" w:rsidP="009A0165">
            <w:r w:rsidRPr="00C644C3">
              <w:t>0.17</w:t>
            </w:r>
          </w:p>
        </w:tc>
        <w:tc>
          <w:tcPr>
            <w:tcW w:w="917" w:type="pct"/>
          </w:tcPr>
          <w:p w14:paraId="5D4B4787" w14:textId="77777777" w:rsidR="009A0165" w:rsidRPr="00C644C3" w:rsidRDefault="009A0165" w:rsidP="009A0165">
            <w:r w:rsidRPr="00C644C3">
              <w:t>8.51</w:t>
            </w:r>
          </w:p>
        </w:tc>
      </w:tr>
    </w:tbl>
    <w:p w14:paraId="301BCFEC" w14:textId="77777777" w:rsidR="009A0165" w:rsidRPr="00C644C3" w:rsidRDefault="009A0165" w:rsidP="009A0165"/>
    <w:p w14:paraId="3604633B" w14:textId="4D5E07E6" w:rsidR="009A0165" w:rsidRPr="00C644C3" w:rsidRDefault="009A0165" w:rsidP="009A0165">
      <w:r w:rsidRPr="00C644C3">
        <w:t>As described in Experiment 1, accuracy and reaction time measures were integrated into BIS. These showed the same effects of alignment as reported for non-integrated measures (</w:t>
      </w:r>
      <w:r w:rsidRPr="00C644C3">
        <w:rPr>
          <w:i/>
          <w:iCs/>
        </w:rPr>
        <w:t xml:space="preserve">p </w:t>
      </w:r>
      <w:r w:rsidRPr="00C644C3">
        <w:t xml:space="preserve">&lt; .001). Descriptive statistics and results for this comparison are reported in </w:t>
      </w:r>
      <w:r w:rsidR="006F1FB4">
        <w:t>Suppl.</w:t>
      </w:r>
      <w:r w:rsidRPr="00C644C3">
        <w:t xml:space="preserve"> Tables </w:t>
      </w:r>
      <w:r w:rsidR="006F1FB4">
        <w:t>3</w:t>
      </w:r>
      <w:r w:rsidRPr="00C644C3">
        <w:t xml:space="preserve"> &amp; </w:t>
      </w:r>
      <w:r w:rsidR="006F1FB4">
        <w:t>4</w:t>
      </w:r>
      <w:r w:rsidRPr="00C644C3">
        <w:t>. BIS were again used to provide a comparison of CFE size between vertical and horizontal composites with standard and Bayesian statistics. This comparison showed that the size of the CFE for BIS was not significantly different between vertical (</w:t>
      </w:r>
      <w:r w:rsidRPr="00C644C3">
        <w:rPr>
          <w:i/>
          <w:iCs/>
        </w:rPr>
        <w:t>M</w:t>
      </w:r>
      <w:r w:rsidRPr="00C644C3">
        <w:t xml:space="preserve"> = 0.35, </w:t>
      </w:r>
      <w:r w:rsidRPr="00C644C3">
        <w:rPr>
          <w:i/>
          <w:iCs/>
        </w:rPr>
        <w:t>SD</w:t>
      </w:r>
      <w:r w:rsidRPr="00C644C3">
        <w:t xml:space="preserve"> = 0.51) and horizontal (</w:t>
      </w:r>
      <w:r w:rsidRPr="00C644C3">
        <w:rPr>
          <w:i/>
          <w:iCs/>
        </w:rPr>
        <w:t>M</w:t>
      </w:r>
      <w:r w:rsidRPr="00C644C3">
        <w:t xml:space="preserve"> = 0.42, </w:t>
      </w:r>
      <w:r w:rsidRPr="00C644C3">
        <w:rPr>
          <w:i/>
          <w:iCs/>
        </w:rPr>
        <w:t>SD</w:t>
      </w:r>
      <w:r w:rsidRPr="00C644C3">
        <w:t xml:space="preserve"> = 0.65) composites </w:t>
      </w:r>
      <w:r w:rsidRPr="00C644C3">
        <w:rPr>
          <w:rFonts w:eastAsia="Times New Roman"/>
          <w:kern w:val="0"/>
          <w14:ligatures w14:val="none"/>
        </w:rPr>
        <w:t>[</w:t>
      </w:r>
      <w:proofErr w:type="gramStart"/>
      <w:r w:rsidRPr="00C644C3">
        <w:rPr>
          <w:rFonts w:eastAsia="Times New Roman"/>
          <w:i/>
          <w:iCs/>
          <w:kern w:val="0"/>
          <w14:ligatures w14:val="none"/>
        </w:rPr>
        <w:t>t</w:t>
      </w:r>
      <w:r w:rsidRPr="00C644C3">
        <w:rPr>
          <w:rFonts w:eastAsia="Times New Roman"/>
          <w:kern w:val="0"/>
          <w14:ligatures w14:val="none"/>
        </w:rPr>
        <w:t>(</w:t>
      </w:r>
      <w:proofErr w:type="gramEnd"/>
      <w:r w:rsidRPr="00C644C3">
        <w:rPr>
          <w:rFonts w:eastAsia="Times New Roman"/>
          <w:kern w:val="0"/>
          <w14:ligatures w14:val="none"/>
        </w:rPr>
        <w:t xml:space="preserve">63) = 0.72, </w:t>
      </w:r>
      <w:r w:rsidRPr="00C644C3">
        <w:rPr>
          <w:rFonts w:eastAsia="Times New Roman"/>
          <w:i/>
          <w:iCs/>
          <w:kern w:val="0"/>
          <w14:ligatures w14:val="none"/>
        </w:rPr>
        <w:t>p</w:t>
      </w:r>
      <w:r w:rsidRPr="00C644C3">
        <w:rPr>
          <w:rFonts w:eastAsia="Times New Roman"/>
          <w:kern w:val="0"/>
          <w14:ligatures w14:val="none"/>
        </w:rPr>
        <w:t xml:space="preserve"> = .474]</w:t>
      </w:r>
      <w:r w:rsidRPr="00C644C3">
        <w:t>.  There was weak evidence in favour of a lack of difference between vertical and horizontal composites (BF</w:t>
      </w:r>
      <w:r w:rsidRPr="00C644C3">
        <w:rPr>
          <w:vertAlign w:val="subscript"/>
        </w:rPr>
        <w:t>01</w:t>
      </w:r>
      <w:r w:rsidRPr="00C644C3">
        <w:t xml:space="preserve"> = 1.76). Comparison of CFE size was also calculated for accuracy and reaction time measures independently, showing no significant differences between composite division directions (</w:t>
      </w:r>
      <w:r w:rsidRPr="00C644C3">
        <w:rPr>
          <w:i/>
          <w:iCs/>
        </w:rPr>
        <w:t xml:space="preserve">p </w:t>
      </w:r>
      <w:r w:rsidRPr="00C644C3">
        <w:t xml:space="preserve">&gt; .179) Descriptive statistics and results from these comparisons are reported in </w:t>
      </w:r>
      <w:r w:rsidR="006F1FB4">
        <w:t xml:space="preserve">Suppl. </w:t>
      </w:r>
      <w:r w:rsidRPr="00C644C3">
        <w:t xml:space="preserve"> Tables </w:t>
      </w:r>
      <w:r w:rsidR="006F1FB4">
        <w:t>5</w:t>
      </w:r>
      <w:r w:rsidRPr="00C644C3">
        <w:t xml:space="preserve"> &amp; </w:t>
      </w:r>
      <w:r w:rsidR="006F1FB4">
        <w:t>6</w:t>
      </w:r>
      <w:r w:rsidRPr="00C644C3">
        <w:t>.</w:t>
      </w:r>
    </w:p>
    <w:p w14:paraId="615FA7BF" w14:textId="77777777" w:rsidR="009A0165" w:rsidRPr="00C644C3" w:rsidRDefault="009A0165" w:rsidP="009A0165">
      <w:r w:rsidRPr="00C644C3">
        <w:t>To determine if there was an effect of attending to specific halves of the face, we compared BIS CFE sizes between Experiments 2 and 3 using standard and Bayesian statistics. For vertical composites (</w:t>
      </w:r>
      <w:proofErr w:type="spellStart"/>
      <w:r w:rsidRPr="00C644C3">
        <w:t>Expt</w:t>
      </w:r>
      <w:proofErr w:type="spellEnd"/>
      <w:r w:rsidRPr="00C644C3">
        <w:t xml:space="preserve"> 2 </w:t>
      </w:r>
      <w:r w:rsidRPr="00C644C3">
        <w:rPr>
          <w:i/>
          <w:iCs/>
        </w:rPr>
        <w:t>M</w:t>
      </w:r>
      <w:r w:rsidRPr="00C644C3">
        <w:t xml:space="preserve"> = </w:t>
      </w:r>
      <w:r w:rsidRPr="00C644C3">
        <w:rPr>
          <w:i/>
          <w:iCs/>
        </w:rPr>
        <w:t>M</w:t>
      </w:r>
      <w:r w:rsidRPr="00C644C3">
        <w:t xml:space="preserve"> = 0.47, </w:t>
      </w:r>
      <w:r w:rsidRPr="00C644C3">
        <w:rPr>
          <w:i/>
          <w:iCs/>
        </w:rPr>
        <w:t>SD</w:t>
      </w:r>
      <w:r w:rsidRPr="00C644C3">
        <w:t xml:space="preserve"> = 0.99; </w:t>
      </w:r>
      <w:proofErr w:type="spellStart"/>
      <w:r w:rsidRPr="00C644C3">
        <w:t>Expt</w:t>
      </w:r>
      <w:proofErr w:type="spellEnd"/>
      <w:r w:rsidRPr="00C644C3">
        <w:t xml:space="preserve"> 3 </w:t>
      </w:r>
      <w:r w:rsidRPr="00C644C3">
        <w:rPr>
          <w:i/>
          <w:iCs/>
        </w:rPr>
        <w:t>M</w:t>
      </w:r>
      <w:r w:rsidRPr="00C644C3">
        <w:t xml:space="preserve"> = 0.35, </w:t>
      </w:r>
      <w:r w:rsidRPr="00C644C3">
        <w:rPr>
          <w:i/>
          <w:iCs/>
        </w:rPr>
        <w:t>SD</w:t>
      </w:r>
      <w:r w:rsidRPr="00C644C3">
        <w:t xml:space="preserve"> = 0.51), there were no significant differences in BIS CFE size between experiments [</w:t>
      </w:r>
      <w:proofErr w:type="gramStart"/>
      <w:r w:rsidRPr="00C644C3">
        <w:rPr>
          <w:i/>
          <w:iCs/>
        </w:rPr>
        <w:t>t</w:t>
      </w:r>
      <w:r w:rsidRPr="00C644C3">
        <w:t>(</w:t>
      </w:r>
      <w:proofErr w:type="gramEnd"/>
      <w:r w:rsidRPr="00C644C3">
        <w:t xml:space="preserve">126) = 0.86, </w:t>
      </w:r>
      <w:r w:rsidRPr="00C644C3">
        <w:rPr>
          <w:i/>
          <w:iCs/>
        </w:rPr>
        <w:t>p</w:t>
      </w:r>
      <w:r w:rsidRPr="00C644C3">
        <w:t xml:space="preserve"> = .394], with weak evidence in favour of a lack of CFE size difference between experiments (BF</w:t>
      </w:r>
      <w:r w:rsidRPr="00C644C3">
        <w:rPr>
          <w:vertAlign w:val="subscript"/>
        </w:rPr>
        <w:t>01</w:t>
      </w:r>
      <w:r w:rsidRPr="00C644C3">
        <w:t xml:space="preserve"> = 2.63). However, Horizontal composites (</w:t>
      </w:r>
      <w:proofErr w:type="spellStart"/>
      <w:r w:rsidRPr="00C644C3">
        <w:t>Expt</w:t>
      </w:r>
      <w:proofErr w:type="spellEnd"/>
      <w:r w:rsidRPr="00C644C3">
        <w:t xml:space="preserve"> 2 </w:t>
      </w:r>
      <w:r w:rsidRPr="00C644C3">
        <w:rPr>
          <w:i/>
          <w:iCs/>
        </w:rPr>
        <w:t>M</w:t>
      </w:r>
      <w:r w:rsidRPr="00C644C3">
        <w:t xml:space="preserve"> = 0.78, </w:t>
      </w:r>
      <w:r w:rsidRPr="00C644C3">
        <w:rPr>
          <w:i/>
          <w:iCs/>
        </w:rPr>
        <w:t>SD</w:t>
      </w:r>
      <w:r w:rsidRPr="00C644C3">
        <w:t xml:space="preserve"> = 1.15; </w:t>
      </w:r>
      <w:proofErr w:type="spellStart"/>
      <w:r w:rsidRPr="00C644C3">
        <w:t>Expt</w:t>
      </w:r>
      <w:proofErr w:type="spellEnd"/>
      <w:r w:rsidRPr="00C644C3">
        <w:t xml:space="preserve"> 3 </w:t>
      </w:r>
      <w:r w:rsidRPr="00C644C3">
        <w:rPr>
          <w:i/>
          <w:iCs/>
        </w:rPr>
        <w:t>M</w:t>
      </w:r>
      <w:r w:rsidRPr="00C644C3">
        <w:t xml:space="preserve"> = 0.42, </w:t>
      </w:r>
      <w:r w:rsidRPr="00C644C3">
        <w:rPr>
          <w:i/>
          <w:iCs/>
        </w:rPr>
        <w:t>SD</w:t>
      </w:r>
      <w:r w:rsidRPr="00C644C3">
        <w:t xml:space="preserve"> = 0.65) showed a greater BIS CFE size when judgments were focused on upper halves than lower halves [</w:t>
      </w:r>
      <w:proofErr w:type="gramStart"/>
      <w:r w:rsidRPr="00C644C3">
        <w:rPr>
          <w:i/>
          <w:iCs/>
        </w:rPr>
        <w:t>t</w:t>
      </w:r>
      <w:r w:rsidRPr="00C644C3">
        <w:t>(</w:t>
      </w:r>
      <w:proofErr w:type="gramEnd"/>
      <w:r w:rsidRPr="00C644C3">
        <w:t xml:space="preserve">126) = 2.21, </w:t>
      </w:r>
      <w:r w:rsidRPr="00C644C3">
        <w:rPr>
          <w:i/>
          <w:iCs/>
        </w:rPr>
        <w:t>p</w:t>
      </w:r>
      <w:r w:rsidRPr="00C644C3">
        <w:t xml:space="preserve"> = .029, </w:t>
      </w:r>
      <w:r w:rsidRPr="00C644C3">
        <w:rPr>
          <w:i/>
          <w:iCs/>
        </w:rPr>
        <w:t xml:space="preserve">d </w:t>
      </w:r>
      <w:r w:rsidRPr="00C644C3">
        <w:t>= 0.39], with weak evidence in favour of a difference in CFE size between experiments (BF</w:t>
      </w:r>
      <w:r w:rsidRPr="00C644C3">
        <w:rPr>
          <w:vertAlign w:val="subscript"/>
        </w:rPr>
        <w:t>10</w:t>
      </w:r>
      <w:r w:rsidRPr="00C644C3">
        <w:t xml:space="preserve"> = 1.68). </w:t>
      </w:r>
      <w:r w:rsidRPr="00C644C3">
        <w:br w:type="page"/>
      </w:r>
    </w:p>
    <w:p w14:paraId="2DB33802" w14:textId="423EBF0B" w:rsidR="009A0165" w:rsidRPr="00C644C3" w:rsidRDefault="009A0165" w:rsidP="006F1FB4">
      <w:pPr>
        <w:pStyle w:val="Heading1"/>
      </w:pPr>
      <w:bookmarkStart w:id="38" w:name="_Toc198559630"/>
      <w:bookmarkStart w:id="39" w:name="_Toc198648767"/>
      <w:bookmarkStart w:id="40" w:name="_Toc198648855"/>
      <w:bookmarkStart w:id="41" w:name="_Toc199406047"/>
      <w:r w:rsidRPr="00C644C3">
        <w:lastRenderedPageBreak/>
        <w:t>Experiment 4</w:t>
      </w:r>
      <w:bookmarkEnd w:id="38"/>
      <w:bookmarkEnd w:id="39"/>
      <w:bookmarkEnd w:id="40"/>
      <w:bookmarkEnd w:id="41"/>
    </w:p>
    <w:p w14:paraId="4F787499" w14:textId="77777777" w:rsidR="009A0165" w:rsidRPr="00C644C3" w:rsidRDefault="009A0165" w:rsidP="009A0165">
      <w:r w:rsidRPr="00C644C3">
        <w:t>In all the previous experiments, a vertical CFE was evident when participants were instructed to attend to either the left or the right half of the composite. An indication of automatic processing is that it requires only limited attentional resources (Schneider &amp; Shiffrin, 1977; Shiffrin 1988). In Experiment 4, we asked whether attention to a face half was necessary for the production of the vertical CFE or whether the CFE occurs automatically in the absence of attention.</w:t>
      </w:r>
    </w:p>
    <w:p w14:paraId="5B1E038C" w14:textId="77777777" w:rsidR="009A0165" w:rsidRPr="00C644C3" w:rsidRDefault="009A0165" w:rsidP="009A0165">
      <w:r w:rsidRPr="00C644C3">
        <w:t xml:space="preserve">Automaticity in face processing can be determined by the extent to which the attentional demands of a relevant task influence the processing of a facial image (Palermo &amp; Rhodes, 2007; Yan, Young, &amp; Andrews, 2017). Evidence of automaticity can be found in studies showing that an irrelevant face can influence the ability to categorise a name, based on whether it is congruent or incongruent with the correct response (Jenkins, Lavie, &amp; Driver, 2003; Lavie, Ro, &amp; Russell, 2003). However, other studies have shown that the ability to discriminate faces can be affected by attention (Palermo &amp; Rhodes, 2002; Reinitz, Morrissey, &amp; Demb, 1994), indicating that this process may not be fully automatic. </w:t>
      </w:r>
    </w:p>
    <w:p w14:paraId="297AF644" w14:textId="77777777" w:rsidR="009A0165" w:rsidRPr="00C644C3" w:rsidRDefault="009A0165" w:rsidP="009A0165">
      <w:r w:rsidRPr="00C644C3">
        <w:t xml:space="preserve">Holistic integration is commonly assumed to be automatic (Murphy </w:t>
      </w:r>
      <w:r w:rsidRPr="00EC53A1">
        <w:rPr>
          <w:i/>
          <w:iCs/>
        </w:rPr>
        <w:t>et al.</w:t>
      </w:r>
      <w:r w:rsidRPr="00C644C3">
        <w:t xml:space="preserve">, 2017). Our final experiment tested the automaticity of the CFE as a marker of holistic integration in vertical and horizontal composites. In contrast to the previous experiments in this study, participants were not instructed to attend to a particular face half. Rather, participants had to indicate which half of the face was familiar. Here, our aim was to determine if the CFE was evident in the absence of attention directed to one half of the face. If holistic integration is automatic, we predicted that a CFE would still be evident. </w:t>
      </w:r>
    </w:p>
    <w:p w14:paraId="6D465176" w14:textId="074335EF" w:rsidR="009A0165" w:rsidRPr="00C644C3" w:rsidRDefault="009A0165" w:rsidP="009A0165">
      <w:pPr>
        <w:pStyle w:val="Heading2"/>
      </w:pPr>
      <w:bookmarkStart w:id="42" w:name="_Toc199406048"/>
      <w:r w:rsidRPr="00C644C3">
        <w:t>Materials and Methods</w:t>
      </w:r>
      <w:bookmarkEnd w:id="42"/>
    </w:p>
    <w:p w14:paraId="3DB01600" w14:textId="3878B484" w:rsidR="009A0165" w:rsidRPr="00C644C3" w:rsidRDefault="009A0165" w:rsidP="009A0165">
      <w:pPr>
        <w:pStyle w:val="Heading3"/>
      </w:pPr>
      <w:bookmarkStart w:id="43" w:name="_Toc199406049"/>
      <w:r w:rsidRPr="00C644C3">
        <w:t>Participants</w:t>
      </w:r>
      <w:bookmarkEnd w:id="43"/>
    </w:p>
    <w:p w14:paraId="2748DAD7" w14:textId="77777777" w:rsidR="009A0165" w:rsidRPr="00C644C3" w:rsidRDefault="009A0165" w:rsidP="009A0165">
      <w:r w:rsidRPr="00C644C3">
        <w:t xml:space="preserve">66 participants were recruited for this experiment, although 2 were excluded due to insufficient familiarity with the celebrity faces used (&lt;50%). The remaining 64 right-handed (mean laterality quotient = 74.9, </w:t>
      </w:r>
      <w:r w:rsidRPr="00C644C3">
        <w:rPr>
          <w:i/>
          <w:iCs/>
        </w:rPr>
        <w:t>SD</w:t>
      </w:r>
      <w:r w:rsidRPr="00C644C3">
        <w:t xml:space="preserve"> = 16.1) participants (49 female, mean age = 19.8, </w:t>
      </w:r>
      <w:r w:rsidRPr="00C644C3">
        <w:rPr>
          <w:i/>
          <w:iCs/>
        </w:rPr>
        <w:t>SD</w:t>
      </w:r>
      <w:r w:rsidRPr="00C644C3">
        <w:t xml:space="preserve"> = 1.4, range = 18 - 22) were randomly divided into eight counterbalancing groups (counterbalanced by: block ordering (vertically divided first, horizontally divided first); input hand use (left, right); and composite half alignment condition (set 1 – e.g., Boris Johnson: right half aligned, left half misaligned; set 2 – e.g., Boris Johnson: right half misaligned, left half aligned)).</w:t>
      </w:r>
    </w:p>
    <w:p w14:paraId="31001F9B" w14:textId="2EF878C8" w:rsidR="009A0165" w:rsidRPr="00C644C3" w:rsidRDefault="009A0165" w:rsidP="009A0165">
      <w:pPr>
        <w:pStyle w:val="Heading3"/>
      </w:pPr>
      <w:bookmarkStart w:id="44" w:name="_Toc199406050"/>
      <w:r w:rsidRPr="00C644C3">
        <w:lastRenderedPageBreak/>
        <w:t>Stimuli</w:t>
      </w:r>
      <w:bookmarkEnd w:id="44"/>
    </w:p>
    <w:p w14:paraId="6CC94B4E" w14:textId="77777777" w:rsidR="009A0165" w:rsidRPr="00C644C3" w:rsidRDefault="009A0165" w:rsidP="009A0165">
      <w:r w:rsidRPr="00C644C3">
        <w:t>The same stimuli used in the previous experiments were re-used in Experiment 4.</w:t>
      </w:r>
    </w:p>
    <w:p w14:paraId="015AF2EA" w14:textId="0458A45D" w:rsidR="009A0165" w:rsidRPr="00C644C3" w:rsidRDefault="009A0165" w:rsidP="009A0165">
      <w:pPr>
        <w:pStyle w:val="Heading3"/>
      </w:pPr>
      <w:bookmarkStart w:id="45" w:name="_Toc199406051"/>
      <w:r w:rsidRPr="00C644C3">
        <w:t>Procedure</w:t>
      </w:r>
      <w:bookmarkEnd w:id="45"/>
    </w:p>
    <w:p w14:paraId="1925ACFD" w14:textId="77777777" w:rsidR="009A0165" w:rsidRPr="00C644C3" w:rsidRDefault="009A0165" w:rsidP="009A0165">
      <w:r w:rsidRPr="00C644C3">
        <w:t xml:space="preserve">We used the same in-person procedure and block ordering that was described in Experiments 2 &amp; 3. However, the task for participants in this block was to indicate which half of the face was familiar using a button press. For vertical composites, the ‘left arrow’ key indicated that the left half was familiar, and the ‘right arrow’ key indicated that the right half was familiar. For horizontal composites, the ‘up arrow’ key indicated that the upper half was familiar, and the ‘down arrow’ key indicated that the lower half was familiar. As in previous experiments, participants were requested to retain fixation on a cross throughout the experiment, corresponding with the optimal fixation point of the composite stimuli (Peterson &amp; Eckstein, 2012; Walker-Smith </w:t>
      </w:r>
      <w:r w:rsidRPr="00EC53A1">
        <w:rPr>
          <w:i/>
          <w:iCs/>
        </w:rPr>
        <w:t>et al.</w:t>
      </w:r>
      <w:r w:rsidRPr="00C644C3">
        <w:rPr>
          <w:i/>
          <w:iCs/>
        </w:rPr>
        <w:t>,</w:t>
      </w:r>
      <w:r w:rsidRPr="00C644C3">
        <w:t xml:space="preserve"> 2013; Hsiao &amp; Cottrell, 2008). While block ordering, and response hand were counterbalanced as in previous experiments, response input keys remained consistent across all participants to avoid errors caused by counterintuitive inputs. An additional composite stimulus alignment condition was added to avoid repeated presentations of half images. As in previous experiments, only results from faces reported to have been correctly recognised by each participant in the recognition block of the experiment were used in the subsequent analysis.</w:t>
      </w:r>
    </w:p>
    <w:p w14:paraId="556A1F4E" w14:textId="77777777" w:rsidR="009A0165" w:rsidRPr="00C644C3" w:rsidRDefault="009A0165" w:rsidP="009A0165">
      <w:r w:rsidRPr="00C644C3">
        <w:t xml:space="preserve">The study design, hypotheses, and analysis plan for the experiment were preregistered (https://osf.io/j4mvk). Our pre-registered hypotheses test the following predictions: H1) For horizontal composites, </w:t>
      </w:r>
      <w:proofErr w:type="spellStart"/>
      <w:r w:rsidRPr="00C644C3">
        <w:t>i</w:t>
      </w:r>
      <w:proofErr w:type="spellEnd"/>
      <w:r w:rsidRPr="00C644C3">
        <w:t xml:space="preserve">) lower accuracy of familiarity judgments in the aligned compared to misaligned condition; ii) slower reaction times for correct familiarity judgements in the aligned compared to the misaligned condition; H2) For vertical composites, </w:t>
      </w:r>
      <w:proofErr w:type="spellStart"/>
      <w:r w:rsidRPr="00C644C3">
        <w:t>i</w:t>
      </w:r>
      <w:proofErr w:type="spellEnd"/>
      <w:r w:rsidRPr="00C644C3">
        <w:t xml:space="preserve">) lower accuracy of familiarity judgments in the aligned compared to misaligned condition; ii) slower reaction times for correct familiarity judgements in the aligned compared to the misaligned condition. In addition to the within-subjects comparisons described in Experiment 1, to examine the effects of half familiarity we also performed within-subjects comparisons of BIS between left and right halves, and upper and lower halves using paired-sample </w:t>
      </w:r>
      <w:r w:rsidRPr="00CF671E">
        <w:rPr>
          <w:i/>
          <w:iCs/>
        </w:rPr>
        <w:t>t</w:t>
      </w:r>
      <w:r w:rsidRPr="00C644C3">
        <w:t>-tests, incorporating Bayesian statistics.</w:t>
      </w:r>
    </w:p>
    <w:p w14:paraId="633FDDEB" w14:textId="6B02A9F1" w:rsidR="009A0165" w:rsidRPr="00C644C3" w:rsidRDefault="009A0165" w:rsidP="009A0165">
      <w:pPr>
        <w:pStyle w:val="Heading2"/>
      </w:pPr>
      <w:bookmarkStart w:id="46" w:name="_Toc199406052"/>
      <w:r w:rsidRPr="00C644C3">
        <w:t>Results</w:t>
      </w:r>
      <w:bookmarkEnd w:id="46"/>
    </w:p>
    <w:p w14:paraId="24317C28" w14:textId="77777777" w:rsidR="009A0165" w:rsidRPr="00C644C3" w:rsidRDefault="009A0165" w:rsidP="009A0165">
      <w:r w:rsidRPr="00C644C3">
        <w:t xml:space="preserve">The aim of this experiment was to determine if the vertical CFE could withstand the effects of undirected attention. A repeated-measures ANOVA was used to assess the effect of Composite </w:t>
      </w:r>
      <w:r w:rsidRPr="00C644C3">
        <w:lastRenderedPageBreak/>
        <w:t xml:space="preserve">(vertical, horizontal), and Alignment (aligned, misaligned) on accuracy and reaction time. The results of this analysis are shown in Figure 3.5. </w:t>
      </w:r>
    </w:p>
    <w:p w14:paraId="1974C0B5" w14:textId="77777777" w:rsidR="009A0165" w:rsidRPr="00C644C3" w:rsidRDefault="009A0165" w:rsidP="009A0165">
      <w:r w:rsidRPr="00C644C3">
        <w:rPr>
          <w:noProof/>
        </w:rPr>
        <w:drawing>
          <wp:inline distT="0" distB="0" distL="0" distR="0" wp14:anchorId="3E57B557" wp14:editId="45D48F51">
            <wp:extent cx="5727697" cy="2067151"/>
            <wp:effectExtent l="0" t="0" r="6985" b="0"/>
            <wp:docPr id="719218304" name="Picture 1" descr="A comparison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14720" name="Picture 1" descr="A comparison of a graph&#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27697" cy="2067151"/>
                    </a:xfrm>
                    <a:prstGeom prst="rect">
                      <a:avLst/>
                    </a:prstGeom>
                    <a:noFill/>
                    <a:ln>
                      <a:noFill/>
                    </a:ln>
                  </pic:spPr>
                </pic:pic>
              </a:graphicData>
            </a:graphic>
          </wp:inline>
        </w:drawing>
      </w:r>
    </w:p>
    <w:p w14:paraId="2F119FBE" w14:textId="5CB0C4B8" w:rsidR="009A0165" w:rsidRPr="00C644C3" w:rsidRDefault="009A0165" w:rsidP="009A0165">
      <w:pPr>
        <w:pStyle w:val="Table"/>
      </w:pPr>
      <w:bookmarkStart w:id="47" w:name="_Toc198649258"/>
      <w:r w:rsidRPr="009A0165">
        <w:rPr>
          <w:i w:val="0"/>
          <w:iCs w:val="0"/>
        </w:rPr>
        <w:t>Figure 5.</w:t>
      </w:r>
      <w:r w:rsidRPr="00C644C3">
        <w:t xml:space="preserve"> Experiment 4 - (a) Lower accuracy and (b) slower reaction times were evident for aligned compared to misaligned composites. This effect was evident for both vertical and horizontal composites. Error bars represent Cousineau’s Y within-subject error values.</w:t>
      </w:r>
      <w:bookmarkEnd w:id="47"/>
    </w:p>
    <w:p w14:paraId="522A1A82" w14:textId="77777777" w:rsidR="009A0165" w:rsidRPr="00C644C3" w:rsidRDefault="009A0165" w:rsidP="009A0165">
      <w:r w:rsidRPr="00C644C3">
        <w:t>For accuracy (Figure 3.5a), there was a significant effect of composite [</w:t>
      </w:r>
      <w:proofErr w:type="gramStart"/>
      <w:r w:rsidRPr="00C644C3">
        <w:rPr>
          <w:rFonts w:eastAsia="Times New Roman"/>
          <w:i/>
          <w:iCs/>
          <w:kern w:val="0"/>
          <w14:ligatures w14:val="none"/>
        </w:rPr>
        <w:t>F</w:t>
      </w:r>
      <w:r w:rsidRPr="00C644C3">
        <w:rPr>
          <w:rFonts w:eastAsia="Times New Roman"/>
          <w:kern w:val="0"/>
          <w14:ligatures w14:val="none"/>
        </w:rPr>
        <w:t>(</w:t>
      </w:r>
      <w:proofErr w:type="gramEnd"/>
      <w:r w:rsidRPr="00C644C3">
        <w:rPr>
          <w:rFonts w:eastAsia="Times New Roman"/>
          <w:kern w:val="0"/>
          <w14:ligatures w14:val="none"/>
        </w:rPr>
        <w:t xml:space="preserve">1, 63) = 73.86, </w:t>
      </w:r>
      <w:r w:rsidRPr="00C644C3">
        <w:rPr>
          <w:rFonts w:eastAsia="Times New Roman"/>
          <w:i/>
          <w:iCs/>
          <w:kern w:val="0"/>
          <w14:ligatures w14:val="none"/>
        </w:rPr>
        <w:t>p</w:t>
      </w:r>
      <w:r w:rsidRPr="00C644C3">
        <w:rPr>
          <w:rFonts w:eastAsia="Times New Roman"/>
          <w:kern w:val="0"/>
          <w14:ligatures w14:val="none"/>
        </w:rPr>
        <w:t xml:space="preserve"> &lt;.001, </w:t>
      </w:r>
      <w:r w:rsidRPr="00C644C3">
        <w:rPr>
          <w:rStyle w:val="hgkelc"/>
          <w:i/>
          <w:iCs/>
        </w:rPr>
        <w:t>η</w:t>
      </w:r>
      <w:r w:rsidRPr="00C644C3">
        <w:rPr>
          <w:rStyle w:val="hgkelc"/>
          <w:i/>
          <w:iCs/>
          <w:vertAlign w:val="subscript"/>
        </w:rPr>
        <w:t>p</w:t>
      </w:r>
      <w:r w:rsidRPr="00C644C3">
        <w:rPr>
          <w:rStyle w:val="hgkelc"/>
          <w:i/>
          <w:iCs/>
          <w:vertAlign w:val="superscript"/>
        </w:rPr>
        <w:t>2</w:t>
      </w:r>
      <w:r w:rsidRPr="00C644C3">
        <w:rPr>
          <w:rFonts w:eastAsia="Times New Roman"/>
          <w:kern w:val="0"/>
          <w14:ligatures w14:val="none"/>
        </w:rPr>
        <w:t xml:space="preserve"> = 0.54</w:t>
      </w:r>
      <w:r w:rsidRPr="00C644C3">
        <w:t>]. There was no effect of alignment [</w:t>
      </w:r>
      <w:proofErr w:type="gramStart"/>
      <w:r w:rsidRPr="00C644C3">
        <w:rPr>
          <w:rFonts w:eastAsia="Times New Roman"/>
          <w:i/>
          <w:iCs/>
          <w:kern w:val="0"/>
          <w14:ligatures w14:val="none"/>
        </w:rPr>
        <w:t>F</w:t>
      </w:r>
      <w:r w:rsidRPr="00C644C3">
        <w:rPr>
          <w:rFonts w:eastAsia="Times New Roman"/>
          <w:kern w:val="0"/>
          <w14:ligatures w14:val="none"/>
        </w:rPr>
        <w:t>(</w:t>
      </w:r>
      <w:proofErr w:type="gramEnd"/>
      <w:r w:rsidRPr="00C644C3">
        <w:rPr>
          <w:rFonts w:eastAsia="Times New Roman"/>
          <w:kern w:val="0"/>
          <w14:ligatures w14:val="none"/>
        </w:rPr>
        <w:t xml:space="preserve">1, 63) = 3.31, </w:t>
      </w:r>
      <w:r w:rsidRPr="00C644C3">
        <w:rPr>
          <w:rFonts w:eastAsia="Times New Roman"/>
          <w:i/>
          <w:iCs/>
          <w:kern w:val="0"/>
          <w14:ligatures w14:val="none"/>
        </w:rPr>
        <w:t>p</w:t>
      </w:r>
      <w:r w:rsidRPr="00C644C3">
        <w:rPr>
          <w:rFonts w:eastAsia="Times New Roman"/>
          <w:kern w:val="0"/>
          <w14:ligatures w14:val="none"/>
        </w:rPr>
        <w:t xml:space="preserve"> = .074</w:t>
      </w:r>
      <w:r w:rsidRPr="00C644C3">
        <w:t>], nor an interaction between alignment and composite [</w:t>
      </w:r>
      <w:proofErr w:type="gramStart"/>
      <w:r w:rsidRPr="00C644C3">
        <w:rPr>
          <w:rFonts w:eastAsia="Times New Roman"/>
          <w:i/>
          <w:iCs/>
          <w:kern w:val="0"/>
          <w14:ligatures w14:val="none"/>
        </w:rPr>
        <w:t>F</w:t>
      </w:r>
      <w:r w:rsidRPr="00C644C3">
        <w:rPr>
          <w:rFonts w:eastAsia="Times New Roman"/>
          <w:kern w:val="0"/>
          <w14:ligatures w14:val="none"/>
        </w:rPr>
        <w:t>(</w:t>
      </w:r>
      <w:proofErr w:type="gramEnd"/>
      <w:r w:rsidRPr="00C644C3">
        <w:rPr>
          <w:rFonts w:eastAsia="Times New Roman"/>
          <w:kern w:val="0"/>
          <w14:ligatures w14:val="none"/>
        </w:rPr>
        <w:t xml:space="preserve">1, 63) = 2.94, </w:t>
      </w:r>
      <w:r w:rsidRPr="00C644C3">
        <w:rPr>
          <w:rFonts w:eastAsia="Times New Roman"/>
          <w:i/>
          <w:iCs/>
          <w:kern w:val="0"/>
          <w14:ligatures w14:val="none"/>
        </w:rPr>
        <w:t>p</w:t>
      </w:r>
      <w:r w:rsidRPr="00C644C3">
        <w:rPr>
          <w:rFonts w:eastAsia="Times New Roman"/>
          <w:kern w:val="0"/>
          <w14:ligatures w14:val="none"/>
        </w:rPr>
        <w:t xml:space="preserve"> = .092</w:t>
      </w:r>
      <w:r w:rsidRPr="00C644C3">
        <w:t xml:space="preserve">]. </w:t>
      </w:r>
      <w:r w:rsidRPr="00C644C3">
        <w:rPr>
          <w:rFonts w:eastAsia="Times New Roman"/>
          <w:kern w:val="0"/>
          <w14:ligatures w14:val="none"/>
        </w:rPr>
        <w:t>To assess our pre-registered hypotheses, planned comparisons</w:t>
      </w:r>
      <w:r w:rsidRPr="00C644C3">
        <w:t xml:space="preserve"> (paired sample </w:t>
      </w:r>
      <w:r w:rsidRPr="00C644C3">
        <w:rPr>
          <w:i/>
          <w:iCs/>
        </w:rPr>
        <w:t>t</w:t>
      </w:r>
      <w:r w:rsidRPr="00C644C3">
        <w:t xml:space="preserve">-tests) were conducted on the effect of alignment for each composite condition (Table 3.4). For vertical composites (Aligned </w:t>
      </w:r>
      <w:r w:rsidRPr="00C644C3">
        <w:rPr>
          <w:i/>
          <w:iCs/>
        </w:rPr>
        <w:t>M</w:t>
      </w:r>
      <w:r w:rsidRPr="00C644C3">
        <w:t xml:space="preserve"> = 94.8%, </w:t>
      </w:r>
      <w:r w:rsidRPr="00C644C3">
        <w:rPr>
          <w:i/>
          <w:iCs/>
        </w:rPr>
        <w:t xml:space="preserve">SD </w:t>
      </w:r>
      <w:r w:rsidRPr="00C644C3">
        <w:t xml:space="preserve">= 4.5; Misaligned </w:t>
      </w:r>
      <w:r w:rsidRPr="00C644C3">
        <w:rPr>
          <w:i/>
          <w:iCs/>
        </w:rPr>
        <w:t>M</w:t>
      </w:r>
      <w:r w:rsidRPr="00C644C3">
        <w:t xml:space="preserve"> = 94.9%, </w:t>
      </w:r>
      <w:r w:rsidRPr="00C644C3">
        <w:rPr>
          <w:i/>
          <w:iCs/>
        </w:rPr>
        <w:t xml:space="preserve">SD </w:t>
      </w:r>
      <w:r w:rsidRPr="00C644C3">
        <w:t xml:space="preserve">= 4.2), and horizontal composites (Aligned </w:t>
      </w:r>
      <w:r w:rsidRPr="00C644C3">
        <w:rPr>
          <w:i/>
          <w:iCs/>
        </w:rPr>
        <w:t>M</w:t>
      </w:r>
      <w:r w:rsidRPr="00C644C3">
        <w:t xml:space="preserve"> = 89.6%, </w:t>
      </w:r>
      <w:r w:rsidRPr="00C644C3">
        <w:rPr>
          <w:i/>
          <w:iCs/>
        </w:rPr>
        <w:t xml:space="preserve">SD </w:t>
      </w:r>
      <w:r w:rsidRPr="00C644C3">
        <w:t xml:space="preserve">= 6.2; Misaligned </w:t>
      </w:r>
      <w:r w:rsidRPr="00C644C3">
        <w:rPr>
          <w:i/>
          <w:iCs/>
        </w:rPr>
        <w:t>M</w:t>
      </w:r>
      <w:r w:rsidRPr="00C644C3">
        <w:t xml:space="preserve"> = 87.9%, </w:t>
      </w:r>
      <w:r w:rsidRPr="00C644C3">
        <w:rPr>
          <w:i/>
          <w:iCs/>
        </w:rPr>
        <w:t xml:space="preserve">SD </w:t>
      </w:r>
      <w:r w:rsidRPr="00C644C3">
        <w:t>= 6.5), there was no significant difference in recognition accuracy between aligned images and misaligned images.</w:t>
      </w:r>
    </w:p>
    <w:p w14:paraId="3447C8F1" w14:textId="77777777" w:rsidR="009A0165" w:rsidRDefault="009A0165" w:rsidP="009A0165">
      <w:r w:rsidRPr="00C644C3">
        <w:t>For reaction time (Figure 3.5b), the ANOVA showed a main effect of alignment [</w:t>
      </w:r>
      <w:r w:rsidRPr="00C644C3">
        <w:rPr>
          <w:i/>
          <w:iCs/>
        </w:rPr>
        <w:t>F</w:t>
      </w:r>
      <w:r w:rsidRPr="00C644C3">
        <w:t xml:space="preserve">(1, 63) = 49.39, </w:t>
      </w:r>
      <w:r w:rsidRPr="00C644C3">
        <w:rPr>
          <w:i/>
          <w:iCs/>
        </w:rPr>
        <w:t>p</w:t>
      </w:r>
      <w:r w:rsidRPr="00C644C3">
        <w:t xml:space="preserve"> &lt;.001, </w:t>
      </w:r>
      <w:r w:rsidRPr="00C644C3">
        <w:rPr>
          <w:rStyle w:val="hgkelc"/>
          <w:i/>
          <w:iCs/>
        </w:rPr>
        <w:t>η</w:t>
      </w:r>
      <w:r w:rsidRPr="00C644C3">
        <w:rPr>
          <w:rStyle w:val="hgkelc"/>
          <w:i/>
          <w:iCs/>
          <w:vertAlign w:val="subscript"/>
        </w:rPr>
        <w:t>p</w:t>
      </w:r>
      <w:r w:rsidRPr="00C644C3">
        <w:rPr>
          <w:rStyle w:val="hgkelc"/>
          <w:i/>
          <w:iCs/>
          <w:vertAlign w:val="superscript"/>
        </w:rPr>
        <w:t>2</w:t>
      </w:r>
      <w:r w:rsidRPr="00C644C3">
        <w:t xml:space="preserve"> = 0.44], but not composite [</w:t>
      </w:r>
      <w:r w:rsidRPr="00C644C3">
        <w:rPr>
          <w:i/>
          <w:iCs/>
        </w:rPr>
        <w:t>F</w:t>
      </w:r>
      <w:r w:rsidRPr="00C644C3">
        <w:t xml:space="preserve">(1, 63) = 1.46, </w:t>
      </w:r>
      <w:r w:rsidRPr="00C644C3">
        <w:rPr>
          <w:i/>
          <w:iCs/>
        </w:rPr>
        <w:t>p</w:t>
      </w:r>
      <w:r w:rsidRPr="00C644C3">
        <w:t xml:space="preserve"> = .231], with a significant interaction between alignment and composite [</w:t>
      </w:r>
      <w:r w:rsidRPr="00C644C3">
        <w:rPr>
          <w:i/>
          <w:iCs/>
        </w:rPr>
        <w:t>F</w:t>
      </w:r>
      <w:r w:rsidRPr="00C644C3">
        <w:t xml:space="preserve">(1, 63) = 35.16, </w:t>
      </w:r>
      <w:r w:rsidRPr="00C644C3">
        <w:rPr>
          <w:i/>
          <w:iCs/>
        </w:rPr>
        <w:t>p</w:t>
      </w:r>
      <w:r w:rsidRPr="00C644C3">
        <w:t xml:space="preserve">  &lt;.001, </w:t>
      </w:r>
      <w:r w:rsidRPr="00C644C3">
        <w:rPr>
          <w:rStyle w:val="hgkelc"/>
          <w:i/>
          <w:iCs/>
        </w:rPr>
        <w:t>η</w:t>
      </w:r>
      <w:r w:rsidRPr="00C644C3">
        <w:rPr>
          <w:rStyle w:val="hgkelc"/>
          <w:i/>
          <w:iCs/>
          <w:vertAlign w:val="subscript"/>
        </w:rPr>
        <w:t>p</w:t>
      </w:r>
      <w:r w:rsidRPr="00C644C3">
        <w:rPr>
          <w:rStyle w:val="hgkelc"/>
          <w:i/>
          <w:iCs/>
          <w:vertAlign w:val="superscript"/>
        </w:rPr>
        <w:t>2</w:t>
      </w:r>
      <w:r w:rsidRPr="00C644C3">
        <w:t xml:space="preserve"> = 0.36]. </w:t>
      </w:r>
      <w:r w:rsidRPr="00C644C3">
        <w:rPr>
          <w:rFonts w:eastAsia="Times New Roman"/>
          <w:kern w:val="0"/>
          <w14:ligatures w14:val="none"/>
        </w:rPr>
        <w:t>To assess our pre-registered hypotheses, planned comparisons</w:t>
      </w:r>
      <w:r w:rsidRPr="00C644C3">
        <w:t xml:space="preserve"> (paired sample </w:t>
      </w:r>
      <w:r w:rsidRPr="00C644C3">
        <w:rPr>
          <w:i/>
          <w:iCs/>
        </w:rPr>
        <w:t>t</w:t>
      </w:r>
      <w:r w:rsidRPr="00C644C3">
        <w:t>-tests) were conducted on the effect of alignment for each composite condition (Table 3.4). For vertical composites, there were faster reaction times for aligned images (</w:t>
      </w:r>
      <w:r w:rsidRPr="00C644C3">
        <w:rPr>
          <w:i/>
          <w:iCs/>
        </w:rPr>
        <w:t>M</w:t>
      </w:r>
      <w:r w:rsidRPr="00C644C3">
        <w:t xml:space="preserve"> = 0.92s, </w:t>
      </w:r>
      <w:r w:rsidRPr="00C644C3">
        <w:rPr>
          <w:i/>
          <w:iCs/>
        </w:rPr>
        <w:t xml:space="preserve">SD </w:t>
      </w:r>
      <w:r w:rsidRPr="00C644C3">
        <w:t>= 0.21) compared to misaligned images (</w:t>
      </w:r>
      <w:r w:rsidRPr="00C644C3">
        <w:rPr>
          <w:i/>
          <w:iCs/>
        </w:rPr>
        <w:t>M</w:t>
      </w:r>
      <w:r w:rsidRPr="00C644C3">
        <w:t xml:space="preserve"> = 0.87s, </w:t>
      </w:r>
      <w:r w:rsidRPr="00C644C3">
        <w:rPr>
          <w:i/>
          <w:iCs/>
        </w:rPr>
        <w:t xml:space="preserve">SD </w:t>
      </w:r>
      <w:r w:rsidRPr="00C644C3">
        <w:t>= 0.17). However, for horizontal composites, there was no significant difference between aligned images (</w:t>
      </w:r>
      <w:r w:rsidRPr="00C644C3">
        <w:rPr>
          <w:i/>
          <w:iCs/>
        </w:rPr>
        <w:t>M</w:t>
      </w:r>
      <w:r w:rsidRPr="00C644C3">
        <w:t xml:space="preserve"> = 1.11s, </w:t>
      </w:r>
      <w:r w:rsidRPr="00C644C3">
        <w:rPr>
          <w:i/>
          <w:iCs/>
        </w:rPr>
        <w:t xml:space="preserve">SD </w:t>
      </w:r>
      <w:r w:rsidRPr="00C644C3">
        <w:t>= 0.35) and misaligned images (</w:t>
      </w:r>
      <w:r w:rsidRPr="00C644C3">
        <w:rPr>
          <w:i/>
          <w:iCs/>
        </w:rPr>
        <w:t>M</w:t>
      </w:r>
      <w:r w:rsidRPr="00C644C3">
        <w:t xml:space="preserve"> = 1.16s, </w:t>
      </w:r>
      <w:r w:rsidRPr="00C644C3">
        <w:rPr>
          <w:i/>
          <w:iCs/>
        </w:rPr>
        <w:t xml:space="preserve">SD </w:t>
      </w:r>
      <w:r w:rsidRPr="00C644C3">
        <w:t>= 0.33).</w:t>
      </w:r>
    </w:p>
    <w:p w14:paraId="722FD77D" w14:textId="77777777" w:rsidR="00EE62F1" w:rsidRDefault="00EE62F1" w:rsidP="009A0165"/>
    <w:p w14:paraId="0D78D9A1" w14:textId="77777777" w:rsidR="00EE62F1" w:rsidRPr="00C644C3" w:rsidRDefault="00EE62F1" w:rsidP="009A0165"/>
    <w:p w14:paraId="40F4859D" w14:textId="26A40124" w:rsidR="009A0165" w:rsidRPr="00C644C3" w:rsidRDefault="009A0165" w:rsidP="009A0165">
      <w:bookmarkStart w:id="48" w:name="_Toc199406144"/>
      <w:r w:rsidRPr="00C644C3">
        <w:lastRenderedPageBreak/>
        <w:t>Table</w:t>
      </w:r>
      <w:r>
        <w:t xml:space="preserve"> </w:t>
      </w:r>
      <w:r w:rsidRPr="00C644C3">
        <w:t xml:space="preserve">4. </w:t>
      </w:r>
      <w:r w:rsidRPr="009A0165">
        <w:rPr>
          <w:i/>
          <w:iCs/>
        </w:rPr>
        <w:t>Statistical differences in accuracy and reaction time for aligned and misaligned conditions of the vertical and horizontal composite faces in Experiment 4.</w:t>
      </w:r>
      <w:bookmarkEnd w:id="48"/>
      <w:r w:rsidRPr="00C644C3">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2373"/>
        <w:gridCol w:w="993"/>
        <w:gridCol w:w="1134"/>
        <w:gridCol w:w="1134"/>
        <w:gridCol w:w="1134"/>
        <w:gridCol w:w="1513"/>
      </w:tblGrid>
      <w:tr w:rsidR="009A0165" w:rsidRPr="00C644C3" w14:paraId="0AC1966F" w14:textId="77777777" w:rsidTr="00731391">
        <w:trPr>
          <w:trHeight w:val="284"/>
        </w:trPr>
        <w:tc>
          <w:tcPr>
            <w:tcW w:w="1727" w:type="pct"/>
            <w:gridSpan w:val="2"/>
            <w:tcBorders>
              <w:top w:val="single" w:sz="4" w:space="0" w:color="auto"/>
              <w:bottom w:val="single" w:sz="4" w:space="0" w:color="auto"/>
            </w:tcBorders>
            <w:vAlign w:val="center"/>
          </w:tcPr>
          <w:p w14:paraId="7FB6BD7C" w14:textId="77777777" w:rsidR="009A0165" w:rsidRPr="00C644C3" w:rsidRDefault="009A0165" w:rsidP="009A0165"/>
        </w:tc>
        <w:tc>
          <w:tcPr>
            <w:tcW w:w="550" w:type="pct"/>
            <w:tcBorders>
              <w:top w:val="single" w:sz="4" w:space="0" w:color="auto"/>
              <w:bottom w:val="single" w:sz="4" w:space="0" w:color="auto"/>
            </w:tcBorders>
            <w:vAlign w:val="center"/>
          </w:tcPr>
          <w:p w14:paraId="20903C01" w14:textId="77777777" w:rsidR="009A0165" w:rsidRPr="00C644C3" w:rsidRDefault="009A0165" w:rsidP="009A0165">
            <w:proofErr w:type="spellStart"/>
            <w:r w:rsidRPr="00C644C3">
              <w:t>Df</w:t>
            </w:r>
            <w:proofErr w:type="spellEnd"/>
          </w:p>
        </w:tc>
        <w:tc>
          <w:tcPr>
            <w:tcW w:w="628" w:type="pct"/>
            <w:tcBorders>
              <w:top w:val="single" w:sz="4" w:space="0" w:color="auto"/>
              <w:bottom w:val="single" w:sz="4" w:space="0" w:color="auto"/>
            </w:tcBorders>
            <w:vAlign w:val="center"/>
          </w:tcPr>
          <w:p w14:paraId="585AB2E0" w14:textId="77777777" w:rsidR="009A0165" w:rsidRPr="00C644C3" w:rsidRDefault="009A0165" w:rsidP="009A0165">
            <w:r w:rsidRPr="00C644C3">
              <w:t>t</w:t>
            </w:r>
          </w:p>
        </w:tc>
        <w:tc>
          <w:tcPr>
            <w:tcW w:w="628" w:type="pct"/>
            <w:tcBorders>
              <w:top w:val="single" w:sz="4" w:space="0" w:color="auto"/>
              <w:bottom w:val="single" w:sz="4" w:space="0" w:color="auto"/>
            </w:tcBorders>
            <w:vAlign w:val="center"/>
          </w:tcPr>
          <w:p w14:paraId="2A8D2447" w14:textId="77777777" w:rsidR="009A0165" w:rsidRPr="00C644C3" w:rsidRDefault="009A0165" w:rsidP="009A0165">
            <w:r w:rsidRPr="00C644C3">
              <w:t>p</w:t>
            </w:r>
          </w:p>
        </w:tc>
        <w:tc>
          <w:tcPr>
            <w:tcW w:w="628" w:type="pct"/>
            <w:tcBorders>
              <w:top w:val="single" w:sz="4" w:space="0" w:color="auto"/>
              <w:bottom w:val="single" w:sz="4" w:space="0" w:color="auto"/>
            </w:tcBorders>
            <w:vAlign w:val="center"/>
          </w:tcPr>
          <w:p w14:paraId="03B576A9" w14:textId="77777777" w:rsidR="009A0165" w:rsidRPr="00C644C3" w:rsidRDefault="009A0165" w:rsidP="009A0165">
            <w:proofErr w:type="spellStart"/>
            <w:r w:rsidRPr="00C644C3">
              <w:t>d</w:t>
            </w:r>
            <w:r w:rsidRPr="00C644C3">
              <w:rPr>
                <w:vertAlign w:val="subscript"/>
              </w:rPr>
              <w:t>avg</w:t>
            </w:r>
            <w:proofErr w:type="spellEnd"/>
          </w:p>
        </w:tc>
        <w:tc>
          <w:tcPr>
            <w:tcW w:w="838" w:type="pct"/>
            <w:tcBorders>
              <w:top w:val="single" w:sz="4" w:space="0" w:color="auto"/>
              <w:bottom w:val="single" w:sz="4" w:space="0" w:color="auto"/>
            </w:tcBorders>
          </w:tcPr>
          <w:p w14:paraId="6395F414" w14:textId="77777777" w:rsidR="009A0165" w:rsidRPr="00C644C3" w:rsidRDefault="009A0165" w:rsidP="009A0165">
            <w:r w:rsidRPr="00C644C3">
              <w:t>BF</w:t>
            </w:r>
            <w:r w:rsidRPr="00C644C3">
              <w:rPr>
                <w:vertAlign w:val="subscript"/>
              </w:rPr>
              <w:t>10</w:t>
            </w:r>
          </w:p>
        </w:tc>
      </w:tr>
      <w:tr w:rsidR="009A0165" w:rsidRPr="00C644C3" w14:paraId="5AE37F85" w14:textId="77777777" w:rsidTr="00731391">
        <w:trPr>
          <w:trHeight w:val="284"/>
        </w:trPr>
        <w:tc>
          <w:tcPr>
            <w:tcW w:w="1727" w:type="pct"/>
            <w:gridSpan w:val="2"/>
            <w:tcBorders>
              <w:top w:val="single" w:sz="4" w:space="0" w:color="auto"/>
            </w:tcBorders>
            <w:vAlign w:val="center"/>
          </w:tcPr>
          <w:p w14:paraId="3FB4DAC5" w14:textId="77777777" w:rsidR="009A0165" w:rsidRPr="00C644C3" w:rsidRDefault="009A0165" w:rsidP="009A0165">
            <w:r w:rsidRPr="00C644C3">
              <w:t xml:space="preserve">Accuracy </w:t>
            </w:r>
          </w:p>
        </w:tc>
        <w:tc>
          <w:tcPr>
            <w:tcW w:w="550" w:type="pct"/>
            <w:tcBorders>
              <w:top w:val="single" w:sz="4" w:space="0" w:color="auto"/>
            </w:tcBorders>
            <w:vAlign w:val="center"/>
          </w:tcPr>
          <w:p w14:paraId="1839851F" w14:textId="77777777" w:rsidR="009A0165" w:rsidRPr="00C644C3" w:rsidRDefault="009A0165" w:rsidP="009A0165"/>
        </w:tc>
        <w:tc>
          <w:tcPr>
            <w:tcW w:w="628" w:type="pct"/>
            <w:tcBorders>
              <w:top w:val="single" w:sz="4" w:space="0" w:color="auto"/>
            </w:tcBorders>
            <w:vAlign w:val="center"/>
          </w:tcPr>
          <w:p w14:paraId="71B4A9A9" w14:textId="77777777" w:rsidR="009A0165" w:rsidRPr="00C644C3" w:rsidRDefault="009A0165" w:rsidP="009A0165"/>
        </w:tc>
        <w:tc>
          <w:tcPr>
            <w:tcW w:w="628" w:type="pct"/>
            <w:tcBorders>
              <w:top w:val="single" w:sz="4" w:space="0" w:color="auto"/>
            </w:tcBorders>
            <w:vAlign w:val="center"/>
          </w:tcPr>
          <w:p w14:paraId="3ADDA976" w14:textId="77777777" w:rsidR="009A0165" w:rsidRPr="00C644C3" w:rsidRDefault="009A0165" w:rsidP="009A0165"/>
        </w:tc>
        <w:tc>
          <w:tcPr>
            <w:tcW w:w="628" w:type="pct"/>
            <w:tcBorders>
              <w:top w:val="single" w:sz="4" w:space="0" w:color="auto"/>
            </w:tcBorders>
            <w:vAlign w:val="center"/>
          </w:tcPr>
          <w:p w14:paraId="64BAF173" w14:textId="77777777" w:rsidR="009A0165" w:rsidRPr="00C644C3" w:rsidRDefault="009A0165" w:rsidP="009A0165"/>
        </w:tc>
        <w:tc>
          <w:tcPr>
            <w:tcW w:w="838" w:type="pct"/>
            <w:tcBorders>
              <w:top w:val="single" w:sz="4" w:space="0" w:color="auto"/>
            </w:tcBorders>
          </w:tcPr>
          <w:p w14:paraId="72CDC3F5" w14:textId="77777777" w:rsidR="009A0165" w:rsidRPr="00C644C3" w:rsidRDefault="009A0165" w:rsidP="009A0165"/>
        </w:tc>
      </w:tr>
      <w:tr w:rsidR="009A0165" w:rsidRPr="00C644C3" w14:paraId="1680A84F" w14:textId="77777777" w:rsidTr="00731391">
        <w:trPr>
          <w:trHeight w:val="284"/>
        </w:trPr>
        <w:tc>
          <w:tcPr>
            <w:tcW w:w="413" w:type="pct"/>
            <w:vAlign w:val="center"/>
          </w:tcPr>
          <w:p w14:paraId="649FF259" w14:textId="77777777" w:rsidR="009A0165" w:rsidRPr="00C644C3" w:rsidRDefault="009A0165" w:rsidP="009A0165"/>
        </w:tc>
        <w:tc>
          <w:tcPr>
            <w:tcW w:w="1315" w:type="pct"/>
            <w:vAlign w:val="center"/>
          </w:tcPr>
          <w:p w14:paraId="672122C9" w14:textId="77777777" w:rsidR="009A0165" w:rsidRPr="00C644C3" w:rsidRDefault="009A0165" w:rsidP="009A0165">
            <w:r w:rsidRPr="00C644C3">
              <w:t>Vertical composite</w:t>
            </w:r>
          </w:p>
        </w:tc>
        <w:tc>
          <w:tcPr>
            <w:tcW w:w="550" w:type="pct"/>
            <w:vAlign w:val="center"/>
          </w:tcPr>
          <w:p w14:paraId="7D406CC8" w14:textId="77777777" w:rsidR="009A0165" w:rsidRPr="00C644C3" w:rsidRDefault="009A0165" w:rsidP="009A0165">
            <w:r w:rsidRPr="00C644C3">
              <w:t>63</w:t>
            </w:r>
          </w:p>
        </w:tc>
        <w:tc>
          <w:tcPr>
            <w:tcW w:w="628" w:type="pct"/>
            <w:vAlign w:val="center"/>
          </w:tcPr>
          <w:p w14:paraId="2B9A26D9" w14:textId="77777777" w:rsidR="009A0165" w:rsidRPr="00C644C3" w:rsidRDefault="009A0165" w:rsidP="009A0165">
            <w:r w:rsidRPr="00C644C3">
              <w:t>0.09</w:t>
            </w:r>
          </w:p>
        </w:tc>
        <w:tc>
          <w:tcPr>
            <w:tcW w:w="628" w:type="pct"/>
            <w:vAlign w:val="center"/>
          </w:tcPr>
          <w:p w14:paraId="53D125C7" w14:textId="77777777" w:rsidR="009A0165" w:rsidRPr="00C644C3" w:rsidRDefault="009A0165" w:rsidP="009A0165">
            <w:r w:rsidRPr="00C644C3">
              <w:t>.464</w:t>
            </w:r>
          </w:p>
        </w:tc>
        <w:tc>
          <w:tcPr>
            <w:tcW w:w="628" w:type="pct"/>
            <w:vAlign w:val="center"/>
          </w:tcPr>
          <w:p w14:paraId="19A3200F" w14:textId="77777777" w:rsidR="009A0165" w:rsidRPr="00C644C3" w:rsidRDefault="009A0165" w:rsidP="009A0165">
            <w:r w:rsidRPr="00C644C3">
              <w:t>0.01</w:t>
            </w:r>
          </w:p>
        </w:tc>
        <w:tc>
          <w:tcPr>
            <w:tcW w:w="838" w:type="pct"/>
          </w:tcPr>
          <w:p w14:paraId="22118DFB" w14:textId="77777777" w:rsidR="009A0165" w:rsidRPr="00C644C3" w:rsidRDefault="009A0165" w:rsidP="009A0165">
            <w:r w:rsidRPr="00C644C3">
              <w:t>0.28</w:t>
            </w:r>
          </w:p>
        </w:tc>
      </w:tr>
      <w:tr w:rsidR="009A0165" w:rsidRPr="00C644C3" w14:paraId="48341305" w14:textId="77777777" w:rsidTr="00731391">
        <w:trPr>
          <w:trHeight w:val="284"/>
        </w:trPr>
        <w:tc>
          <w:tcPr>
            <w:tcW w:w="413" w:type="pct"/>
            <w:vAlign w:val="center"/>
          </w:tcPr>
          <w:p w14:paraId="60C5952C" w14:textId="77777777" w:rsidR="009A0165" w:rsidRPr="00C644C3" w:rsidRDefault="009A0165" w:rsidP="009A0165"/>
        </w:tc>
        <w:tc>
          <w:tcPr>
            <w:tcW w:w="1315" w:type="pct"/>
            <w:vAlign w:val="center"/>
          </w:tcPr>
          <w:p w14:paraId="16F894D9" w14:textId="77777777" w:rsidR="009A0165" w:rsidRPr="00C644C3" w:rsidRDefault="009A0165" w:rsidP="009A0165">
            <w:r w:rsidRPr="00C644C3">
              <w:t>Horizontal composite</w:t>
            </w:r>
          </w:p>
        </w:tc>
        <w:tc>
          <w:tcPr>
            <w:tcW w:w="550" w:type="pct"/>
            <w:vAlign w:val="center"/>
          </w:tcPr>
          <w:p w14:paraId="597316D5" w14:textId="77777777" w:rsidR="009A0165" w:rsidRPr="00C644C3" w:rsidRDefault="009A0165" w:rsidP="009A0165">
            <w:r w:rsidRPr="00C644C3">
              <w:t>63</w:t>
            </w:r>
          </w:p>
        </w:tc>
        <w:tc>
          <w:tcPr>
            <w:tcW w:w="628" w:type="pct"/>
            <w:vAlign w:val="center"/>
          </w:tcPr>
          <w:p w14:paraId="2F3FC697" w14:textId="77777777" w:rsidR="009A0165" w:rsidRPr="00C644C3" w:rsidRDefault="009A0165" w:rsidP="009A0165">
            <w:r w:rsidRPr="00C644C3">
              <w:t>-2.11</w:t>
            </w:r>
          </w:p>
        </w:tc>
        <w:tc>
          <w:tcPr>
            <w:tcW w:w="628" w:type="pct"/>
            <w:vAlign w:val="center"/>
          </w:tcPr>
          <w:p w14:paraId="3CB26732" w14:textId="77777777" w:rsidR="009A0165" w:rsidRPr="00C644C3" w:rsidRDefault="009A0165" w:rsidP="009A0165">
            <w:r w:rsidRPr="00C644C3">
              <w:t>&gt;.999</w:t>
            </w:r>
          </w:p>
        </w:tc>
        <w:tc>
          <w:tcPr>
            <w:tcW w:w="628" w:type="pct"/>
            <w:vAlign w:val="center"/>
          </w:tcPr>
          <w:p w14:paraId="232DC8ED" w14:textId="77777777" w:rsidR="009A0165" w:rsidRPr="00C644C3" w:rsidRDefault="009A0165" w:rsidP="009A0165">
            <w:r w:rsidRPr="00C644C3">
              <w:t>0.28</w:t>
            </w:r>
          </w:p>
        </w:tc>
        <w:tc>
          <w:tcPr>
            <w:tcW w:w="838" w:type="pct"/>
          </w:tcPr>
          <w:p w14:paraId="2E81E4D2" w14:textId="77777777" w:rsidR="009A0165" w:rsidRPr="00C644C3" w:rsidRDefault="009A0165" w:rsidP="009A0165">
            <w:r w:rsidRPr="00C644C3">
              <w:t>0.46</w:t>
            </w:r>
          </w:p>
        </w:tc>
      </w:tr>
      <w:tr w:rsidR="009A0165" w:rsidRPr="00C644C3" w14:paraId="72DE3DB8" w14:textId="77777777" w:rsidTr="00731391">
        <w:trPr>
          <w:trHeight w:val="284"/>
        </w:trPr>
        <w:tc>
          <w:tcPr>
            <w:tcW w:w="1727" w:type="pct"/>
            <w:gridSpan w:val="2"/>
            <w:vAlign w:val="center"/>
          </w:tcPr>
          <w:p w14:paraId="10CA92A4" w14:textId="77777777" w:rsidR="009A0165" w:rsidRPr="00C644C3" w:rsidRDefault="009A0165" w:rsidP="009A0165">
            <w:r w:rsidRPr="00C644C3">
              <w:t xml:space="preserve">Reaction Time </w:t>
            </w:r>
          </w:p>
        </w:tc>
        <w:tc>
          <w:tcPr>
            <w:tcW w:w="550" w:type="pct"/>
            <w:vAlign w:val="center"/>
          </w:tcPr>
          <w:p w14:paraId="46685FAA" w14:textId="77777777" w:rsidR="009A0165" w:rsidRPr="00C644C3" w:rsidRDefault="009A0165" w:rsidP="009A0165"/>
        </w:tc>
        <w:tc>
          <w:tcPr>
            <w:tcW w:w="628" w:type="pct"/>
            <w:vAlign w:val="center"/>
          </w:tcPr>
          <w:p w14:paraId="2D2ADE8A" w14:textId="77777777" w:rsidR="009A0165" w:rsidRPr="00C644C3" w:rsidRDefault="009A0165" w:rsidP="009A0165"/>
        </w:tc>
        <w:tc>
          <w:tcPr>
            <w:tcW w:w="628" w:type="pct"/>
            <w:vAlign w:val="center"/>
          </w:tcPr>
          <w:p w14:paraId="60A82F8B" w14:textId="77777777" w:rsidR="009A0165" w:rsidRPr="00C644C3" w:rsidRDefault="009A0165" w:rsidP="009A0165"/>
        </w:tc>
        <w:tc>
          <w:tcPr>
            <w:tcW w:w="628" w:type="pct"/>
            <w:vAlign w:val="center"/>
          </w:tcPr>
          <w:p w14:paraId="2F34D86A" w14:textId="77777777" w:rsidR="009A0165" w:rsidRPr="00C644C3" w:rsidRDefault="009A0165" w:rsidP="009A0165"/>
        </w:tc>
        <w:tc>
          <w:tcPr>
            <w:tcW w:w="838" w:type="pct"/>
          </w:tcPr>
          <w:p w14:paraId="195F2A16" w14:textId="77777777" w:rsidR="009A0165" w:rsidRPr="00C644C3" w:rsidRDefault="009A0165" w:rsidP="009A0165"/>
        </w:tc>
      </w:tr>
      <w:tr w:rsidR="009A0165" w:rsidRPr="00C644C3" w14:paraId="3BA24F01" w14:textId="77777777" w:rsidTr="00731391">
        <w:trPr>
          <w:trHeight w:val="284"/>
        </w:trPr>
        <w:tc>
          <w:tcPr>
            <w:tcW w:w="413" w:type="pct"/>
            <w:vAlign w:val="center"/>
          </w:tcPr>
          <w:p w14:paraId="52F2B0BB" w14:textId="77777777" w:rsidR="009A0165" w:rsidRPr="00C644C3" w:rsidRDefault="009A0165" w:rsidP="009A0165"/>
        </w:tc>
        <w:tc>
          <w:tcPr>
            <w:tcW w:w="1315" w:type="pct"/>
            <w:vAlign w:val="center"/>
          </w:tcPr>
          <w:p w14:paraId="4372DD8F" w14:textId="77777777" w:rsidR="009A0165" w:rsidRPr="00C644C3" w:rsidRDefault="009A0165" w:rsidP="009A0165">
            <w:r w:rsidRPr="00C644C3">
              <w:t>Vertical composite</w:t>
            </w:r>
          </w:p>
        </w:tc>
        <w:tc>
          <w:tcPr>
            <w:tcW w:w="550" w:type="pct"/>
            <w:vAlign w:val="center"/>
          </w:tcPr>
          <w:p w14:paraId="28AA98CF" w14:textId="77777777" w:rsidR="009A0165" w:rsidRPr="00C644C3" w:rsidRDefault="009A0165" w:rsidP="009A0165">
            <w:r w:rsidRPr="00C644C3">
              <w:t>63</w:t>
            </w:r>
          </w:p>
        </w:tc>
        <w:tc>
          <w:tcPr>
            <w:tcW w:w="628" w:type="pct"/>
            <w:vAlign w:val="center"/>
          </w:tcPr>
          <w:p w14:paraId="33B4F938" w14:textId="77777777" w:rsidR="009A0165" w:rsidRPr="00C644C3" w:rsidRDefault="009A0165" w:rsidP="009A0165">
            <w:r w:rsidRPr="00C644C3">
              <w:t>3.94</w:t>
            </w:r>
          </w:p>
        </w:tc>
        <w:tc>
          <w:tcPr>
            <w:tcW w:w="628" w:type="pct"/>
            <w:vAlign w:val="center"/>
          </w:tcPr>
          <w:p w14:paraId="40C99FC7" w14:textId="77777777" w:rsidR="009A0165" w:rsidRPr="00C644C3" w:rsidRDefault="009A0165" w:rsidP="009A0165">
            <w:r w:rsidRPr="00C644C3">
              <w:t>&lt;.001</w:t>
            </w:r>
          </w:p>
        </w:tc>
        <w:tc>
          <w:tcPr>
            <w:tcW w:w="628" w:type="pct"/>
            <w:vAlign w:val="center"/>
          </w:tcPr>
          <w:p w14:paraId="1203653F" w14:textId="77777777" w:rsidR="009A0165" w:rsidRPr="00C644C3" w:rsidRDefault="009A0165" w:rsidP="009A0165">
            <w:r w:rsidRPr="00C644C3">
              <w:t>0.25</w:t>
            </w:r>
          </w:p>
        </w:tc>
        <w:tc>
          <w:tcPr>
            <w:tcW w:w="838" w:type="pct"/>
          </w:tcPr>
          <w:p w14:paraId="274FCE19" w14:textId="77777777" w:rsidR="009A0165" w:rsidRPr="00C644C3" w:rsidRDefault="009A0165" w:rsidP="009A0165">
            <w:r w:rsidRPr="00C644C3">
              <w:t>&gt;100</w:t>
            </w:r>
          </w:p>
        </w:tc>
      </w:tr>
      <w:tr w:rsidR="009A0165" w:rsidRPr="00C644C3" w14:paraId="2380EFB6" w14:textId="77777777" w:rsidTr="00731391">
        <w:trPr>
          <w:trHeight w:val="284"/>
        </w:trPr>
        <w:tc>
          <w:tcPr>
            <w:tcW w:w="413" w:type="pct"/>
            <w:vAlign w:val="center"/>
          </w:tcPr>
          <w:p w14:paraId="5CBD9C7F" w14:textId="77777777" w:rsidR="009A0165" w:rsidRPr="00C644C3" w:rsidRDefault="009A0165" w:rsidP="009A0165"/>
        </w:tc>
        <w:tc>
          <w:tcPr>
            <w:tcW w:w="1315" w:type="pct"/>
            <w:vAlign w:val="center"/>
          </w:tcPr>
          <w:p w14:paraId="7129AABF" w14:textId="77777777" w:rsidR="009A0165" w:rsidRPr="00C644C3" w:rsidRDefault="009A0165" w:rsidP="009A0165">
            <w:r w:rsidRPr="00C644C3">
              <w:t>Horizontal composite</w:t>
            </w:r>
          </w:p>
        </w:tc>
        <w:tc>
          <w:tcPr>
            <w:tcW w:w="550" w:type="pct"/>
            <w:vAlign w:val="center"/>
          </w:tcPr>
          <w:p w14:paraId="66884FD4" w14:textId="77777777" w:rsidR="009A0165" w:rsidRPr="00C644C3" w:rsidRDefault="009A0165" w:rsidP="009A0165">
            <w:r w:rsidRPr="00C644C3">
              <w:t>63</w:t>
            </w:r>
          </w:p>
        </w:tc>
        <w:tc>
          <w:tcPr>
            <w:tcW w:w="628" w:type="pct"/>
            <w:vAlign w:val="center"/>
          </w:tcPr>
          <w:p w14:paraId="166B6E55" w14:textId="77777777" w:rsidR="009A0165" w:rsidRPr="00C644C3" w:rsidRDefault="009A0165" w:rsidP="009A0165">
            <w:r w:rsidRPr="00C644C3">
              <w:t>-2.97</w:t>
            </w:r>
          </w:p>
        </w:tc>
        <w:tc>
          <w:tcPr>
            <w:tcW w:w="628" w:type="pct"/>
            <w:vAlign w:val="center"/>
          </w:tcPr>
          <w:p w14:paraId="32745F16" w14:textId="77777777" w:rsidR="009A0165" w:rsidRPr="00C644C3" w:rsidRDefault="009A0165" w:rsidP="009A0165">
            <w:r w:rsidRPr="00C644C3">
              <w:t>&gt;.999</w:t>
            </w:r>
          </w:p>
        </w:tc>
        <w:tc>
          <w:tcPr>
            <w:tcW w:w="628" w:type="pct"/>
            <w:vAlign w:val="center"/>
          </w:tcPr>
          <w:p w14:paraId="3570AF47" w14:textId="77777777" w:rsidR="009A0165" w:rsidRPr="00C644C3" w:rsidRDefault="009A0165" w:rsidP="009A0165">
            <w:r w:rsidRPr="00C644C3">
              <w:t>0.15</w:t>
            </w:r>
          </w:p>
        </w:tc>
        <w:tc>
          <w:tcPr>
            <w:tcW w:w="838" w:type="pct"/>
          </w:tcPr>
          <w:p w14:paraId="3F00F9EE" w14:textId="77777777" w:rsidR="009A0165" w:rsidRPr="00C644C3" w:rsidRDefault="009A0165" w:rsidP="009A0165">
            <w:r w:rsidRPr="00C644C3">
              <w:t>0.07</w:t>
            </w:r>
          </w:p>
        </w:tc>
      </w:tr>
    </w:tbl>
    <w:p w14:paraId="2478E133" w14:textId="77777777" w:rsidR="009A0165" w:rsidRPr="00C644C3" w:rsidRDefault="009A0165" w:rsidP="009A0165">
      <w:pPr>
        <w:spacing w:after="240" w:line="276" w:lineRule="auto"/>
      </w:pPr>
      <w:r w:rsidRPr="00C644C3">
        <w:rPr>
          <w:i/>
          <w:iCs/>
        </w:rPr>
        <w:t>Note.</w:t>
      </w:r>
      <w:r w:rsidRPr="00C644C3">
        <w:t xml:space="preserve"> as in previous tables, </w:t>
      </w:r>
      <w:r w:rsidRPr="00CF671E">
        <w:rPr>
          <w:i/>
          <w:iCs/>
        </w:rPr>
        <w:t>t</w:t>
      </w:r>
      <w:r w:rsidRPr="00C644C3">
        <w:t xml:space="preserve">-tests presented here are one-tailed, representing a-priori hypothesis predictions of aligned&lt;misaligned for accuracy, and aligned&gt;misaligned for reaction time. High </w:t>
      </w:r>
      <w:r w:rsidRPr="00C644C3">
        <w:rPr>
          <w:i/>
          <w:iCs/>
        </w:rPr>
        <w:t>p</w:t>
      </w:r>
      <w:r w:rsidRPr="00C644C3">
        <w:t xml:space="preserve">-values for horizontal composites represent results in the opposite direction from these predictions. </w:t>
      </w:r>
    </w:p>
    <w:p w14:paraId="4C643153" w14:textId="214951D7" w:rsidR="009A0165" w:rsidRPr="00C644C3" w:rsidRDefault="009A0165" w:rsidP="009A0165">
      <w:r w:rsidRPr="00C644C3">
        <w:t>As described in Experiment 1, accuracy and reaction time measures were also integrated into BIS. These showed no significant differences between aligned and misaligned vertical composites (</w:t>
      </w:r>
      <w:r w:rsidRPr="00C644C3">
        <w:rPr>
          <w:i/>
          <w:iCs/>
        </w:rPr>
        <w:t>p</w:t>
      </w:r>
      <w:r w:rsidRPr="00C644C3">
        <w:t xml:space="preserve"> = .078), but significantly greater BIS for misaligned composites in the horizontal condition (</w:t>
      </w:r>
      <w:r w:rsidRPr="00C644C3">
        <w:rPr>
          <w:i/>
          <w:iCs/>
        </w:rPr>
        <w:t>p</w:t>
      </w:r>
      <w:r w:rsidRPr="00C644C3">
        <w:t xml:space="preserve"> = .002). Descriptive statistics and results for this comparison are reported in </w:t>
      </w:r>
      <w:r w:rsidR="006F1FB4">
        <w:t xml:space="preserve">Suppl. </w:t>
      </w:r>
      <w:r w:rsidRPr="00C644C3">
        <w:t xml:space="preserve"> Tables </w:t>
      </w:r>
      <w:r w:rsidR="006F1FB4">
        <w:t>3 &amp; 4</w:t>
      </w:r>
      <w:r w:rsidRPr="00C644C3">
        <w:t>. BIS were again used to provide a comparison of CFE size between vertical (familiar left + unfamiliar right &amp; familiar right + unfamiliar left) and horizontal (familiar upper + unfamiliar lower &amp; familiar upper + unfamiliar lower) composites with standard and Bayesian statistics. This comparison showed that the size of the CFE for BIS was significantly different between vertical (</w:t>
      </w:r>
      <w:r w:rsidRPr="00C644C3">
        <w:rPr>
          <w:i/>
          <w:iCs/>
        </w:rPr>
        <w:t>M</w:t>
      </w:r>
      <w:r w:rsidRPr="00C644C3">
        <w:t xml:space="preserve"> = 0.17, </w:t>
      </w:r>
      <w:r w:rsidRPr="00C644C3">
        <w:rPr>
          <w:i/>
          <w:iCs/>
        </w:rPr>
        <w:t>SD</w:t>
      </w:r>
      <w:r w:rsidRPr="00C644C3">
        <w:t xml:space="preserve"> = 0.74) and horizontal (</w:t>
      </w:r>
      <w:r w:rsidRPr="00C644C3">
        <w:rPr>
          <w:i/>
          <w:iCs/>
        </w:rPr>
        <w:t>M</w:t>
      </w:r>
      <w:r w:rsidRPr="00C644C3">
        <w:t xml:space="preserve"> = 0.45, </w:t>
      </w:r>
      <w:r w:rsidRPr="00C644C3">
        <w:rPr>
          <w:i/>
          <w:iCs/>
        </w:rPr>
        <w:t>SD</w:t>
      </w:r>
      <w:r w:rsidRPr="00C644C3">
        <w:t xml:space="preserve"> = 1.12) composites </w:t>
      </w:r>
      <w:r w:rsidRPr="00C644C3">
        <w:rPr>
          <w:rFonts w:eastAsia="Times New Roman"/>
          <w:kern w:val="0"/>
          <w14:ligatures w14:val="none"/>
        </w:rPr>
        <w:t>[</w:t>
      </w:r>
      <w:proofErr w:type="gramStart"/>
      <w:r w:rsidRPr="00C644C3">
        <w:rPr>
          <w:rFonts w:eastAsia="Times New Roman"/>
          <w:i/>
          <w:iCs/>
          <w:kern w:val="0"/>
          <w14:ligatures w14:val="none"/>
        </w:rPr>
        <w:t>t</w:t>
      </w:r>
      <w:r w:rsidRPr="00C644C3">
        <w:rPr>
          <w:rFonts w:eastAsia="Times New Roman"/>
          <w:kern w:val="0"/>
          <w14:ligatures w14:val="none"/>
        </w:rPr>
        <w:t>(</w:t>
      </w:r>
      <w:proofErr w:type="gramEnd"/>
      <w:r w:rsidRPr="00C644C3">
        <w:rPr>
          <w:rFonts w:eastAsia="Times New Roman"/>
          <w:kern w:val="0"/>
          <w14:ligatures w14:val="none"/>
        </w:rPr>
        <w:t xml:space="preserve">63) = -.3.47, </w:t>
      </w:r>
      <w:r w:rsidRPr="00C644C3">
        <w:rPr>
          <w:rFonts w:eastAsia="Times New Roman"/>
          <w:i/>
          <w:iCs/>
          <w:kern w:val="0"/>
          <w14:ligatures w14:val="none"/>
        </w:rPr>
        <w:t>p</w:t>
      </w:r>
      <w:r w:rsidRPr="00C644C3">
        <w:rPr>
          <w:rFonts w:eastAsia="Times New Roman"/>
          <w:kern w:val="0"/>
          <w14:ligatures w14:val="none"/>
        </w:rPr>
        <w:t xml:space="preserve"> = .001, </w:t>
      </w:r>
      <w:r w:rsidRPr="00C644C3">
        <w:rPr>
          <w:rFonts w:eastAsia="Times New Roman"/>
          <w:i/>
          <w:iCs/>
          <w:kern w:val="0"/>
          <w14:ligatures w14:val="none"/>
        </w:rPr>
        <w:t>d</w:t>
      </w:r>
      <w:r w:rsidRPr="00C644C3">
        <w:rPr>
          <w:rFonts w:eastAsia="Times New Roman"/>
          <w:kern w:val="0"/>
          <w14:ligatures w14:val="none"/>
        </w:rPr>
        <w:t xml:space="preserve"> = 0.65]</w:t>
      </w:r>
      <w:r w:rsidRPr="00C644C3">
        <w:t>.</w:t>
      </w:r>
      <w:r>
        <w:t xml:space="preserve"> </w:t>
      </w:r>
      <w:r w:rsidRPr="00C644C3">
        <w:t>There was strong evidence in favour of a difference between vertical and horizontal composites (BF</w:t>
      </w:r>
      <w:r w:rsidRPr="00C644C3">
        <w:rPr>
          <w:vertAlign w:val="subscript"/>
        </w:rPr>
        <w:t>10</w:t>
      </w:r>
      <w:r w:rsidRPr="00C644C3">
        <w:t xml:space="preserve"> = 27.31). Comparison of CFE size was calculated for accuracy and reaction time measures independently, which showed no significant difference between composite division directions for accuracy (</w:t>
      </w:r>
      <w:r w:rsidRPr="00C644C3">
        <w:rPr>
          <w:i/>
          <w:iCs/>
        </w:rPr>
        <w:t xml:space="preserve">p </w:t>
      </w:r>
      <w:r w:rsidRPr="00C644C3">
        <w:t>= .092), but with a significant difference for reaction time (</w:t>
      </w:r>
      <w:r w:rsidRPr="00C644C3">
        <w:rPr>
          <w:i/>
          <w:iCs/>
        </w:rPr>
        <w:t xml:space="preserve">p </w:t>
      </w:r>
      <w:r w:rsidRPr="00C644C3">
        <w:t xml:space="preserve">&lt; .001). Descriptive statistics and results from these comparisons are reported in </w:t>
      </w:r>
      <w:r w:rsidR="006F1FB4">
        <w:t xml:space="preserve">Suppl. </w:t>
      </w:r>
      <w:r w:rsidRPr="00C644C3">
        <w:t xml:space="preserve"> Tables</w:t>
      </w:r>
      <w:r w:rsidR="006F1FB4">
        <w:t xml:space="preserve"> 5 </w:t>
      </w:r>
      <w:r w:rsidRPr="00C644C3">
        <w:t xml:space="preserve">&amp; </w:t>
      </w:r>
      <w:r w:rsidR="006F1FB4">
        <w:t>6</w:t>
      </w:r>
      <w:r w:rsidRPr="00C644C3">
        <w:t>.</w:t>
      </w:r>
    </w:p>
    <w:p w14:paraId="3AC52827" w14:textId="6394AAF6" w:rsidR="009A0165" w:rsidRPr="00C644C3" w:rsidRDefault="009A0165" w:rsidP="009A0165">
      <w:pPr>
        <w:rPr>
          <w:strike/>
        </w:rPr>
      </w:pPr>
      <w:r w:rsidRPr="00C644C3">
        <w:t xml:space="preserve">Additionally, we examined any effects caused by the appearance of a familiar half in each visual field on BIS scores in a within-subjects comparison. Paired-sample </w:t>
      </w:r>
      <w:r w:rsidRPr="00CF671E">
        <w:rPr>
          <w:i/>
          <w:iCs/>
        </w:rPr>
        <w:t>t</w:t>
      </w:r>
      <w:r w:rsidRPr="00C644C3">
        <w:t>-tests showed no significant difference in BIS CFE magnitude when the familiar half appeared on the left (</w:t>
      </w:r>
      <w:r w:rsidRPr="00C644C3">
        <w:rPr>
          <w:i/>
          <w:iCs/>
        </w:rPr>
        <w:t>M</w:t>
      </w:r>
      <w:r w:rsidRPr="00C644C3">
        <w:t xml:space="preserve"> = 0.10, </w:t>
      </w:r>
      <w:r w:rsidRPr="00C644C3">
        <w:rPr>
          <w:i/>
          <w:iCs/>
        </w:rPr>
        <w:t>SD</w:t>
      </w:r>
      <w:r w:rsidRPr="00C644C3">
        <w:t xml:space="preserve"> = 1.08) vs. right (</w:t>
      </w:r>
      <w:r w:rsidRPr="00C644C3">
        <w:rPr>
          <w:i/>
          <w:iCs/>
        </w:rPr>
        <w:t>M</w:t>
      </w:r>
      <w:r w:rsidRPr="00C644C3">
        <w:t xml:space="preserve"> = 0.20, </w:t>
      </w:r>
      <w:r w:rsidRPr="00C644C3">
        <w:rPr>
          <w:i/>
          <w:iCs/>
        </w:rPr>
        <w:t>SD</w:t>
      </w:r>
      <w:r w:rsidRPr="00C644C3">
        <w:t xml:space="preserve"> = 0.76) half of the face [</w:t>
      </w:r>
      <w:r w:rsidRPr="00C644C3">
        <w:rPr>
          <w:i/>
          <w:iCs/>
        </w:rPr>
        <w:t>t</w:t>
      </w:r>
      <w:r w:rsidRPr="00C644C3">
        <w:t xml:space="preserve"> = -0.56, </w:t>
      </w:r>
      <w:r w:rsidRPr="00C644C3">
        <w:rPr>
          <w:i/>
          <w:iCs/>
        </w:rPr>
        <w:t>p</w:t>
      </w:r>
      <w:r w:rsidRPr="00C644C3">
        <w:t xml:space="preserve"> = .574]. There was weak evidence in favour of a lack of difference between left and right familiar halves (BF</w:t>
      </w:r>
      <w:r w:rsidRPr="00C644C3">
        <w:rPr>
          <w:vertAlign w:val="subscript"/>
        </w:rPr>
        <w:t>10</w:t>
      </w:r>
      <w:r w:rsidRPr="00C644C3">
        <w:t xml:space="preserve"> = 1.60). Equally, there was no significant difference between the familiar half appearing on the upper (</w:t>
      </w:r>
      <w:r w:rsidRPr="00C644C3">
        <w:rPr>
          <w:i/>
          <w:iCs/>
        </w:rPr>
        <w:t>M</w:t>
      </w:r>
      <w:r w:rsidRPr="00C644C3">
        <w:t xml:space="preserve"> = -0.11, </w:t>
      </w:r>
      <w:r w:rsidRPr="00C644C3">
        <w:rPr>
          <w:i/>
          <w:iCs/>
        </w:rPr>
        <w:t>SD</w:t>
      </w:r>
      <w:r w:rsidRPr="00C644C3">
        <w:t xml:space="preserve"> = 1.16) vs. the lower (</w:t>
      </w:r>
      <w:r w:rsidRPr="00C644C3">
        <w:rPr>
          <w:i/>
          <w:iCs/>
        </w:rPr>
        <w:t>M</w:t>
      </w:r>
      <w:r w:rsidRPr="00C644C3">
        <w:t xml:space="preserve"> = -0.15, </w:t>
      </w:r>
      <w:r w:rsidRPr="00C644C3">
        <w:rPr>
          <w:i/>
          <w:iCs/>
        </w:rPr>
        <w:t>SD</w:t>
      </w:r>
      <w:r w:rsidRPr="00C644C3">
        <w:t xml:space="preserve"> = 1.37) half of the face [</w:t>
      </w:r>
      <w:r w:rsidRPr="00C644C3">
        <w:rPr>
          <w:i/>
          <w:iCs/>
        </w:rPr>
        <w:t>t</w:t>
      </w:r>
      <w:r w:rsidRPr="00C644C3">
        <w:t xml:space="preserve"> = 0.17, </w:t>
      </w:r>
      <w:r w:rsidRPr="00C644C3">
        <w:rPr>
          <w:i/>
          <w:iCs/>
        </w:rPr>
        <w:t>p</w:t>
      </w:r>
      <w:r w:rsidRPr="00C644C3">
        <w:t xml:space="preserve"> = .866]. There was weak evidence in favour of a lack of difference between left and right familiar halves (BF</w:t>
      </w:r>
      <w:r w:rsidRPr="00C644C3">
        <w:rPr>
          <w:vertAlign w:val="subscript"/>
        </w:rPr>
        <w:t>10</w:t>
      </w:r>
      <w:r w:rsidRPr="00C644C3">
        <w:t xml:space="preserve"> = 1.39). This same lack of significant difference </w:t>
      </w:r>
      <w:r w:rsidRPr="00C644C3">
        <w:lastRenderedPageBreak/>
        <w:t xml:space="preserve">was shown in comparisons of the non-integrated dependent variables, the descriptive statistics and results of which of which are listed in </w:t>
      </w:r>
      <w:r w:rsidR="006F1FB4">
        <w:t xml:space="preserve">Suppl. </w:t>
      </w:r>
      <w:r w:rsidRPr="00C644C3">
        <w:t xml:space="preserve"> Tables </w:t>
      </w:r>
      <w:r w:rsidR="006F1FB4">
        <w:t>9</w:t>
      </w:r>
      <w:r w:rsidRPr="00C644C3">
        <w:t xml:space="preserve"> &amp; </w:t>
      </w:r>
      <w:r w:rsidR="006F1FB4">
        <w:t>10</w:t>
      </w:r>
      <w:r w:rsidRPr="00C644C3">
        <w:t xml:space="preserve">. </w:t>
      </w:r>
    </w:p>
    <w:p w14:paraId="38A22255" w14:textId="77777777" w:rsidR="009A0165" w:rsidRPr="00C644C3" w:rsidRDefault="009A0165" w:rsidP="009A0165">
      <w:r w:rsidRPr="00C644C3">
        <w:br w:type="page"/>
      </w:r>
    </w:p>
    <w:p w14:paraId="3F0BD944" w14:textId="6446F25D" w:rsidR="009A0165" w:rsidRPr="00C644C3" w:rsidRDefault="009A0165" w:rsidP="009A0165">
      <w:pPr>
        <w:pStyle w:val="Heading1"/>
      </w:pPr>
      <w:bookmarkStart w:id="49" w:name="_Toc198559631"/>
      <w:bookmarkStart w:id="50" w:name="_Toc198648768"/>
      <w:bookmarkStart w:id="51" w:name="_Toc198648856"/>
      <w:bookmarkStart w:id="52" w:name="_Toc199406053"/>
      <w:r w:rsidRPr="00C644C3">
        <w:lastRenderedPageBreak/>
        <w:t>Discussion</w:t>
      </w:r>
      <w:bookmarkEnd w:id="49"/>
      <w:bookmarkEnd w:id="50"/>
      <w:bookmarkEnd w:id="51"/>
      <w:bookmarkEnd w:id="52"/>
    </w:p>
    <w:p w14:paraId="449ADCFF" w14:textId="77777777" w:rsidR="009A0165" w:rsidRPr="00C644C3" w:rsidRDefault="009A0165" w:rsidP="009A0165">
      <w:r w:rsidRPr="00C644C3">
        <w:t>The aims of this study were to determine the existence of a vertical CFE</w:t>
      </w:r>
      <w:r>
        <w:t>,</w:t>
      </w:r>
      <w:r w:rsidRPr="00C644C3">
        <w:t xml:space="preserve"> and to compare the magnitude of this vertical CFE with the traditional horizontal CFE. Across four pre-registered experiments, we demonstrate a reliable CFE for vertically divided faces and show that its magnitude is comparable to the well-established horizontal CFE. </w:t>
      </w:r>
    </w:p>
    <w:p w14:paraId="041CED92" w14:textId="77777777" w:rsidR="009A0165" w:rsidRPr="00C644C3" w:rsidRDefault="009A0165" w:rsidP="009A0165">
      <w:r w:rsidRPr="00C644C3">
        <w:t xml:space="preserve">The CFE was first demonstrated by Young and colleagues (1987) and has been taken as evidence for the holistic integration of facial information. Here, we demonstrate that the CFE is not limited to ‘horizontal’ composites, composed of upper and lower halves of faces, but is equally evident in ‘vertical’ composites, composed of left and right halves of faces. Only a few other studies have examined a CFE using vertical composites (Liu &amp; Behrmann, 2014; Liu </w:t>
      </w:r>
      <w:r w:rsidRPr="00EC53A1">
        <w:rPr>
          <w:i/>
          <w:iCs/>
        </w:rPr>
        <w:t>et al.</w:t>
      </w:r>
      <w:r w:rsidRPr="00C644C3">
        <w:t xml:space="preserve">, 2014). However, none of these have demonstrated this effect in a naturalistic familiar face recognition paradigm, nor directly compared the CFE magnitude for vertical and horizontal composites. Our findings align with EEG studies showing interactions between evoked components in aligned but not misaligned facial composites, which have been interpreted as representing the binding of left and right face halves in posterior </w:t>
      </w:r>
      <w:proofErr w:type="spellStart"/>
      <w:r w:rsidRPr="00C644C3">
        <w:t>occipito</w:t>
      </w:r>
      <w:proofErr w:type="spellEnd"/>
      <w:r w:rsidRPr="00C644C3">
        <w:t>-temporal cortex (</w:t>
      </w:r>
      <w:proofErr w:type="spellStart"/>
      <w:r w:rsidRPr="00C644C3">
        <w:t>Boremanse</w:t>
      </w:r>
      <w:proofErr w:type="spellEnd"/>
      <w:r w:rsidRPr="00C644C3">
        <w:t xml:space="preserve"> </w:t>
      </w:r>
      <w:r w:rsidRPr="00EC53A1">
        <w:rPr>
          <w:i/>
          <w:iCs/>
        </w:rPr>
        <w:t>et al.</w:t>
      </w:r>
      <w:r w:rsidRPr="00C644C3">
        <w:rPr>
          <w:i/>
          <w:iCs/>
        </w:rPr>
        <w:t>,</w:t>
      </w:r>
      <w:r w:rsidRPr="00C644C3">
        <w:t xml:space="preserve"> 2013). The relevance of these bound representations to analytic processing is demonstrable through evidence of preferential neural responses to fully integrated faces in higher-level face-selective regions (Tong </w:t>
      </w:r>
      <w:r w:rsidRPr="00EC53A1">
        <w:rPr>
          <w:i/>
          <w:iCs/>
        </w:rPr>
        <w:t>et al.</w:t>
      </w:r>
      <w:r w:rsidRPr="00C644C3">
        <w:t xml:space="preserve">, 2000; Kamps </w:t>
      </w:r>
      <w:r w:rsidRPr="00EC53A1">
        <w:rPr>
          <w:i/>
          <w:iCs/>
        </w:rPr>
        <w:t>et al.</w:t>
      </w:r>
      <w:r w:rsidRPr="00C644C3">
        <w:t>, 2019;</w:t>
      </w:r>
      <w:r w:rsidRPr="00C644C3" w:rsidDel="00C87E9E">
        <w:t xml:space="preserve"> </w:t>
      </w:r>
      <w:r w:rsidRPr="00C644C3">
        <w:t xml:space="preserve">Liu </w:t>
      </w:r>
      <w:r w:rsidRPr="00EC53A1">
        <w:rPr>
          <w:i/>
          <w:iCs/>
        </w:rPr>
        <w:t>et al.</w:t>
      </w:r>
      <w:r w:rsidRPr="00C644C3">
        <w:t xml:space="preserve">, 2010; Zhang </w:t>
      </w:r>
      <w:r w:rsidRPr="00EC53A1">
        <w:rPr>
          <w:i/>
          <w:iCs/>
        </w:rPr>
        <w:t>et al.</w:t>
      </w:r>
      <w:r w:rsidRPr="00C644C3">
        <w:t xml:space="preserve">, 2012). A possible mechanism for the integration of information across visual hemifields could be the strong interhemispheric connectivity between corresponding face regions in the brain (Davies-Thompson &amp; Andrews, 2012; Quinn </w:t>
      </w:r>
      <w:r w:rsidRPr="00EC53A1">
        <w:rPr>
          <w:i/>
          <w:iCs/>
        </w:rPr>
        <w:t>et al.</w:t>
      </w:r>
      <w:r w:rsidRPr="00C644C3">
        <w:rPr>
          <w:i/>
          <w:iCs/>
        </w:rPr>
        <w:t>,</w:t>
      </w:r>
      <w:r w:rsidRPr="00C644C3">
        <w:t xml:space="preserve"> 2024; </w:t>
      </w:r>
      <w:proofErr w:type="spellStart"/>
      <w:r w:rsidRPr="00C644C3">
        <w:t>Frässle</w:t>
      </w:r>
      <w:proofErr w:type="spellEnd"/>
      <w:r w:rsidRPr="00C644C3">
        <w:rPr>
          <w:i/>
          <w:iCs/>
        </w:rPr>
        <w:t xml:space="preserve"> </w:t>
      </w:r>
      <w:r w:rsidRPr="00EC53A1">
        <w:rPr>
          <w:i/>
          <w:iCs/>
        </w:rPr>
        <w:t>et al.</w:t>
      </w:r>
      <w:r w:rsidRPr="00C644C3">
        <w:rPr>
          <w:i/>
          <w:iCs/>
        </w:rPr>
        <w:t xml:space="preserve">, </w:t>
      </w:r>
      <w:r w:rsidRPr="00C644C3">
        <w:t>2016a; 2016b; Geiger</w:t>
      </w:r>
      <w:r>
        <w:t xml:space="preserve"> </w:t>
      </w:r>
      <w:r w:rsidRPr="00EC53A1">
        <w:rPr>
          <w:i/>
          <w:iCs/>
        </w:rPr>
        <w:t>et al.</w:t>
      </w:r>
      <w:r w:rsidRPr="00C644C3">
        <w:rPr>
          <w:i/>
          <w:iCs/>
        </w:rPr>
        <w:t>,</w:t>
      </w:r>
      <w:r w:rsidRPr="00C644C3">
        <w:t xml:space="preserve"> 2016).</w:t>
      </w:r>
    </w:p>
    <w:p w14:paraId="64D29FBA" w14:textId="77777777" w:rsidR="009A0165" w:rsidRPr="00C644C3" w:rsidRDefault="009A0165" w:rsidP="009A0165">
      <w:r w:rsidRPr="00C644C3">
        <w:t xml:space="preserve">We found that the vertical CFE had the same magnitude as the horizontal CFE. Earlier assumptions of a weaker vertical </w:t>
      </w:r>
      <w:r>
        <w:t>CFE</w:t>
      </w:r>
      <w:r w:rsidRPr="00C644C3">
        <w:t xml:space="preserve"> may be due to the method used to construct the images. By combining familiar and unfamiliar faces, we were able to match the faces so that the features were effectively aligned without altering the appearance of the familiar faces. This would be consistent with the idea that some previous attempts to show a vertical CFE have been affected by difficulties in the alignment of features, which diminish naturalistic facial symmetry (Hole, 1994). These misalignments could influence the integration of the left and right halves of the face due to the sensitivity of the face processing system for horizontally oriented facial information (Dakin &amp; Watt, 2009; </w:t>
      </w:r>
      <w:proofErr w:type="spellStart"/>
      <w:r w:rsidRPr="00C644C3">
        <w:t>Goffaux</w:t>
      </w:r>
      <w:proofErr w:type="spellEnd"/>
      <w:r w:rsidRPr="00C644C3">
        <w:t xml:space="preserve"> &amp; Dakin, 2010). Before digital image manipulation software was readily available, vertical composite creation (e.g., Hole, 1994; Young </w:t>
      </w:r>
      <w:r w:rsidRPr="00EC53A1">
        <w:rPr>
          <w:i/>
          <w:iCs/>
        </w:rPr>
        <w:t>et al.</w:t>
      </w:r>
      <w:r w:rsidRPr="00C644C3">
        <w:rPr>
          <w:i/>
          <w:iCs/>
        </w:rPr>
        <w:t>,</w:t>
      </w:r>
      <w:r w:rsidRPr="00C644C3">
        <w:t xml:space="preserve"> 1990) may have inadvertently broken or reduced holistic integration due to even small featural misalignments (</w:t>
      </w:r>
      <w:proofErr w:type="spellStart"/>
      <w:r w:rsidRPr="00C644C3">
        <w:t>Laguesse</w:t>
      </w:r>
      <w:proofErr w:type="spellEnd"/>
      <w:r w:rsidRPr="00C644C3">
        <w:t xml:space="preserve"> &amp; </w:t>
      </w:r>
      <w:proofErr w:type="spellStart"/>
      <w:r w:rsidRPr="00C644C3">
        <w:t>Rossion</w:t>
      </w:r>
      <w:proofErr w:type="spellEnd"/>
      <w:r w:rsidRPr="00C644C3">
        <w:t>, 2013), or inconsistencies in the predicted sequence of horizontal information</w:t>
      </w:r>
      <w:r w:rsidRPr="00C644C3" w:rsidDel="007E3357">
        <w:t xml:space="preserve"> </w:t>
      </w:r>
      <w:r w:rsidRPr="00C644C3">
        <w:t xml:space="preserve">(Dakin &amp; Watt, 2009), thereby generating biologically implausible composite </w:t>
      </w:r>
      <w:r w:rsidRPr="00C644C3">
        <w:lastRenderedPageBreak/>
        <w:t>faces (Taubert &amp; Alais, 2009). With controlled featural and contrast alignment into plausible facial representations (see Figure 3.1), our results show that alignment of left and right halves into a composite creates a similar holistic representation as alignment of upper and lower halves.</w:t>
      </w:r>
    </w:p>
    <w:p w14:paraId="7F468A6B" w14:textId="77777777" w:rsidR="009A0165" w:rsidRPr="00C644C3" w:rsidRDefault="009A0165" w:rsidP="009A0165">
      <w:r w:rsidRPr="00C644C3">
        <w:t xml:space="preserve">The importance of integrating information from the left and right halves of the face is apparent when we consider how we attend to faces in natural viewing. Several studies have shown that we typically fixate at, or close to, the horizontal midpoint of the face (Peterson &amp; Eckstein, 2012; Walker-Smith </w:t>
      </w:r>
      <w:r w:rsidRPr="00EC53A1">
        <w:rPr>
          <w:i/>
          <w:iCs/>
        </w:rPr>
        <w:t>et al.</w:t>
      </w:r>
      <w:r w:rsidRPr="00C644C3">
        <w:rPr>
          <w:i/>
          <w:iCs/>
        </w:rPr>
        <w:t>,</w:t>
      </w:r>
      <w:r w:rsidRPr="00C644C3">
        <w:t xml:space="preserve"> 2013; Hsiao &amp; Cottrell, 2008). This leads to the left and right halves of the face projecting to opposite hemispheres</w:t>
      </w:r>
      <w:r>
        <w:t>,</w:t>
      </w:r>
      <w:r w:rsidRPr="00C644C3">
        <w:t xml:space="preserve"> and being processed in anatomically distinct regions of the early visual brain (Hsiao </w:t>
      </w:r>
      <w:r w:rsidRPr="00EC53A1">
        <w:rPr>
          <w:i/>
          <w:iCs/>
        </w:rPr>
        <w:t>et al.</w:t>
      </w:r>
      <w:r w:rsidRPr="00C644C3">
        <w:t>, 2008). Although none of our experiments monitored eye position or used brief presentations to minimise the effect of eye movements, fixation crosses were presented close to the naturalistic fixation point for frontally facing faces, and previous research has shown that these are reliable in maintaining fixation control (Jones &amp; Santi, 1978; Posner, Nissen, &amp; Ogden, 2014).</w:t>
      </w:r>
      <w:r w:rsidRPr="00C644C3" w:rsidDel="00180087">
        <w:t xml:space="preserve"> </w:t>
      </w:r>
      <w:r w:rsidRPr="00C644C3">
        <w:t xml:space="preserve">Moreover, while the decision to retain composites on-screen until judgments were made likely resulted in overall high accuracy scores, evidence suggests that holistic (Richler </w:t>
      </w:r>
      <w:r w:rsidRPr="00EC53A1">
        <w:rPr>
          <w:i/>
          <w:iCs/>
        </w:rPr>
        <w:t>et al.</w:t>
      </w:r>
      <w:r w:rsidRPr="00C644C3">
        <w:t xml:space="preserve">, 2009) and identity (Seeck </w:t>
      </w:r>
      <w:r w:rsidRPr="00EC53A1">
        <w:rPr>
          <w:i/>
          <w:iCs/>
        </w:rPr>
        <w:t>et al.</w:t>
      </w:r>
      <w:r w:rsidRPr="00C644C3">
        <w:t xml:space="preserve"> 1997; Tanaka </w:t>
      </w:r>
      <w:r w:rsidRPr="00EC53A1">
        <w:rPr>
          <w:i/>
          <w:iCs/>
        </w:rPr>
        <w:t>et al.</w:t>
      </w:r>
      <w:r w:rsidRPr="00C644C3">
        <w:t>, 2006) processing occur rapidly after initial fixation. The consistent presence of a vertical CFE in reaction time measures throughout our experiments suggests that CFE magnitude was not overly affected by this choice.</w:t>
      </w:r>
    </w:p>
    <w:p w14:paraId="503921A2" w14:textId="77777777" w:rsidR="009A0165" w:rsidRPr="00C644C3" w:rsidRDefault="009A0165" w:rsidP="009A0165">
      <w:r w:rsidRPr="00C644C3">
        <w:t xml:space="preserve">To explore the processes underlying the vertical CFE, we asked whether prior exposure to the familiar faces was important to its production. Previous studies examining the CFE using familiar faces have commonly shown the familiar identities </w:t>
      </w:r>
      <w:r>
        <w:t>used to construct</w:t>
      </w:r>
      <w:r w:rsidRPr="00C644C3">
        <w:t xml:space="preserve"> the composites prior to testing (e.g., Young </w:t>
      </w:r>
      <w:r w:rsidRPr="00EC53A1">
        <w:rPr>
          <w:i/>
          <w:iCs/>
        </w:rPr>
        <w:t>et al.</w:t>
      </w:r>
      <w:r w:rsidRPr="00C644C3">
        <w:t xml:space="preserve">, 1987; Chen </w:t>
      </w:r>
      <w:r w:rsidRPr="00EC53A1">
        <w:rPr>
          <w:i/>
          <w:iCs/>
        </w:rPr>
        <w:t>et al.</w:t>
      </w:r>
      <w:r w:rsidRPr="00C644C3">
        <w:t xml:space="preserve">, 2018; </w:t>
      </w:r>
      <w:proofErr w:type="spellStart"/>
      <w:r w:rsidRPr="00C644C3">
        <w:t>Fitousi</w:t>
      </w:r>
      <w:proofErr w:type="spellEnd"/>
      <w:r w:rsidRPr="00C644C3">
        <w:t xml:space="preserve">, 2020; Robbins &amp; McKone, 2003). The horizontal CFE is known to be subject to the effects of priming, such as for local versus global information (Ventura </w:t>
      </w:r>
      <w:r w:rsidRPr="00EC53A1">
        <w:rPr>
          <w:i/>
          <w:iCs/>
        </w:rPr>
        <w:t>et al.</w:t>
      </w:r>
      <w:r w:rsidRPr="00C644C3">
        <w:t xml:space="preserve">, 2021). Priming or prior exposure to images of faces has also been shown to improve recognition judgements (Ellis </w:t>
      </w:r>
      <w:r w:rsidRPr="00EC53A1">
        <w:rPr>
          <w:i/>
          <w:iCs/>
        </w:rPr>
        <w:t>et al.</w:t>
      </w:r>
      <w:r w:rsidRPr="00C644C3">
        <w:t xml:space="preserve">, 1987, Bruce &amp; Valentine 1985). In the current study, we compared performance when participants were primed (Experiment 1) or unprimed (Experiment 2) with the familiar faces used in the composites. Our findings showed that priming did not have any significant effect on the magnitude of the vertical or horizontal CFE. The absence of identity-priming suggests that holistic integration occurs at an early stage of face processing, before identity-relevant information is analysed (Richler </w:t>
      </w:r>
      <w:r w:rsidRPr="00EC53A1">
        <w:rPr>
          <w:i/>
          <w:iCs/>
        </w:rPr>
        <w:t>et al.</w:t>
      </w:r>
      <w:r w:rsidRPr="00C644C3">
        <w:rPr>
          <w:i/>
          <w:iCs/>
        </w:rPr>
        <w:t>,</w:t>
      </w:r>
      <w:r w:rsidRPr="00C644C3">
        <w:t xml:space="preserve"> 2009; Osborne &amp; Stevenage, 2013). This aligns with evidence from Liu and Behrmann (2014) and Liu </w:t>
      </w:r>
      <w:r w:rsidRPr="00EC53A1">
        <w:rPr>
          <w:i/>
          <w:iCs/>
        </w:rPr>
        <w:t>et al.</w:t>
      </w:r>
      <w:r w:rsidRPr="00C644C3">
        <w:t xml:space="preserve"> (2014), which provide similar indications of a vertical CFE for unfamiliar identity recognition. This may suggest that familiarity is less relevant to holistic integration than overall recognition processing (Johnston &amp; Edmonds, 2009; Young &amp; Burton, 2017), and an interesting issue for further study would be the extent to which the CFE differs between unfamiliar and familiar faces when directly compared. </w:t>
      </w:r>
    </w:p>
    <w:p w14:paraId="3ACC19F2" w14:textId="77777777" w:rsidR="009A0165" w:rsidRPr="00C644C3" w:rsidRDefault="009A0165" w:rsidP="009A0165">
      <w:r w:rsidRPr="00C644C3">
        <w:lastRenderedPageBreak/>
        <w:t xml:space="preserve">Next, we asked whether there was a greater effect when judgments were focused on specific halves of the face. Previous studies have demonstrated a left visual field/right hemisphere bias in facial processing (Bourne &amp; Hole, 2006, </w:t>
      </w:r>
      <w:proofErr w:type="spellStart"/>
      <w:r w:rsidRPr="00C644C3">
        <w:t>Verosky</w:t>
      </w:r>
      <w:proofErr w:type="spellEnd"/>
      <w:r w:rsidRPr="00C644C3">
        <w:t xml:space="preserve"> &amp; Turk-Browne, 2012; </w:t>
      </w:r>
      <w:proofErr w:type="spellStart"/>
      <w:r w:rsidRPr="00C644C3">
        <w:t>Rossion</w:t>
      </w:r>
      <w:proofErr w:type="spellEnd"/>
      <w:r w:rsidRPr="00C644C3">
        <w:t xml:space="preserve">, 2014; Prete &amp; Tommasi, 2018), which may reflect superior holistic processing (Bradshaw &amp; Nettleton, 1981; </w:t>
      </w:r>
      <w:proofErr w:type="spellStart"/>
      <w:r w:rsidRPr="00C644C3">
        <w:t>Bombari</w:t>
      </w:r>
      <w:proofErr w:type="spellEnd"/>
      <w:r w:rsidRPr="00C644C3">
        <w:t xml:space="preserve"> </w:t>
      </w:r>
      <w:r w:rsidRPr="00EC53A1">
        <w:rPr>
          <w:i/>
          <w:iCs/>
        </w:rPr>
        <w:t>et al.</w:t>
      </w:r>
      <w:r w:rsidRPr="00C644C3">
        <w:rPr>
          <w:i/>
          <w:iCs/>
        </w:rPr>
        <w:t>,</w:t>
      </w:r>
      <w:r w:rsidRPr="00C644C3">
        <w:t xml:space="preserve"> 2014). To test whether laterality affected the size of the CFE, we compared judgements of familiarity on the left and right sides of the face. Consistent with a previous finding by Liu and Behrmann (2014), a comparison of results from Experiments 2 and 3 shows that there was no difference in the size of the vertical CFE sizes between judgements focused on the right face half and the left face half. Although neuroimaging evidence suggests that holistic processing is reliant predominantly on processing within the right hemisphere (Schiltz </w:t>
      </w:r>
      <w:r w:rsidRPr="00EC53A1">
        <w:rPr>
          <w:i/>
          <w:iCs/>
        </w:rPr>
        <w:t>et al.</w:t>
      </w:r>
      <w:r w:rsidRPr="00C644C3">
        <w:t xml:space="preserve">, 2010; Schiltz &amp; </w:t>
      </w:r>
      <w:proofErr w:type="spellStart"/>
      <w:r w:rsidRPr="00C644C3">
        <w:t>Rossion</w:t>
      </w:r>
      <w:proofErr w:type="spellEnd"/>
      <w:r w:rsidRPr="00C644C3">
        <w:t xml:space="preserve">, 2006), as supported by the apparently overall greater accuracy of judgements focused on the left half of the face, our results suggest that this does not produce a specific advantage in the binding of information for centrally presented faces. This may be explained by the visual information initially projecting to both hemispheres being relevant to the integrative process, and thus there is no advantage to focusing judgements on one visual field over the other. Comparison of horizontal CFE sizes between experiments 2 and 3 showed a greater BIS CFE size for judgements focused on the upper half of the face than the lower half of the face. While weak, this effect aligns with indications of a particular salience of features in the upper half of the face, particularly the eye-region, to recognition processing (McKelvie, 1976; Royer </w:t>
      </w:r>
      <w:r w:rsidRPr="00EC53A1">
        <w:rPr>
          <w:i/>
          <w:iCs/>
        </w:rPr>
        <w:t>et al.</w:t>
      </w:r>
      <w:r w:rsidRPr="00C644C3">
        <w:t>, 2018; Quinn &amp; Wiese, 202</w:t>
      </w:r>
      <w:r>
        <w:t>3</w:t>
      </w:r>
      <w:r w:rsidRPr="00C644C3">
        <w:t xml:space="preserve">; Tanaka &amp; Farah, 1993), and is consistent with previous CFE studies (e.g., Wang </w:t>
      </w:r>
      <w:r w:rsidRPr="00EC53A1">
        <w:rPr>
          <w:i/>
          <w:iCs/>
        </w:rPr>
        <w:t>et al.</w:t>
      </w:r>
      <w:r w:rsidRPr="00C644C3">
        <w:t>, 2023; 2019).</w:t>
      </w:r>
    </w:p>
    <w:p w14:paraId="430C2770" w14:textId="77777777" w:rsidR="009A0165" w:rsidRPr="00C644C3" w:rsidRDefault="009A0165" w:rsidP="009A0165">
      <w:r w:rsidRPr="00C644C3">
        <w:t xml:space="preserve">We also investigated the role of attention on the vertical CFE, to determine whether </w:t>
      </w:r>
      <w:r>
        <w:t xml:space="preserve">the </w:t>
      </w:r>
      <w:r w:rsidRPr="00C644C3">
        <w:t xml:space="preserve">holistic integration of faces is an automatic process or requires cognitive control. Previous studies have suggested that the absence of an effect of attention indicates the automaticity of face processing (Palermo &amp; Rhodes, 2007; Yan, Young, &amp; Andrews, 2017). We found a vertical CFE in Experiments 1-3, in which participants had to direct their attention to either the left or right side of the composite. In Experiment 4, participants were not instructed to attend to either face half, but were instead asked to indicate which half was familiar. Experiment 4 showed no difference in accuracy between aligned and misaligned vertical or horizontal composites. Vertical composites showed a significant increase in reaction time when aligned compared to when misaligned. In contrast, horizontal composites showed no difference between the aligned and misaligned conditions. When accuracy and reaction time were integrated into balanced integration scores, neither the vertical nor horizontal composites showed the predicted difference between aligned and misaligned conditions. The attenuation of CFE for vertical and horizontal composites in Experiment 4 suggests that attention to a specific face half is important and that the CFE is not fully automatic. While attenuated, the production of a reaction time CFE for </w:t>
      </w:r>
      <w:r w:rsidRPr="00C644C3">
        <w:lastRenderedPageBreak/>
        <w:t xml:space="preserve">vertical but not horizontal composites suggests that vertical composites are more resilient to changes in attentional paradigm. </w:t>
      </w:r>
    </w:p>
    <w:p w14:paraId="4451DB50" w14:textId="77777777" w:rsidR="009A0165" w:rsidRPr="00C644C3" w:rsidRDefault="009A0165" w:rsidP="009A0165">
      <w:r w:rsidRPr="00C644C3">
        <w:t xml:space="preserve">Recent research has highlighted the need to corroborate evidence between different tasks indicative of holistic integration to draw theoretically sound conclusions (Jin </w:t>
      </w:r>
      <w:r w:rsidRPr="00EC53A1">
        <w:rPr>
          <w:i/>
          <w:iCs/>
        </w:rPr>
        <w:t>et al.</w:t>
      </w:r>
      <w:r w:rsidRPr="00C644C3">
        <w:t xml:space="preserve">, 2024; Li </w:t>
      </w:r>
      <w:r w:rsidRPr="00EC53A1">
        <w:rPr>
          <w:i/>
          <w:iCs/>
        </w:rPr>
        <w:t>et al.</w:t>
      </w:r>
      <w:r w:rsidRPr="00C644C3">
        <w:t xml:space="preserve">, 2017; 2019; Boutet </w:t>
      </w:r>
      <w:r w:rsidRPr="00EC53A1">
        <w:rPr>
          <w:i/>
          <w:iCs/>
        </w:rPr>
        <w:t>et al.</w:t>
      </w:r>
      <w:r w:rsidRPr="00C644C3">
        <w:t xml:space="preserve">, 2021). Combined with results drawn from Liu and Behrmann (2014) and Liu </w:t>
      </w:r>
      <w:r w:rsidRPr="00EC53A1">
        <w:rPr>
          <w:i/>
          <w:iCs/>
        </w:rPr>
        <w:t>et al.</w:t>
      </w:r>
      <w:r w:rsidRPr="00C644C3">
        <w:t>, (2014) which demonstrate a vertical CFE for unfamiliar faces using the complete design, our same finding using familiar faces and the partial design strongly suggest that left and right face halves are holistically integrated. While the complete design has been criticised for its ambiguity regarding if its results stem from facilitation or interference of irrelevant halves (</w:t>
      </w:r>
      <w:proofErr w:type="spellStart"/>
      <w:r w:rsidRPr="00C644C3">
        <w:t>Rossion</w:t>
      </w:r>
      <w:proofErr w:type="spellEnd"/>
      <w:r w:rsidRPr="00C644C3">
        <w:t>, 2013), our findings clearly demonstrate the interference of irrelevant halves, indicating perceptual integration. While results from the complete design point towards evidence of the facilitative effects of integration on face processing, further evidence from paradigms exclusively demonstrating facilitation effects (e.g., Tanaka &amp; Farah, 1993) for left and right face halves is needed to further consolidate our findings as evidence of holistic integration.</w:t>
      </w:r>
    </w:p>
    <w:p w14:paraId="13576DEC" w14:textId="77777777" w:rsidR="009A0165" w:rsidRPr="00C644C3" w:rsidRDefault="009A0165" w:rsidP="009A0165">
      <w:r w:rsidRPr="00C644C3">
        <w:t>In conclusion, we found consistent evidence across four experiments for a CFE for vertically divided faces, which was consistent in magnitude with the traditional horizontal CFE. The magnitude of this effect was unaffected by priming or which half of the face was attended. However, the magnitude of the vertical CFE was attenuated when participants were not attending to a specific face half. The importance of these findings may be related to the fact that during normal fixation the left and right side of the face are initially processed in opposite hemispheres. More generally, these findings provide further evidence for the idea that facial information is processed holistically.</w:t>
      </w:r>
    </w:p>
    <w:p w14:paraId="6B2B7EDD" w14:textId="21F9A944" w:rsidR="00197821" w:rsidRPr="007B7A70" w:rsidRDefault="00197821" w:rsidP="009A0165">
      <w:r w:rsidRPr="007B7A70">
        <w:br w:type="page"/>
      </w:r>
    </w:p>
    <w:p w14:paraId="4545F8D8" w14:textId="59FCBA22" w:rsidR="00197821" w:rsidRPr="007B7A70" w:rsidRDefault="006F1FB4" w:rsidP="009A0165">
      <w:pPr>
        <w:pStyle w:val="Heading1"/>
      </w:pPr>
      <w:r>
        <w:lastRenderedPageBreak/>
        <w:t>Ending sections</w:t>
      </w:r>
    </w:p>
    <w:p w14:paraId="7EAED5F3" w14:textId="014961DF" w:rsidR="00197821" w:rsidRPr="007B7A70" w:rsidRDefault="00197821" w:rsidP="009A0165">
      <w:pPr>
        <w:pStyle w:val="Heading2"/>
      </w:pPr>
      <w:r w:rsidRPr="007B7A70">
        <w:t>Code Availability</w:t>
      </w:r>
    </w:p>
    <w:p w14:paraId="1452BA40" w14:textId="390705A0" w:rsidR="00197821" w:rsidRPr="009A0165" w:rsidRDefault="00197821" w:rsidP="009A0165">
      <w:pPr>
        <w:pStyle w:val="NormalWeb"/>
        <w:rPr>
          <w:rFonts w:asciiTheme="minorHAnsi" w:eastAsiaTheme="minorHAnsi" w:hAnsiTheme="minorHAnsi" w:cstheme="minorHAnsi"/>
          <w:b/>
          <w:bCs/>
          <w:i/>
          <w:iCs/>
          <w:kern w:val="2"/>
          <w:sz w:val="22"/>
          <w:szCs w:val="22"/>
          <w:lang w:val="en-US"/>
          <w14:ligatures w14:val="standardContextual"/>
        </w:rPr>
      </w:pPr>
      <w:r w:rsidRPr="009A0165">
        <w:rPr>
          <w:rFonts w:asciiTheme="minorHAnsi" w:hAnsiTheme="minorHAnsi" w:cstheme="minorHAnsi"/>
          <w:sz w:val="22"/>
          <w:szCs w:val="22"/>
        </w:rPr>
        <w:t>All analysis code and fully anonymised</w:t>
      </w:r>
      <w:r w:rsidR="007425AA" w:rsidRPr="009A0165">
        <w:rPr>
          <w:rFonts w:asciiTheme="minorHAnsi" w:hAnsiTheme="minorHAnsi" w:cstheme="minorHAnsi"/>
          <w:sz w:val="22"/>
          <w:szCs w:val="22"/>
        </w:rPr>
        <w:t xml:space="preserve">, coded </w:t>
      </w:r>
      <w:r w:rsidRPr="009A0165">
        <w:rPr>
          <w:rFonts w:asciiTheme="minorHAnsi" w:hAnsiTheme="minorHAnsi" w:cstheme="minorHAnsi"/>
          <w:sz w:val="22"/>
          <w:szCs w:val="22"/>
        </w:rPr>
        <w:t>data is available on the OSF. (</w:t>
      </w:r>
      <w:r w:rsidR="005F163E" w:rsidRPr="009A0165">
        <w:rPr>
          <w:rFonts w:asciiTheme="minorHAnsi" w:hAnsiTheme="minorHAnsi" w:cstheme="minorHAnsi"/>
          <w:sz w:val="22"/>
          <w:szCs w:val="22"/>
        </w:rPr>
        <w:t>https://osf.io/3y2kp/?view_only=5f1eb046809244a99aed7532fd1eed55</w:t>
      </w:r>
      <w:r w:rsidRPr="009A0165">
        <w:rPr>
          <w:rFonts w:asciiTheme="minorHAnsi" w:hAnsiTheme="minorHAnsi" w:cstheme="minorHAnsi"/>
          <w:sz w:val="22"/>
          <w:szCs w:val="22"/>
        </w:rPr>
        <w:t>).</w:t>
      </w:r>
      <w:r w:rsidR="005F163E" w:rsidRPr="009A0165">
        <w:rPr>
          <w:rFonts w:asciiTheme="minorHAnsi" w:eastAsiaTheme="minorHAnsi" w:hAnsiTheme="minorHAnsi" w:cstheme="minorHAnsi"/>
          <w:b/>
          <w:bCs/>
          <w:i/>
          <w:iCs/>
          <w:kern w:val="2"/>
          <w:sz w:val="22"/>
          <w:szCs w:val="22"/>
          <w:lang w:val="en-US"/>
          <w14:ligatures w14:val="standardContextual"/>
        </w:rPr>
        <w:t xml:space="preserve"> </w:t>
      </w:r>
    </w:p>
    <w:p w14:paraId="61C8E830" w14:textId="773C556A" w:rsidR="00197821" w:rsidRPr="007B7A70" w:rsidRDefault="00197821" w:rsidP="009A0165">
      <w:pPr>
        <w:pStyle w:val="Heading2"/>
      </w:pPr>
      <w:r w:rsidRPr="007B7A70">
        <w:t>Declaration of Competing Interests</w:t>
      </w:r>
    </w:p>
    <w:p w14:paraId="10881B6C" w14:textId="1EECC9D2" w:rsidR="00EF035E" w:rsidRPr="007B7A70" w:rsidRDefault="00197821" w:rsidP="009A0165">
      <w:r w:rsidRPr="007B7A70">
        <w:t>The authors declare that they have no known competing financial interests or personal relationships that could have appeared to influence the work reported in this paper.</w:t>
      </w:r>
      <w:r w:rsidR="00EF035E" w:rsidRPr="007B7A70">
        <w:br w:type="page"/>
      </w:r>
    </w:p>
    <w:p w14:paraId="2D222D36" w14:textId="4A0A5202" w:rsidR="00DB0F84" w:rsidRPr="007B7A70" w:rsidRDefault="006F1FB4" w:rsidP="009A0165">
      <w:pPr>
        <w:pStyle w:val="Heading1"/>
      </w:pPr>
      <w:r>
        <w:lastRenderedPageBreak/>
        <w:t>References</w:t>
      </w:r>
    </w:p>
    <w:p w14:paraId="65EECAF9" w14:textId="77777777" w:rsidR="00E1292D" w:rsidRPr="007B7A70" w:rsidRDefault="00E1292D" w:rsidP="009A0165">
      <w:r w:rsidRPr="007B7A70">
        <w:t xml:space="preserve">Baudouin, J. Y., &amp; Humphreys, G. W. (2006). Configural information in gender categorisation. </w:t>
      </w:r>
      <w:r w:rsidRPr="007B7A70">
        <w:rPr>
          <w:i/>
          <w:iCs/>
        </w:rPr>
        <w:t>Perception</w:t>
      </w:r>
      <w:r w:rsidRPr="007B7A70">
        <w:t xml:space="preserve">, </w:t>
      </w:r>
      <w:r w:rsidRPr="007B7A70">
        <w:rPr>
          <w:i/>
          <w:iCs/>
        </w:rPr>
        <w:t>35</w:t>
      </w:r>
      <w:r w:rsidRPr="007B7A70">
        <w:t>(4), 531-540.</w:t>
      </w:r>
    </w:p>
    <w:p w14:paraId="14ED8E79" w14:textId="77777777" w:rsidR="00E1292D" w:rsidRPr="007B7A70" w:rsidRDefault="00E1292D" w:rsidP="009A0165">
      <w:proofErr w:type="spellStart"/>
      <w:r w:rsidRPr="007B7A70">
        <w:t>Bombari</w:t>
      </w:r>
      <w:proofErr w:type="spellEnd"/>
      <w:r w:rsidRPr="007B7A70">
        <w:t xml:space="preserve">, D., Preuss, N., &amp; Mast, F. W. (2014). Lateralized Processing of Faces. </w:t>
      </w:r>
      <w:r w:rsidRPr="007B7A70">
        <w:rPr>
          <w:i/>
          <w:iCs/>
        </w:rPr>
        <w:t>Swiss Journal of Psychology</w:t>
      </w:r>
      <w:r w:rsidRPr="007B7A70">
        <w:t>.</w:t>
      </w:r>
    </w:p>
    <w:p w14:paraId="787F6D87" w14:textId="77777777" w:rsidR="00E1292D" w:rsidRPr="007B7A70" w:rsidRDefault="00E1292D" w:rsidP="009A0165">
      <w:proofErr w:type="spellStart"/>
      <w:r w:rsidRPr="007B7A70">
        <w:t>Boremanse</w:t>
      </w:r>
      <w:proofErr w:type="spellEnd"/>
      <w:r w:rsidRPr="007B7A70">
        <w:t xml:space="preserve">, A., Norcia, A. M., &amp; </w:t>
      </w:r>
      <w:proofErr w:type="spellStart"/>
      <w:r w:rsidRPr="007B7A70">
        <w:t>Rossion</w:t>
      </w:r>
      <w:proofErr w:type="spellEnd"/>
      <w:r w:rsidRPr="007B7A70">
        <w:t xml:space="preserve">, B. (2013). An objective signature for visual binding of face parts in the human brain. </w:t>
      </w:r>
      <w:r w:rsidRPr="007B7A70">
        <w:rPr>
          <w:i/>
          <w:iCs/>
        </w:rPr>
        <w:t>Journal of vision</w:t>
      </w:r>
      <w:r w:rsidRPr="007B7A70">
        <w:t xml:space="preserve">, </w:t>
      </w:r>
      <w:r w:rsidRPr="007B7A70">
        <w:rPr>
          <w:i/>
          <w:iCs/>
        </w:rPr>
        <w:t>13</w:t>
      </w:r>
      <w:r w:rsidRPr="007B7A70">
        <w:t>(11), 6-6.</w:t>
      </w:r>
    </w:p>
    <w:p w14:paraId="4B99CF60" w14:textId="77777777" w:rsidR="00E1292D" w:rsidRPr="00967741" w:rsidRDefault="00E1292D" w:rsidP="009A0165">
      <w:r w:rsidRPr="00967741">
        <w:t xml:space="preserve">Boutet, I., Nelson, E. A., Watier, N., Cousineau, D., </w:t>
      </w:r>
      <w:proofErr w:type="spellStart"/>
      <w:r w:rsidRPr="00967741">
        <w:t>Béland</w:t>
      </w:r>
      <w:proofErr w:type="spellEnd"/>
      <w:r w:rsidRPr="00967741">
        <w:t xml:space="preserve">, S., &amp; Collin, C. A. (2021). Different measures of holistic face processing tap into distinct but partially overlapping mechanisms. </w:t>
      </w:r>
      <w:r w:rsidRPr="00967741">
        <w:rPr>
          <w:i/>
          <w:iCs/>
        </w:rPr>
        <w:t>Attention, Perception, &amp; Psychophysics</w:t>
      </w:r>
      <w:r w:rsidRPr="00967741">
        <w:t xml:space="preserve">, </w:t>
      </w:r>
      <w:r w:rsidRPr="00967741">
        <w:rPr>
          <w:i/>
          <w:iCs/>
        </w:rPr>
        <w:t>83</w:t>
      </w:r>
      <w:r w:rsidRPr="00967741">
        <w:t>, 2905-2923.</w:t>
      </w:r>
    </w:p>
    <w:p w14:paraId="66B56F1D" w14:textId="77777777" w:rsidR="00E1292D" w:rsidRPr="007B7A70" w:rsidRDefault="00E1292D" w:rsidP="009A0165">
      <w:r w:rsidRPr="007B7A70">
        <w:t xml:space="preserve">Bradshaw, J. L., &amp; Nettleton, N. C. (1981). The nature of hemispheric specialization in man. </w:t>
      </w:r>
      <w:proofErr w:type="spellStart"/>
      <w:r w:rsidRPr="007B7A70">
        <w:rPr>
          <w:i/>
          <w:iCs/>
        </w:rPr>
        <w:t>Behavioral</w:t>
      </w:r>
      <w:proofErr w:type="spellEnd"/>
      <w:r w:rsidRPr="007B7A70">
        <w:rPr>
          <w:i/>
          <w:iCs/>
        </w:rPr>
        <w:t xml:space="preserve"> and Brain Sciences</w:t>
      </w:r>
      <w:r w:rsidRPr="007B7A70">
        <w:t xml:space="preserve">, </w:t>
      </w:r>
      <w:r w:rsidRPr="007B7A70">
        <w:rPr>
          <w:i/>
          <w:iCs/>
        </w:rPr>
        <w:t>4</w:t>
      </w:r>
      <w:r w:rsidRPr="007B7A70">
        <w:t>(1), 51-63.</w:t>
      </w:r>
    </w:p>
    <w:p w14:paraId="59749230" w14:textId="77777777" w:rsidR="00E1292D" w:rsidRPr="007B7A70" w:rsidRDefault="00E1292D" w:rsidP="009A0165">
      <w:r w:rsidRPr="007B7A70">
        <w:t xml:space="preserve">Bruce, V., &amp; Valentine, T. (1985). Identity priming in the recognition of familiar faces. </w:t>
      </w:r>
      <w:r w:rsidRPr="007B7A70">
        <w:rPr>
          <w:i/>
          <w:iCs/>
        </w:rPr>
        <w:t>British Journal of Psychology</w:t>
      </w:r>
      <w:r w:rsidRPr="007B7A70">
        <w:t xml:space="preserve">, </w:t>
      </w:r>
      <w:r w:rsidRPr="007B7A70">
        <w:rPr>
          <w:i/>
          <w:iCs/>
        </w:rPr>
        <w:t>76</w:t>
      </w:r>
      <w:r w:rsidRPr="007B7A70">
        <w:t>(3), 373-383.</w:t>
      </w:r>
    </w:p>
    <w:p w14:paraId="68190F6E" w14:textId="77777777" w:rsidR="00E1292D" w:rsidRDefault="00E1292D" w:rsidP="009A0165">
      <w:r w:rsidRPr="007B7A70">
        <w:t xml:space="preserve">Bruce, V., &amp; Young, A. W. (2012). </w:t>
      </w:r>
      <w:r w:rsidRPr="007B7A70">
        <w:rPr>
          <w:i/>
          <w:iCs/>
        </w:rPr>
        <w:t>Face perception</w:t>
      </w:r>
      <w:r w:rsidRPr="007B7A70">
        <w:t>. Psychology Press.</w:t>
      </w:r>
    </w:p>
    <w:p w14:paraId="2471E08E" w14:textId="77777777" w:rsidR="00E1292D" w:rsidRPr="007B7A70" w:rsidRDefault="00E1292D" w:rsidP="009A0165">
      <w:r w:rsidRPr="007B7A70">
        <w:t xml:space="preserve">Calder, A. J., Young, A. W., Keane, J., &amp; Dean, M. (2000). Configural information in facial expression perception. </w:t>
      </w:r>
      <w:r w:rsidRPr="007B7A70">
        <w:rPr>
          <w:i/>
          <w:iCs/>
        </w:rPr>
        <w:t>Journal of Experimental Psychology: Human perception and performance</w:t>
      </w:r>
      <w:r w:rsidRPr="007B7A70">
        <w:t xml:space="preserve">, </w:t>
      </w:r>
      <w:r w:rsidRPr="007B7A70">
        <w:rPr>
          <w:i/>
          <w:iCs/>
        </w:rPr>
        <w:t>26</w:t>
      </w:r>
      <w:r w:rsidRPr="007B7A70">
        <w:t>(2), 527.</w:t>
      </w:r>
    </w:p>
    <w:p w14:paraId="3FC06926" w14:textId="77777777" w:rsidR="00E1292D" w:rsidRDefault="00E1292D" w:rsidP="009A0165">
      <w:r w:rsidRPr="007B7A70">
        <w:t xml:space="preserve">Chen, W., Ren, N., Young, A. W., &amp; Liu, C. H. (2018). Interaction between social categories in the composite face paradigm. </w:t>
      </w:r>
      <w:r w:rsidRPr="007B7A70">
        <w:rPr>
          <w:i/>
          <w:iCs/>
        </w:rPr>
        <w:t>Journal of Experimental Psychology: Learning, Memory, and Cognition</w:t>
      </w:r>
      <w:r w:rsidRPr="007B7A70">
        <w:t xml:space="preserve">, </w:t>
      </w:r>
      <w:r w:rsidRPr="007B7A70">
        <w:rPr>
          <w:i/>
          <w:iCs/>
        </w:rPr>
        <w:t>44</w:t>
      </w:r>
      <w:r w:rsidRPr="007B7A70">
        <w:t>(1), 34.</w:t>
      </w:r>
    </w:p>
    <w:p w14:paraId="727D107D" w14:textId="43BB08B7" w:rsidR="00D44877" w:rsidRPr="00D44877" w:rsidRDefault="00D44877" w:rsidP="009A0165">
      <w:r w:rsidRPr="00D44877">
        <w:t xml:space="preserve">Cheung, O. S., Richler, J. J., Palmeri, T. J., &amp; Gauthier, I. (2008). Revisiting the role of spatial frequencies in the holistic processing of faces. </w:t>
      </w:r>
      <w:r w:rsidRPr="00D44877">
        <w:rPr>
          <w:i/>
          <w:iCs/>
        </w:rPr>
        <w:t>Journal of Experimental Psychology: Human Perception and Performance</w:t>
      </w:r>
      <w:r w:rsidRPr="00D44877">
        <w:t xml:space="preserve">, </w:t>
      </w:r>
      <w:r w:rsidRPr="00D44877">
        <w:rPr>
          <w:i/>
          <w:iCs/>
        </w:rPr>
        <w:t>34</w:t>
      </w:r>
      <w:r w:rsidRPr="00D44877">
        <w:t>(6), 1327.</w:t>
      </w:r>
    </w:p>
    <w:p w14:paraId="538EAE2C" w14:textId="77777777" w:rsidR="00E1292D" w:rsidRPr="001238A8" w:rsidRDefault="00E1292D" w:rsidP="009A0165">
      <w:r w:rsidRPr="001238A8">
        <w:t xml:space="preserve">Dakin, S. C., &amp; Watt, R. J. (2009). Biological “bar codes” in human faces. </w:t>
      </w:r>
      <w:r w:rsidRPr="001238A8">
        <w:rPr>
          <w:i/>
          <w:iCs/>
        </w:rPr>
        <w:t>Journal of vision</w:t>
      </w:r>
      <w:r w:rsidRPr="001238A8">
        <w:t xml:space="preserve">, </w:t>
      </w:r>
      <w:r w:rsidRPr="001238A8">
        <w:rPr>
          <w:i/>
          <w:iCs/>
        </w:rPr>
        <w:t>9</w:t>
      </w:r>
      <w:r w:rsidRPr="001238A8">
        <w:t>(4), 2-2.</w:t>
      </w:r>
    </w:p>
    <w:p w14:paraId="23BC9FE2" w14:textId="77777777" w:rsidR="00E1292D" w:rsidRPr="007B7A70" w:rsidRDefault="00E1292D" w:rsidP="009A0165">
      <w:r w:rsidRPr="007B7A70">
        <w:t xml:space="preserve">Davies-Thompson, J., &amp; Andrews, T. J. (2012). Intra-and interhemispheric connectivity between face-selective regions in the human brain. </w:t>
      </w:r>
      <w:r w:rsidRPr="007B7A70">
        <w:rPr>
          <w:i/>
          <w:iCs/>
        </w:rPr>
        <w:t>Journal of neurophysiology</w:t>
      </w:r>
      <w:r w:rsidRPr="007B7A70">
        <w:t xml:space="preserve">, </w:t>
      </w:r>
      <w:r w:rsidRPr="007B7A70">
        <w:rPr>
          <w:i/>
          <w:iCs/>
        </w:rPr>
        <w:t>108</w:t>
      </w:r>
      <w:r w:rsidRPr="007B7A70">
        <w:t>(11), 3087-3095.</w:t>
      </w:r>
    </w:p>
    <w:p w14:paraId="164E6909" w14:textId="77777777" w:rsidR="00E1292D" w:rsidRPr="007B7A70" w:rsidRDefault="00E1292D" w:rsidP="009A0165">
      <w:r w:rsidRPr="007B7A70">
        <w:t xml:space="preserve">DeBruine, L., &amp; Jones, B (2017). </w:t>
      </w:r>
      <w:r w:rsidRPr="007B7A70">
        <w:rPr>
          <w:i/>
          <w:iCs/>
        </w:rPr>
        <w:t>Face Research Lab London Set</w:t>
      </w:r>
      <w:r w:rsidRPr="007B7A70">
        <w:t>. (</w:t>
      </w:r>
      <w:proofErr w:type="spellStart"/>
      <w:r w:rsidRPr="007B7A70">
        <w:t>Figshare</w:t>
      </w:r>
      <w:proofErr w:type="spellEnd"/>
      <w:r w:rsidRPr="007B7A70">
        <w:t xml:space="preserve"> 5047666; Version V5) [Data set]. </w:t>
      </w:r>
      <w:proofErr w:type="spellStart"/>
      <w:r w:rsidRPr="007B7A70">
        <w:t>Figshare</w:t>
      </w:r>
      <w:proofErr w:type="spellEnd"/>
      <w:r w:rsidRPr="007B7A70">
        <w:t xml:space="preserve"> </w:t>
      </w:r>
    </w:p>
    <w:p w14:paraId="59204021" w14:textId="77777777" w:rsidR="00E1292D" w:rsidRPr="007B7A70" w:rsidRDefault="00E1292D" w:rsidP="009A0165">
      <w:r w:rsidRPr="007B7A70">
        <w:lastRenderedPageBreak/>
        <w:t xml:space="preserve">Faul, F., </w:t>
      </w:r>
      <w:proofErr w:type="spellStart"/>
      <w:r w:rsidRPr="007B7A70">
        <w:t>Erdfelder</w:t>
      </w:r>
      <w:proofErr w:type="spellEnd"/>
      <w:r w:rsidRPr="007B7A70">
        <w:t xml:space="preserve">, E., Lang, A. G., &amp; Buchner, A. (2007). G* Power 3: A flexible statistical power analysis program for the social, </w:t>
      </w:r>
      <w:proofErr w:type="spellStart"/>
      <w:r w:rsidRPr="007B7A70">
        <w:t>behavioral</w:t>
      </w:r>
      <w:proofErr w:type="spellEnd"/>
      <w:r w:rsidRPr="007B7A70">
        <w:t xml:space="preserve">, and biomedical sciences. </w:t>
      </w:r>
      <w:proofErr w:type="spellStart"/>
      <w:r w:rsidRPr="007B7A70">
        <w:rPr>
          <w:i/>
          <w:iCs/>
        </w:rPr>
        <w:t>Behavior</w:t>
      </w:r>
      <w:proofErr w:type="spellEnd"/>
      <w:r w:rsidRPr="007B7A70">
        <w:rPr>
          <w:i/>
          <w:iCs/>
        </w:rPr>
        <w:t xml:space="preserve"> research methods</w:t>
      </w:r>
      <w:r w:rsidRPr="007B7A70">
        <w:t xml:space="preserve">, </w:t>
      </w:r>
      <w:r w:rsidRPr="007B7A70">
        <w:rPr>
          <w:i/>
          <w:iCs/>
        </w:rPr>
        <w:t>39</w:t>
      </w:r>
      <w:r w:rsidRPr="007B7A70">
        <w:t>(2), 175-191.</w:t>
      </w:r>
    </w:p>
    <w:p w14:paraId="4549253A" w14:textId="77777777" w:rsidR="00E1292D" w:rsidRPr="007B7A70" w:rsidRDefault="00E1292D" w:rsidP="009A0165">
      <w:proofErr w:type="spellStart"/>
      <w:r w:rsidRPr="007B7A70">
        <w:t>Fitousi</w:t>
      </w:r>
      <w:proofErr w:type="spellEnd"/>
      <w:r w:rsidRPr="007B7A70">
        <w:t xml:space="preserve">, D. (2020). Decomposing the composite face effect: Evidence for non-holistic processing based on the ex-Gaussian distribution. </w:t>
      </w:r>
      <w:r w:rsidRPr="007B7A70">
        <w:rPr>
          <w:i/>
          <w:iCs/>
        </w:rPr>
        <w:t>Quarterly Journal of Experimental Psychology</w:t>
      </w:r>
      <w:r w:rsidRPr="007B7A70">
        <w:t xml:space="preserve">, </w:t>
      </w:r>
      <w:r w:rsidRPr="007B7A70">
        <w:rPr>
          <w:i/>
          <w:iCs/>
        </w:rPr>
        <w:t>73</w:t>
      </w:r>
      <w:r w:rsidRPr="007B7A70">
        <w:t>(6), 819-840.</w:t>
      </w:r>
    </w:p>
    <w:p w14:paraId="222609D9" w14:textId="77777777" w:rsidR="00E1292D" w:rsidRPr="007B7A70" w:rsidRDefault="00E1292D" w:rsidP="009A0165">
      <w:proofErr w:type="spellStart"/>
      <w:r w:rsidRPr="007B7A70">
        <w:t>Frässle</w:t>
      </w:r>
      <w:proofErr w:type="spellEnd"/>
      <w:r w:rsidRPr="007B7A70">
        <w:t xml:space="preserve">, S., Krach, S., Paulus, F. M., &amp; Jansen, A. (2016a). Handedness is related to neural mechanisms underlying hemispheric lateralization of face processing. </w:t>
      </w:r>
      <w:r w:rsidRPr="007B7A70">
        <w:rPr>
          <w:i/>
          <w:iCs/>
        </w:rPr>
        <w:t>Scientific reports</w:t>
      </w:r>
      <w:r w:rsidRPr="007B7A70">
        <w:t xml:space="preserve">, </w:t>
      </w:r>
      <w:r w:rsidRPr="007B7A70">
        <w:rPr>
          <w:i/>
          <w:iCs/>
        </w:rPr>
        <w:t>6</w:t>
      </w:r>
      <w:r w:rsidRPr="007B7A70">
        <w:t>(1), 27153.</w:t>
      </w:r>
    </w:p>
    <w:p w14:paraId="28549343" w14:textId="77777777" w:rsidR="00E1292D" w:rsidRPr="007B7A70" w:rsidRDefault="00E1292D" w:rsidP="009A0165">
      <w:proofErr w:type="spellStart"/>
      <w:r w:rsidRPr="007B7A70">
        <w:t>Frässle</w:t>
      </w:r>
      <w:proofErr w:type="spellEnd"/>
      <w:r w:rsidRPr="007B7A70">
        <w:t xml:space="preserve">, S., Paulus, F. M., Krach, S., </w:t>
      </w:r>
      <w:proofErr w:type="spellStart"/>
      <w:r w:rsidRPr="007B7A70">
        <w:t>Schweinberger</w:t>
      </w:r>
      <w:proofErr w:type="spellEnd"/>
      <w:r w:rsidRPr="007B7A70">
        <w:t xml:space="preserve">, S. R., Stephan, K. E., &amp; Jansen, A. (2016b). Mechanisms of hemispheric lateralization: Asymmetric interhemispheric recruitment in the face perception network. </w:t>
      </w:r>
      <w:r w:rsidRPr="007B7A70">
        <w:rPr>
          <w:i/>
          <w:iCs/>
        </w:rPr>
        <w:t>Neuroimage</w:t>
      </w:r>
      <w:r w:rsidRPr="007B7A70">
        <w:t xml:space="preserve">, </w:t>
      </w:r>
      <w:r w:rsidRPr="007B7A70">
        <w:rPr>
          <w:i/>
          <w:iCs/>
        </w:rPr>
        <w:t>124</w:t>
      </w:r>
      <w:r w:rsidRPr="007B7A70">
        <w:t>, 977-988.</w:t>
      </w:r>
    </w:p>
    <w:p w14:paraId="4FA24B7A" w14:textId="77777777" w:rsidR="00E1292D" w:rsidRPr="007B7A70" w:rsidRDefault="00E1292D" w:rsidP="009A0165">
      <w:r w:rsidRPr="007B7A70">
        <w:t xml:space="preserve">Garcia-Marques, T., Fernandes, A., Fonseca, R., &amp; Prada, M. (2015). Social presence and the composite face effect. </w:t>
      </w:r>
      <w:r w:rsidRPr="007B7A70">
        <w:rPr>
          <w:i/>
          <w:iCs/>
        </w:rPr>
        <w:t xml:space="preserve">Acta </w:t>
      </w:r>
      <w:proofErr w:type="spellStart"/>
      <w:r w:rsidRPr="007B7A70">
        <w:rPr>
          <w:i/>
          <w:iCs/>
        </w:rPr>
        <w:t>Psychologica</w:t>
      </w:r>
      <w:proofErr w:type="spellEnd"/>
      <w:r w:rsidRPr="007B7A70">
        <w:t xml:space="preserve">, </w:t>
      </w:r>
      <w:r w:rsidRPr="007B7A70">
        <w:rPr>
          <w:i/>
          <w:iCs/>
        </w:rPr>
        <w:t>158</w:t>
      </w:r>
      <w:r w:rsidRPr="007B7A70">
        <w:t>, 61-66.</w:t>
      </w:r>
    </w:p>
    <w:p w14:paraId="203674DE" w14:textId="77777777" w:rsidR="00E1292D" w:rsidRDefault="00E1292D" w:rsidP="009A0165">
      <w:r w:rsidRPr="007B7A70">
        <w:t xml:space="preserve">Geiger, M. J., O'Gorman Tuura, R., &amp; Klaver, P. (2016). Inter‐hemispheric connectivity in the fusiform gyrus supports memory consolidation for faces. </w:t>
      </w:r>
      <w:r w:rsidRPr="007B7A70">
        <w:rPr>
          <w:i/>
          <w:iCs/>
        </w:rPr>
        <w:t>European Journal of Neuroscience</w:t>
      </w:r>
      <w:r w:rsidRPr="007B7A70">
        <w:t xml:space="preserve">, </w:t>
      </w:r>
      <w:r w:rsidRPr="007B7A70">
        <w:rPr>
          <w:i/>
          <w:iCs/>
        </w:rPr>
        <w:t>43</w:t>
      </w:r>
      <w:r w:rsidRPr="007B7A70">
        <w:t>(9), 1137-1145.</w:t>
      </w:r>
    </w:p>
    <w:p w14:paraId="642E318D" w14:textId="77777777" w:rsidR="00E1292D" w:rsidRPr="001238A8" w:rsidRDefault="00E1292D" w:rsidP="009A0165">
      <w:proofErr w:type="spellStart"/>
      <w:r w:rsidRPr="001238A8">
        <w:t>Goffaux</w:t>
      </w:r>
      <w:proofErr w:type="spellEnd"/>
      <w:r w:rsidRPr="001238A8">
        <w:t xml:space="preserve">, V., &amp; Dakin, S. C. (2010). Horizontal information drives the </w:t>
      </w:r>
      <w:proofErr w:type="spellStart"/>
      <w:r w:rsidRPr="001238A8">
        <w:t>behavioral</w:t>
      </w:r>
      <w:proofErr w:type="spellEnd"/>
      <w:r w:rsidRPr="001238A8">
        <w:t xml:space="preserve"> signatures of face processing. </w:t>
      </w:r>
      <w:r w:rsidRPr="001238A8">
        <w:rPr>
          <w:i/>
          <w:iCs/>
        </w:rPr>
        <w:t>Frontiers in psychology</w:t>
      </w:r>
      <w:r w:rsidRPr="001238A8">
        <w:t xml:space="preserve">, </w:t>
      </w:r>
      <w:r w:rsidRPr="001238A8">
        <w:rPr>
          <w:i/>
          <w:iCs/>
        </w:rPr>
        <w:t>1</w:t>
      </w:r>
      <w:r w:rsidRPr="001238A8">
        <w:t>, 143.</w:t>
      </w:r>
    </w:p>
    <w:p w14:paraId="5B2FE44F" w14:textId="77777777" w:rsidR="00E1292D" w:rsidRPr="007B7A70" w:rsidRDefault="00E1292D" w:rsidP="009A0165">
      <w:r w:rsidRPr="007B7A70">
        <w:t xml:space="preserve">Harrison, M. T., &amp; Strother, L. (2020). Does right hemisphere superiority sufficiently explain the left visual field advantage in face </w:t>
      </w:r>
      <w:proofErr w:type="gramStart"/>
      <w:r w:rsidRPr="007B7A70">
        <w:t>recognition?.</w:t>
      </w:r>
      <w:proofErr w:type="gramEnd"/>
      <w:r w:rsidRPr="007B7A70">
        <w:t xml:space="preserve"> </w:t>
      </w:r>
      <w:r w:rsidRPr="007B7A70">
        <w:rPr>
          <w:i/>
          <w:iCs/>
        </w:rPr>
        <w:t>Attention, Perception, &amp; Psychophysics</w:t>
      </w:r>
      <w:r w:rsidRPr="007B7A70">
        <w:t xml:space="preserve">, </w:t>
      </w:r>
      <w:r w:rsidRPr="007B7A70">
        <w:rPr>
          <w:i/>
          <w:iCs/>
        </w:rPr>
        <w:t>82</w:t>
      </w:r>
      <w:r w:rsidRPr="007B7A70">
        <w:t>, 1205-1220.</w:t>
      </w:r>
    </w:p>
    <w:p w14:paraId="57568EBA" w14:textId="77777777" w:rsidR="00E1292D" w:rsidRPr="007B7A70" w:rsidRDefault="00E1292D" w:rsidP="009A0165">
      <w:r w:rsidRPr="007B7A70">
        <w:t xml:space="preserve">Hole, G. J. (1994). Configurational factors in the perception of unfamiliar faces. </w:t>
      </w:r>
      <w:r w:rsidRPr="007B7A70">
        <w:rPr>
          <w:i/>
          <w:iCs/>
        </w:rPr>
        <w:t>Perception</w:t>
      </w:r>
      <w:r w:rsidRPr="007B7A70">
        <w:t xml:space="preserve">, </w:t>
      </w:r>
      <w:r w:rsidRPr="007B7A70">
        <w:rPr>
          <w:i/>
          <w:iCs/>
        </w:rPr>
        <w:t>23</w:t>
      </w:r>
      <w:r w:rsidRPr="007B7A70">
        <w:t>(1), 65-74.</w:t>
      </w:r>
    </w:p>
    <w:p w14:paraId="2EAE6238" w14:textId="77777777" w:rsidR="00E1292D" w:rsidRPr="007B7A70" w:rsidRDefault="00E1292D" w:rsidP="009A0165">
      <w:r w:rsidRPr="007B7A70">
        <w:t xml:space="preserve">Hsiao, J. H. W., &amp; Cottrell, G. (2008). Two fixations suffice in face recognition. </w:t>
      </w:r>
      <w:r w:rsidRPr="007B7A70">
        <w:rPr>
          <w:i/>
          <w:iCs/>
        </w:rPr>
        <w:t>Psychological science</w:t>
      </w:r>
      <w:r w:rsidRPr="007B7A70">
        <w:t xml:space="preserve">, </w:t>
      </w:r>
      <w:r w:rsidRPr="007B7A70">
        <w:rPr>
          <w:i/>
          <w:iCs/>
        </w:rPr>
        <w:t>19</w:t>
      </w:r>
      <w:r w:rsidRPr="007B7A70">
        <w:t>(10), 998-1006.</w:t>
      </w:r>
    </w:p>
    <w:p w14:paraId="72FAC05A" w14:textId="77777777" w:rsidR="00E1292D" w:rsidRPr="007B7A70" w:rsidRDefault="00E1292D" w:rsidP="009A0165">
      <w:r w:rsidRPr="007B7A70">
        <w:t xml:space="preserve">Hsiao, J. H. W., Shieh, D. X., &amp; Cottrell, G. W. (2008). Convergence of the visual field split: Hemispheric </w:t>
      </w:r>
      <w:proofErr w:type="spellStart"/>
      <w:r w:rsidRPr="007B7A70">
        <w:t>modeling</w:t>
      </w:r>
      <w:proofErr w:type="spellEnd"/>
      <w:r w:rsidRPr="007B7A70">
        <w:t xml:space="preserve"> of face and object recognition. </w:t>
      </w:r>
      <w:r w:rsidRPr="007B7A70">
        <w:rPr>
          <w:i/>
          <w:iCs/>
        </w:rPr>
        <w:t>Journal of Cognitive Neuroscience</w:t>
      </w:r>
      <w:r w:rsidRPr="007B7A70">
        <w:t xml:space="preserve">, </w:t>
      </w:r>
      <w:r w:rsidRPr="007B7A70">
        <w:rPr>
          <w:i/>
          <w:iCs/>
        </w:rPr>
        <w:t>20</w:t>
      </w:r>
      <w:r w:rsidRPr="007B7A70">
        <w:t>(12), 2298-2307.</w:t>
      </w:r>
    </w:p>
    <w:p w14:paraId="18B23DE0" w14:textId="77777777" w:rsidR="00E1292D" w:rsidRPr="007B7A70" w:rsidRDefault="00E1292D" w:rsidP="009A0165">
      <w:r w:rsidRPr="007B7A70">
        <w:t xml:space="preserve">Jenkins, R., Lavie, N., &amp; Driver, J. (2003). Ignoring famous faces: Category-specific dilution of distractor interference. </w:t>
      </w:r>
      <w:r w:rsidRPr="007B7A70">
        <w:rPr>
          <w:i/>
          <w:iCs/>
        </w:rPr>
        <w:t>Perception &amp; Psychophysics</w:t>
      </w:r>
      <w:r w:rsidRPr="007B7A70">
        <w:t xml:space="preserve">, </w:t>
      </w:r>
      <w:r w:rsidRPr="007B7A70">
        <w:rPr>
          <w:i/>
          <w:iCs/>
        </w:rPr>
        <w:t>65</w:t>
      </w:r>
      <w:r w:rsidRPr="007B7A70">
        <w:t>(2), 298-309.</w:t>
      </w:r>
    </w:p>
    <w:p w14:paraId="08FC738D" w14:textId="77777777" w:rsidR="00E1292D" w:rsidRPr="00967741" w:rsidRDefault="00E1292D" w:rsidP="009A0165">
      <w:r w:rsidRPr="00967741">
        <w:t xml:space="preserve">Jin, H., Ji, L., Cheung, O. S., &amp; Hayward, W. G. (2024). Facilitation and interference are asymmetric in holistic face processing. </w:t>
      </w:r>
      <w:r w:rsidRPr="00967741">
        <w:rPr>
          <w:i/>
          <w:iCs/>
        </w:rPr>
        <w:t>Psychonomic Bulletin &amp; Review</w:t>
      </w:r>
      <w:r w:rsidRPr="00967741">
        <w:t>, 1-12.</w:t>
      </w:r>
    </w:p>
    <w:p w14:paraId="57E98C0A" w14:textId="77777777" w:rsidR="00E1292D" w:rsidRPr="002A5C27" w:rsidRDefault="00E1292D" w:rsidP="009A0165">
      <w:r w:rsidRPr="002A5C27">
        <w:lastRenderedPageBreak/>
        <w:t xml:space="preserve">Jones, B., &amp; Santi, A. (1978). Lateral asymmetries in visual perception with and without eye movements. </w:t>
      </w:r>
      <w:r w:rsidRPr="002A5C27">
        <w:rPr>
          <w:i/>
          <w:iCs/>
        </w:rPr>
        <w:t>Cortex</w:t>
      </w:r>
      <w:r w:rsidRPr="002A5C27">
        <w:t xml:space="preserve">, </w:t>
      </w:r>
      <w:r w:rsidRPr="002A5C27">
        <w:rPr>
          <w:i/>
          <w:iCs/>
        </w:rPr>
        <w:t>14</w:t>
      </w:r>
      <w:r w:rsidRPr="002A5C27">
        <w:t>(2), 164-168.</w:t>
      </w:r>
    </w:p>
    <w:p w14:paraId="76438044" w14:textId="77777777" w:rsidR="00E1292D" w:rsidRPr="007B7A70" w:rsidRDefault="00E1292D" w:rsidP="009A0165">
      <w:proofErr w:type="spellStart"/>
      <w:r w:rsidRPr="007B7A70">
        <w:t>Laguesse</w:t>
      </w:r>
      <w:proofErr w:type="spellEnd"/>
      <w:r w:rsidRPr="007B7A70">
        <w:t xml:space="preserve">, R., &amp; </w:t>
      </w:r>
      <w:proofErr w:type="spellStart"/>
      <w:r w:rsidRPr="007B7A70">
        <w:t>Rossion</w:t>
      </w:r>
      <w:proofErr w:type="spellEnd"/>
      <w:r w:rsidRPr="007B7A70">
        <w:t xml:space="preserve">, B. (2013). Face perception is whole or none: disentangling the role of spatial contiguity and </w:t>
      </w:r>
      <w:proofErr w:type="spellStart"/>
      <w:r w:rsidRPr="007B7A70">
        <w:t>interfeature</w:t>
      </w:r>
      <w:proofErr w:type="spellEnd"/>
      <w:r w:rsidRPr="007B7A70">
        <w:t xml:space="preserve"> distances in the composite face illusion. </w:t>
      </w:r>
      <w:r w:rsidRPr="007B7A70">
        <w:rPr>
          <w:i/>
          <w:iCs/>
        </w:rPr>
        <w:t>Perception</w:t>
      </w:r>
      <w:r w:rsidRPr="007B7A70">
        <w:t xml:space="preserve">, </w:t>
      </w:r>
      <w:r w:rsidRPr="007B7A70">
        <w:rPr>
          <w:i/>
          <w:iCs/>
        </w:rPr>
        <w:t>42</w:t>
      </w:r>
      <w:r w:rsidRPr="007B7A70">
        <w:t>(10), 1013-1026</w:t>
      </w:r>
    </w:p>
    <w:p w14:paraId="169CA3B9" w14:textId="77777777" w:rsidR="00E1292D" w:rsidRPr="007B7A70" w:rsidRDefault="00E1292D" w:rsidP="009A0165">
      <w:r w:rsidRPr="007B7A70">
        <w:t xml:space="preserve">Lavie, N., Ro, T., &amp; Russell, C. (2003). The role of perceptual load in processing distractor faces. </w:t>
      </w:r>
      <w:r w:rsidRPr="007B7A70">
        <w:rPr>
          <w:i/>
          <w:iCs/>
        </w:rPr>
        <w:t>Psychological science</w:t>
      </w:r>
      <w:r w:rsidRPr="007B7A70">
        <w:t xml:space="preserve">, </w:t>
      </w:r>
      <w:r w:rsidRPr="007B7A70">
        <w:rPr>
          <w:i/>
          <w:iCs/>
        </w:rPr>
        <w:t>14</w:t>
      </w:r>
      <w:r w:rsidRPr="007B7A70">
        <w:t>(5), 510-515.</w:t>
      </w:r>
    </w:p>
    <w:p w14:paraId="12419CCB" w14:textId="77777777" w:rsidR="00E1292D" w:rsidRPr="00967741" w:rsidRDefault="00E1292D" w:rsidP="009A0165">
      <w:r w:rsidRPr="00967741">
        <w:t xml:space="preserve">Li, J., Huang, L., Song, Y., &amp; Liu, J. (2017). Dissociated neural basis of two </w:t>
      </w:r>
      <w:proofErr w:type="spellStart"/>
      <w:r w:rsidRPr="00967741">
        <w:t>behavioral</w:t>
      </w:r>
      <w:proofErr w:type="spellEnd"/>
      <w:r w:rsidRPr="00967741">
        <w:t xml:space="preserve"> hallmarks of holistic face processing: The whole-part effect and composite-face effect. </w:t>
      </w:r>
      <w:proofErr w:type="spellStart"/>
      <w:r w:rsidRPr="00967741">
        <w:rPr>
          <w:i/>
          <w:iCs/>
        </w:rPr>
        <w:t>Neuropsychologia</w:t>
      </w:r>
      <w:proofErr w:type="spellEnd"/>
      <w:r w:rsidRPr="00967741">
        <w:t xml:space="preserve">, </w:t>
      </w:r>
      <w:r w:rsidRPr="00967741">
        <w:rPr>
          <w:i/>
          <w:iCs/>
        </w:rPr>
        <w:t>102</w:t>
      </w:r>
      <w:r w:rsidRPr="00967741">
        <w:t>, 52-60.</w:t>
      </w:r>
    </w:p>
    <w:p w14:paraId="7A28CE24" w14:textId="77777777" w:rsidR="00E1292D" w:rsidRPr="00967741" w:rsidRDefault="00E1292D" w:rsidP="009A0165">
      <w:r w:rsidRPr="00967741">
        <w:t xml:space="preserve">Li, J., Song, Y., &amp; Liu, J. (2019). Functional connectivity pattern in the core face network reflects different mechanisms of holistic face processing measured by the whole-part effect and composite-face effect. </w:t>
      </w:r>
      <w:r w:rsidRPr="00967741">
        <w:rPr>
          <w:i/>
          <w:iCs/>
        </w:rPr>
        <w:t>Neuroscience</w:t>
      </w:r>
      <w:r w:rsidRPr="00967741">
        <w:t xml:space="preserve">, </w:t>
      </w:r>
      <w:r w:rsidRPr="00967741">
        <w:rPr>
          <w:i/>
          <w:iCs/>
        </w:rPr>
        <w:t>408</w:t>
      </w:r>
      <w:r w:rsidRPr="00967741">
        <w:t>, 248-258.</w:t>
      </w:r>
    </w:p>
    <w:p w14:paraId="0A793657" w14:textId="77777777" w:rsidR="00E1292D" w:rsidRPr="007B7A70" w:rsidRDefault="00E1292D" w:rsidP="009A0165">
      <w:proofErr w:type="spellStart"/>
      <w:r w:rsidRPr="00717191">
        <w:t>Liesefeld</w:t>
      </w:r>
      <w:proofErr w:type="spellEnd"/>
      <w:r w:rsidRPr="00717191">
        <w:t xml:space="preserve">, H. R., &amp; Janczyk, M. (2019). Combining speed and accuracy to control for speed-accuracy trade-offs (?). </w:t>
      </w:r>
      <w:proofErr w:type="spellStart"/>
      <w:r w:rsidRPr="00717191">
        <w:rPr>
          <w:i/>
          <w:iCs/>
        </w:rPr>
        <w:t>Behavior</w:t>
      </w:r>
      <w:proofErr w:type="spellEnd"/>
      <w:r w:rsidRPr="00717191">
        <w:rPr>
          <w:i/>
          <w:iCs/>
        </w:rPr>
        <w:t xml:space="preserve"> Research Methods</w:t>
      </w:r>
      <w:r w:rsidRPr="00717191">
        <w:t xml:space="preserve">, </w:t>
      </w:r>
      <w:r w:rsidRPr="00717191">
        <w:rPr>
          <w:i/>
          <w:iCs/>
        </w:rPr>
        <w:t>51</w:t>
      </w:r>
      <w:r w:rsidRPr="00717191">
        <w:t>, 40-60.</w:t>
      </w:r>
    </w:p>
    <w:p w14:paraId="67265370" w14:textId="77777777" w:rsidR="00E1292D" w:rsidRPr="00717191" w:rsidRDefault="00E1292D" w:rsidP="009A0165">
      <w:proofErr w:type="spellStart"/>
      <w:r w:rsidRPr="00717191">
        <w:t>Liesefeld</w:t>
      </w:r>
      <w:proofErr w:type="spellEnd"/>
      <w:r w:rsidRPr="00717191">
        <w:t xml:space="preserve">, H. R., Fu, X., &amp; Zimmer, H. D. (2015). Fast and careless or careful and slow? Apparent holistic processing in mental rotation is explained by speed-accuracy trade-offs. </w:t>
      </w:r>
      <w:r w:rsidRPr="00717191">
        <w:rPr>
          <w:i/>
          <w:iCs/>
        </w:rPr>
        <w:t>Journal of experimental psychology: learning, memory, and cognition</w:t>
      </w:r>
      <w:r w:rsidRPr="00717191">
        <w:t xml:space="preserve">, </w:t>
      </w:r>
      <w:r w:rsidRPr="00717191">
        <w:rPr>
          <w:i/>
          <w:iCs/>
        </w:rPr>
        <w:t>41</w:t>
      </w:r>
      <w:r w:rsidRPr="00717191">
        <w:t>(4), 1140.</w:t>
      </w:r>
    </w:p>
    <w:p w14:paraId="11CD6085" w14:textId="77777777" w:rsidR="00E1292D" w:rsidRPr="007B7A70" w:rsidRDefault="00E1292D" w:rsidP="009A0165">
      <w:r w:rsidRPr="007B7A70">
        <w:t xml:space="preserve">Liu, T. T., &amp; Behrmann, M. (2014). Impaired holistic processing of left-right composite faces in congenital prosopagnosia. </w:t>
      </w:r>
      <w:r w:rsidRPr="007B7A70">
        <w:rPr>
          <w:i/>
          <w:iCs/>
        </w:rPr>
        <w:t>Frontiers in human neuroscience</w:t>
      </w:r>
      <w:r w:rsidRPr="007B7A70">
        <w:t xml:space="preserve">, </w:t>
      </w:r>
      <w:r w:rsidRPr="007B7A70">
        <w:rPr>
          <w:i/>
          <w:iCs/>
        </w:rPr>
        <w:t>8</w:t>
      </w:r>
      <w:r w:rsidRPr="007B7A70">
        <w:t>, 750.</w:t>
      </w:r>
    </w:p>
    <w:p w14:paraId="0EFC7655" w14:textId="77777777" w:rsidR="00E1292D" w:rsidRPr="007B7A70" w:rsidRDefault="00E1292D" w:rsidP="009A0165">
      <w:r w:rsidRPr="007B7A70">
        <w:t xml:space="preserve">Liu, T. T., Hayward, W. G., Oxner, M., &amp; Behrmann, M. (2014). Holistic processing for left–right composite faces in Chinese and Caucasian observers. </w:t>
      </w:r>
      <w:r w:rsidRPr="007B7A70">
        <w:rPr>
          <w:i/>
          <w:iCs/>
        </w:rPr>
        <w:t>Visual cognition</w:t>
      </w:r>
      <w:r w:rsidRPr="007B7A70">
        <w:t xml:space="preserve">, </w:t>
      </w:r>
      <w:r w:rsidRPr="007B7A70">
        <w:rPr>
          <w:i/>
          <w:iCs/>
        </w:rPr>
        <w:t>22</w:t>
      </w:r>
      <w:r w:rsidRPr="007B7A70">
        <w:t>(8), 1050-1071.</w:t>
      </w:r>
    </w:p>
    <w:p w14:paraId="06544E35" w14:textId="77777777" w:rsidR="00E1292D" w:rsidRPr="007B7A70" w:rsidRDefault="00E1292D" w:rsidP="009A0165">
      <w:r w:rsidRPr="007B7A70">
        <w:t xml:space="preserve">Ma, D. S., Kantner, J., &amp; Wittenbrink, B. (2021). Chicago face database: Multiracial expansion. </w:t>
      </w:r>
      <w:proofErr w:type="spellStart"/>
      <w:r w:rsidRPr="007B7A70">
        <w:rPr>
          <w:i/>
          <w:iCs/>
        </w:rPr>
        <w:t>Behavior</w:t>
      </w:r>
      <w:proofErr w:type="spellEnd"/>
      <w:r w:rsidRPr="007B7A70">
        <w:rPr>
          <w:i/>
          <w:iCs/>
        </w:rPr>
        <w:t xml:space="preserve"> Research Methods</w:t>
      </w:r>
      <w:r w:rsidRPr="007B7A70">
        <w:t xml:space="preserve">, </w:t>
      </w:r>
      <w:r w:rsidRPr="007B7A70">
        <w:rPr>
          <w:i/>
          <w:iCs/>
        </w:rPr>
        <w:t>53</w:t>
      </w:r>
      <w:r w:rsidRPr="007B7A70">
        <w:t>, 1289-1300.</w:t>
      </w:r>
    </w:p>
    <w:p w14:paraId="6B490AFD" w14:textId="77777777" w:rsidR="00E1292D" w:rsidRPr="002A5C27" w:rsidRDefault="00E1292D" w:rsidP="009A0165">
      <w:r w:rsidRPr="002A5C27">
        <w:t xml:space="preserve">McKelvie, S. J. (1976). The role of eyes and mouth in the memory of a face. </w:t>
      </w:r>
      <w:r w:rsidRPr="002A5C27">
        <w:rPr>
          <w:i/>
          <w:iCs/>
        </w:rPr>
        <w:t>The American Journal of Psychology</w:t>
      </w:r>
      <w:r w:rsidRPr="002A5C27">
        <w:t>, 311-323.</w:t>
      </w:r>
    </w:p>
    <w:p w14:paraId="6C376D8A" w14:textId="77777777" w:rsidR="00E1292D" w:rsidRPr="007B7A70" w:rsidRDefault="00E1292D" w:rsidP="009A0165">
      <w:r w:rsidRPr="007B7A70">
        <w:t xml:space="preserve">Michel, C., Corneille, O., &amp; </w:t>
      </w:r>
      <w:proofErr w:type="spellStart"/>
      <w:r w:rsidRPr="007B7A70">
        <w:t>Rossion</w:t>
      </w:r>
      <w:proofErr w:type="spellEnd"/>
      <w:r w:rsidRPr="007B7A70">
        <w:t xml:space="preserve">, B. (2007). Race categorization modulates holistic face encoding. </w:t>
      </w:r>
      <w:r w:rsidRPr="007B7A70">
        <w:rPr>
          <w:i/>
          <w:iCs/>
        </w:rPr>
        <w:t>Cognitive Science</w:t>
      </w:r>
      <w:r w:rsidRPr="007B7A70">
        <w:t xml:space="preserve">, </w:t>
      </w:r>
      <w:r w:rsidRPr="007B7A70">
        <w:rPr>
          <w:i/>
          <w:iCs/>
        </w:rPr>
        <w:t>31</w:t>
      </w:r>
      <w:r w:rsidRPr="007B7A70">
        <w:t>(5), 911-924.</w:t>
      </w:r>
    </w:p>
    <w:p w14:paraId="25723B0D" w14:textId="77777777" w:rsidR="00E1292D" w:rsidRPr="007B7A70" w:rsidRDefault="00E1292D" w:rsidP="009A0165">
      <w:r w:rsidRPr="007B7A70">
        <w:t xml:space="preserve">Murphy, J., Gray, K. L., &amp; Cook, R. (2017). The composite face illusion. </w:t>
      </w:r>
      <w:r w:rsidRPr="007B7A70">
        <w:rPr>
          <w:i/>
          <w:iCs/>
        </w:rPr>
        <w:t>Psychonomic Bulletin &amp; Review</w:t>
      </w:r>
      <w:r w:rsidRPr="007B7A70">
        <w:t xml:space="preserve">, </w:t>
      </w:r>
      <w:r w:rsidRPr="007B7A70">
        <w:rPr>
          <w:i/>
          <w:iCs/>
        </w:rPr>
        <w:t>24</w:t>
      </w:r>
      <w:r w:rsidRPr="007B7A70">
        <w:t>, 245-261.</w:t>
      </w:r>
    </w:p>
    <w:p w14:paraId="2A501533" w14:textId="77777777" w:rsidR="00E1292D" w:rsidRPr="007B7A70" w:rsidRDefault="00E1292D" w:rsidP="009A0165">
      <w:r w:rsidRPr="007B7A70">
        <w:lastRenderedPageBreak/>
        <w:t xml:space="preserve">Osborne, C. D., &amp; Stevenage, S. V. (2013). Familiarity and face processing. </w:t>
      </w:r>
      <w:r w:rsidRPr="007B7A70">
        <w:rPr>
          <w:i/>
          <w:iCs/>
        </w:rPr>
        <w:t>Quarterly Journal of Experimental Psychology</w:t>
      </w:r>
      <w:r w:rsidRPr="007B7A70">
        <w:t xml:space="preserve">, </w:t>
      </w:r>
      <w:r w:rsidRPr="007B7A70">
        <w:rPr>
          <w:i/>
          <w:iCs/>
        </w:rPr>
        <w:t>66</w:t>
      </w:r>
      <w:r w:rsidRPr="007B7A70">
        <w:t>(1), 108-120.</w:t>
      </w:r>
    </w:p>
    <w:p w14:paraId="5D4A1733" w14:textId="77777777" w:rsidR="00E1292D" w:rsidRPr="007B7A70" w:rsidRDefault="00E1292D" w:rsidP="009A0165">
      <w:r w:rsidRPr="007B7A70">
        <w:t xml:space="preserve">Palermo, R., &amp; Rhodes, G. (2002). The influence of divided attention on holistic face perception. </w:t>
      </w:r>
      <w:r w:rsidRPr="007B7A70">
        <w:rPr>
          <w:i/>
          <w:iCs/>
        </w:rPr>
        <w:t>Cognition</w:t>
      </w:r>
      <w:r w:rsidRPr="007B7A70">
        <w:t xml:space="preserve">, </w:t>
      </w:r>
      <w:r w:rsidRPr="007B7A70">
        <w:rPr>
          <w:i/>
          <w:iCs/>
        </w:rPr>
        <w:t>82</w:t>
      </w:r>
      <w:r w:rsidRPr="007B7A70">
        <w:t>(3), 225-257.</w:t>
      </w:r>
    </w:p>
    <w:p w14:paraId="7E68D8EA" w14:textId="77777777" w:rsidR="00E1292D" w:rsidRPr="007B7A70" w:rsidRDefault="00E1292D" w:rsidP="009A0165">
      <w:r w:rsidRPr="007B7A70">
        <w:t xml:space="preserve">Palermo, R., &amp; Rhodes, G. (2002). The influence of divided attention on holistic face perception. </w:t>
      </w:r>
      <w:r w:rsidRPr="007B7A70">
        <w:rPr>
          <w:i/>
          <w:iCs/>
        </w:rPr>
        <w:t>Cognition</w:t>
      </w:r>
      <w:r w:rsidRPr="007B7A70">
        <w:t xml:space="preserve">, </w:t>
      </w:r>
      <w:r w:rsidRPr="007B7A70">
        <w:rPr>
          <w:i/>
          <w:iCs/>
        </w:rPr>
        <w:t>82</w:t>
      </w:r>
      <w:r w:rsidRPr="007B7A70">
        <w:t>(3), 225-257.</w:t>
      </w:r>
    </w:p>
    <w:p w14:paraId="17567D99" w14:textId="77777777" w:rsidR="00E1292D" w:rsidRPr="007B7A70" w:rsidRDefault="00E1292D" w:rsidP="009A0165">
      <w:r w:rsidRPr="007B7A70">
        <w:t xml:space="preserve">Palermo, R., &amp; Rhodes, G. (2007). Are you always on my mind? A review of how face perception and attention interact. </w:t>
      </w:r>
      <w:proofErr w:type="spellStart"/>
      <w:r w:rsidRPr="007B7A70">
        <w:rPr>
          <w:i/>
          <w:iCs/>
        </w:rPr>
        <w:t>Neuropsychologia</w:t>
      </w:r>
      <w:proofErr w:type="spellEnd"/>
      <w:r w:rsidRPr="007B7A70">
        <w:t xml:space="preserve">, </w:t>
      </w:r>
      <w:r w:rsidRPr="007B7A70">
        <w:rPr>
          <w:i/>
          <w:iCs/>
        </w:rPr>
        <w:t>45</w:t>
      </w:r>
      <w:r w:rsidRPr="007B7A70">
        <w:t>(1), 75-92.</w:t>
      </w:r>
    </w:p>
    <w:p w14:paraId="6C1D2255" w14:textId="77777777" w:rsidR="00E1292D" w:rsidRPr="007B7A70" w:rsidRDefault="00E1292D" w:rsidP="009A0165">
      <w:r w:rsidRPr="007B7A70">
        <w:t xml:space="preserve">Peterson, M. F., &amp; Eckstein, M. P. (2012). Looking just below the eyes is optimal across face recognition tasks. </w:t>
      </w:r>
      <w:r w:rsidRPr="007B7A70">
        <w:rPr>
          <w:i/>
          <w:iCs/>
        </w:rPr>
        <w:t>Proceedings of the National Academy of Sciences</w:t>
      </w:r>
      <w:r w:rsidRPr="007B7A70">
        <w:t xml:space="preserve">, </w:t>
      </w:r>
      <w:r w:rsidRPr="007B7A70">
        <w:rPr>
          <w:i/>
          <w:iCs/>
        </w:rPr>
        <w:t>109</w:t>
      </w:r>
      <w:r w:rsidRPr="007B7A70">
        <w:t>(48), E3314-E3323.</w:t>
      </w:r>
    </w:p>
    <w:p w14:paraId="34BB0938" w14:textId="77777777" w:rsidR="00E1292D" w:rsidRPr="001238A8" w:rsidRDefault="00E1292D" w:rsidP="009A0165">
      <w:r w:rsidRPr="001238A8">
        <w:t xml:space="preserve">Peterson, M. F., &amp; Eckstein, M. P. (2013). Individual differences in eye movements during face identification reflect observer-specific optimal points of fixation. </w:t>
      </w:r>
      <w:r w:rsidRPr="001238A8">
        <w:rPr>
          <w:i/>
          <w:iCs/>
        </w:rPr>
        <w:t>Psychological science</w:t>
      </w:r>
      <w:r w:rsidRPr="001238A8">
        <w:t xml:space="preserve">, </w:t>
      </w:r>
      <w:r w:rsidRPr="001238A8">
        <w:rPr>
          <w:i/>
          <w:iCs/>
        </w:rPr>
        <w:t>24</w:t>
      </w:r>
      <w:r w:rsidRPr="001238A8">
        <w:t>(7), 1216-1225.</w:t>
      </w:r>
    </w:p>
    <w:p w14:paraId="065D8A61" w14:textId="77777777" w:rsidR="00E1292D" w:rsidRPr="002A5C27" w:rsidRDefault="00E1292D" w:rsidP="009A0165">
      <w:r w:rsidRPr="002A5C27">
        <w:t xml:space="preserve">Posner, M. I., Nissen, M. J., &amp; Ogden, W. C. (2014). Attended and Unattended Processing Modes: The Role of Set for Spatial Location 1. In H. L. Pick &amp; I. J. Saltzman (Eds.) </w:t>
      </w:r>
      <w:r w:rsidRPr="002A5C27">
        <w:rPr>
          <w:i/>
          <w:iCs/>
        </w:rPr>
        <w:t>Modes of perceiving and processing information</w:t>
      </w:r>
      <w:r w:rsidRPr="002A5C27">
        <w:t xml:space="preserve"> (pp. 137-157). Psychology Press.</w:t>
      </w:r>
    </w:p>
    <w:p w14:paraId="4D926755" w14:textId="77777777" w:rsidR="00E1292D" w:rsidRPr="007B7A70" w:rsidRDefault="00E1292D" w:rsidP="009A0165">
      <w:r w:rsidRPr="007B7A70">
        <w:t xml:space="preserve">Prete, G., &amp; Tommasi, L. (2018). Split-brain patients: Visual biases for faces. </w:t>
      </w:r>
      <w:r w:rsidRPr="007B7A70">
        <w:rPr>
          <w:i/>
          <w:iCs/>
        </w:rPr>
        <w:t>Progress in Brain Research</w:t>
      </w:r>
      <w:r w:rsidRPr="007B7A70">
        <w:t xml:space="preserve">, </w:t>
      </w:r>
      <w:r w:rsidRPr="007B7A70">
        <w:rPr>
          <w:i/>
          <w:iCs/>
        </w:rPr>
        <w:t>238</w:t>
      </w:r>
      <w:r w:rsidRPr="007B7A70">
        <w:t>, 271-291.</w:t>
      </w:r>
    </w:p>
    <w:p w14:paraId="0492F549" w14:textId="77777777" w:rsidR="00E1292D" w:rsidRPr="007B7A70" w:rsidRDefault="00E1292D" w:rsidP="009A0165">
      <w:r w:rsidRPr="007B7A70">
        <w:t xml:space="preserve">Quinn, B. P. A., Watson, D. M., Noad, K., &amp; Andrews, T. J. (2024). Idiosyncratic patterns of interhemispheric connectivity in the face and scene networks of the human brain. </w:t>
      </w:r>
      <w:r w:rsidRPr="007B7A70">
        <w:rPr>
          <w:i/>
          <w:iCs/>
        </w:rPr>
        <w:t>Imaging Neuroscience</w:t>
      </w:r>
      <w:r w:rsidRPr="007B7A70">
        <w:t xml:space="preserve">, </w:t>
      </w:r>
      <w:r w:rsidRPr="007B7A70">
        <w:rPr>
          <w:i/>
          <w:iCs/>
        </w:rPr>
        <w:t>2</w:t>
      </w:r>
      <w:r w:rsidRPr="007B7A70">
        <w:t>, 1-20.</w:t>
      </w:r>
    </w:p>
    <w:p w14:paraId="14D896FD" w14:textId="77777777" w:rsidR="00E1292D" w:rsidRPr="002A5C27" w:rsidRDefault="00E1292D" w:rsidP="009A0165">
      <w:r w:rsidRPr="002A5C27">
        <w:t xml:space="preserve">Quinn, B. P., &amp; Wiese, H. (2023). The role of the eye region for familiar face recognition: Evidence from spatial low-pass filtering and contrast negation. </w:t>
      </w:r>
      <w:r w:rsidRPr="002A5C27">
        <w:rPr>
          <w:i/>
          <w:iCs/>
        </w:rPr>
        <w:t>Quarterly Journal of Experimental Psychology</w:t>
      </w:r>
      <w:r w:rsidRPr="002A5C27">
        <w:t xml:space="preserve">, </w:t>
      </w:r>
      <w:r w:rsidRPr="002A5C27">
        <w:rPr>
          <w:i/>
          <w:iCs/>
        </w:rPr>
        <w:t>76</w:t>
      </w:r>
      <w:r w:rsidRPr="002A5C27">
        <w:t>(2), 338-349.</w:t>
      </w:r>
    </w:p>
    <w:p w14:paraId="5425147E" w14:textId="77777777" w:rsidR="00E1292D" w:rsidRPr="007B7A70" w:rsidRDefault="00E1292D" w:rsidP="009A0165">
      <w:r w:rsidRPr="007B7A70">
        <w:t xml:space="preserve">Reinitz, M. T., Morrissey, J., &amp; Demb, J. (1994). Role of attention in face encoding. </w:t>
      </w:r>
      <w:r w:rsidRPr="007B7A70">
        <w:rPr>
          <w:i/>
          <w:iCs/>
        </w:rPr>
        <w:t>Journal of Experimental Psychology: Learning, Memory, and Cognition</w:t>
      </w:r>
      <w:r w:rsidRPr="007B7A70">
        <w:t xml:space="preserve">, </w:t>
      </w:r>
      <w:r w:rsidRPr="007B7A70">
        <w:rPr>
          <w:i/>
          <w:iCs/>
        </w:rPr>
        <w:t>20</w:t>
      </w:r>
      <w:r w:rsidRPr="007B7A70">
        <w:t>(1), 161.</w:t>
      </w:r>
    </w:p>
    <w:p w14:paraId="2D900289" w14:textId="77777777" w:rsidR="00E1292D" w:rsidRPr="007B7A70" w:rsidRDefault="00E1292D" w:rsidP="009A0165">
      <w:r w:rsidRPr="007B7A70">
        <w:t xml:space="preserve">Richler, J. J., Mack, M. L., Gauthier, I., &amp; Palmeri, T. J. (2009). Holistic processing of faces happens at a glance. </w:t>
      </w:r>
      <w:r w:rsidRPr="007B7A70">
        <w:rPr>
          <w:i/>
          <w:iCs/>
        </w:rPr>
        <w:t>Vision research</w:t>
      </w:r>
      <w:r w:rsidRPr="007B7A70">
        <w:t xml:space="preserve">, </w:t>
      </w:r>
      <w:r w:rsidRPr="007B7A70">
        <w:rPr>
          <w:i/>
          <w:iCs/>
        </w:rPr>
        <w:t>49</w:t>
      </w:r>
      <w:r w:rsidRPr="007B7A70">
        <w:t>(23), 2856-2861.</w:t>
      </w:r>
    </w:p>
    <w:p w14:paraId="08BE16AB" w14:textId="77777777" w:rsidR="00E1292D" w:rsidRPr="007B7A70" w:rsidRDefault="00E1292D" w:rsidP="009A0165">
      <w:r w:rsidRPr="007B7A70">
        <w:t xml:space="preserve">Richler, J. J., Mack, M. L., Gauthier, I., &amp; Palmeri, T. J. (2009). Holistic processing of faces happens at a glance. </w:t>
      </w:r>
      <w:r w:rsidRPr="007B7A70">
        <w:rPr>
          <w:i/>
          <w:iCs/>
        </w:rPr>
        <w:t>Vision research</w:t>
      </w:r>
      <w:r w:rsidRPr="007B7A70">
        <w:t xml:space="preserve">, </w:t>
      </w:r>
      <w:r w:rsidRPr="007B7A70">
        <w:rPr>
          <w:i/>
          <w:iCs/>
        </w:rPr>
        <w:t>49</w:t>
      </w:r>
      <w:r w:rsidRPr="007B7A70">
        <w:t>(23), 2856-2861.</w:t>
      </w:r>
    </w:p>
    <w:p w14:paraId="7F7849E0" w14:textId="77777777" w:rsidR="00E1292D" w:rsidRPr="007B7A70" w:rsidRDefault="00E1292D" w:rsidP="009A0165">
      <w:r w:rsidRPr="007B7A70">
        <w:lastRenderedPageBreak/>
        <w:t xml:space="preserve">Robbins, R., &amp; McKone, E. (2003). Can holistic processing be learned for inverted </w:t>
      </w:r>
      <w:proofErr w:type="gramStart"/>
      <w:r w:rsidRPr="007B7A70">
        <w:t>faces?.</w:t>
      </w:r>
      <w:proofErr w:type="gramEnd"/>
      <w:r w:rsidRPr="007B7A70">
        <w:t xml:space="preserve"> </w:t>
      </w:r>
      <w:r w:rsidRPr="007B7A70">
        <w:rPr>
          <w:i/>
          <w:iCs/>
        </w:rPr>
        <w:t>Cognition</w:t>
      </w:r>
      <w:r w:rsidRPr="007B7A70">
        <w:t xml:space="preserve">, </w:t>
      </w:r>
      <w:r w:rsidRPr="007B7A70">
        <w:rPr>
          <w:i/>
          <w:iCs/>
        </w:rPr>
        <w:t>88</w:t>
      </w:r>
      <w:r w:rsidRPr="007B7A70">
        <w:t>(1), 79-107.</w:t>
      </w:r>
    </w:p>
    <w:p w14:paraId="44B71993" w14:textId="77777777" w:rsidR="00E1292D" w:rsidRPr="007B7A70" w:rsidRDefault="00E1292D" w:rsidP="009A0165">
      <w:proofErr w:type="spellStart"/>
      <w:r w:rsidRPr="007B7A70">
        <w:t>Rossion</w:t>
      </w:r>
      <w:proofErr w:type="spellEnd"/>
      <w:r w:rsidRPr="007B7A70">
        <w:t xml:space="preserve">, B. (2013). The composite face illusion: A whole window into our understanding of holistic face perception. </w:t>
      </w:r>
      <w:r w:rsidRPr="007B7A70">
        <w:rPr>
          <w:i/>
          <w:iCs/>
        </w:rPr>
        <w:t>Visual Cognition</w:t>
      </w:r>
      <w:r w:rsidRPr="007B7A70">
        <w:t xml:space="preserve">, </w:t>
      </w:r>
      <w:r w:rsidRPr="007B7A70">
        <w:rPr>
          <w:i/>
          <w:iCs/>
        </w:rPr>
        <w:t>21</w:t>
      </w:r>
      <w:r w:rsidRPr="007B7A70">
        <w:t>(2), 139-253.</w:t>
      </w:r>
    </w:p>
    <w:p w14:paraId="3F5CF857" w14:textId="77777777" w:rsidR="00E1292D" w:rsidRPr="007B7A70" w:rsidRDefault="00E1292D" w:rsidP="009A0165">
      <w:proofErr w:type="spellStart"/>
      <w:r w:rsidRPr="007B7A70">
        <w:t>Rossion</w:t>
      </w:r>
      <w:proofErr w:type="spellEnd"/>
      <w:r w:rsidRPr="007B7A70">
        <w:t xml:space="preserve">, B. (2014). Understanding face perception by means of prosopagnosia and neuroimaging. </w:t>
      </w:r>
      <w:r w:rsidRPr="007B7A70">
        <w:rPr>
          <w:i/>
          <w:iCs/>
        </w:rPr>
        <w:t>Frontiers in bioscience</w:t>
      </w:r>
      <w:r w:rsidRPr="007B7A70">
        <w:t xml:space="preserve">, </w:t>
      </w:r>
      <w:r w:rsidRPr="007B7A70">
        <w:rPr>
          <w:i/>
          <w:iCs/>
        </w:rPr>
        <w:t>6</w:t>
      </w:r>
      <w:r w:rsidRPr="007B7A70">
        <w:t>(258), e307.</w:t>
      </w:r>
    </w:p>
    <w:p w14:paraId="6CAFF692" w14:textId="77777777" w:rsidR="00E1292D" w:rsidRPr="001238A8" w:rsidRDefault="00E1292D" w:rsidP="009A0165">
      <w:proofErr w:type="spellStart"/>
      <w:r w:rsidRPr="001238A8">
        <w:t>Rossion</w:t>
      </w:r>
      <w:proofErr w:type="spellEnd"/>
      <w:r w:rsidRPr="001238A8">
        <w:t xml:space="preserve">, B., &amp; </w:t>
      </w:r>
      <w:proofErr w:type="spellStart"/>
      <w:r w:rsidRPr="001238A8">
        <w:t>Boremanse</w:t>
      </w:r>
      <w:proofErr w:type="spellEnd"/>
      <w:r w:rsidRPr="001238A8">
        <w:t xml:space="preserve">, A. (2008). Nonlinear relationship between holistic processing of individual faces and picture-plane rotation: Evidence from the face composite illusion. </w:t>
      </w:r>
      <w:r w:rsidRPr="001238A8">
        <w:rPr>
          <w:i/>
          <w:iCs/>
        </w:rPr>
        <w:t>Journal of vision</w:t>
      </w:r>
      <w:r w:rsidRPr="001238A8">
        <w:t xml:space="preserve">, </w:t>
      </w:r>
      <w:r w:rsidRPr="001238A8">
        <w:rPr>
          <w:i/>
          <w:iCs/>
        </w:rPr>
        <w:t>8</w:t>
      </w:r>
      <w:r w:rsidRPr="001238A8">
        <w:t>(4), 3-3.</w:t>
      </w:r>
    </w:p>
    <w:p w14:paraId="35933E7E" w14:textId="77777777" w:rsidR="00E1292D" w:rsidRPr="007B7A70" w:rsidRDefault="00E1292D" w:rsidP="009A0165">
      <w:proofErr w:type="spellStart"/>
      <w:r w:rsidRPr="007B7A70">
        <w:t>Rossion</w:t>
      </w:r>
      <w:proofErr w:type="spellEnd"/>
      <w:r w:rsidRPr="007B7A70">
        <w:t xml:space="preserve">, B., </w:t>
      </w:r>
      <w:proofErr w:type="spellStart"/>
      <w:r w:rsidRPr="007B7A70">
        <w:t>Dricot</w:t>
      </w:r>
      <w:proofErr w:type="spellEnd"/>
      <w:r w:rsidRPr="007B7A70">
        <w:t xml:space="preserve">, L., Devolder, A., Bodart, J. M., Crommelinck, M., De Gelder, B., &amp; Zoontjes, R. (2000). Hemispheric asymmetries for whole-based and part-based face processing in the human fusiform gyrus. </w:t>
      </w:r>
      <w:r w:rsidRPr="007B7A70">
        <w:rPr>
          <w:i/>
          <w:iCs/>
        </w:rPr>
        <w:t>Journal of cognitive neuroscience</w:t>
      </w:r>
      <w:r w:rsidRPr="007B7A70">
        <w:t xml:space="preserve">, </w:t>
      </w:r>
      <w:r w:rsidRPr="007B7A70">
        <w:rPr>
          <w:i/>
          <w:iCs/>
        </w:rPr>
        <w:t>12</w:t>
      </w:r>
      <w:r w:rsidRPr="007B7A70">
        <w:t>(5), 793-802.</w:t>
      </w:r>
    </w:p>
    <w:p w14:paraId="6CD14090" w14:textId="77777777" w:rsidR="00E1292D" w:rsidRPr="002A5C27" w:rsidRDefault="00E1292D" w:rsidP="009A0165">
      <w:r w:rsidRPr="002A5C27">
        <w:t xml:space="preserve">Royer, J., Blais, C., Charbonneau, I., Déry, K., Tardif, J., Duchaine, B., ... &amp; Fiset, D. (2018). Greater reliance on the eye region predicts better face recognition ability. </w:t>
      </w:r>
      <w:r w:rsidRPr="002A5C27">
        <w:rPr>
          <w:i/>
          <w:iCs/>
        </w:rPr>
        <w:t>Cognition</w:t>
      </w:r>
      <w:r w:rsidRPr="002A5C27">
        <w:t xml:space="preserve">, </w:t>
      </w:r>
      <w:r w:rsidRPr="002A5C27">
        <w:rPr>
          <w:i/>
          <w:iCs/>
        </w:rPr>
        <w:t>181</w:t>
      </w:r>
      <w:r w:rsidRPr="002A5C27">
        <w:t>, 12-20.</w:t>
      </w:r>
    </w:p>
    <w:p w14:paraId="32A6B785" w14:textId="77777777" w:rsidR="00E1292D" w:rsidRPr="007B7A70" w:rsidRDefault="00E1292D" w:rsidP="009A0165">
      <w:r w:rsidRPr="007B7A70">
        <w:t xml:space="preserve">Schiltz, C., &amp; </w:t>
      </w:r>
      <w:proofErr w:type="spellStart"/>
      <w:r w:rsidRPr="007B7A70">
        <w:t>Rossion</w:t>
      </w:r>
      <w:proofErr w:type="spellEnd"/>
      <w:r w:rsidRPr="007B7A70">
        <w:t xml:space="preserve">, B. (2006). Faces are represented holistically in the human </w:t>
      </w:r>
      <w:proofErr w:type="spellStart"/>
      <w:r w:rsidRPr="007B7A70">
        <w:t>occipito</w:t>
      </w:r>
      <w:proofErr w:type="spellEnd"/>
      <w:r w:rsidRPr="007B7A70">
        <w:t xml:space="preserve">-temporal cortex. </w:t>
      </w:r>
      <w:r w:rsidRPr="007B7A70">
        <w:rPr>
          <w:i/>
          <w:iCs/>
        </w:rPr>
        <w:t>Neuroimage</w:t>
      </w:r>
      <w:r w:rsidRPr="007B7A70">
        <w:t xml:space="preserve">, </w:t>
      </w:r>
      <w:r w:rsidRPr="007B7A70">
        <w:rPr>
          <w:i/>
          <w:iCs/>
        </w:rPr>
        <w:t>32</w:t>
      </w:r>
      <w:r w:rsidRPr="007B7A70">
        <w:t>(3), 1385-1394.</w:t>
      </w:r>
    </w:p>
    <w:p w14:paraId="40DB2FAD" w14:textId="77777777" w:rsidR="00E1292D" w:rsidRPr="007B7A70" w:rsidRDefault="00E1292D" w:rsidP="009A0165">
      <w:r w:rsidRPr="007B7A70">
        <w:t xml:space="preserve">Schiltz, C., </w:t>
      </w:r>
      <w:proofErr w:type="spellStart"/>
      <w:r w:rsidRPr="007B7A70">
        <w:t>Dricot</w:t>
      </w:r>
      <w:proofErr w:type="spellEnd"/>
      <w:r w:rsidRPr="007B7A70">
        <w:t xml:space="preserve">, L., Goebel, R., &amp; </w:t>
      </w:r>
      <w:proofErr w:type="spellStart"/>
      <w:r w:rsidRPr="007B7A70">
        <w:t>Rossion</w:t>
      </w:r>
      <w:proofErr w:type="spellEnd"/>
      <w:r w:rsidRPr="007B7A70">
        <w:t xml:space="preserve">, B. (2010). Holistic perception of individual faces in the right middle fusiform gyrus as evidenced by the composite face illusion. </w:t>
      </w:r>
      <w:r w:rsidRPr="007B7A70">
        <w:rPr>
          <w:i/>
          <w:iCs/>
        </w:rPr>
        <w:t>Journal of Vision</w:t>
      </w:r>
      <w:r w:rsidRPr="007B7A70">
        <w:t xml:space="preserve">, </w:t>
      </w:r>
      <w:r w:rsidRPr="007B7A70">
        <w:rPr>
          <w:i/>
          <w:iCs/>
        </w:rPr>
        <w:t>10</w:t>
      </w:r>
      <w:r w:rsidRPr="007B7A70">
        <w:t>(2), 25-25.</w:t>
      </w:r>
    </w:p>
    <w:p w14:paraId="33C0C8D4" w14:textId="77777777" w:rsidR="00E1292D" w:rsidRPr="007B7A70" w:rsidRDefault="00E1292D" w:rsidP="009A0165">
      <w:r w:rsidRPr="007B7A70">
        <w:t xml:space="preserve">Schneider, W., &amp; </w:t>
      </w:r>
      <w:proofErr w:type="spellStart"/>
      <w:r w:rsidRPr="007B7A70">
        <w:t>Schiffrin</w:t>
      </w:r>
      <w:proofErr w:type="spellEnd"/>
      <w:r w:rsidRPr="007B7A70">
        <w:t xml:space="preserve">, R. M. (1977). Automatic </w:t>
      </w:r>
      <w:proofErr w:type="gramStart"/>
      <w:r w:rsidRPr="007B7A70">
        <w:t>vs controlled</w:t>
      </w:r>
      <w:proofErr w:type="gramEnd"/>
      <w:r w:rsidRPr="007B7A70">
        <w:t xml:space="preserve"> processing. </w:t>
      </w:r>
      <w:proofErr w:type="spellStart"/>
      <w:r w:rsidRPr="007B7A70">
        <w:rPr>
          <w:i/>
          <w:iCs/>
        </w:rPr>
        <w:t>Psychol</w:t>
      </w:r>
      <w:proofErr w:type="spellEnd"/>
      <w:r w:rsidRPr="007B7A70">
        <w:rPr>
          <w:i/>
          <w:iCs/>
        </w:rPr>
        <w:t xml:space="preserve"> Rev</w:t>
      </w:r>
      <w:r w:rsidRPr="007B7A70">
        <w:t xml:space="preserve">, </w:t>
      </w:r>
      <w:r w:rsidRPr="007B7A70">
        <w:rPr>
          <w:i/>
          <w:iCs/>
        </w:rPr>
        <w:t>84</w:t>
      </w:r>
      <w:r w:rsidRPr="007B7A70">
        <w:t>, 1-64.</w:t>
      </w:r>
    </w:p>
    <w:p w14:paraId="05E543B6" w14:textId="77777777" w:rsidR="00E1292D" w:rsidRPr="002A5C27" w:rsidRDefault="00E1292D" w:rsidP="009A0165">
      <w:r w:rsidRPr="002A5C27">
        <w:t xml:space="preserve">Seeck, M., Michel, C. M., Mainwaring, N., Cosgrove, R., Blume, H., Ives, J., ... &amp; Schomer, D. L. (1997). Evidence for rapid face recognition from human scalp and intracranial electrodes. </w:t>
      </w:r>
      <w:proofErr w:type="spellStart"/>
      <w:r w:rsidRPr="002A5C27">
        <w:rPr>
          <w:i/>
          <w:iCs/>
        </w:rPr>
        <w:t>Neuroreport</w:t>
      </w:r>
      <w:proofErr w:type="spellEnd"/>
      <w:r w:rsidRPr="002A5C27">
        <w:t xml:space="preserve">, </w:t>
      </w:r>
      <w:r w:rsidRPr="002A5C27">
        <w:rPr>
          <w:i/>
          <w:iCs/>
        </w:rPr>
        <w:t>8</w:t>
      </w:r>
      <w:r w:rsidRPr="002A5C27">
        <w:t>(12), 2749-2754.</w:t>
      </w:r>
    </w:p>
    <w:p w14:paraId="476356A9" w14:textId="77777777" w:rsidR="00E1292D" w:rsidRPr="007B7A70" w:rsidRDefault="00E1292D" w:rsidP="009A0165">
      <w:r w:rsidRPr="007B7A70">
        <w:t xml:space="preserve">Shiffrin, R. M. (1988). Attention. In R. C. Atkinson, R. J. Herrnstein, G. Lindzey, &amp; R. D. Luce (Eds.), </w:t>
      </w:r>
      <w:r w:rsidRPr="007B7A70">
        <w:rPr>
          <w:rStyle w:val="Emphasis"/>
          <w:rFonts w:ascii="Calibri" w:hAnsi="Calibri" w:cs="Calibri"/>
        </w:rPr>
        <w:t>Stevens' handbook of experimental psychology: Perception and motivation; Learning and cognition</w:t>
      </w:r>
      <w:r w:rsidRPr="007B7A70">
        <w:t xml:space="preserve"> (2nd ed., pp. 739–811). John Wiley &amp; Sons.</w:t>
      </w:r>
    </w:p>
    <w:p w14:paraId="49007E6A" w14:textId="77777777" w:rsidR="00E1292D" w:rsidRPr="007B7A70" w:rsidRDefault="00E1292D" w:rsidP="009A0165">
      <w:proofErr w:type="spellStart"/>
      <w:r w:rsidRPr="007B7A70">
        <w:t>Strathie</w:t>
      </w:r>
      <w:proofErr w:type="spellEnd"/>
      <w:r w:rsidRPr="007B7A70">
        <w:t xml:space="preserve">, A., McNeill, A., &amp; White, D. (2012). In the dock: Chimeric image composites reduce identification accuracy. </w:t>
      </w:r>
      <w:r w:rsidRPr="007B7A70">
        <w:rPr>
          <w:i/>
          <w:iCs/>
        </w:rPr>
        <w:t>Applied Cognitive Psychology</w:t>
      </w:r>
      <w:r w:rsidRPr="007B7A70">
        <w:t xml:space="preserve">, </w:t>
      </w:r>
      <w:r w:rsidRPr="007B7A70">
        <w:rPr>
          <w:i/>
          <w:iCs/>
        </w:rPr>
        <w:t>26</w:t>
      </w:r>
      <w:r w:rsidRPr="007B7A70">
        <w:t>(1), 140-148.</w:t>
      </w:r>
    </w:p>
    <w:p w14:paraId="32FE8D5D" w14:textId="77777777" w:rsidR="00E1292D" w:rsidRPr="007B7A70" w:rsidRDefault="00E1292D" w:rsidP="009A0165">
      <w:r w:rsidRPr="007B7A70">
        <w:t xml:space="preserve">Tanaka, J. W., &amp; Farah, M. J. (1993). Parts and wholes in face recognition. </w:t>
      </w:r>
      <w:r w:rsidRPr="007B7A70">
        <w:rPr>
          <w:i/>
          <w:iCs/>
        </w:rPr>
        <w:t>The Quarterly Journal of Experimental Psychology Section A</w:t>
      </w:r>
      <w:r w:rsidRPr="007B7A70">
        <w:t xml:space="preserve">, </w:t>
      </w:r>
      <w:r w:rsidRPr="007B7A70">
        <w:rPr>
          <w:i/>
          <w:iCs/>
        </w:rPr>
        <w:t>46</w:t>
      </w:r>
      <w:r w:rsidRPr="007B7A70">
        <w:t>(2), 225-245.</w:t>
      </w:r>
    </w:p>
    <w:p w14:paraId="6A81EEFE" w14:textId="77777777" w:rsidR="00E1292D" w:rsidRPr="002A5C27" w:rsidRDefault="00E1292D" w:rsidP="009A0165">
      <w:r w:rsidRPr="002A5C27">
        <w:lastRenderedPageBreak/>
        <w:t xml:space="preserve">Tanaka, J. W., &amp; Farah, M. J. (1993). Parts and wholes in face recognition. </w:t>
      </w:r>
      <w:r w:rsidRPr="002A5C27">
        <w:rPr>
          <w:i/>
          <w:iCs/>
        </w:rPr>
        <w:t>The Quarterly Journal of Experimental Psychology Section A</w:t>
      </w:r>
      <w:r w:rsidRPr="002A5C27">
        <w:t xml:space="preserve">, </w:t>
      </w:r>
      <w:r w:rsidRPr="002A5C27">
        <w:rPr>
          <w:i/>
          <w:iCs/>
        </w:rPr>
        <w:t>46</w:t>
      </w:r>
      <w:r w:rsidRPr="002A5C27">
        <w:t>(2), 225-245.</w:t>
      </w:r>
    </w:p>
    <w:p w14:paraId="15BA67AF" w14:textId="77777777" w:rsidR="00E1292D" w:rsidRPr="007B7A70" w:rsidRDefault="00E1292D" w:rsidP="009A0165">
      <w:r w:rsidRPr="007B7A70">
        <w:t xml:space="preserve">Tanaka, J. W., &amp; Farah, M. J. (1993). Parts and wholes in face recognition. </w:t>
      </w:r>
      <w:r w:rsidRPr="007B7A70">
        <w:rPr>
          <w:i/>
          <w:iCs/>
        </w:rPr>
        <w:t>The Quarterly Journal of Experimental Psychology Section A</w:t>
      </w:r>
      <w:r w:rsidRPr="007B7A70">
        <w:t xml:space="preserve">, </w:t>
      </w:r>
      <w:r w:rsidRPr="007B7A70">
        <w:rPr>
          <w:i/>
          <w:iCs/>
        </w:rPr>
        <w:t>46</w:t>
      </w:r>
      <w:r w:rsidRPr="007B7A70">
        <w:t>(2), 225-245.</w:t>
      </w:r>
    </w:p>
    <w:p w14:paraId="2B285D26" w14:textId="77777777" w:rsidR="00E1292D" w:rsidRPr="007B7A70" w:rsidRDefault="00E1292D" w:rsidP="009A0165">
      <w:r w:rsidRPr="007B7A70">
        <w:t xml:space="preserve">Tanaka, J. W., &amp; Gordon, I. (2011). Features, configuration, and holistic face processing. </w:t>
      </w:r>
      <w:r w:rsidRPr="007B7A70">
        <w:rPr>
          <w:i/>
          <w:iCs/>
        </w:rPr>
        <w:t>The Oxford handbook of face perception</w:t>
      </w:r>
      <w:r w:rsidRPr="007B7A70">
        <w:t>, 177-194.</w:t>
      </w:r>
    </w:p>
    <w:p w14:paraId="468A339A" w14:textId="77777777" w:rsidR="00E1292D" w:rsidRPr="00967741" w:rsidRDefault="00E1292D" w:rsidP="009A0165">
      <w:r w:rsidRPr="00967741">
        <w:t xml:space="preserve">Tanaka, J. W., Curran, T., Porterfield, A. L., &amp; Collins, D. (2006). Activation of preexisting and acquired face representations: the N250 event-related potential as an index of face familiarity. </w:t>
      </w:r>
      <w:r w:rsidRPr="00967741">
        <w:rPr>
          <w:i/>
          <w:iCs/>
        </w:rPr>
        <w:t>Journal of cognitive neuroscience</w:t>
      </w:r>
      <w:r w:rsidRPr="00967741">
        <w:t xml:space="preserve">, </w:t>
      </w:r>
      <w:r w:rsidRPr="00967741">
        <w:rPr>
          <w:i/>
          <w:iCs/>
        </w:rPr>
        <w:t>18</w:t>
      </w:r>
      <w:r w:rsidRPr="00967741">
        <w:t>(9), 1488-1497.</w:t>
      </w:r>
    </w:p>
    <w:p w14:paraId="3EEA68A5" w14:textId="77777777" w:rsidR="00E1292D" w:rsidRPr="007B7A70" w:rsidRDefault="00E1292D" w:rsidP="009A0165">
      <w:r w:rsidRPr="007B7A70">
        <w:t xml:space="preserve">Tanaka, J. W., Kaiser, M. D., Butler, S., &amp; Le Grand, R. (2012). Mixed emotions: Holistic and analytic perception of facial expressions. </w:t>
      </w:r>
      <w:r w:rsidRPr="007B7A70">
        <w:rPr>
          <w:i/>
          <w:iCs/>
        </w:rPr>
        <w:t>Cognition &amp; emotion</w:t>
      </w:r>
      <w:r w:rsidRPr="007B7A70">
        <w:t xml:space="preserve">, </w:t>
      </w:r>
      <w:r w:rsidRPr="007B7A70">
        <w:rPr>
          <w:i/>
          <w:iCs/>
        </w:rPr>
        <w:t>26</w:t>
      </w:r>
      <w:r w:rsidRPr="007B7A70">
        <w:t>(6), 961-977.</w:t>
      </w:r>
    </w:p>
    <w:p w14:paraId="41BD69A4" w14:textId="77777777" w:rsidR="00E1292D" w:rsidRPr="007B7A70" w:rsidRDefault="00E1292D" w:rsidP="009A0165">
      <w:r w:rsidRPr="007B7A70">
        <w:t xml:space="preserve">Taubert, J., &amp; Alais, D. (2009). The composite illusion requires composite face stimuli to be biologically plausible. </w:t>
      </w:r>
      <w:r w:rsidRPr="007B7A70">
        <w:rPr>
          <w:i/>
          <w:iCs/>
        </w:rPr>
        <w:t>Vision Research</w:t>
      </w:r>
      <w:r w:rsidRPr="007B7A70">
        <w:t xml:space="preserve">, </w:t>
      </w:r>
      <w:r w:rsidRPr="007B7A70">
        <w:rPr>
          <w:i/>
          <w:iCs/>
        </w:rPr>
        <w:t>49</w:t>
      </w:r>
      <w:r w:rsidRPr="007B7A70">
        <w:t>(14), 1877-1885.</w:t>
      </w:r>
    </w:p>
    <w:p w14:paraId="535ECAAD" w14:textId="77777777" w:rsidR="00E1292D" w:rsidRPr="007B7A70" w:rsidRDefault="00E1292D" w:rsidP="009A0165">
      <w:r w:rsidRPr="007B7A70">
        <w:t xml:space="preserve">Vieira, T. F., Bottino, A., </w:t>
      </w:r>
      <w:proofErr w:type="spellStart"/>
      <w:r w:rsidRPr="007B7A70">
        <w:t>Laurentini</w:t>
      </w:r>
      <w:proofErr w:type="spellEnd"/>
      <w:r w:rsidRPr="007B7A70">
        <w:t xml:space="preserve">, A., &amp; De Simone, M. (2014). Detecting siblings in image pairs. </w:t>
      </w:r>
      <w:r w:rsidRPr="007B7A70">
        <w:rPr>
          <w:i/>
          <w:iCs/>
        </w:rPr>
        <w:t>The Visual Computer</w:t>
      </w:r>
      <w:r w:rsidRPr="007B7A70">
        <w:t xml:space="preserve">, </w:t>
      </w:r>
      <w:r w:rsidRPr="007B7A70">
        <w:rPr>
          <w:i/>
          <w:iCs/>
        </w:rPr>
        <w:t>30</w:t>
      </w:r>
      <w:r w:rsidRPr="007B7A70">
        <w:t>, 1333-1345.</w:t>
      </w:r>
    </w:p>
    <w:p w14:paraId="76923C04" w14:textId="77777777" w:rsidR="00E1292D" w:rsidRPr="007B7A70" w:rsidRDefault="00E1292D" w:rsidP="009A0165">
      <w:r w:rsidRPr="007B7A70">
        <w:t xml:space="preserve">Walker-Smith, G. J., Gale, A. G., &amp; Findlay, J. M. (2013). Eye movement strategies involved in face perception. </w:t>
      </w:r>
      <w:r w:rsidRPr="007B7A70">
        <w:rPr>
          <w:i/>
          <w:iCs/>
        </w:rPr>
        <w:t>Perception</w:t>
      </w:r>
      <w:r w:rsidRPr="007B7A70">
        <w:t xml:space="preserve">, </w:t>
      </w:r>
      <w:r w:rsidRPr="007B7A70">
        <w:rPr>
          <w:i/>
          <w:iCs/>
        </w:rPr>
        <w:t>42</w:t>
      </w:r>
      <w:r w:rsidRPr="007B7A70">
        <w:t>(11), 1120-1133.</w:t>
      </w:r>
    </w:p>
    <w:p w14:paraId="6315583E" w14:textId="77777777" w:rsidR="00E1292D" w:rsidRPr="007B7A70" w:rsidRDefault="00E1292D" w:rsidP="009A0165">
      <w:r w:rsidRPr="007B7A70">
        <w:t xml:space="preserve">Wang, Z., Ni, H., Zhou, X., Yang, X., Zheng, Z., Sun, Y. H. P., ... &amp; Jin, H. (2023). Looking at the upper facial half enlarges the range of holistic face processing. </w:t>
      </w:r>
      <w:r w:rsidRPr="007B7A70">
        <w:rPr>
          <w:i/>
          <w:iCs/>
        </w:rPr>
        <w:t>Scientific Reports</w:t>
      </w:r>
      <w:r w:rsidRPr="007B7A70">
        <w:t xml:space="preserve">, </w:t>
      </w:r>
      <w:r w:rsidRPr="007B7A70">
        <w:rPr>
          <w:i/>
          <w:iCs/>
        </w:rPr>
        <w:t>13</w:t>
      </w:r>
      <w:r w:rsidRPr="007B7A70">
        <w:t>(1), 2419.</w:t>
      </w:r>
    </w:p>
    <w:p w14:paraId="44E726DA" w14:textId="77777777" w:rsidR="00E1292D" w:rsidRPr="007B7A70" w:rsidRDefault="00E1292D" w:rsidP="009A0165">
      <w:r w:rsidRPr="007B7A70">
        <w:t xml:space="preserve">Wang, Z., Quinn, P. C., Jin, H., Sun, Y. H. P., Tanaka, J. W., Pascalis, O., &amp; Lee, K. (2019). A regional composite-face effect for species-specific recognition: Upper and lower halves play different roles in holistic processing of monkey faces. </w:t>
      </w:r>
      <w:r w:rsidRPr="007B7A70">
        <w:rPr>
          <w:i/>
          <w:iCs/>
        </w:rPr>
        <w:t>Vision research</w:t>
      </w:r>
      <w:r w:rsidRPr="007B7A70">
        <w:t xml:space="preserve">, </w:t>
      </w:r>
      <w:r w:rsidRPr="007B7A70">
        <w:rPr>
          <w:i/>
          <w:iCs/>
        </w:rPr>
        <w:t>157</w:t>
      </w:r>
      <w:r w:rsidRPr="007B7A70">
        <w:t>, 89-96.</w:t>
      </w:r>
    </w:p>
    <w:p w14:paraId="72CA5B59" w14:textId="77777777" w:rsidR="00E1292D" w:rsidRDefault="00E1292D" w:rsidP="009A0165">
      <w:pPr>
        <w:rPr>
          <w:i/>
          <w:iCs/>
        </w:rPr>
      </w:pPr>
      <w:r w:rsidRPr="002A5C27">
        <w:t xml:space="preserve">Westheimer, G. (1973). Saccadic eye movements. </w:t>
      </w:r>
      <w:proofErr w:type="gramStart"/>
      <w:r>
        <w:t xml:space="preserve">In  </w:t>
      </w:r>
      <w:r w:rsidRPr="002A5C27">
        <w:t>V.</w:t>
      </w:r>
      <w:proofErr w:type="gramEnd"/>
      <w:r w:rsidRPr="002A5C27">
        <w:t xml:space="preserve"> Zickmund</w:t>
      </w:r>
      <w:r>
        <w:t xml:space="preserve"> (Ed.), </w:t>
      </w:r>
      <w:r w:rsidRPr="002A5C27">
        <w:rPr>
          <w:i/>
          <w:iCs/>
        </w:rPr>
        <w:t xml:space="preserve">The Oculomotor System and Brain Functions, </w:t>
      </w:r>
      <w:r w:rsidRPr="002A5C27">
        <w:t>(pp. 59-77). Butterworth</w:t>
      </w:r>
      <w:r>
        <w:t>.</w:t>
      </w:r>
    </w:p>
    <w:p w14:paraId="581F6396" w14:textId="77777777" w:rsidR="00E1292D" w:rsidRPr="007B7A70" w:rsidRDefault="00E1292D" w:rsidP="009A0165">
      <w:r w:rsidRPr="007B7A70">
        <w:t xml:space="preserve">Yan, X., Young, A. W., &amp; Andrews, T. J. (2017). The automaticity of face perception is influenced by familiarity. </w:t>
      </w:r>
      <w:r w:rsidRPr="007B7A70">
        <w:rPr>
          <w:i/>
          <w:iCs/>
        </w:rPr>
        <w:t>Attention, Perception, &amp; Psychophysics</w:t>
      </w:r>
      <w:r w:rsidRPr="007B7A70">
        <w:t xml:space="preserve">, </w:t>
      </w:r>
      <w:r w:rsidRPr="007B7A70">
        <w:rPr>
          <w:i/>
          <w:iCs/>
        </w:rPr>
        <w:t>79</w:t>
      </w:r>
      <w:r w:rsidRPr="007B7A70">
        <w:t>, 2202-2211.</w:t>
      </w:r>
    </w:p>
    <w:p w14:paraId="473C4DE1" w14:textId="77777777" w:rsidR="00E1292D" w:rsidRDefault="00E1292D" w:rsidP="009A0165">
      <w:r w:rsidRPr="002A5C27">
        <w:t>Young, A. W. (1982). Divided visual field studies of cerebral organisation. In J. G. Beaumont (Ed.),</w:t>
      </w:r>
      <w:r w:rsidRPr="002A5C27">
        <w:rPr>
          <w:i/>
          <w:iCs/>
        </w:rPr>
        <w:t xml:space="preserve"> Divided visual field studies of cerebral organisation </w:t>
      </w:r>
      <w:r w:rsidRPr="002A5C27">
        <w:t>(pp. 11</w:t>
      </w:r>
      <w:r>
        <w:t>-</w:t>
      </w:r>
      <w:r w:rsidRPr="002A5C27">
        <w:t>27). Academic Press</w:t>
      </w:r>
      <w:r>
        <w:t>.</w:t>
      </w:r>
    </w:p>
    <w:p w14:paraId="3B259C4A" w14:textId="040F045C" w:rsidR="00D44877" w:rsidRPr="00D44877" w:rsidRDefault="00D44877" w:rsidP="009A0165">
      <w:r w:rsidRPr="00D44877">
        <w:lastRenderedPageBreak/>
        <w:t xml:space="preserve">Young, A. W., &amp; Burton, A. M. (2017). Recognizing faces. </w:t>
      </w:r>
      <w:r w:rsidRPr="00D44877">
        <w:rPr>
          <w:i/>
          <w:iCs/>
        </w:rPr>
        <w:t>Current Directions in Psychological Science</w:t>
      </w:r>
      <w:r w:rsidRPr="00D44877">
        <w:t xml:space="preserve">, </w:t>
      </w:r>
      <w:r w:rsidRPr="00D44877">
        <w:rPr>
          <w:i/>
          <w:iCs/>
        </w:rPr>
        <w:t>26</w:t>
      </w:r>
      <w:r w:rsidRPr="00D44877">
        <w:t>(3), 212-217.</w:t>
      </w:r>
    </w:p>
    <w:p w14:paraId="6F848927" w14:textId="77777777" w:rsidR="00E1292D" w:rsidRPr="007B7A70" w:rsidRDefault="00E1292D" w:rsidP="009A0165">
      <w:r w:rsidRPr="007B7A70">
        <w:t xml:space="preserve">Young, A. W., de Haan, E. H., Newcombe, F., &amp; Hay, D. C. (1990). Facial neglect. </w:t>
      </w:r>
      <w:proofErr w:type="spellStart"/>
      <w:r w:rsidRPr="007B7A70">
        <w:rPr>
          <w:i/>
          <w:iCs/>
        </w:rPr>
        <w:t>Neuropsychologia</w:t>
      </w:r>
      <w:proofErr w:type="spellEnd"/>
      <w:r w:rsidRPr="007B7A70">
        <w:t xml:space="preserve">, </w:t>
      </w:r>
      <w:r w:rsidRPr="007B7A70">
        <w:rPr>
          <w:i/>
          <w:iCs/>
        </w:rPr>
        <w:t>28</w:t>
      </w:r>
      <w:r w:rsidRPr="007B7A70">
        <w:t>(5), 391-415.</w:t>
      </w:r>
    </w:p>
    <w:p w14:paraId="7FB953C8" w14:textId="59BECF22" w:rsidR="00E34AE2" w:rsidRDefault="00E1292D" w:rsidP="009A0165">
      <w:r w:rsidRPr="007B7A70">
        <w:t xml:space="preserve">Young, A. W., </w:t>
      </w:r>
      <w:proofErr w:type="spellStart"/>
      <w:r w:rsidRPr="007B7A70">
        <w:t>Hellawell</w:t>
      </w:r>
      <w:proofErr w:type="spellEnd"/>
      <w:r w:rsidRPr="007B7A70">
        <w:t xml:space="preserve">, D., &amp; Hay, D. C. (1987). Configurational information in face perception. </w:t>
      </w:r>
      <w:r w:rsidRPr="007B7A70">
        <w:rPr>
          <w:i/>
          <w:iCs/>
        </w:rPr>
        <w:t>Perception</w:t>
      </w:r>
      <w:r w:rsidRPr="007B7A70">
        <w:t xml:space="preserve">, </w:t>
      </w:r>
      <w:r w:rsidRPr="007B7A70">
        <w:rPr>
          <w:i/>
          <w:iCs/>
        </w:rPr>
        <w:t>16</w:t>
      </w:r>
      <w:r w:rsidRPr="007B7A70">
        <w:t>(6), 747-759.</w:t>
      </w:r>
    </w:p>
    <w:p w14:paraId="1147CC11" w14:textId="77777777" w:rsidR="006F1FB4" w:rsidRDefault="006F1FB4" w:rsidP="009A0165"/>
    <w:p w14:paraId="7994CC61" w14:textId="5C71AC42" w:rsidR="006F1FB4" w:rsidRDefault="006F1FB4">
      <w:pPr>
        <w:spacing w:line="259" w:lineRule="auto"/>
        <w:jc w:val="left"/>
      </w:pPr>
      <w:r>
        <w:br w:type="page"/>
      </w:r>
    </w:p>
    <w:p w14:paraId="74325F97" w14:textId="77777777" w:rsidR="006F1FB4" w:rsidRPr="00A20AE9" w:rsidRDefault="006F1FB4" w:rsidP="006F1FB4">
      <w:pPr>
        <w:pStyle w:val="Heading1"/>
        <w:jc w:val="center"/>
        <w:rPr>
          <w:rFonts w:ascii="Calibri" w:hAnsi="Calibri" w:cs="Calibri"/>
          <w:b w:val="0"/>
          <w:bCs w:val="0"/>
          <w:sz w:val="24"/>
          <w:szCs w:val="24"/>
        </w:rPr>
      </w:pPr>
      <w:r w:rsidRPr="00A20AE9">
        <w:rPr>
          <w:rFonts w:ascii="Calibri" w:hAnsi="Calibri" w:cs="Calibri"/>
          <w:sz w:val="24"/>
          <w:szCs w:val="24"/>
        </w:rPr>
        <w:lastRenderedPageBreak/>
        <w:t>A Composite Face Effect for Vertically Divided Faces</w:t>
      </w:r>
    </w:p>
    <w:p w14:paraId="4B8A1CA4" w14:textId="77777777" w:rsidR="006F1FB4" w:rsidRPr="00A20AE9" w:rsidRDefault="006F1FB4" w:rsidP="006F1FB4"/>
    <w:p w14:paraId="0C7991EE" w14:textId="7FCA4895" w:rsidR="006F1FB4" w:rsidRPr="00A20AE9" w:rsidRDefault="006F1FB4" w:rsidP="006F1FB4">
      <w:pPr>
        <w:pStyle w:val="Heading1"/>
        <w:rPr>
          <w:rFonts w:ascii="Calibri" w:hAnsi="Calibri" w:cs="Calibri"/>
          <w:b w:val="0"/>
          <w:bCs w:val="0"/>
        </w:rPr>
      </w:pPr>
      <w:r>
        <w:rPr>
          <w:rFonts w:ascii="Calibri" w:hAnsi="Calibri" w:cs="Calibri"/>
        </w:rPr>
        <w:t>Supplementary material</w:t>
      </w:r>
    </w:p>
    <w:p w14:paraId="2EDFFC7A" w14:textId="77777777" w:rsidR="006F1FB4" w:rsidRPr="00A20AE9" w:rsidRDefault="006F1FB4" w:rsidP="006F1FB4"/>
    <w:p w14:paraId="61E5A3D1" w14:textId="77777777" w:rsidR="006F1FB4" w:rsidRPr="00A20AE9" w:rsidRDefault="006F1FB4" w:rsidP="006F1FB4">
      <w:pPr>
        <w:rPr>
          <w:rFonts w:ascii="Calibri" w:hAnsi="Calibri" w:cs="Calibri"/>
        </w:rPr>
      </w:pPr>
      <w:r w:rsidRPr="00A20AE9">
        <w:rPr>
          <w:rFonts w:ascii="Calibri" w:hAnsi="Calibri" w:cs="Calibri"/>
        </w:rPr>
        <w:t xml:space="preserve">The present study uses a variety of face identities assumed to be ‘familiar’ to participants at the time of experimentation. While only identities which were indicated to be recognised in the recognition assessment block of experimentation were included in our analysis, we consider it relevant to provide a full list of celebrity identities and their recognition rates as supplementary data which may be of use to wider research and replication. </w:t>
      </w:r>
    </w:p>
    <w:p w14:paraId="41CA7E6A" w14:textId="77777777" w:rsidR="006F1FB4" w:rsidRPr="00A20AE9" w:rsidRDefault="006F1FB4" w:rsidP="006F1FB4">
      <w:pPr>
        <w:rPr>
          <w:rFonts w:ascii="Calibri" w:hAnsi="Calibri" w:cs="Calibri"/>
        </w:rPr>
      </w:pPr>
      <w:r w:rsidRPr="00A20AE9">
        <w:rPr>
          <w:rFonts w:ascii="Calibri" w:hAnsi="Calibri" w:cs="Calibri"/>
        </w:rPr>
        <w:t xml:space="preserve">We suggest that there is little reason to believe that replacing these identities with other famous faces with greater relevance to future participants would have any effect on the composite face effect, and that assuring that there are sufficient consistently recognised identities to allow for effective analysis and comparison should take priority over using an identical set of stimulus identities in replication. </w:t>
      </w:r>
    </w:p>
    <w:p w14:paraId="10607B28" w14:textId="77777777" w:rsidR="006F1FB4" w:rsidRPr="00A20AE9" w:rsidRDefault="006F1FB4" w:rsidP="006F1FB4">
      <w:pPr>
        <w:rPr>
          <w:rFonts w:ascii="Calibri" w:hAnsi="Calibri" w:cs="Calibri"/>
        </w:rPr>
      </w:pPr>
    </w:p>
    <w:p w14:paraId="60616E6B" w14:textId="77777777" w:rsidR="006F1FB4" w:rsidRPr="00A20AE9" w:rsidRDefault="006F1FB4" w:rsidP="006F1FB4">
      <w:pPr>
        <w:rPr>
          <w:rFonts w:ascii="Calibri" w:hAnsi="Calibri" w:cs="Calibri"/>
          <w:lang w:val="en-US"/>
        </w:rPr>
      </w:pPr>
      <w:r w:rsidRPr="00A20AE9">
        <w:rPr>
          <w:rFonts w:ascii="Calibri" w:hAnsi="Calibri" w:cs="Calibri"/>
          <w:lang w:val="en-US"/>
        </w:rPr>
        <w:t xml:space="preserve">Suppl. Table 1. </w:t>
      </w:r>
    </w:p>
    <w:p w14:paraId="14D5E441" w14:textId="77777777" w:rsidR="006F1FB4" w:rsidRPr="00A20AE9" w:rsidRDefault="006F1FB4" w:rsidP="006F1FB4">
      <w:pPr>
        <w:rPr>
          <w:rFonts w:ascii="Calibri" w:hAnsi="Calibri" w:cs="Calibri"/>
          <w:i/>
          <w:iCs/>
        </w:rPr>
      </w:pPr>
      <w:r w:rsidRPr="00A20AE9">
        <w:rPr>
          <w:rFonts w:ascii="Calibri" w:hAnsi="Calibri" w:cs="Calibri"/>
          <w:i/>
          <w:iCs/>
          <w:lang w:val="en-US"/>
        </w:rPr>
        <w:t>familiar identities used in experiments across the study, and their average recognition rates across all participants in each experiment (%).</w:t>
      </w:r>
    </w:p>
    <w:tbl>
      <w:tblPr>
        <w:tblW w:w="5000" w:type="pct"/>
        <w:tblBorders>
          <w:top w:val="single" w:sz="4" w:space="0" w:color="auto"/>
          <w:bottom w:val="single" w:sz="4" w:space="0" w:color="auto"/>
        </w:tblBorders>
        <w:tblLook w:val="04A0" w:firstRow="1" w:lastRow="0" w:firstColumn="1" w:lastColumn="0" w:noHBand="0" w:noVBand="1"/>
      </w:tblPr>
      <w:tblGrid>
        <w:gridCol w:w="2544"/>
        <w:gridCol w:w="1092"/>
        <w:gridCol w:w="1361"/>
        <w:gridCol w:w="1343"/>
        <w:gridCol w:w="1343"/>
        <w:gridCol w:w="1343"/>
      </w:tblGrid>
      <w:tr w:rsidR="006F1FB4" w:rsidRPr="00A20AE9" w14:paraId="18F6CFA5" w14:textId="77777777" w:rsidTr="00731391">
        <w:trPr>
          <w:trHeight w:val="300"/>
        </w:trPr>
        <w:tc>
          <w:tcPr>
            <w:tcW w:w="1423" w:type="pct"/>
            <w:tcBorders>
              <w:top w:val="single" w:sz="4" w:space="0" w:color="auto"/>
              <w:bottom w:val="single" w:sz="4" w:space="0" w:color="auto"/>
            </w:tcBorders>
            <w:shd w:val="clear" w:color="auto" w:fill="auto"/>
            <w:noWrap/>
            <w:vAlign w:val="center"/>
            <w:hideMark/>
          </w:tcPr>
          <w:p w14:paraId="6CA23BD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Identity</w:t>
            </w:r>
          </w:p>
        </w:tc>
        <w:tc>
          <w:tcPr>
            <w:tcW w:w="619" w:type="pct"/>
            <w:tcBorders>
              <w:top w:val="single" w:sz="4" w:space="0" w:color="auto"/>
              <w:bottom w:val="single" w:sz="4" w:space="0" w:color="auto"/>
            </w:tcBorders>
            <w:shd w:val="clear" w:color="auto" w:fill="auto"/>
            <w:noWrap/>
            <w:vAlign w:val="center"/>
            <w:hideMark/>
          </w:tcPr>
          <w:p w14:paraId="26DFC4F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Role</w:t>
            </w:r>
          </w:p>
        </w:tc>
        <w:tc>
          <w:tcPr>
            <w:tcW w:w="767" w:type="pct"/>
            <w:tcBorders>
              <w:top w:val="single" w:sz="4" w:space="0" w:color="auto"/>
              <w:bottom w:val="single" w:sz="4" w:space="0" w:color="auto"/>
            </w:tcBorders>
            <w:shd w:val="clear" w:color="auto" w:fill="auto"/>
            <w:noWrap/>
            <w:vAlign w:val="center"/>
            <w:hideMark/>
          </w:tcPr>
          <w:p w14:paraId="7192E67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 xml:space="preserve">Exp 1 </w:t>
            </w:r>
            <w:proofErr w:type="spellStart"/>
            <w:r w:rsidRPr="00A20AE9">
              <w:rPr>
                <w:rFonts w:ascii="Calibri" w:eastAsia="Times New Roman" w:hAnsi="Calibri" w:cs="Calibri"/>
                <w:kern w:val="0"/>
                <w:lang w:eastAsia="zh-CN"/>
                <w14:ligatures w14:val="none"/>
              </w:rPr>
              <w:t>Recog</w:t>
            </w:r>
            <w:proofErr w:type="spellEnd"/>
            <w:r w:rsidRPr="00A20AE9">
              <w:rPr>
                <w:rFonts w:ascii="Calibri" w:eastAsia="Times New Roman" w:hAnsi="Calibri" w:cs="Calibri"/>
                <w:kern w:val="0"/>
                <w:lang w:eastAsia="zh-CN"/>
                <w14:ligatures w14:val="none"/>
              </w:rPr>
              <w:t>.</w:t>
            </w:r>
          </w:p>
        </w:tc>
        <w:tc>
          <w:tcPr>
            <w:tcW w:w="730" w:type="pct"/>
            <w:tcBorders>
              <w:top w:val="single" w:sz="4" w:space="0" w:color="auto"/>
              <w:bottom w:val="single" w:sz="4" w:space="0" w:color="auto"/>
            </w:tcBorders>
            <w:shd w:val="clear" w:color="auto" w:fill="auto"/>
            <w:noWrap/>
            <w:vAlign w:val="center"/>
            <w:hideMark/>
          </w:tcPr>
          <w:p w14:paraId="2B9FE3F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 xml:space="preserve">Exp 2 </w:t>
            </w:r>
            <w:proofErr w:type="spellStart"/>
            <w:r w:rsidRPr="00A20AE9">
              <w:rPr>
                <w:rFonts w:ascii="Calibri" w:eastAsia="Times New Roman" w:hAnsi="Calibri" w:cs="Calibri"/>
                <w:kern w:val="0"/>
                <w:lang w:eastAsia="zh-CN"/>
                <w14:ligatures w14:val="none"/>
              </w:rPr>
              <w:t>Recog</w:t>
            </w:r>
            <w:proofErr w:type="spellEnd"/>
            <w:r w:rsidRPr="00A20AE9">
              <w:rPr>
                <w:rFonts w:ascii="Calibri" w:eastAsia="Times New Roman" w:hAnsi="Calibri" w:cs="Calibri"/>
                <w:kern w:val="0"/>
                <w:lang w:eastAsia="zh-CN"/>
                <w14:ligatures w14:val="none"/>
              </w:rPr>
              <w:t>.</w:t>
            </w:r>
          </w:p>
        </w:tc>
        <w:tc>
          <w:tcPr>
            <w:tcW w:w="730" w:type="pct"/>
            <w:tcBorders>
              <w:top w:val="single" w:sz="4" w:space="0" w:color="auto"/>
              <w:bottom w:val="single" w:sz="4" w:space="0" w:color="auto"/>
            </w:tcBorders>
            <w:shd w:val="clear" w:color="auto" w:fill="auto"/>
            <w:noWrap/>
            <w:vAlign w:val="center"/>
            <w:hideMark/>
          </w:tcPr>
          <w:p w14:paraId="2FF9E72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 xml:space="preserve">Exp 3 </w:t>
            </w:r>
            <w:proofErr w:type="spellStart"/>
            <w:r w:rsidRPr="00A20AE9">
              <w:rPr>
                <w:rFonts w:ascii="Calibri" w:eastAsia="Times New Roman" w:hAnsi="Calibri" w:cs="Calibri"/>
                <w:kern w:val="0"/>
                <w:lang w:eastAsia="zh-CN"/>
                <w14:ligatures w14:val="none"/>
              </w:rPr>
              <w:t>Recog</w:t>
            </w:r>
            <w:proofErr w:type="spellEnd"/>
            <w:r w:rsidRPr="00A20AE9">
              <w:rPr>
                <w:rFonts w:ascii="Calibri" w:eastAsia="Times New Roman" w:hAnsi="Calibri" w:cs="Calibri"/>
                <w:kern w:val="0"/>
                <w:lang w:eastAsia="zh-CN"/>
                <w14:ligatures w14:val="none"/>
              </w:rPr>
              <w:t>.</w:t>
            </w:r>
          </w:p>
        </w:tc>
        <w:tc>
          <w:tcPr>
            <w:tcW w:w="730" w:type="pct"/>
            <w:tcBorders>
              <w:top w:val="single" w:sz="4" w:space="0" w:color="auto"/>
              <w:bottom w:val="single" w:sz="4" w:space="0" w:color="auto"/>
            </w:tcBorders>
            <w:shd w:val="clear" w:color="auto" w:fill="auto"/>
            <w:noWrap/>
            <w:vAlign w:val="center"/>
            <w:hideMark/>
          </w:tcPr>
          <w:p w14:paraId="2124B9C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 xml:space="preserve">Exp 4 </w:t>
            </w:r>
            <w:proofErr w:type="spellStart"/>
            <w:r w:rsidRPr="00A20AE9">
              <w:rPr>
                <w:rFonts w:ascii="Calibri" w:eastAsia="Times New Roman" w:hAnsi="Calibri" w:cs="Calibri"/>
                <w:kern w:val="0"/>
                <w:lang w:eastAsia="zh-CN"/>
                <w14:ligatures w14:val="none"/>
              </w:rPr>
              <w:t>Recog</w:t>
            </w:r>
            <w:proofErr w:type="spellEnd"/>
            <w:r w:rsidRPr="00A20AE9">
              <w:rPr>
                <w:rFonts w:ascii="Calibri" w:eastAsia="Times New Roman" w:hAnsi="Calibri" w:cs="Calibri"/>
                <w:kern w:val="0"/>
                <w:lang w:eastAsia="zh-CN"/>
                <w14:ligatures w14:val="none"/>
              </w:rPr>
              <w:t>.</w:t>
            </w:r>
          </w:p>
        </w:tc>
      </w:tr>
      <w:tr w:rsidR="006F1FB4" w:rsidRPr="00A20AE9" w14:paraId="323FA1DE" w14:textId="77777777" w:rsidTr="00731391">
        <w:trPr>
          <w:trHeight w:val="300"/>
        </w:trPr>
        <w:tc>
          <w:tcPr>
            <w:tcW w:w="1423" w:type="pct"/>
            <w:tcBorders>
              <w:top w:val="single" w:sz="4" w:space="0" w:color="auto"/>
            </w:tcBorders>
            <w:shd w:val="clear" w:color="auto" w:fill="auto"/>
            <w:noWrap/>
            <w:vAlign w:val="center"/>
            <w:hideMark/>
          </w:tcPr>
          <w:p w14:paraId="4F88BF1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Angelina Jolie</w:t>
            </w:r>
          </w:p>
        </w:tc>
        <w:tc>
          <w:tcPr>
            <w:tcW w:w="619" w:type="pct"/>
            <w:tcBorders>
              <w:top w:val="single" w:sz="4" w:space="0" w:color="auto"/>
            </w:tcBorders>
            <w:shd w:val="clear" w:color="auto" w:fill="auto"/>
            <w:noWrap/>
            <w:vAlign w:val="center"/>
            <w:hideMark/>
          </w:tcPr>
          <w:p w14:paraId="4C16A5A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tcBorders>
              <w:top w:val="single" w:sz="4" w:space="0" w:color="auto"/>
            </w:tcBorders>
            <w:shd w:val="clear" w:color="auto" w:fill="auto"/>
            <w:noWrap/>
            <w:vAlign w:val="center"/>
            <w:hideMark/>
          </w:tcPr>
          <w:p w14:paraId="1BDDAD2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82.8</w:t>
            </w:r>
          </w:p>
        </w:tc>
        <w:tc>
          <w:tcPr>
            <w:tcW w:w="730" w:type="pct"/>
            <w:tcBorders>
              <w:top w:val="single" w:sz="4" w:space="0" w:color="auto"/>
            </w:tcBorders>
            <w:shd w:val="clear" w:color="auto" w:fill="auto"/>
            <w:noWrap/>
            <w:vAlign w:val="center"/>
            <w:hideMark/>
          </w:tcPr>
          <w:p w14:paraId="224918A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92.2</w:t>
            </w:r>
          </w:p>
        </w:tc>
        <w:tc>
          <w:tcPr>
            <w:tcW w:w="730" w:type="pct"/>
            <w:tcBorders>
              <w:top w:val="single" w:sz="4" w:space="0" w:color="auto"/>
            </w:tcBorders>
            <w:shd w:val="clear" w:color="auto" w:fill="auto"/>
            <w:noWrap/>
            <w:vAlign w:val="center"/>
            <w:hideMark/>
          </w:tcPr>
          <w:p w14:paraId="694268F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81.3</w:t>
            </w:r>
          </w:p>
        </w:tc>
        <w:tc>
          <w:tcPr>
            <w:tcW w:w="730" w:type="pct"/>
            <w:tcBorders>
              <w:top w:val="single" w:sz="4" w:space="0" w:color="auto"/>
            </w:tcBorders>
            <w:shd w:val="clear" w:color="auto" w:fill="auto"/>
            <w:noWrap/>
            <w:vAlign w:val="center"/>
            <w:hideMark/>
          </w:tcPr>
          <w:p w14:paraId="33C1F0C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75.0</w:t>
            </w:r>
          </w:p>
        </w:tc>
      </w:tr>
      <w:tr w:rsidR="006F1FB4" w:rsidRPr="00A20AE9" w14:paraId="052B260D" w14:textId="77777777" w:rsidTr="00731391">
        <w:trPr>
          <w:trHeight w:val="300"/>
        </w:trPr>
        <w:tc>
          <w:tcPr>
            <w:tcW w:w="1423" w:type="pct"/>
            <w:shd w:val="clear" w:color="auto" w:fill="auto"/>
            <w:noWrap/>
            <w:vAlign w:val="center"/>
            <w:hideMark/>
          </w:tcPr>
          <w:p w14:paraId="4E31A0B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Arnold Schwarzenegger</w:t>
            </w:r>
          </w:p>
        </w:tc>
        <w:tc>
          <w:tcPr>
            <w:tcW w:w="619" w:type="pct"/>
            <w:shd w:val="clear" w:color="auto" w:fill="auto"/>
            <w:noWrap/>
            <w:vAlign w:val="center"/>
            <w:hideMark/>
          </w:tcPr>
          <w:p w14:paraId="60F0130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7516DF5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46.9</w:t>
            </w:r>
          </w:p>
        </w:tc>
        <w:tc>
          <w:tcPr>
            <w:tcW w:w="730" w:type="pct"/>
            <w:shd w:val="clear" w:color="auto" w:fill="auto"/>
            <w:noWrap/>
            <w:vAlign w:val="center"/>
            <w:hideMark/>
          </w:tcPr>
          <w:p w14:paraId="0983DB3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60.9</w:t>
            </w:r>
          </w:p>
        </w:tc>
        <w:tc>
          <w:tcPr>
            <w:tcW w:w="730" w:type="pct"/>
            <w:shd w:val="clear" w:color="auto" w:fill="auto"/>
            <w:noWrap/>
            <w:vAlign w:val="center"/>
            <w:hideMark/>
          </w:tcPr>
          <w:p w14:paraId="227E6EB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51.6</w:t>
            </w:r>
          </w:p>
        </w:tc>
        <w:tc>
          <w:tcPr>
            <w:tcW w:w="730" w:type="pct"/>
            <w:shd w:val="clear" w:color="auto" w:fill="auto"/>
            <w:noWrap/>
            <w:vAlign w:val="center"/>
            <w:hideMark/>
          </w:tcPr>
          <w:p w14:paraId="676ABEE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65.6</w:t>
            </w:r>
          </w:p>
        </w:tc>
      </w:tr>
      <w:tr w:rsidR="006F1FB4" w:rsidRPr="00A20AE9" w14:paraId="61C27D9C" w14:textId="77777777" w:rsidTr="00731391">
        <w:trPr>
          <w:trHeight w:val="300"/>
        </w:trPr>
        <w:tc>
          <w:tcPr>
            <w:tcW w:w="1423" w:type="pct"/>
            <w:shd w:val="clear" w:color="auto" w:fill="auto"/>
            <w:noWrap/>
            <w:vAlign w:val="center"/>
            <w:hideMark/>
          </w:tcPr>
          <w:p w14:paraId="635F6AA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Billie Eilish</w:t>
            </w:r>
          </w:p>
        </w:tc>
        <w:tc>
          <w:tcPr>
            <w:tcW w:w="619" w:type="pct"/>
            <w:shd w:val="clear" w:color="auto" w:fill="auto"/>
            <w:noWrap/>
            <w:vAlign w:val="center"/>
            <w:hideMark/>
          </w:tcPr>
          <w:p w14:paraId="5E8C8A9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Singer</w:t>
            </w:r>
          </w:p>
        </w:tc>
        <w:tc>
          <w:tcPr>
            <w:tcW w:w="767" w:type="pct"/>
            <w:shd w:val="clear" w:color="auto" w:fill="auto"/>
            <w:noWrap/>
            <w:vAlign w:val="center"/>
            <w:hideMark/>
          </w:tcPr>
          <w:p w14:paraId="50AEE7C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60FF8ED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4717D97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c>
          <w:tcPr>
            <w:tcW w:w="730" w:type="pct"/>
            <w:shd w:val="clear" w:color="auto" w:fill="auto"/>
            <w:noWrap/>
            <w:vAlign w:val="center"/>
            <w:hideMark/>
          </w:tcPr>
          <w:p w14:paraId="78FECB1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r>
      <w:tr w:rsidR="006F1FB4" w:rsidRPr="00A20AE9" w14:paraId="0ACDE561" w14:textId="77777777" w:rsidTr="00731391">
        <w:trPr>
          <w:trHeight w:val="300"/>
        </w:trPr>
        <w:tc>
          <w:tcPr>
            <w:tcW w:w="1423" w:type="pct"/>
            <w:shd w:val="clear" w:color="auto" w:fill="auto"/>
            <w:noWrap/>
            <w:vAlign w:val="center"/>
            <w:hideMark/>
          </w:tcPr>
          <w:p w14:paraId="7D59A98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Boris Johnson</w:t>
            </w:r>
          </w:p>
        </w:tc>
        <w:tc>
          <w:tcPr>
            <w:tcW w:w="619" w:type="pct"/>
            <w:shd w:val="clear" w:color="auto" w:fill="auto"/>
            <w:noWrap/>
            <w:vAlign w:val="center"/>
            <w:hideMark/>
          </w:tcPr>
          <w:p w14:paraId="73C89FE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Politician</w:t>
            </w:r>
          </w:p>
        </w:tc>
        <w:tc>
          <w:tcPr>
            <w:tcW w:w="767" w:type="pct"/>
            <w:shd w:val="clear" w:color="auto" w:fill="auto"/>
            <w:noWrap/>
            <w:vAlign w:val="center"/>
            <w:hideMark/>
          </w:tcPr>
          <w:p w14:paraId="72ABBD2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4183953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6FFF82E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384D5BF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r>
      <w:tr w:rsidR="006F1FB4" w:rsidRPr="00A20AE9" w14:paraId="4DF4CAC4" w14:textId="77777777" w:rsidTr="00731391">
        <w:trPr>
          <w:trHeight w:val="300"/>
        </w:trPr>
        <w:tc>
          <w:tcPr>
            <w:tcW w:w="1423" w:type="pct"/>
            <w:shd w:val="clear" w:color="auto" w:fill="auto"/>
            <w:noWrap/>
            <w:vAlign w:val="center"/>
            <w:hideMark/>
          </w:tcPr>
          <w:p w14:paraId="17E57B2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Barack Obama</w:t>
            </w:r>
          </w:p>
        </w:tc>
        <w:tc>
          <w:tcPr>
            <w:tcW w:w="619" w:type="pct"/>
            <w:shd w:val="clear" w:color="auto" w:fill="auto"/>
            <w:noWrap/>
            <w:vAlign w:val="center"/>
            <w:hideMark/>
          </w:tcPr>
          <w:p w14:paraId="59B1600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Politician</w:t>
            </w:r>
          </w:p>
        </w:tc>
        <w:tc>
          <w:tcPr>
            <w:tcW w:w="767" w:type="pct"/>
            <w:shd w:val="clear" w:color="auto" w:fill="auto"/>
            <w:noWrap/>
            <w:vAlign w:val="center"/>
            <w:hideMark/>
          </w:tcPr>
          <w:p w14:paraId="04BCD6F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5B906C7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4E9E192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2237B3A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r>
      <w:tr w:rsidR="006F1FB4" w:rsidRPr="00A20AE9" w14:paraId="631B04D7" w14:textId="77777777" w:rsidTr="00731391">
        <w:trPr>
          <w:trHeight w:val="300"/>
        </w:trPr>
        <w:tc>
          <w:tcPr>
            <w:tcW w:w="1423" w:type="pct"/>
            <w:shd w:val="clear" w:color="auto" w:fill="auto"/>
            <w:noWrap/>
            <w:vAlign w:val="center"/>
            <w:hideMark/>
          </w:tcPr>
          <w:p w14:paraId="43138FA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Brad Pitt</w:t>
            </w:r>
          </w:p>
        </w:tc>
        <w:tc>
          <w:tcPr>
            <w:tcW w:w="619" w:type="pct"/>
            <w:shd w:val="clear" w:color="auto" w:fill="auto"/>
            <w:noWrap/>
            <w:vAlign w:val="center"/>
            <w:hideMark/>
          </w:tcPr>
          <w:p w14:paraId="607ADA5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6416882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75.0</w:t>
            </w:r>
          </w:p>
        </w:tc>
        <w:tc>
          <w:tcPr>
            <w:tcW w:w="730" w:type="pct"/>
            <w:shd w:val="clear" w:color="auto" w:fill="auto"/>
            <w:noWrap/>
            <w:vAlign w:val="center"/>
            <w:hideMark/>
          </w:tcPr>
          <w:p w14:paraId="4F713BF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71.9</w:t>
            </w:r>
          </w:p>
        </w:tc>
        <w:tc>
          <w:tcPr>
            <w:tcW w:w="730" w:type="pct"/>
            <w:shd w:val="clear" w:color="auto" w:fill="auto"/>
            <w:noWrap/>
            <w:vAlign w:val="center"/>
            <w:hideMark/>
          </w:tcPr>
          <w:p w14:paraId="46176F9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67.2</w:t>
            </w:r>
          </w:p>
        </w:tc>
        <w:tc>
          <w:tcPr>
            <w:tcW w:w="730" w:type="pct"/>
            <w:shd w:val="clear" w:color="auto" w:fill="auto"/>
            <w:noWrap/>
            <w:vAlign w:val="center"/>
            <w:hideMark/>
          </w:tcPr>
          <w:p w14:paraId="0C20D86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71.9</w:t>
            </w:r>
          </w:p>
        </w:tc>
      </w:tr>
      <w:tr w:rsidR="006F1FB4" w:rsidRPr="00A20AE9" w14:paraId="6F994EF0" w14:textId="77777777" w:rsidTr="00731391">
        <w:trPr>
          <w:trHeight w:val="300"/>
        </w:trPr>
        <w:tc>
          <w:tcPr>
            <w:tcW w:w="1423" w:type="pct"/>
            <w:shd w:val="clear" w:color="auto" w:fill="auto"/>
            <w:noWrap/>
            <w:vAlign w:val="center"/>
            <w:hideMark/>
          </w:tcPr>
          <w:p w14:paraId="1E959E0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Bruce Willis</w:t>
            </w:r>
          </w:p>
        </w:tc>
        <w:tc>
          <w:tcPr>
            <w:tcW w:w="619" w:type="pct"/>
            <w:shd w:val="clear" w:color="auto" w:fill="auto"/>
            <w:noWrap/>
            <w:vAlign w:val="center"/>
            <w:hideMark/>
          </w:tcPr>
          <w:p w14:paraId="6CDB1D1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2CF728C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25.0</w:t>
            </w:r>
          </w:p>
        </w:tc>
        <w:tc>
          <w:tcPr>
            <w:tcW w:w="730" w:type="pct"/>
            <w:shd w:val="clear" w:color="auto" w:fill="auto"/>
            <w:noWrap/>
            <w:vAlign w:val="center"/>
            <w:hideMark/>
          </w:tcPr>
          <w:p w14:paraId="20E47A9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37.5</w:t>
            </w:r>
          </w:p>
        </w:tc>
        <w:tc>
          <w:tcPr>
            <w:tcW w:w="730" w:type="pct"/>
            <w:shd w:val="clear" w:color="auto" w:fill="auto"/>
            <w:noWrap/>
            <w:vAlign w:val="center"/>
            <w:hideMark/>
          </w:tcPr>
          <w:p w14:paraId="783ED47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28.1</w:t>
            </w:r>
          </w:p>
        </w:tc>
        <w:tc>
          <w:tcPr>
            <w:tcW w:w="730" w:type="pct"/>
            <w:shd w:val="clear" w:color="auto" w:fill="auto"/>
            <w:noWrap/>
            <w:vAlign w:val="center"/>
            <w:hideMark/>
          </w:tcPr>
          <w:p w14:paraId="1D6966C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r>
      <w:tr w:rsidR="006F1FB4" w:rsidRPr="00A20AE9" w14:paraId="63C9DB5E" w14:textId="77777777" w:rsidTr="00731391">
        <w:trPr>
          <w:trHeight w:val="300"/>
        </w:trPr>
        <w:tc>
          <w:tcPr>
            <w:tcW w:w="1423" w:type="pct"/>
            <w:shd w:val="clear" w:color="auto" w:fill="auto"/>
            <w:noWrap/>
            <w:vAlign w:val="center"/>
            <w:hideMark/>
          </w:tcPr>
          <w:p w14:paraId="67763B2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Chris Evans</w:t>
            </w:r>
          </w:p>
        </w:tc>
        <w:tc>
          <w:tcPr>
            <w:tcW w:w="619" w:type="pct"/>
            <w:shd w:val="clear" w:color="auto" w:fill="auto"/>
            <w:noWrap/>
            <w:vAlign w:val="center"/>
            <w:hideMark/>
          </w:tcPr>
          <w:p w14:paraId="3DC9466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6D9FA0F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67.2</w:t>
            </w:r>
          </w:p>
        </w:tc>
        <w:tc>
          <w:tcPr>
            <w:tcW w:w="730" w:type="pct"/>
            <w:shd w:val="clear" w:color="auto" w:fill="auto"/>
            <w:noWrap/>
            <w:vAlign w:val="center"/>
            <w:hideMark/>
          </w:tcPr>
          <w:p w14:paraId="1FEEBD4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68.8</w:t>
            </w:r>
          </w:p>
        </w:tc>
        <w:tc>
          <w:tcPr>
            <w:tcW w:w="730" w:type="pct"/>
            <w:shd w:val="clear" w:color="auto" w:fill="auto"/>
            <w:noWrap/>
            <w:vAlign w:val="center"/>
            <w:hideMark/>
          </w:tcPr>
          <w:p w14:paraId="24E04AC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71.9</w:t>
            </w:r>
          </w:p>
        </w:tc>
        <w:tc>
          <w:tcPr>
            <w:tcW w:w="730" w:type="pct"/>
            <w:shd w:val="clear" w:color="auto" w:fill="auto"/>
            <w:noWrap/>
            <w:vAlign w:val="center"/>
            <w:hideMark/>
          </w:tcPr>
          <w:p w14:paraId="4BA0683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70.3</w:t>
            </w:r>
          </w:p>
        </w:tc>
      </w:tr>
      <w:tr w:rsidR="006F1FB4" w:rsidRPr="00A20AE9" w14:paraId="7ECE5EEC" w14:textId="77777777" w:rsidTr="00731391">
        <w:trPr>
          <w:trHeight w:val="300"/>
        </w:trPr>
        <w:tc>
          <w:tcPr>
            <w:tcW w:w="1423" w:type="pct"/>
            <w:shd w:val="clear" w:color="auto" w:fill="auto"/>
            <w:noWrap/>
            <w:vAlign w:val="center"/>
            <w:hideMark/>
          </w:tcPr>
          <w:p w14:paraId="51F18E7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David Attenborough</w:t>
            </w:r>
          </w:p>
        </w:tc>
        <w:tc>
          <w:tcPr>
            <w:tcW w:w="619" w:type="pct"/>
            <w:shd w:val="clear" w:color="auto" w:fill="auto"/>
            <w:noWrap/>
            <w:vAlign w:val="center"/>
            <w:hideMark/>
          </w:tcPr>
          <w:p w14:paraId="3AF486D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Other</w:t>
            </w:r>
          </w:p>
        </w:tc>
        <w:tc>
          <w:tcPr>
            <w:tcW w:w="767" w:type="pct"/>
            <w:shd w:val="clear" w:color="auto" w:fill="auto"/>
            <w:noWrap/>
            <w:vAlign w:val="center"/>
            <w:hideMark/>
          </w:tcPr>
          <w:p w14:paraId="51E4A9E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85.9</w:t>
            </w:r>
          </w:p>
        </w:tc>
        <w:tc>
          <w:tcPr>
            <w:tcW w:w="730" w:type="pct"/>
            <w:shd w:val="clear" w:color="auto" w:fill="auto"/>
            <w:noWrap/>
            <w:vAlign w:val="center"/>
            <w:hideMark/>
          </w:tcPr>
          <w:p w14:paraId="4C56388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82.8</w:t>
            </w:r>
          </w:p>
        </w:tc>
        <w:tc>
          <w:tcPr>
            <w:tcW w:w="730" w:type="pct"/>
            <w:shd w:val="clear" w:color="auto" w:fill="auto"/>
            <w:noWrap/>
            <w:vAlign w:val="center"/>
            <w:hideMark/>
          </w:tcPr>
          <w:p w14:paraId="22C2EBA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81.3</w:t>
            </w:r>
          </w:p>
        </w:tc>
        <w:tc>
          <w:tcPr>
            <w:tcW w:w="730" w:type="pct"/>
            <w:shd w:val="clear" w:color="auto" w:fill="auto"/>
            <w:noWrap/>
            <w:vAlign w:val="center"/>
            <w:hideMark/>
          </w:tcPr>
          <w:p w14:paraId="2AD66AD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79.7</w:t>
            </w:r>
          </w:p>
        </w:tc>
      </w:tr>
      <w:tr w:rsidR="006F1FB4" w:rsidRPr="00A20AE9" w14:paraId="01BC21DB" w14:textId="77777777" w:rsidTr="00731391">
        <w:trPr>
          <w:trHeight w:val="300"/>
        </w:trPr>
        <w:tc>
          <w:tcPr>
            <w:tcW w:w="1423" w:type="pct"/>
            <w:shd w:val="clear" w:color="auto" w:fill="auto"/>
            <w:noWrap/>
            <w:vAlign w:val="center"/>
            <w:hideMark/>
          </w:tcPr>
          <w:p w14:paraId="4E1C7E3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David Beckham</w:t>
            </w:r>
          </w:p>
        </w:tc>
        <w:tc>
          <w:tcPr>
            <w:tcW w:w="619" w:type="pct"/>
            <w:shd w:val="clear" w:color="auto" w:fill="auto"/>
            <w:noWrap/>
            <w:vAlign w:val="center"/>
            <w:hideMark/>
          </w:tcPr>
          <w:p w14:paraId="3623E9C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Other</w:t>
            </w:r>
          </w:p>
        </w:tc>
        <w:tc>
          <w:tcPr>
            <w:tcW w:w="767" w:type="pct"/>
            <w:shd w:val="clear" w:color="auto" w:fill="auto"/>
            <w:noWrap/>
            <w:vAlign w:val="center"/>
            <w:hideMark/>
          </w:tcPr>
          <w:p w14:paraId="1ACBC47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85.9</w:t>
            </w:r>
          </w:p>
        </w:tc>
        <w:tc>
          <w:tcPr>
            <w:tcW w:w="730" w:type="pct"/>
            <w:shd w:val="clear" w:color="auto" w:fill="auto"/>
            <w:noWrap/>
            <w:vAlign w:val="center"/>
            <w:hideMark/>
          </w:tcPr>
          <w:p w14:paraId="163DE9C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84.4</w:t>
            </w:r>
          </w:p>
        </w:tc>
        <w:tc>
          <w:tcPr>
            <w:tcW w:w="730" w:type="pct"/>
            <w:shd w:val="clear" w:color="auto" w:fill="auto"/>
            <w:noWrap/>
            <w:vAlign w:val="center"/>
            <w:hideMark/>
          </w:tcPr>
          <w:p w14:paraId="603DF5C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65.6</w:t>
            </w:r>
          </w:p>
        </w:tc>
        <w:tc>
          <w:tcPr>
            <w:tcW w:w="730" w:type="pct"/>
            <w:shd w:val="clear" w:color="auto" w:fill="auto"/>
            <w:noWrap/>
            <w:vAlign w:val="center"/>
            <w:hideMark/>
          </w:tcPr>
          <w:p w14:paraId="440B54A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81.3</w:t>
            </w:r>
          </w:p>
        </w:tc>
      </w:tr>
      <w:tr w:rsidR="006F1FB4" w:rsidRPr="00A20AE9" w14:paraId="47F1C109" w14:textId="77777777" w:rsidTr="00731391">
        <w:trPr>
          <w:trHeight w:val="300"/>
        </w:trPr>
        <w:tc>
          <w:tcPr>
            <w:tcW w:w="1423" w:type="pct"/>
            <w:shd w:val="clear" w:color="auto" w:fill="auto"/>
            <w:noWrap/>
            <w:vAlign w:val="center"/>
            <w:hideMark/>
          </w:tcPr>
          <w:p w14:paraId="296B7A1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Daniel Radcliffe</w:t>
            </w:r>
          </w:p>
        </w:tc>
        <w:tc>
          <w:tcPr>
            <w:tcW w:w="619" w:type="pct"/>
            <w:shd w:val="clear" w:color="auto" w:fill="auto"/>
            <w:noWrap/>
            <w:vAlign w:val="center"/>
            <w:hideMark/>
          </w:tcPr>
          <w:p w14:paraId="1B37B2A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42CD898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6222109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4FE2E65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c>
          <w:tcPr>
            <w:tcW w:w="730" w:type="pct"/>
            <w:shd w:val="clear" w:color="auto" w:fill="auto"/>
            <w:noWrap/>
            <w:vAlign w:val="center"/>
            <w:hideMark/>
          </w:tcPr>
          <w:p w14:paraId="4EAC6D8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r>
      <w:tr w:rsidR="006F1FB4" w:rsidRPr="00A20AE9" w14:paraId="763F4D37" w14:textId="77777777" w:rsidTr="00731391">
        <w:trPr>
          <w:trHeight w:val="300"/>
        </w:trPr>
        <w:tc>
          <w:tcPr>
            <w:tcW w:w="1423" w:type="pct"/>
            <w:shd w:val="clear" w:color="auto" w:fill="auto"/>
            <w:noWrap/>
            <w:vAlign w:val="center"/>
            <w:hideMark/>
          </w:tcPr>
          <w:p w14:paraId="2087419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Donald Trump</w:t>
            </w:r>
          </w:p>
        </w:tc>
        <w:tc>
          <w:tcPr>
            <w:tcW w:w="619" w:type="pct"/>
            <w:shd w:val="clear" w:color="auto" w:fill="auto"/>
            <w:noWrap/>
            <w:vAlign w:val="center"/>
            <w:hideMark/>
          </w:tcPr>
          <w:p w14:paraId="7FEB6CE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Politician</w:t>
            </w:r>
          </w:p>
        </w:tc>
        <w:tc>
          <w:tcPr>
            <w:tcW w:w="767" w:type="pct"/>
            <w:shd w:val="clear" w:color="auto" w:fill="auto"/>
            <w:noWrap/>
            <w:vAlign w:val="center"/>
            <w:hideMark/>
          </w:tcPr>
          <w:p w14:paraId="05BEE01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06A6E4E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4BA7A3D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794564F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r>
      <w:tr w:rsidR="006F1FB4" w:rsidRPr="00A20AE9" w14:paraId="15977B11" w14:textId="77777777" w:rsidTr="00731391">
        <w:trPr>
          <w:trHeight w:val="300"/>
        </w:trPr>
        <w:tc>
          <w:tcPr>
            <w:tcW w:w="1423" w:type="pct"/>
            <w:shd w:val="clear" w:color="auto" w:fill="auto"/>
            <w:noWrap/>
            <w:vAlign w:val="center"/>
            <w:hideMark/>
          </w:tcPr>
          <w:p w14:paraId="75822FF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Drake</w:t>
            </w:r>
          </w:p>
        </w:tc>
        <w:tc>
          <w:tcPr>
            <w:tcW w:w="619" w:type="pct"/>
            <w:shd w:val="clear" w:color="auto" w:fill="auto"/>
            <w:noWrap/>
            <w:vAlign w:val="center"/>
            <w:hideMark/>
          </w:tcPr>
          <w:p w14:paraId="1E77E43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Singer</w:t>
            </w:r>
          </w:p>
        </w:tc>
        <w:tc>
          <w:tcPr>
            <w:tcW w:w="767" w:type="pct"/>
            <w:shd w:val="clear" w:color="auto" w:fill="auto"/>
            <w:noWrap/>
            <w:vAlign w:val="center"/>
            <w:hideMark/>
          </w:tcPr>
          <w:p w14:paraId="787BBE3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87.5</w:t>
            </w:r>
          </w:p>
        </w:tc>
        <w:tc>
          <w:tcPr>
            <w:tcW w:w="730" w:type="pct"/>
            <w:shd w:val="clear" w:color="auto" w:fill="auto"/>
            <w:noWrap/>
            <w:vAlign w:val="center"/>
            <w:hideMark/>
          </w:tcPr>
          <w:p w14:paraId="3E3D3DD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87.5</w:t>
            </w:r>
          </w:p>
        </w:tc>
        <w:tc>
          <w:tcPr>
            <w:tcW w:w="730" w:type="pct"/>
            <w:shd w:val="clear" w:color="auto" w:fill="auto"/>
            <w:noWrap/>
            <w:vAlign w:val="center"/>
            <w:hideMark/>
          </w:tcPr>
          <w:p w14:paraId="4E793BE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c>
          <w:tcPr>
            <w:tcW w:w="730" w:type="pct"/>
            <w:shd w:val="clear" w:color="auto" w:fill="auto"/>
            <w:noWrap/>
            <w:vAlign w:val="center"/>
            <w:hideMark/>
          </w:tcPr>
          <w:p w14:paraId="1BFB5FD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84.4</w:t>
            </w:r>
          </w:p>
        </w:tc>
      </w:tr>
      <w:tr w:rsidR="006F1FB4" w:rsidRPr="00A20AE9" w14:paraId="6AB0C1E9" w14:textId="77777777" w:rsidTr="00731391">
        <w:trPr>
          <w:trHeight w:val="300"/>
        </w:trPr>
        <w:tc>
          <w:tcPr>
            <w:tcW w:w="1423" w:type="pct"/>
            <w:shd w:val="clear" w:color="auto" w:fill="auto"/>
            <w:noWrap/>
            <w:vAlign w:val="center"/>
            <w:hideMark/>
          </w:tcPr>
          <w:p w14:paraId="6F59001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lastRenderedPageBreak/>
              <w:t xml:space="preserve">Ellen </w:t>
            </w:r>
            <w:proofErr w:type="spellStart"/>
            <w:r w:rsidRPr="00A20AE9">
              <w:rPr>
                <w:rFonts w:ascii="Calibri" w:eastAsia="Times New Roman" w:hAnsi="Calibri" w:cs="Calibri"/>
                <w:kern w:val="0"/>
                <w:lang w:eastAsia="zh-CN"/>
                <w14:ligatures w14:val="none"/>
              </w:rPr>
              <w:t>Degeneres</w:t>
            </w:r>
            <w:proofErr w:type="spellEnd"/>
          </w:p>
        </w:tc>
        <w:tc>
          <w:tcPr>
            <w:tcW w:w="619" w:type="pct"/>
            <w:shd w:val="clear" w:color="auto" w:fill="auto"/>
            <w:noWrap/>
            <w:vAlign w:val="center"/>
            <w:hideMark/>
          </w:tcPr>
          <w:p w14:paraId="4466103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Other</w:t>
            </w:r>
          </w:p>
        </w:tc>
        <w:tc>
          <w:tcPr>
            <w:tcW w:w="767" w:type="pct"/>
            <w:shd w:val="clear" w:color="auto" w:fill="auto"/>
            <w:noWrap/>
            <w:vAlign w:val="center"/>
            <w:hideMark/>
          </w:tcPr>
          <w:p w14:paraId="1A88999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95.3</w:t>
            </w:r>
          </w:p>
        </w:tc>
        <w:tc>
          <w:tcPr>
            <w:tcW w:w="730" w:type="pct"/>
            <w:shd w:val="clear" w:color="auto" w:fill="auto"/>
            <w:noWrap/>
            <w:vAlign w:val="center"/>
            <w:hideMark/>
          </w:tcPr>
          <w:p w14:paraId="05793BF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16FEC4E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95.3</w:t>
            </w:r>
          </w:p>
        </w:tc>
        <w:tc>
          <w:tcPr>
            <w:tcW w:w="730" w:type="pct"/>
            <w:shd w:val="clear" w:color="auto" w:fill="auto"/>
            <w:noWrap/>
            <w:vAlign w:val="center"/>
            <w:hideMark/>
          </w:tcPr>
          <w:p w14:paraId="46D4BF0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r>
      <w:tr w:rsidR="006F1FB4" w:rsidRPr="00A20AE9" w14:paraId="146B2B7A" w14:textId="77777777" w:rsidTr="00731391">
        <w:trPr>
          <w:trHeight w:val="300"/>
        </w:trPr>
        <w:tc>
          <w:tcPr>
            <w:tcW w:w="1423" w:type="pct"/>
            <w:shd w:val="clear" w:color="auto" w:fill="auto"/>
            <w:noWrap/>
            <w:vAlign w:val="center"/>
            <w:hideMark/>
          </w:tcPr>
          <w:p w14:paraId="1A0BF01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Elon Musk</w:t>
            </w:r>
          </w:p>
        </w:tc>
        <w:tc>
          <w:tcPr>
            <w:tcW w:w="619" w:type="pct"/>
            <w:shd w:val="clear" w:color="auto" w:fill="auto"/>
            <w:noWrap/>
            <w:vAlign w:val="center"/>
            <w:hideMark/>
          </w:tcPr>
          <w:p w14:paraId="5706AA8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Other</w:t>
            </w:r>
          </w:p>
        </w:tc>
        <w:tc>
          <w:tcPr>
            <w:tcW w:w="767" w:type="pct"/>
            <w:shd w:val="clear" w:color="auto" w:fill="auto"/>
            <w:noWrap/>
            <w:vAlign w:val="center"/>
            <w:hideMark/>
          </w:tcPr>
          <w:p w14:paraId="35C7CBE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84.4</w:t>
            </w:r>
          </w:p>
        </w:tc>
        <w:tc>
          <w:tcPr>
            <w:tcW w:w="730" w:type="pct"/>
            <w:shd w:val="clear" w:color="auto" w:fill="auto"/>
            <w:noWrap/>
            <w:vAlign w:val="center"/>
            <w:hideMark/>
          </w:tcPr>
          <w:p w14:paraId="4CE69A9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89.1</w:t>
            </w:r>
          </w:p>
        </w:tc>
        <w:tc>
          <w:tcPr>
            <w:tcW w:w="730" w:type="pct"/>
            <w:shd w:val="clear" w:color="auto" w:fill="auto"/>
            <w:noWrap/>
            <w:vAlign w:val="center"/>
            <w:hideMark/>
          </w:tcPr>
          <w:p w14:paraId="45C455E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76.6</w:t>
            </w:r>
          </w:p>
        </w:tc>
        <w:tc>
          <w:tcPr>
            <w:tcW w:w="730" w:type="pct"/>
            <w:shd w:val="clear" w:color="auto" w:fill="auto"/>
            <w:noWrap/>
            <w:vAlign w:val="center"/>
            <w:hideMark/>
          </w:tcPr>
          <w:p w14:paraId="181FBB8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75.0</w:t>
            </w:r>
          </w:p>
        </w:tc>
      </w:tr>
      <w:tr w:rsidR="006F1FB4" w:rsidRPr="00A20AE9" w14:paraId="22A6B154" w14:textId="77777777" w:rsidTr="00731391">
        <w:trPr>
          <w:trHeight w:val="300"/>
        </w:trPr>
        <w:tc>
          <w:tcPr>
            <w:tcW w:w="1423" w:type="pct"/>
            <w:shd w:val="clear" w:color="auto" w:fill="auto"/>
            <w:noWrap/>
            <w:vAlign w:val="center"/>
            <w:hideMark/>
          </w:tcPr>
          <w:p w14:paraId="6E6FA89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Ed Sheeran</w:t>
            </w:r>
          </w:p>
        </w:tc>
        <w:tc>
          <w:tcPr>
            <w:tcW w:w="619" w:type="pct"/>
            <w:shd w:val="clear" w:color="auto" w:fill="auto"/>
            <w:noWrap/>
            <w:vAlign w:val="center"/>
            <w:hideMark/>
          </w:tcPr>
          <w:p w14:paraId="4CA33DF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Singer</w:t>
            </w:r>
          </w:p>
        </w:tc>
        <w:tc>
          <w:tcPr>
            <w:tcW w:w="767" w:type="pct"/>
            <w:shd w:val="clear" w:color="auto" w:fill="auto"/>
            <w:noWrap/>
            <w:vAlign w:val="center"/>
            <w:hideMark/>
          </w:tcPr>
          <w:p w14:paraId="2D8DCF1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344E06A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306162E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231CCB0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r>
      <w:tr w:rsidR="006F1FB4" w:rsidRPr="00A20AE9" w14:paraId="3C2858D5" w14:textId="77777777" w:rsidTr="00731391">
        <w:trPr>
          <w:trHeight w:val="300"/>
        </w:trPr>
        <w:tc>
          <w:tcPr>
            <w:tcW w:w="1423" w:type="pct"/>
            <w:shd w:val="clear" w:color="auto" w:fill="auto"/>
            <w:noWrap/>
            <w:vAlign w:val="center"/>
            <w:hideMark/>
          </w:tcPr>
          <w:p w14:paraId="6FEDA3C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Emma Watson</w:t>
            </w:r>
          </w:p>
        </w:tc>
        <w:tc>
          <w:tcPr>
            <w:tcW w:w="619" w:type="pct"/>
            <w:shd w:val="clear" w:color="auto" w:fill="auto"/>
            <w:noWrap/>
            <w:vAlign w:val="center"/>
            <w:hideMark/>
          </w:tcPr>
          <w:p w14:paraId="0AB1E9D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66645BA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c>
          <w:tcPr>
            <w:tcW w:w="730" w:type="pct"/>
            <w:shd w:val="clear" w:color="auto" w:fill="auto"/>
            <w:noWrap/>
            <w:vAlign w:val="center"/>
            <w:hideMark/>
          </w:tcPr>
          <w:p w14:paraId="331E111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c>
          <w:tcPr>
            <w:tcW w:w="730" w:type="pct"/>
            <w:shd w:val="clear" w:color="auto" w:fill="auto"/>
            <w:noWrap/>
            <w:vAlign w:val="center"/>
            <w:hideMark/>
          </w:tcPr>
          <w:p w14:paraId="23830C0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c>
          <w:tcPr>
            <w:tcW w:w="730" w:type="pct"/>
            <w:shd w:val="clear" w:color="auto" w:fill="auto"/>
            <w:noWrap/>
            <w:vAlign w:val="center"/>
            <w:hideMark/>
          </w:tcPr>
          <w:p w14:paraId="7572475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89.1</w:t>
            </w:r>
          </w:p>
        </w:tc>
      </w:tr>
      <w:tr w:rsidR="006F1FB4" w:rsidRPr="00A20AE9" w14:paraId="3F59760D" w14:textId="77777777" w:rsidTr="00731391">
        <w:trPr>
          <w:trHeight w:val="300"/>
        </w:trPr>
        <w:tc>
          <w:tcPr>
            <w:tcW w:w="1423" w:type="pct"/>
            <w:shd w:val="clear" w:color="auto" w:fill="auto"/>
            <w:noWrap/>
            <w:vAlign w:val="center"/>
            <w:hideMark/>
          </w:tcPr>
          <w:p w14:paraId="72E4B71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Gordon Ramsay</w:t>
            </w:r>
          </w:p>
        </w:tc>
        <w:tc>
          <w:tcPr>
            <w:tcW w:w="619" w:type="pct"/>
            <w:shd w:val="clear" w:color="auto" w:fill="auto"/>
            <w:noWrap/>
            <w:vAlign w:val="center"/>
            <w:hideMark/>
          </w:tcPr>
          <w:p w14:paraId="4B50299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Other</w:t>
            </w:r>
          </w:p>
        </w:tc>
        <w:tc>
          <w:tcPr>
            <w:tcW w:w="767" w:type="pct"/>
            <w:shd w:val="clear" w:color="auto" w:fill="auto"/>
            <w:noWrap/>
            <w:vAlign w:val="center"/>
            <w:hideMark/>
          </w:tcPr>
          <w:p w14:paraId="5D598AC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c>
          <w:tcPr>
            <w:tcW w:w="730" w:type="pct"/>
            <w:shd w:val="clear" w:color="auto" w:fill="auto"/>
            <w:noWrap/>
            <w:vAlign w:val="center"/>
            <w:hideMark/>
          </w:tcPr>
          <w:p w14:paraId="4F2EFD1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58AF552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95.3</w:t>
            </w:r>
          </w:p>
        </w:tc>
        <w:tc>
          <w:tcPr>
            <w:tcW w:w="730" w:type="pct"/>
            <w:shd w:val="clear" w:color="auto" w:fill="auto"/>
            <w:noWrap/>
            <w:vAlign w:val="center"/>
            <w:hideMark/>
          </w:tcPr>
          <w:p w14:paraId="5962D38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r>
      <w:tr w:rsidR="006F1FB4" w:rsidRPr="00A20AE9" w14:paraId="1B3B885B" w14:textId="77777777" w:rsidTr="00731391">
        <w:trPr>
          <w:trHeight w:val="300"/>
        </w:trPr>
        <w:tc>
          <w:tcPr>
            <w:tcW w:w="1423" w:type="pct"/>
            <w:shd w:val="clear" w:color="auto" w:fill="auto"/>
            <w:noWrap/>
            <w:vAlign w:val="center"/>
            <w:hideMark/>
          </w:tcPr>
          <w:p w14:paraId="6612974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Hugh Jackman</w:t>
            </w:r>
          </w:p>
        </w:tc>
        <w:tc>
          <w:tcPr>
            <w:tcW w:w="619" w:type="pct"/>
            <w:shd w:val="clear" w:color="auto" w:fill="auto"/>
            <w:noWrap/>
            <w:vAlign w:val="center"/>
            <w:hideMark/>
          </w:tcPr>
          <w:p w14:paraId="7243693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1F287A0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76.6</w:t>
            </w:r>
          </w:p>
        </w:tc>
        <w:tc>
          <w:tcPr>
            <w:tcW w:w="730" w:type="pct"/>
            <w:shd w:val="clear" w:color="auto" w:fill="auto"/>
            <w:noWrap/>
            <w:vAlign w:val="center"/>
            <w:hideMark/>
          </w:tcPr>
          <w:p w14:paraId="6EDE8C4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76.6</w:t>
            </w:r>
          </w:p>
        </w:tc>
        <w:tc>
          <w:tcPr>
            <w:tcW w:w="730" w:type="pct"/>
            <w:shd w:val="clear" w:color="auto" w:fill="auto"/>
            <w:noWrap/>
            <w:vAlign w:val="center"/>
            <w:hideMark/>
          </w:tcPr>
          <w:p w14:paraId="6AB9486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68.8</w:t>
            </w:r>
          </w:p>
        </w:tc>
        <w:tc>
          <w:tcPr>
            <w:tcW w:w="730" w:type="pct"/>
            <w:shd w:val="clear" w:color="auto" w:fill="auto"/>
            <w:noWrap/>
            <w:vAlign w:val="center"/>
            <w:hideMark/>
          </w:tcPr>
          <w:p w14:paraId="611C718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67.2</w:t>
            </w:r>
          </w:p>
        </w:tc>
      </w:tr>
      <w:tr w:rsidR="006F1FB4" w:rsidRPr="00A20AE9" w14:paraId="5B697749" w14:textId="77777777" w:rsidTr="00731391">
        <w:trPr>
          <w:trHeight w:val="300"/>
        </w:trPr>
        <w:tc>
          <w:tcPr>
            <w:tcW w:w="1423" w:type="pct"/>
            <w:shd w:val="clear" w:color="auto" w:fill="auto"/>
            <w:noWrap/>
            <w:vAlign w:val="center"/>
            <w:hideMark/>
          </w:tcPr>
          <w:p w14:paraId="55EAD5C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Harry Styles</w:t>
            </w:r>
          </w:p>
        </w:tc>
        <w:tc>
          <w:tcPr>
            <w:tcW w:w="619" w:type="pct"/>
            <w:shd w:val="clear" w:color="auto" w:fill="auto"/>
            <w:noWrap/>
            <w:vAlign w:val="center"/>
            <w:hideMark/>
          </w:tcPr>
          <w:p w14:paraId="2D17775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Singer</w:t>
            </w:r>
          </w:p>
        </w:tc>
        <w:tc>
          <w:tcPr>
            <w:tcW w:w="767" w:type="pct"/>
            <w:shd w:val="clear" w:color="auto" w:fill="auto"/>
            <w:noWrap/>
            <w:vAlign w:val="center"/>
            <w:hideMark/>
          </w:tcPr>
          <w:p w14:paraId="784A858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5DF21B2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2C07C81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4193BA9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r>
      <w:tr w:rsidR="006F1FB4" w:rsidRPr="00A20AE9" w14:paraId="4D18F494" w14:textId="77777777" w:rsidTr="00731391">
        <w:trPr>
          <w:trHeight w:val="300"/>
        </w:trPr>
        <w:tc>
          <w:tcPr>
            <w:tcW w:w="1423" w:type="pct"/>
            <w:shd w:val="clear" w:color="auto" w:fill="auto"/>
            <w:noWrap/>
            <w:vAlign w:val="center"/>
            <w:hideMark/>
          </w:tcPr>
          <w:p w14:paraId="78121C3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Jennifer Aniston</w:t>
            </w:r>
          </w:p>
        </w:tc>
        <w:tc>
          <w:tcPr>
            <w:tcW w:w="619" w:type="pct"/>
            <w:shd w:val="clear" w:color="auto" w:fill="auto"/>
            <w:noWrap/>
            <w:vAlign w:val="center"/>
            <w:hideMark/>
          </w:tcPr>
          <w:p w14:paraId="69D124A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1777D6D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6B79A41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3499B43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95.3</w:t>
            </w:r>
          </w:p>
        </w:tc>
        <w:tc>
          <w:tcPr>
            <w:tcW w:w="730" w:type="pct"/>
            <w:shd w:val="clear" w:color="auto" w:fill="auto"/>
            <w:noWrap/>
            <w:vAlign w:val="center"/>
            <w:hideMark/>
          </w:tcPr>
          <w:p w14:paraId="07A481E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r>
      <w:tr w:rsidR="006F1FB4" w:rsidRPr="00A20AE9" w14:paraId="0BB2CC4E" w14:textId="77777777" w:rsidTr="00731391">
        <w:trPr>
          <w:trHeight w:val="300"/>
        </w:trPr>
        <w:tc>
          <w:tcPr>
            <w:tcW w:w="1423" w:type="pct"/>
            <w:shd w:val="clear" w:color="auto" w:fill="auto"/>
            <w:noWrap/>
            <w:vAlign w:val="center"/>
            <w:hideMark/>
          </w:tcPr>
          <w:p w14:paraId="516BB44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Justin Bieber</w:t>
            </w:r>
          </w:p>
        </w:tc>
        <w:tc>
          <w:tcPr>
            <w:tcW w:w="619" w:type="pct"/>
            <w:shd w:val="clear" w:color="auto" w:fill="auto"/>
            <w:noWrap/>
            <w:vAlign w:val="center"/>
            <w:hideMark/>
          </w:tcPr>
          <w:p w14:paraId="2BF09BF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Singer</w:t>
            </w:r>
          </w:p>
        </w:tc>
        <w:tc>
          <w:tcPr>
            <w:tcW w:w="767" w:type="pct"/>
            <w:shd w:val="clear" w:color="auto" w:fill="auto"/>
            <w:noWrap/>
            <w:vAlign w:val="center"/>
            <w:hideMark/>
          </w:tcPr>
          <w:p w14:paraId="489CB3E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3EAE052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35085C0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1CBFF8A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r>
      <w:tr w:rsidR="006F1FB4" w:rsidRPr="00A20AE9" w14:paraId="25C6C5D9" w14:textId="77777777" w:rsidTr="00731391">
        <w:trPr>
          <w:trHeight w:val="300"/>
        </w:trPr>
        <w:tc>
          <w:tcPr>
            <w:tcW w:w="1423" w:type="pct"/>
            <w:shd w:val="clear" w:color="auto" w:fill="auto"/>
            <w:noWrap/>
            <w:vAlign w:val="center"/>
            <w:hideMark/>
          </w:tcPr>
          <w:p w14:paraId="6554713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Joe Biden</w:t>
            </w:r>
          </w:p>
        </w:tc>
        <w:tc>
          <w:tcPr>
            <w:tcW w:w="619" w:type="pct"/>
            <w:shd w:val="clear" w:color="auto" w:fill="auto"/>
            <w:noWrap/>
            <w:vAlign w:val="center"/>
            <w:hideMark/>
          </w:tcPr>
          <w:p w14:paraId="7387997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Politician</w:t>
            </w:r>
          </w:p>
        </w:tc>
        <w:tc>
          <w:tcPr>
            <w:tcW w:w="767" w:type="pct"/>
            <w:shd w:val="clear" w:color="auto" w:fill="auto"/>
            <w:noWrap/>
            <w:vAlign w:val="center"/>
            <w:hideMark/>
          </w:tcPr>
          <w:p w14:paraId="3416CE8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71.9</w:t>
            </w:r>
          </w:p>
        </w:tc>
        <w:tc>
          <w:tcPr>
            <w:tcW w:w="730" w:type="pct"/>
            <w:shd w:val="clear" w:color="auto" w:fill="auto"/>
            <w:noWrap/>
            <w:vAlign w:val="center"/>
            <w:hideMark/>
          </w:tcPr>
          <w:p w14:paraId="69FD234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73.4</w:t>
            </w:r>
          </w:p>
        </w:tc>
        <w:tc>
          <w:tcPr>
            <w:tcW w:w="730" w:type="pct"/>
            <w:shd w:val="clear" w:color="auto" w:fill="auto"/>
            <w:noWrap/>
            <w:vAlign w:val="center"/>
            <w:hideMark/>
          </w:tcPr>
          <w:p w14:paraId="2F3F0A4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78.1</w:t>
            </w:r>
          </w:p>
        </w:tc>
        <w:tc>
          <w:tcPr>
            <w:tcW w:w="730" w:type="pct"/>
            <w:shd w:val="clear" w:color="auto" w:fill="auto"/>
            <w:noWrap/>
            <w:vAlign w:val="center"/>
            <w:hideMark/>
          </w:tcPr>
          <w:p w14:paraId="207AE59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78.1</w:t>
            </w:r>
          </w:p>
        </w:tc>
      </w:tr>
      <w:tr w:rsidR="006F1FB4" w:rsidRPr="00A20AE9" w14:paraId="7199CF0A" w14:textId="77777777" w:rsidTr="00731391">
        <w:trPr>
          <w:trHeight w:val="300"/>
        </w:trPr>
        <w:tc>
          <w:tcPr>
            <w:tcW w:w="1423" w:type="pct"/>
            <w:shd w:val="clear" w:color="auto" w:fill="auto"/>
            <w:noWrap/>
            <w:vAlign w:val="center"/>
            <w:hideMark/>
          </w:tcPr>
          <w:p w14:paraId="55A0D03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Jeremy Clarkson</w:t>
            </w:r>
          </w:p>
        </w:tc>
        <w:tc>
          <w:tcPr>
            <w:tcW w:w="619" w:type="pct"/>
            <w:shd w:val="clear" w:color="auto" w:fill="auto"/>
            <w:noWrap/>
            <w:vAlign w:val="center"/>
            <w:hideMark/>
          </w:tcPr>
          <w:p w14:paraId="1560217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Other</w:t>
            </w:r>
          </w:p>
        </w:tc>
        <w:tc>
          <w:tcPr>
            <w:tcW w:w="767" w:type="pct"/>
            <w:shd w:val="clear" w:color="auto" w:fill="auto"/>
            <w:noWrap/>
            <w:vAlign w:val="center"/>
            <w:hideMark/>
          </w:tcPr>
          <w:p w14:paraId="23F0FCD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90.6</w:t>
            </w:r>
          </w:p>
        </w:tc>
        <w:tc>
          <w:tcPr>
            <w:tcW w:w="730" w:type="pct"/>
            <w:shd w:val="clear" w:color="auto" w:fill="auto"/>
            <w:noWrap/>
            <w:vAlign w:val="center"/>
            <w:hideMark/>
          </w:tcPr>
          <w:p w14:paraId="6F20B4C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90.6</w:t>
            </w:r>
          </w:p>
        </w:tc>
        <w:tc>
          <w:tcPr>
            <w:tcW w:w="730" w:type="pct"/>
            <w:shd w:val="clear" w:color="auto" w:fill="auto"/>
            <w:noWrap/>
            <w:vAlign w:val="center"/>
            <w:hideMark/>
          </w:tcPr>
          <w:p w14:paraId="54C4D72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85.9</w:t>
            </w:r>
          </w:p>
        </w:tc>
        <w:tc>
          <w:tcPr>
            <w:tcW w:w="730" w:type="pct"/>
            <w:shd w:val="clear" w:color="auto" w:fill="auto"/>
            <w:noWrap/>
            <w:vAlign w:val="center"/>
            <w:hideMark/>
          </w:tcPr>
          <w:p w14:paraId="1E7E629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85.9</w:t>
            </w:r>
          </w:p>
        </w:tc>
      </w:tr>
      <w:tr w:rsidR="006F1FB4" w:rsidRPr="00A20AE9" w14:paraId="4190FCAC" w14:textId="77777777" w:rsidTr="00731391">
        <w:trPr>
          <w:trHeight w:val="300"/>
        </w:trPr>
        <w:tc>
          <w:tcPr>
            <w:tcW w:w="1423" w:type="pct"/>
            <w:shd w:val="clear" w:color="auto" w:fill="auto"/>
            <w:noWrap/>
            <w:vAlign w:val="center"/>
            <w:hideMark/>
          </w:tcPr>
          <w:p w14:paraId="34A8A0B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Judi Dench</w:t>
            </w:r>
          </w:p>
        </w:tc>
        <w:tc>
          <w:tcPr>
            <w:tcW w:w="619" w:type="pct"/>
            <w:shd w:val="clear" w:color="auto" w:fill="auto"/>
            <w:noWrap/>
            <w:vAlign w:val="center"/>
            <w:hideMark/>
          </w:tcPr>
          <w:p w14:paraId="4429ECC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176DBB3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64.1</w:t>
            </w:r>
          </w:p>
        </w:tc>
        <w:tc>
          <w:tcPr>
            <w:tcW w:w="730" w:type="pct"/>
            <w:shd w:val="clear" w:color="auto" w:fill="auto"/>
            <w:noWrap/>
            <w:vAlign w:val="center"/>
            <w:hideMark/>
          </w:tcPr>
          <w:p w14:paraId="67B4829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67.2</w:t>
            </w:r>
          </w:p>
        </w:tc>
        <w:tc>
          <w:tcPr>
            <w:tcW w:w="730" w:type="pct"/>
            <w:shd w:val="clear" w:color="auto" w:fill="auto"/>
            <w:noWrap/>
            <w:vAlign w:val="center"/>
            <w:hideMark/>
          </w:tcPr>
          <w:p w14:paraId="1303225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68.8</w:t>
            </w:r>
          </w:p>
        </w:tc>
        <w:tc>
          <w:tcPr>
            <w:tcW w:w="730" w:type="pct"/>
            <w:shd w:val="clear" w:color="auto" w:fill="auto"/>
            <w:noWrap/>
            <w:vAlign w:val="center"/>
            <w:hideMark/>
          </w:tcPr>
          <w:p w14:paraId="7A48452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64.1</w:t>
            </w:r>
          </w:p>
        </w:tc>
      </w:tr>
      <w:tr w:rsidR="006F1FB4" w:rsidRPr="00A20AE9" w14:paraId="773F79DA" w14:textId="77777777" w:rsidTr="00731391">
        <w:trPr>
          <w:trHeight w:val="300"/>
        </w:trPr>
        <w:tc>
          <w:tcPr>
            <w:tcW w:w="1423" w:type="pct"/>
            <w:shd w:val="clear" w:color="auto" w:fill="auto"/>
            <w:noWrap/>
            <w:vAlign w:val="center"/>
            <w:hideMark/>
          </w:tcPr>
          <w:p w14:paraId="723A2BB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Johnny Depp</w:t>
            </w:r>
          </w:p>
        </w:tc>
        <w:tc>
          <w:tcPr>
            <w:tcW w:w="619" w:type="pct"/>
            <w:shd w:val="clear" w:color="auto" w:fill="auto"/>
            <w:noWrap/>
            <w:vAlign w:val="center"/>
            <w:hideMark/>
          </w:tcPr>
          <w:p w14:paraId="3CAC3ED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36F4521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55FD2F5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6D0DFC4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c>
          <w:tcPr>
            <w:tcW w:w="730" w:type="pct"/>
            <w:shd w:val="clear" w:color="auto" w:fill="auto"/>
            <w:noWrap/>
            <w:vAlign w:val="center"/>
            <w:hideMark/>
          </w:tcPr>
          <w:p w14:paraId="4C947AF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r>
      <w:tr w:rsidR="006F1FB4" w:rsidRPr="00A20AE9" w14:paraId="42DF29D2" w14:textId="77777777" w:rsidTr="00731391">
        <w:trPr>
          <w:trHeight w:val="300"/>
        </w:trPr>
        <w:tc>
          <w:tcPr>
            <w:tcW w:w="1423" w:type="pct"/>
            <w:shd w:val="clear" w:color="auto" w:fill="auto"/>
            <w:noWrap/>
            <w:vAlign w:val="center"/>
            <w:hideMark/>
          </w:tcPr>
          <w:p w14:paraId="59328BA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Jennifer Lawrence</w:t>
            </w:r>
          </w:p>
        </w:tc>
        <w:tc>
          <w:tcPr>
            <w:tcW w:w="619" w:type="pct"/>
            <w:shd w:val="clear" w:color="auto" w:fill="auto"/>
            <w:noWrap/>
            <w:vAlign w:val="center"/>
            <w:hideMark/>
          </w:tcPr>
          <w:p w14:paraId="0323FEB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16EEF6F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89.1</w:t>
            </w:r>
          </w:p>
        </w:tc>
        <w:tc>
          <w:tcPr>
            <w:tcW w:w="730" w:type="pct"/>
            <w:shd w:val="clear" w:color="auto" w:fill="auto"/>
            <w:noWrap/>
            <w:vAlign w:val="center"/>
            <w:hideMark/>
          </w:tcPr>
          <w:p w14:paraId="6886193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c>
          <w:tcPr>
            <w:tcW w:w="730" w:type="pct"/>
            <w:shd w:val="clear" w:color="auto" w:fill="auto"/>
            <w:noWrap/>
            <w:vAlign w:val="center"/>
            <w:hideMark/>
          </w:tcPr>
          <w:p w14:paraId="7B81FA2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c>
          <w:tcPr>
            <w:tcW w:w="730" w:type="pct"/>
            <w:shd w:val="clear" w:color="auto" w:fill="auto"/>
            <w:noWrap/>
            <w:vAlign w:val="center"/>
            <w:hideMark/>
          </w:tcPr>
          <w:p w14:paraId="44671D6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92.2</w:t>
            </w:r>
          </w:p>
        </w:tc>
      </w:tr>
      <w:tr w:rsidR="006F1FB4" w:rsidRPr="00A20AE9" w14:paraId="67CEB992" w14:textId="77777777" w:rsidTr="00731391">
        <w:trPr>
          <w:trHeight w:val="300"/>
        </w:trPr>
        <w:tc>
          <w:tcPr>
            <w:tcW w:w="1423" w:type="pct"/>
            <w:shd w:val="clear" w:color="auto" w:fill="auto"/>
            <w:noWrap/>
            <w:vAlign w:val="center"/>
            <w:hideMark/>
          </w:tcPr>
          <w:p w14:paraId="0654226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Jennifer Lopez</w:t>
            </w:r>
          </w:p>
        </w:tc>
        <w:tc>
          <w:tcPr>
            <w:tcW w:w="619" w:type="pct"/>
            <w:shd w:val="clear" w:color="auto" w:fill="auto"/>
            <w:noWrap/>
            <w:vAlign w:val="center"/>
            <w:hideMark/>
          </w:tcPr>
          <w:p w14:paraId="64B7827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Singer</w:t>
            </w:r>
          </w:p>
        </w:tc>
        <w:tc>
          <w:tcPr>
            <w:tcW w:w="767" w:type="pct"/>
            <w:shd w:val="clear" w:color="auto" w:fill="auto"/>
            <w:noWrap/>
            <w:vAlign w:val="center"/>
            <w:hideMark/>
          </w:tcPr>
          <w:p w14:paraId="6F159F1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59.4</w:t>
            </w:r>
          </w:p>
        </w:tc>
        <w:tc>
          <w:tcPr>
            <w:tcW w:w="730" w:type="pct"/>
            <w:shd w:val="clear" w:color="auto" w:fill="auto"/>
            <w:noWrap/>
            <w:vAlign w:val="center"/>
            <w:hideMark/>
          </w:tcPr>
          <w:p w14:paraId="2B844F1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65.6</w:t>
            </w:r>
          </w:p>
        </w:tc>
        <w:tc>
          <w:tcPr>
            <w:tcW w:w="730" w:type="pct"/>
            <w:shd w:val="clear" w:color="auto" w:fill="auto"/>
            <w:noWrap/>
            <w:vAlign w:val="center"/>
            <w:hideMark/>
          </w:tcPr>
          <w:p w14:paraId="0DDA8E8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59.4</w:t>
            </w:r>
          </w:p>
        </w:tc>
        <w:tc>
          <w:tcPr>
            <w:tcW w:w="730" w:type="pct"/>
            <w:shd w:val="clear" w:color="auto" w:fill="auto"/>
            <w:noWrap/>
            <w:vAlign w:val="center"/>
            <w:hideMark/>
          </w:tcPr>
          <w:p w14:paraId="1499B55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50.0</w:t>
            </w:r>
          </w:p>
        </w:tc>
      </w:tr>
      <w:tr w:rsidR="006F1FB4" w:rsidRPr="00A20AE9" w14:paraId="45834419" w14:textId="77777777" w:rsidTr="00731391">
        <w:trPr>
          <w:trHeight w:val="300"/>
        </w:trPr>
        <w:tc>
          <w:tcPr>
            <w:tcW w:w="1423" w:type="pct"/>
            <w:shd w:val="clear" w:color="auto" w:fill="auto"/>
            <w:noWrap/>
            <w:vAlign w:val="center"/>
            <w:hideMark/>
          </w:tcPr>
          <w:p w14:paraId="00B2169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Kim Kardashian</w:t>
            </w:r>
          </w:p>
        </w:tc>
        <w:tc>
          <w:tcPr>
            <w:tcW w:w="619" w:type="pct"/>
            <w:shd w:val="clear" w:color="auto" w:fill="auto"/>
            <w:noWrap/>
            <w:vAlign w:val="center"/>
            <w:hideMark/>
          </w:tcPr>
          <w:p w14:paraId="4B1A798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Other</w:t>
            </w:r>
          </w:p>
        </w:tc>
        <w:tc>
          <w:tcPr>
            <w:tcW w:w="767" w:type="pct"/>
            <w:shd w:val="clear" w:color="auto" w:fill="auto"/>
            <w:noWrap/>
            <w:vAlign w:val="center"/>
            <w:hideMark/>
          </w:tcPr>
          <w:p w14:paraId="51B5DB0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92.2</w:t>
            </w:r>
          </w:p>
        </w:tc>
        <w:tc>
          <w:tcPr>
            <w:tcW w:w="730" w:type="pct"/>
            <w:shd w:val="clear" w:color="auto" w:fill="auto"/>
            <w:noWrap/>
            <w:vAlign w:val="center"/>
            <w:hideMark/>
          </w:tcPr>
          <w:p w14:paraId="489FB74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85.9</w:t>
            </w:r>
          </w:p>
        </w:tc>
        <w:tc>
          <w:tcPr>
            <w:tcW w:w="730" w:type="pct"/>
            <w:shd w:val="clear" w:color="auto" w:fill="auto"/>
            <w:noWrap/>
            <w:vAlign w:val="center"/>
            <w:hideMark/>
          </w:tcPr>
          <w:p w14:paraId="32476A6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89.1</w:t>
            </w:r>
          </w:p>
        </w:tc>
        <w:tc>
          <w:tcPr>
            <w:tcW w:w="730" w:type="pct"/>
            <w:shd w:val="clear" w:color="auto" w:fill="auto"/>
            <w:noWrap/>
            <w:vAlign w:val="center"/>
            <w:hideMark/>
          </w:tcPr>
          <w:p w14:paraId="78C8AC3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87.5</w:t>
            </w:r>
          </w:p>
        </w:tc>
      </w:tr>
      <w:tr w:rsidR="006F1FB4" w:rsidRPr="00A20AE9" w14:paraId="3547259B" w14:textId="77777777" w:rsidTr="00731391">
        <w:trPr>
          <w:trHeight w:val="300"/>
        </w:trPr>
        <w:tc>
          <w:tcPr>
            <w:tcW w:w="1423" w:type="pct"/>
            <w:shd w:val="clear" w:color="auto" w:fill="auto"/>
            <w:noWrap/>
            <w:vAlign w:val="center"/>
            <w:hideMark/>
          </w:tcPr>
          <w:p w14:paraId="57D83AA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Kate Middleton</w:t>
            </w:r>
          </w:p>
        </w:tc>
        <w:tc>
          <w:tcPr>
            <w:tcW w:w="619" w:type="pct"/>
            <w:shd w:val="clear" w:color="auto" w:fill="auto"/>
            <w:noWrap/>
            <w:vAlign w:val="center"/>
            <w:hideMark/>
          </w:tcPr>
          <w:p w14:paraId="1D4E6AF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Politician</w:t>
            </w:r>
          </w:p>
        </w:tc>
        <w:tc>
          <w:tcPr>
            <w:tcW w:w="767" w:type="pct"/>
            <w:shd w:val="clear" w:color="auto" w:fill="auto"/>
            <w:noWrap/>
            <w:vAlign w:val="center"/>
            <w:hideMark/>
          </w:tcPr>
          <w:p w14:paraId="646A40D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76.6</w:t>
            </w:r>
          </w:p>
        </w:tc>
        <w:tc>
          <w:tcPr>
            <w:tcW w:w="730" w:type="pct"/>
            <w:shd w:val="clear" w:color="auto" w:fill="auto"/>
            <w:noWrap/>
            <w:vAlign w:val="center"/>
            <w:hideMark/>
          </w:tcPr>
          <w:p w14:paraId="5B46AAB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79.7</w:t>
            </w:r>
          </w:p>
        </w:tc>
        <w:tc>
          <w:tcPr>
            <w:tcW w:w="730" w:type="pct"/>
            <w:shd w:val="clear" w:color="auto" w:fill="auto"/>
            <w:noWrap/>
            <w:vAlign w:val="center"/>
            <w:hideMark/>
          </w:tcPr>
          <w:p w14:paraId="4110C95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90.6</w:t>
            </w:r>
          </w:p>
        </w:tc>
        <w:tc>
          <w:tcPr>
            <w:tcW w:w="730" w:type="pct"/>
            <w:shd w:val="clear" w:color="auto" w:fill="auto"/>
            <w:noWrap/>
            <w:vAlign w:val="center"/>
            <w:hideMark/>
          </w:tcPr>
          <w:p w14:paraId="3C08B65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75.0</w:t>
            </w:r>
          </w:p>
        </w:tc>
      </w:tr>
      <w:tr w:rsidR="006F1FB4" w:rsidRPr="00A20AE9" w14:paraId="26A29D60" w14:textId="77777777" w:rsidTr="00731391">
        <w:trPr>
          <w:trHeight w:val="300"/>
        </w:trPr>
        <w:tc>
          <w:tcPr>
            <w:tcW w:w="1423" w:type="pct"/>
            <w:shd w:val="clear" w:color="auto" w:fill="auto"/>
            <w:noWrap/>
            <w:vAlign w:val="center"/>
            <w:hideMark/>
          </w:tcPr>
          <w:p w14:paraId="057A7F8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Kanye West</w:t>
            </w:r>
          </w:p>
        </w:tc>
        <w:tc>
          <w:tcPr>
            <w:tcW w:w="619" w:type="pct"/>
            <w:shd w:val="clear" w:color="auto" w:fill="auto"/>
            <w:noWrap/>
            <w:vAlign w:val="center"/>
            <w:hideMark/>
          </w:tcPr>
          <w:p w14:paraId="477B3E2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Singer</w:t>
            </w:r>
          </w:p>
        </w:tc>
        <w:tc>
          <w:tcPr>
            <w:tcW w:w="767" w:type="pct"/>
            <w:shd w:val="clear" w:color="auto" w:fill="auto"/>
            <w:noWrap/>
            <w:vAlign w:val="center"/>
            <w:hideMark/>
          </w:tcPr>
          <w:p w14:paraId="5E0D1FE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c>
          <w:tcPr>
            <w:tcW w:w="730" w:type="pct"/>
            <w:shd w:val="clear" w:color="auto" w:fill="auto"/>
            <w:noWrap/>
            <w:vAlign w:val="center"/>
            <w:hideMark/>
          </w:tcPr>
          <w:p w14:paraId="388E062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89.1</w:t>
            </w:r>
          </w:p>
        </w:tc>
        <w:tc>
          <w:tcPr>
            <w:tcW w:w="730" w:type="pct"/>
            <w:shd w:val="clear" w:color="auto" w:fill="auto"/>
            <w:noWrap/>
            <w:vAlign w:val="center"/>
            <w:hideMark/>
          </w:tcPr>
          <w:p w14:paraId="3B8E340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92.2</w:t>
            </w:r>
          </w:p>
        </w:tc>
        <w:tc>
          <w:tcPr>
            <w:tcW w:w="730" w:type="pct"/>
            <w:shd w:val="clear" w:color="auto" w:fill="auto"/>
            <w:noWrap/>
            <w:vAlign w:val="center"/>
            <w:hideMark/>
          </w:tcPr>
          <w:p w14:paraId="596F873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89.1</w:t>
            </w:r>
          </w:p>
        </w:tc>
      </w:tr>
      <w:tr w:rsidR="006F1FB4" w:rsidRPr="00A20AE9" w14:paraId="533B4CC4" w14:textId="77777777" w:rsidTr="00731391">
        <w:trPr>
          <w:trHeight w:val="300"/>
        </w:trPr>
        <w:tc>
          <w:tcPr>
            <w:tcW w:w="1423" w:type="pct"/>
            <w:shd w:val="clear" w:color="auto" w:fill="auto"/>
            <w:noWrap/>
            <w:vAlign w:val="center"/>
            <w:hideMark/>
          </w:tcPr>
          <w:p w14:paraId="477C2A4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 xml:space="preserve">Leonardo </w:t>
            </w:r>
            <w:proofErr w:type="spellStart"/>
            <w:r w:rsidRPr="00A20AE9">
              <w:rPr>
                <w:rFonts w:ascii="Calibri" w:eastAsia="Times New Roman" w:hAnsi="Calibri" w:cs="Calibri"/>
                <w:kern w:val="0"/>
                <w:lang w:eastAsia="zh-CN"/>
                <w14:ligatures w14:val="none"/>
              </w:rPr>
              <w:t>Dicaprio</w:t>
            </w:r>
            <w:proofErr w:type="spellEnd"/>
          </w:p>
        </w:tc>
        <w:tc>
          <w:tcPr>
            <w:tcW w:w="619" w:type="pct"/>
            <w:shd w:val="clear" w:color="auto" w:fill="auto"/>
            <w:noWrap/>
            <w:vAlign w:val="center"/>
            <w:hideMark/>
          </w:tcPr>
          <w:p w14:paraId="016F3E7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23BD009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24CBE5F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3D41FC8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95.3</w:t>
            </w:r>
          </w:p>
        </w:tc>
        <w:tc>
          <w:tcPr>
            <w:tcW w:w="730" w:type="pct"/>
            <w:shd w:val="clear" w:color="auto" w:fill="auto"/>
            <w:noWrap/>
            <w:vAlign w:val="center"/>
            <w:hideMark/>
          </w:tcPr>
          <w:p w14:paraId="278277D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r>
      <w:tr w:rsidR="006F1FB4" w:rsidRPr="00A20AE9" w14:paraId="0A46B32C" w14:textId="77777777" w:rsidTr="00731391">
        <w:trPr>
          <w:trHeight w:val="300"/>
        </w:trPr>
        <w:tc>
          <w:tcPr>
            <w:tcW w:w="1423" w:type="pct"/>
            <w:shd w:val="clear" w:color="auto" w:fill="auto"/>
            <w:noWrap/>
            <w:vAlign w:val="center"/>
            <w:hideMark/>
          </w:tcPr>
          <w:p w14:paraId="24FCCBC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Lady Gaga</w:t>
            </w:r>
          </w:p>
        </w:tc>
        <w:tc>
          <w:tcPr>
            <w:tcW w:w="619" w:type="pct"/>
            <w:shd w:val="clear" w:color="auto" w:fill="auto"/>
            <w:noWrap/>
            <w:vAlign w:val="center"/>
            <w:hideMark/>
          </w:tcPr>
          <w:p w14:paraId="112168B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Singer</w:t>
            </w:r>
          </w:p>
        </w:tc>
        <w:tc>
          <w:tcPr>
            <w:tcW w:w="767" w:type="pct"/>
            <w:shd w:val="clear" w:color="auto" w:fill="auto"/>
            <w:noWrap/>
            <w:vAlign w:val="center"/>
            <w:hideMark/>
          </w:tcPr>
          <w:p w14:paraId="49BAA71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90.6</w:t>
            </w:r>
          </w:p>
        </w:tc>
        <w:tc>
          <w:tcPr>
            <w:tcW w:w="730" w:type="pct"/>
            <w:shd w:val="clear" w:color="auto" w:fill="auto"/>
            <w:noWrap/>
            <w:vAlign w:val="center"/>
            <w:hideMark/>
          </w:tcPr>
          <w:p w14:paraId="18A823A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87.5</w:t>
            </w:r>
          </w:p>
        </w:tc>
        <w:tc>
          <w:tcPr>
            <w:tcW w:w="730" w:type="pct"/>
            <w:shd w:val="clear" w:color="auto" w:fill="auto"/>
            <w:noWrap/>
            <w:vAlign w:val="center"/>
            <w:hideMark/>
          </w:tcPr>
          <w:p w14:paraId="056D57E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89.1</w:t>
            </w:r>
          </w:p>
        </w:tc>
        <w:tc>
          <w:tcPr>
            <w:tcW w:w="730" w:type="pct"/>
            <w:shd w:val="clear" w:color="auto" w:fill="auto"/>
            <w:noWrap/>
            <w:vAlign w:val="center"/>
            <w:hideMark/>
          </w:tcPr>
          <w:p w14:paraId="4ED2DBC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82.8</w:t>
            </w:r>
          </w:p>
        </w:tc>
      </w:tr>
      <w:tr w:rsidR="006F1FB4" w:rsidRPr="00A20AE9" w14:paraId="190AA402" w14:textId="77777777" w:rsidTr="00731391">
        <w:trPr>
          <w:trHeight w:val="300"/>
        </w:trPr>
        <w:tc>
          <w:tcPr>
            <w:tcW w:w="1423" w:type="pct"/>
            <w:shd w:val="clear" w:color="auto" w:fill="auto"/>
            <w:noWrap/>
            <w:vAlign w:val="center"/>
            <w:hideMark/>
          </w:tcPr>
          <w:p w14:paraId="555449D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Miley Cyrus</w:t>
            </w:r>
          </w:p>
        </w:tc>
        <w:tc>
          <w:tcPr>
            <w:tcW w:w="619" w:type="pct"/>
            <w:shd w:val="clear" w:color="auto" w:fill="auto"/>
            <w:noWrap/>
            <w:vAlign w:val="center"/>
            <w:hideMark/>
          </w:tcPr>
          <w:p w14:paraId="1DA1B96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Singer</w:t>
            </w:r>
          </w:p>
        </w:tc>
        <w:tc>
          <w:tcPr>
            <w:tcW w:w="767" w:type="pct"/>
            <w:shd w:val="clear" w:color="auto" w:fill="auto"/>
            <w:noWrap/>
            <w:vAlign w:val="center"/>
            <w:hideMark/>
          </w:tcPr>
          <w:p w14:paraId="6052D81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6539009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c>
          <w:tcPr>
            <w:tcW w:w="730" w:type="pct"/>
            <w:shd w:val="clear" w:color="auto" w:fill="auto"/>
            <w:noWrap/>
            <w:vAlign w:val="center"/>
            <w:hideMark/>
          </w:tcPr>
          <w:p w14:paraId="56D85B9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453EE60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92.2</w:t>
            </w:r>
          </w:p>
        </w:tc>
      </w:tr>
      <w:tr w:rsidR="006F1FB4" w:rsidRPr="00A20AE9" w14:paraId="470E483A" w14:textId="77777777" w:rsidTr="00731391">
        <w:trPr>
          <w:trHeight w:val="300"/>
        </w:trPr>
        <w:tc>
          <w:tcPr>
            <w:tcW w:w="1423" w:type="pct"/>
            <w:shd w:val="clear" w:color="auto" w:fill="auto"/>
            <w:noWrap/>
            <w:vAlign w:val="center"/>
            <w:hideMark/>
          </w:tcPr>
          <w:p w14:paraId="4842ACE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Morgan Freeman</w:t>
            </w:r>
          </w:p>
        </w:tc>
        <w:tc>
          <w:tcPr>
            <w:tcW w:w="619" w:type="pct"/>
            <w:shd w:val="clear" w:color="auto" w:fill="auto"/>
            <w:noWrap/>
            <w:vAlign w:val="center"/>
            <w:hideMark/>
          </w:tcPr>
          <w:p w14:paraId="40F0F5E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7715CD9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76.6</w:t>
            </w:r>
          </w:p>
        </w:tc>
        <w:tc>
          <w:tcPr>
            <w:tcW w:w="730" w:type="pct"/>
            <w:shd w:val="clear" w:color="auto" w:fill="auto"/>
            <w:noWrap/>
            <w:vAlign w:val="center"/>
            <w:hideMark/>
          </w:tcPr>
          <w:p w14:paraId="1A7E238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76.6</w:t>
            </w:r>
          </w:p>
        </w:tc>
        <w:tc>
          <w:tcPr>
            <w:tcW w:w="730" w:type="pct"/>
            <w:shd w:val="clear" w:color="auto" w:fill="auto"/>
            <w:noWrap/>
            <w:vAlign w:val="center"/>
            <w:hideMark/>
          </w:tcPr>
          <w:p w14:paraId="7425D91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76.6</w:t>
            </w:r>
          </w:p>
        </w:tc>
        <w:tc>
          <w:tcPr>
            <w:tcW w:w="730" w:type="pct"/>
            <w:shd w:val="clear" w:color="auto" w:fill="auto"/>
            <w:noWrap/>
            <w:vAlign w:val="center"/>
            <w:hideMark/>
          </w:tcPr>
          <w:p w14:paraId="6B05580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68.8</w:t>
            </w:r>
          </w:p>
        </w:tc>
      </w:tr>
      <w:tr w:rsidR="006F1FB4" w:rsidRPr="00A20AE9" w14:paraId="0C2A9F93" w14:textId="77777777" w:rsidTr="00731391">
        <w:trPr>
          <w:trHeight w:val="300"/>
        </w:trPr>
        <w:tc>
          <w:tcPr>
            <w:tcW w:w="1423" w:type="pct"/>
            <w:shd w:val="clear" w:color="auto" w:fill="auto"/>
            <w:noWrap/>
            <w:vAlign w:val="center"/>
            <w:hideMark/>
          </w:tcPr>
          <w:p w14:paraId="09F5AA8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Nicki Minaj</w:t>
            </w:r>
          </w:p>
        </w:tc>
        <w:tc>
          <w:tcPr>
            <w:tcW w:w="619" w:type="pct"/>
            <w:shd w:val="clear" w:color="auto" w:fill="auto"/>
            <w:noWrap/>
            <w:vAlign w:val="center"/>
            <w:hideMark/>
          </w:tcPr>
          <w:p w14:paraId="309B74C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Singer</w:t>
            </w:r>
          </w:p>
        </w:tc>
        <w:tc>
          <w:tcPr>
            <w:tcW w:w="767" w:type="pct"/>
            <w:shd w:val="clear" w:color="auto" w:fill="auto"/>
            <w:noWrap/>
            <w:vAlign w:val="center"/>
            <w:hideMark/>
          </w:tcPr>
          <w:p w14:paraId="56DCB70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c>
          <w:tcPr>
            <w:tcW w:w="730" w:type="pct"/>
            <w:shd w:val="clear" w:color="auto" w:fill="auto"/>
            <w:noWrap/>
            <w:vAlign w:val="center"/>
            <w:hideMark/>
          </w:tcPr>
          <w:p w14:paraId="6C67AB7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89.1</w:t>
            </w:r>
          </w:p>
        </w:tc>
        <w:tc>
          <w:tcPr>
            <w:tcW w:w="730" w:type="pct"/>
            <w:shd w:val="clear" w:color="auto" w:fill="auto"/>
            <w:noWrap/>
            <w:vAlign w:val="center"/>
            <w:hideMark/>
          </w:tcPr>
          <w:p w14:paraId="6028E49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87.5</w:t>
            </w:r>
          </w:p>
        </w:tc>
        <w:tc>
          <w:tcPr>
            <w:tcW w:w="730" w:type="pct"/>
            <w:shd w:val="clear" w:color="auto" w:fill="auto"/>
            <w:noWrap/>
            <w:vAlign w:val="center"/>
            <w:hideMark/>
          </w:tcPr>
          <w:p w14:paraId="1BD66D4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87.5</w:t>
            </w:r>
          </w:p>
        </w:tc>
      </w:tr>
      <w:tr w:rsidR="006F1FB4" w:rsidRPr="00A20AE9" w14:paraId="0028AFE3" w14:textId="77777777" w:rsidTr="00731391">
        <w:trPr>
          <w:trHeight w:val="300"/>
        </w:trPr>
        <w:tc>
          <w:tcPr>
            <w:tcW w:w="1423" w:type="pct"/>
            <w:shd w:val="clear" w:color="auto" w:fill="auto"/>
            <w:noWrap/>
            <w:vAlign w:val="center"/>
            <w:hideMark/>
          </w:tcPr>
          <w:p w14:paraId="5A38840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Prince William</w:t>
            </w:r>
          </w:p>
        </w:tc>
        <w:tc>
          <w:tcPr>
            <w:tcW w:w="619" w:type="pct"/>
            <w:shd w:val="clear" w:color="auto" w:fill="auto"/>
            <w:noWrap/>
            <w:vAlign w:val="center"/>
            <w:hideMark/>
          </w:tcPr>
          <w:p w14:paraId="452DA7C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Politician</w:t>
            </w:r>
          </w:p>
        </w:tc>
        <w:tc>
          <w:tcPr>
            <w:tcW w:w="767" w:type="pct"/>
            <w:shd w:val="clear" w:color="auto" w:fill="auto"/>
            <w:noWrap/>
            <w:vAlign w:val="center"/>
            <w:hideMark/>
          </w:tcPr>
          <w:p w14:paraId="038B6A9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c>
          <w:tcPr>
            <w:tcW w:w="730" w:type="pct"/>
            <w:shd w:val="clear" w:color="auto" w:fill="auto"/>
            <w:noWrap/>
            <w:vAlign w:val="center"/>
            <w:hideMark/>
          </w:tcPr>
          <w:p w14:paraId="168429A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95.3</w:t>
            </w:r>
          </w:p>
        </w:tc>
        <w:tc>
          <w:tcPr>
            <w:tcW w:w="730" w:type="pct"/>
            <w:shd w:val="clear" w:color="auto" w:fill="auto"/>
            <w:noWrap/>
            <w:vAlign w:val="center"/>
            <w:hideMark/>
          </w:tcPr>
          <w:p w14:paraId="673D96A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c>
          <w:tcPr>
            <w:tcW w:w="730" w:type="pct"/>
            <w:shd w:val="clear" w:color="auto" w:fill="auto"/>
            <w:noWrap/>
            <w:vAlign w:val="center"/>
            <w:hideMark/>
          </w:tcPr>
          <w:p w14:paraId="40C928A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90.6</w:t>
            </w:r>
          </w:p>
        </w:tc>
      </w:tr>
      <w:tr w:rsidR="006F1FB4" w:rsidRPr="00A20AE9" w14:paraId="39570264" w14:textId="77777777" w:rsidTr="00731391">
        <w:trPr>
          <w:trHeight w:val="300"/>
        </w:trPr>
        <w:tc>
          <w:tcPr>
            <w:tcW w:w="1423" w:type="pct"/>
            <w:shd w:val="clear" w:color="auto" w:fill="auto"/>
            <w:noWrap/>
            <w:vAlign w:val="center"/>
            <w:hideMark/>
          </w:tcPr>
          <w:p w14:paraId="33F0538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Rowan Atkinson</w:t>
            </w:r>
          </w:p>
        </w:tc>
        <w:tc>
          <w:tcPr>
            <w:tcW w:w="619" w:type="pct"/>
            <w:shd w:val="clear" w:color="auto" w:fill="auto"/>
            <w:noWrap/>
            <w:vAlign w:val="center"/>
            <w:hideMark/>
          </w:tcPr>
          <w:p w14:paraId="25C2625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2D43F0E9"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c>
          <w:tcPr>
            <w:tcW w:w="730" w:type="pct"/>
            <w:shd w:val="clear" w:color="auto" w:fill="auto"/>
            <w:noWrap/>
            <w:vAlign w:val="center"/>
            <w:hideMark/>
          </w:tcPr>
          <w:p w14:paraId="227DE8C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53589EE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09D4874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r>
      <w:tr w:rsidR="006F1FB4" w:rsidRPr="00A20AE9" w14:paraId="7BB408BC" w14:textId="77777777" w:rsidTr="00731391">
        <w:trPr>
          <w:trHeight w:val="300"/>
        </w:trPr>
        <w:tc>
          <w:tcPr>
            <w:tcW w:w="1423" w:type="pct"/>
            <w:shd w:val="clear" w:color="auto" w:fill="auto"/>
            <w:noWrap/>
            <w:vAlign w:val="center"/>
            <w:hideMark/>
          </w:tcPr>
          <w:p w14:paraId="5A038E5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Robert Downey Jr</w:t>
            </w:r>
          </w:p>
        </w:tc>
        <w:tc>
          <w:tcPr>
            <w:tcW w:w="619" w:type="pct"/>
            <w:shd w:val="clear" w:color="auto" w:fill="auto"/>
            <w:noWrap/>
            <w:vAlign w:val="center"/>
            <w:hideMark/>
          </w:tcPr>
          <w:p w14:paraId="5579966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348B904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70.3</w:t>
            </w:r>
          </w:p>
        </w:tc>
        <w:tc>
          <w:tcPr>
            <w:tcW w:w="730" w:type="pct"/>
            <w:shd w:val="clear" w:color="auto" w:fill="auto"/>
            <w:noWrap/>
            <w:vAlign w:val="center"/>
            <w:hideMark/>
          </w:tcPr>
          <w:p w14:paraId="692A1F9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79.7</w:t>
            </w:r>
          </w:p>
        </w:tc>
        <w:tc>
          <w:tcPr>
            <w:tcW w:w="730" w:type="pct"/>
            <w:shd w:val="clear" w:color="auto" w:fill="auto"/>
            <w:noWrap/>
            <w:vAlign w:val="center"/>
            <w:hideMark/>
          </w:tcPr>
          <w:p w14:paraId="100A1DF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65.6</w:t>
            </w:r>
          </w:p>
        </w:tc>
        <w:tc>
          <w:tcPr>
            <w:tcW w:w="730" w:type="pct"/>
            <w:shd w:val="clear" w:color="auto" w:fill="auto"/>
            <w:noWrap/>
            <w:vAlign w:val="center"/>
            <w:hideMark/>
          </w:tcPr>
          <w:p w14:paraId="6F2BBB0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75.0</w:t>
            </w:r>
          </w:p>
        </w:tc>
      </w:tr>
      <w:tr w:rsidR="006F1FB4" w:rsidRPr="00A20AE9" w14:paraId="131CC214" w14:textId="77777777" w:rsidTr="00731391">
        <w:trPr>
          <w:trHeight w:val="300"/>
        </w:trPr>
        <w:tc>
          <w:tcPr>
            <w:tcW w:w="1423" w:type="pct"/>
            <w:shd w:val="clear" w:color="auto" w:fill="auto"/>
            <w:noWrap/>
            <w:vAlign w:val="center"/>
            <w:hideMark/>
          </w:tcPr>
          <w:p w14:paraId="44C00FD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Robert Pattinson</w:t>
            </w:r>
          </w:p>
        </w:tc>
        <w:tc>
          <w:tcPr>
            <w:tcW w:w="619" w:type="pct"/>
            <w:shd w:val="clear" w:color="auto" w:fill="auto"/>
            <w:noWrap/>
            <w:vAlign w:val="center"/>
            <w:hideMark/>
          </w:tcPr>
          <w:p w14:paraId="172D0C4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363C600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89.1</w:t>
            </w:r>
          </w:p>
        </w:tc>
        <w:tc>
          <w:tcPr>
            <w:tcW w:w="730" w:type="pct"/>
            <w:shd w:val="clear" w:color="auto" w:fill="auto"/>
            <w:noWrap/>
            <w:vAlign w:val="center"/>
            <w:hideMark/>
          </w:tcPr>
          <w:p w14:paraId="453C9F6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c>
          <w:tcPr>
            <w:tcW w:w="730" w:type="pct"/>
            <w:shd w:val="clear" w:color="auto" w:fill="auto"/>
            <w:noWrap/>
            <w:vAlign w:val="center"/>
            <w:hideMark/>
          </w:tcPr>
          <w:p w14:paraId="41BCB28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90.6</w:t>
            </w:r>
          </w:p>
        </w:tc>
        <w:tc>
          <w:tcPr>
            <w:tcW w:w="730" w:type="pct"/>
            <w:shd w:val="clear" w:color="auto" w:fill="auto"/>
            <w:noWrap/>
            <w:vAlign w:val="center"/>
            <w:hideMark/>
          </w:tcPr>
          <w:p w14:paraId="7F1992A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87.5</w:t>
            </w:r>
          </w:p>
        </w:tc>
      </w:tr>
      <w:tr w:rsidR="006F1FB4" w:rsidRPr="00A20AE9" w14:paraId="2AC2E3D7" w14:textId="77777777" w:rsidTr="00731391">
        <w:trPr>
          <w:trHeight w:val="300"/>
        </w:trPr>
        <w:tc>
          <w:tcPr>
            <w:tcW w:w="1423" w:type="pct"/>
            <w:shd w:val="clear" w:color="auto" w:fill="auto"/>
            <w:noWrap/>
            <w:vAlign w:val="center"/>
            <w:hideMark/>
          </w:tcPr>
          <w:p w14:paraId="514E3AD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Rihanna</w:t>
            </w:r>
          </w:p>
        </w:tc>
        <w:tc>
          <w:tcPr>
            <w:tcW w:w="619" w:type="pct"/>
            <w:shd w:val="clear" w:color="auto" w:fill="auto"/>
            <w:noWrap/>
            <w:vAlign w:val="center"/>
            <w:hideMark/>
          </w:tcPr>
          <w:p w14:paraId="4133AE6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Singer</w:t>
            </w:r>
          </w:p>
        </w:tc>
        <w:tc>
          <w:tcPr>
            <w:tcW w:w="767" w:type="pct"/>
            <w:shd w:val="clear" w:color="auto" w:fill="auto"/>
            <w:noWrap/>
            <w:vAlign w:val="center"/>
            <w:hideMark/>
          </w:tcPr>
          <w:p w14:paraId="76B5B77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95.3</w:t>
            </w:r>
          </w:p>
        </w:tc>
        <w:tc>
          <w:tcPr>
            <w:tcW w:w="730" w:type="pct"/>
            <w:shd w:val="clear" w:color="auto" w:fill="auto"/>
            <w:noWrap/>
            <w:vAlign w:val="center"/>
            <w:hideMark/>
          </w:tcPr>
          <w:p w14:paraId="344D716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95.3</w:t>
            </w:r>
          </w:p>
        </w:tc>
        <w:tc>
          <w:tcPr>
            <w:tcW w:w="730" w:type="pct"/>
            <w:shd w:val="clear" w:color="auto" w:fill="auto"/>
            <w:noWrap/>
            <w:vAlign w:val="center"/>
            <w:hideMark/>
          </w:tcPr>
          <w:p w14:paraId="1A05713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c>
          <w:tcPr>
            <w:tcW w:w="730" w:type="pct"/>
            <w:shd w:val="clear" w:color="auto" w:fill="auto"/>
            <w:noWrap/>
            <w:vAlign w:val="center"/>
            <w:hideMark/>
          </w:tcPr>
          <w:p w14:paraId="5DD40B5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62.5</w:t>
            </w:r>
          </w:p>
        </w:tc>
      </w:tr>
      <w:tr w:rsidR="006F1FB4" w:rsidRPr="00A20AE9" w14:paraId="7E6A4674" w14:textId="77777777" w:rsidTr="00731391">
        <w:trPr>
          <w:trHeight w:val="300"/>
        </w:trPr>
        <w:tc>
          <w:tcPr>
            <w:tcW w:w="1423" w:type="pct"/>
            <w:shd w:val="clear" w:color="auto" w:fill="auto"/>
            <w:noWrap/>
            <w:vAlign w:val="center"/>
            <w:hideMark/>
          </w:tcPr>
          <w:p w14:paraId="11AB788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Simon Cowell</w:t>
            </w:r>
          </w:p>
        </w:tc>
        <w:tc>
          <w:tcPr>
            <w:tcW w:w="619" w:type="pct"/>
            <w:shd w:val="clear" w:color="auto" w:fill="auto"/>
            <w:noWrap/>
            <w:vAlign w:val="center"/>
            <w:hideMark/>
          </w:tcPr>
          <w:p w14:paraId="7A3BF9E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Other</w:t>
            </w:r>
          </w:p>
        </w:tc>
        <w:tc>
          <w:tcPr>
            <w:tcW w:w="767" w:type="pct"/>
            <w:shd w:val="clear" w:color="auto" w:fill="auto"/>
            <w:noWrap/>
            <w:vAlign w:val="center"/>
            <w:hideMark/>
          </w:tcPr>
          <w:p w14:paraId="69EF26D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16B15C1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2D25FC3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25490C5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95.3</w:t>
            </w:r>
          </w:p>
        </w:tc>
      </w:tr>
      <w:tr w:rsidR="006F1FB4" w:rsidRPr="00A20AE9" w14:paraId="2E839D15" w14:textId="77777777" w:rsidTr="00731391">
        <w:trPr>
          <w:trHeight w:val="300"/>
        </w:trPr>
        <w:tc>
          <w:tcPr>
            <w:tcW w:w="1423" w:type="pct"/>
            <w:shd w:val="clear" w:color="auto" w:fill="auto"/>
            <w:noWrap/>
            <w:vAlign w:val="center"/>
            <w:hideMark/>
          </w:tcPr>
          <w:p w14:paraId="4E1DD7D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Selena Gomez</w:t>
            </w:r>
          </w:p>
        </w:tc>
        <w:tc>
          <w:tcPr>
            <w:tcW w:w="619" w:type="pct"/>
            <w:shd w:val="clear" w:color="auto" w:fill="auto"/>
            <w:noWrap/>
            <w:vAlign w:val="center"/>
            <w:hideMark/>
          </w:tcPr>
          <w:p w14:paraId="69EE04C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Singer</w:t>
            </w:r>
          </w:p>
        </w:tc>
        <w:tc>
          <w:tcPr>
            <w:tcW w:w="767" w:type="pct"/>
            <w:shd w:val="clear" w:color="auto" w:fill="auto"/>
            <w:noWrap/>
            <w:vAlign w:val="center"/>
            <w:hideMark/>
          </w:tcPr>
          <w:p w14:paraId="6B3A56E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c>
          <w:tcPr>
            <w:tcW w:w="730" w:type="pct"/>
            <w:shd w:val="clear" w:color="auto" w:fill="auto"/>
            <w:noWrap/>
            <w:vAlign w:val="center"/>
            <w:hideMark/>
          </w:tcPr>
          <w:p w14:paraId="3824CB7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c>
          <w:tcPr>
            <w:tcW w:w="730" w:type="pct"/>
            <w:shd w:val="clear" w:color="auto" w:fill="auto"/>
            <w:noWrap/>
            <w:vAlign w:val="center"/>
            <w:hideMark/>
          </w:tcPr>
          <w:p w14:paraId="769F3FB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c>
          <w:tcPr>
            <w:tcW w:w="730" w:type="pct"/>
            <w:shd w:val="clear" w:color="auto" w:fill="auto"/>
            <w:noWrap/>
            <w:vAlign w:val="center"/>
            <w:hideMark/>
          </w:tcPr>
          <w:p w14:paraId="565C505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93.8</w:t>
            </w:r>
          </w:p>
        </w:tc>
      </w:tr>
      <w:tr w:rsidR="006F1FB4" w:rsidRPr="00A20AE9" w14:paraId="616F9DA9" w14:textId="77777777" w:rsidTr="00731391">
        <w:trPr>
          <w:trHeight w:val="300"/>
        </w:trPr>
        <w:tc>
          <w:tcPr>
            <w:tcW w:w="1423" w:type="pct"/>
            <w:shd w:val="clear" w:color="auto" w:fill="auto"/>
            <w:noWrap/>
            <w:vAlign w:val="center"/>
            <w:hideMark/>
          </w:tcPr>
          <w:p w14:paraId="0A2E094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Scarlett Johansson</w:t>
            </w:r>
          </w:p>
        </w:tc>
        <w:tc>
          <w:tcPr>
            <w:tcW w:w="619" w:type="pct"/>
            <w:shd w:val="clear" w:color="auto" w:fill="auto"/>
            <w:noWrap/>
            <w:vAlign w:val="center"/>
            <w:hideMark/>
          </w:tcPr>
          <w:p w14:paraId="232753D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36C857E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75.0</w:t>
            </w:r>
          </w:p>
        </w:tc>
        <w:tc>
          <w:tcPr>
            <w:tcW w:w="730" w:type="pct"/>
            <w:shd w:val="clear" w:color="auto" w:fill="auto"/>
            <w:noWrap/>
            <w:vAlign w:val="center"/>
            <w:hideMark/>
          </w:tcPr>
          <w:p w14:paraId="3EE0982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81.3</w:t>
            </w:r>
          </w:p>
        </w:tc>
        <w:tc>
          <w:tcPr>
            <w:tcW w:w="730" w:type="pct"/>
            <w:shd w:val="clear" w:color="auto" w:fill="auto"/>
            <w:noWrap/>
            <w:vAlign w:val="center"/>
            <w:hideMark/>
          </w:tcPr>
          <w:p w14:paraId="493AC1B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75.0</w:t>
            </w:r>
          </w:p>
        </w:tc>
        <w:tc>
          <w:tcPr>
            <w:tcW w:w="730" w:type="pct"/>
            <w:shd w:val="clear" w:color="auto" w:fill="auto"/>
            <w:noWrap/>
            <w:vAlign w:val="center"/>
            <w:hideMark/>
          </w:tcPr>
          <w:p w14:paraId="6E26CC1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71.9</w:t>
            </w:r>
          </w:p>
        </w:tc>
      </w:tr>
      <w:tr w:rsidR="006F1FB4" w:rsidRPr="00A20AE9" w14:paraId="18CD545D" w14:textId="77777777" w:rsidTr="00731391">
        <w:trPr>
          <w:trHeight w:val="300"/>
        </w:trPr>
        <w:tc>
          <w:tcPr>
            <w:tcW w:w="1423" w:type="pct"/>
            <w:shd w:val="clear" w:color="auto" w:fill="auto"/>
            <w:noWrap/>
            <w:vAlign w:val="center"/>
            <w:hideMark/>
          </w:tcPr>
          <w:p w14:paraId="12005568"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Tom Cruise</w:t>
            </w:r>
          </w:p>
        </w:tc>
        <w:tc>
          <w:tcPr>
            <w:tcW w:w="619" w:type="pct"/>
            <w:shd w:val="clear" w:color="auto" w:fill="auto"/>
            <w:noWrap/>
            <w:vAlign w:val="center"/>
            <w:hideMark/>
          </w:tcPr>
          <w:p w14:paraId="31D937A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7539807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76.6</w:t>
            </w:r>
          </w:p>
        </w:tc>
        <w:tc>
          <w:tcPr>
            <w:tcW w:w="730" w:type="pct"/>
            <w:shd w:val="clear" w:color="auto" w:fill="auto"/>
            <w:noWrap/>
            <w:vAlign w:val="center"/>
            <w:hideMark/>
          </w:tcPr>
          <w:p w14:paraId="3A037F20"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62.5</w:t>
            </w:r>
          </w:p>
        </w:tc>
        <w:tc>
          <w:tcPr>
            <w:tcW w:w="730" w:type="pct"/>
            <w:shd w:val="clear" w:color="auto" w:fill="auto"/>
            <w:noWrap/>
            <w:vAlign w:val="center"/>
            <w:hideMark/>
          </w:tcPr>
          <w:p w14:paraId="3330B32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73.4</w:t>
            </w:r>
          </w:p>
        </w:tc>
        <w:tc>
          <w:tcPr>
            <w:tcW w:w="730" w:type="pct"/>
            <w:shd w:val="clear" w:color="auto" w:fill="auto"/>
            <w:noWrap/>
            <w:vAlign w:val="center"/>
            <w:hideMark/>
          </w:tcPr>
          <w:p w14:paraId="6E56F3A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68.8</w:t>
            </w:r>
          </w:p>
        </w:tc>
      </w:tr>
      <w:tr w:rsidR="006F1FB4" w:rsidRPr="00A20AE9" w14:paraId="4C91C7EB" w14:textId="77777777" w:rsidTr="00731391">
        <w:trPr>
          <w:trHeight w:val="300"/>
        </w:trPr>
        <w:tc>
          <w:tcPr>
            <w:tcW w:w="1423" w:type="pct"/>
            <w:shd w:val="clear" w:color="auto" w:fill="auto"/>
            <w:noWrap/>
            <w:vAlign w:val="center"/>
            <w:hideMark/>
          </w:tcPr>
          <w:p w14:paraId="182A246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Tom Hanks</w:t>
            </w:r>
          </w:p>
        </w:tc>
        <w:tc>
          <w:tcPr>
            <w:tcW w:w="619" w:type="pct"/>
            <w:shd w:val="clear" w:color="auto" w:fill="auto"/>
            <w:noWrap/>
            <w:vAlign w:val="center"/>
            <w:hideMark/>
          </w:tcPr>
          <w:p w14:paraId="23C3CBE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29731FA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79.7</w:t>
            </w:r>
          </w:p>
        </w:tc>
        <w:tc>
          <w:tcPr>
            <w:tcW w:w="730" w:type="pct"/>
            <w:shd w:val="clear" w:color="auto" w:fill="auto"/>
            <w:noWrap/>
            <w:vAlign w:val="center"/>
            <w:hideMark/>
          </w:tcPr>
          <w:p w14:paraId="4091703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79.7</w:t>
            </w:r>
          </w:p>
        </w:tc>
        <w:tc>
          <w:tcPr>
            <w:tcW w:w="730" w:type="pct"/>
            <w:shd w:val="clear" w:color="auto" w:fill="auto"/>
            <w:noWrap/>
            <w:vAlign w:val="center"/>
            <w:hideMark/>
          </w:tcPr>
          <w:p w14:paraId="268A596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67.2</w:t>
            </w:r>
          </w:p>
        </w:tc>
        <w:tc>
          <w:tcPr>
            <w:tcW w:w="730" w:type="pct"/>
            <w:shd w:val="clear" w:color="auto" w:fill="auto"/>
            <w:noWrap/>
            <w:vAlign w:val="center"/>
            <w:hideMark/>
          </w:tcPr>
          <w:p w14:paraId="24939397"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70.3</w:t>
            </w:r>
          </w:p>
        </w:tc>
      </w:tr>
      <w:tr w:rsidR="006F1FB4" w:rsidRPr="00A20AE9" w14:paraId="247D4176" w14:textId="77777777" w:rsidTr="00731391">
        <w:trPr>
          <w:trHeight w:val="300"/>
        </w:trPr>
        <w:tc>
          <w:tcPr>
            <w:tcW w:w="1423" w:type="pct"/>
            <w:shd w:val="clear" w:color="auto" w:fill="auto"/>
            <w:noWrap/>
            <w:vAlign w:val="center"/>
            <w:hideMark/>
          </w:tcPr>
          <w:p w14:paraId="0FAF67D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Theresa May</w:t>
            </w:r>
          </w:p>
        </w:tc>
        <w:tc>
          <w:tcPr>
            <w:tcW w:w="619" w:type="pct"/>
            <w:shd w:val="clear" w:color="auto" w:fill="auto"/>
            <w:noWrap/>
            <w:vAlign w:val="center"/>
            <w:hideMark/>
          </w:tcPr>
          <w:p w14:paraId="572EE13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Politician</w:t>
            </w:r>
          </w:p>
        </w:tc>
        <w:tc>
          <w:tcPr>
            <w:tcW w:w="767" w:type="pct"/>
            <w:shd w:val="clear" w:color="auto" w:fill="auto"/>
            <w:noWrap/>
            <w:vAlign w:val="center"/>
            <w:hideMark/>
          </w:tcPr>
          <w:p w14:paraId="3C83EE5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87.5</w:t>
            </w:r>
          </w:p>
        </w:tc>
        <w:tc>
          <w:tcPr>
            <w:tcW w:w="730" w:type="pct"/>
            <w:shd w:val="clear" w:color="auto" w:fill="auto"/>
            <w:noWrap/>
            <w:vAlign w:val="center"/>
            <w:hideMark/>
          </w:tcPr>
          <w:p w14:paraId="2C5AC81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82.8</w:t>
            </w:r>
          </w:p>
        </w:tc>
        <w:tc>
          <w:tcPr>
            <w:tcW w:w="730" w:type="pct"/>
            <w:shd w:val="clear" w:color="auto" w:fill="auto"/>
            <w:noWrap/>
            <w:vAlign w:val="center"/>
            <w:hideMark/>
          </w:tcPr>
          <w:p w14:paraId="31BAB6FB"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84.4</w:t>
            </w:r>
          </w:p>
        </w:tc>
        <w:tc>
          <w:tcPr>
            <w:tcW w:w="730" w:type="pct"/>
            <w:shd w:val="clear" w:color="auto" w:fill="auto"/>
            <w:noWrap/>
            <w:vAlign w:val="center"/>
            <w:hideMark/>
          </w:tcPr>
          <w:p w14:paraId="630A7D7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79.7</w:t>
            </w:r>
          </w:p>
        </w:tc>
      </w:tr>
      <w:tr w:rsidR="006F1FB4" w:rsidRPr="00A20AE9" w14:paraId="59D55F6B" w14:textId="77777777" w:rsidTr="00731391">
        <w:trPr>
          <w:trHeight w:val="300"/>
        </w:trPr>
        <w:tc>
          <w:tcPr>
            <w:tcW w:w="1423" w:type="pct"/>
            <w:shd w:val="clear" w:color="auto" w:fill="auto"/>
            <w:noWrap/>
            <w:vAlign w:val="center"/>
            <w:hideMark/>
          </w:tcPr>
          <w:p w14:paraId="74451AE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Taylor Swift</w:t>
            </w:r>
          </w:p>
        </w:tc>
        <w:tc>
          <w:tcPr>
            <w:tcW w:w="619" w:type="pct"/>
            <w:shd w:val="clear" w:color="auto" w:fill="auto"/>
            <w:noWrap/>
            <w:vAlign w:val="center"/>
            <w:hideMark/>
          </w:tcPr>
          <w:p w14:paraId="1A26750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Singer</w:t>
            </w:r>
          </w:p>
        </w:tc>
        <w:tc>
          <w:tcPr>
            <w:tcW w:w="767" w:type="pct"/>
            <w:shd w:val="clear" w:color="auto" w:fill="auto"/>
            <w:noWrap/>
            <w:vAlign w:val="center"/>
            <w:hideMark/>
          </w:tcPr>
          <w:p w14:paraId="506538E1"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564402AD"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0A27991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2C29C77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96.9</w:t>
            </w:r>
          </w:p>
        </w:tc>
      </w:tr>
      <w:tr w:rsidR="006F1FB4" w:rsidRPr="00A20AE9" w14:paraId="7D470DAB" w14:textId="77777777" w:rsidTr="00731391">
        <w:trPr>
          <w:trHeight w:val="300"/>
        </w:trPr>
        <w:tc>
          <w:tcPr>
            <w:tcW w:w="1423" w:type="pct"/>
            <w:shd w:val="clear" w:color="auto" w:fill="auto"/>
            <w:noWrap/>
            <w:vAlign w:val="center"/>
            <w:hideMark/>
          </w:tcPr>
          <w:p w14:paraId="69BA6123"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Will Smith</w:t>
            </w:r>
          </w:p>
        </w:tc>
        <w:tc>
          <w:tcPr>
            <w:tcW w:w="619" w:type="pct"/>
            <w:shd w:val="clear" w:color="auto" w:fill="auto"/>
            <w:noWrap/>
            <w:vAlign w:val="center"/>
            <w:hideMark/>
          </w:tcPr>
          <w:p w14:paraId="2E2D70AE"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20488B7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95.3</w:t>
            </w:r>
          </w:p>
        </w:tc>
        <w:tc>
          <w:tcPr>
            <w:tcW w:w="730" w:type="pct"/>
            <w:shd w:val="clear" w:color="auto" w:fill="auto"/>
            <w:noWrap/>
            <w:vAlign w:val="center"/>
            <w:hideMark/>
          </w:tcPr>
          <w:p w14:paraId="1A1A4BC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7DDA40C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95.3</w:t>
            </w:r>
          </w:p>
        </w:tc>
        <w:tc>
          <w:tcPr>
            <w:tcW w:w="730" w:type="pct"/>
            <w:shd w:val="clear" w:color="auto" w:fill="auto"/>
            <w:noWrap/>
            <w:vAlign w:val="center"/>
            <w:hideMark/>
          </w:tcPr>
          <w:p w14:paraId="38F3D534"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r>
      <w:tr w:rsidR="006F1FB4" w:rsidRPr="00A20AE9" w14:paraId="7085F498" w14:textId="77777777" w:rsidTr="00731391">
        <w:trPr>
          <w:trHeight w:val="300"/>
        </w:trPr>
        <w:tc>
          <w:tcPr>
            <w:tcW w:w="1423" w:type="pct"/>
            <w:shd w:val="clear" w:color="auto" w:fill="auto"/>
            <w:noWrap/>
            <w:vAlign w:val="center"/>
            <w:hideMark/>
          </w:tcPr>
          <w:p w14:paraId="29E45AE6"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Zendaya</w:t>
            </w:r>
          </w:p>
        </w:tc>
        <w:tc>
          <w:tcPr>
            <w:tcW w:w="619" w:type="pct"/>
            <w:shd w:val="clear" w:color="auto" w:fill="auto"/>
            <w:noWrap/>
            <w:vAlign w:val="center"/>
            <w:hideMark/>
          </w:tcPr>
          <w:p w14:paraId="387FF41C"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Actor</w:t>
            </w:r>
          </w:p>
        </w:tc>
        <w:tc>
          <w:tcPr>
            <w:tcW w:w="767" w:type="pct"/>
            <w:shd w:val="clear" w:color="auto" w:fill="auto"/>
            <w:noWrap/>
            <w:vAlign w:val="center"/>
            <w:hideMark/>
          </w:tcPr>
          <w:p w14:paraId="1FC4A5BF"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c>
          <w:tcPr>
            <w:tcW w:w="730" w:type="pct"/>
            <w:shd w:val="clear" w:color="auto" w:fill="auto"/>
            <w:noWrap/>
            <w:vAlign w:val="center"/>
            <w:hideMark/>
          </w:tcPr>
          <w:p w14:paraId="5617667A"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5AC34B35"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98.4</w:t>
            </w:r>
          </w:p>
        </w:tc>
        <w:tc>
          <w:tcPr>
            <w:tcW w:w="730" w:type="pct"/>
            <w:shd w:val="clear" w:color="auto" w:fill="auto"/>
            <w:noWrap/>
            <w:vAlign w:val="center"/>
            <w:hideMark/>
          </w:tcPr>
          <w:p w14:paraId="112917E2" w14:textId="77777777" w:rsidR="006F1FB4" w:rsidRPr="00A20AE9" w:rsidRDefault="006F1FB4" w:rsidP="00731391">
            <w:pPr>
              <w:spacing w:beforeLines="20" w:before="48" w:afterLines="20" w:after="48" w:line="240" w:lineRule="auto"/>
              <w:jc w:val="center"/>
              <w:rPr>
                <w:rFonts w:ascii="Calibri" w:eastAsia="Times New Roman" w:hAnsi="Calibri" w:cs="Calibri"/>
                <w:kern w:val="0"/>
                <w:lang w:eastAsia="zh-CN"/>
                <w14:ligatures w14:val="none"/>
              </w:rPr>
            </w:pPr>
            <w:r w:rsidRPr="00A20AE9">
              <w:rPr>
                <w:rFonts w:ascii="Calibri" w:eastAsia="Times New Roman" w:hAnsi="Calibri" w:cs="Calibri"/>
                <w:kern w:val="0"/>
                <w:lang w:eastAsia="zh-CN"/>
                <w14:ligatures w14:val="none"/>
              </w:rPr>
              <w:t>100.0</w:t>
            </w:r>
          </w:p>
        </w:tc>
      </w:tr>
    </w:tbl>
    <w:p w14:paraId="5E054D99" w14:textId="77777777" w:rsidR="006F1FB4" w:rsidRPr="00A20AE9" w:rsidRDefault="006F1FB4" w:rsidP="006F1FB4">
      <w:pPr>
        <w:rPr>
          <w:rFonts w:ascii="Calibri" w:hAnsi="Calibri" w:cs="Calibri"/>
          <w:lang w:val="en-US"/>
        </w:rPr>
      </w:pPr>
    </w:p>
    <w:p w14:paraId="7882E00E" w14:textId="7129938F" w:rsidR="006F1FB4" w:rsidRPr="00A20AE9" w:rsidRDefault="006F1FB4" w:rsidP="006F1FB4">
      <w:pPr>
        <w:rPr>
          <w:rFonts w:ascii="Calibri" w:hAnsi="Calibri" w:cs="Calibri"/>
          <w:lang w:val="en-US"/>
        </w:rPr>
      </w:pPr>
      <w:r w:rsidRPr="00A20AE9">
        <w:rPr>
          <w:rFonts w:ascii="Calibri" w:hAnsi="Calibri" w:cs="Calibri"/>
          <w:lang w:val="en-US"/>
        </w:rPr>
        <w:br w:type="page"/>
      </w:r>
      <w:r w:rsidRPr="00A20AE9">
        <w:rPr>
          <w:rFonts w:ascii="Calibri" w:hAnsi="Calibri" w:cs="Calibri"/>
          <w:lang w:val="en-US"/>
        </w:rPr>
        <w:lastRenderedPageBreak/>
        <w:t xml:space="preserve">In addition, we report the minimum, maximum and median exclusions of identities featured in each experiment. Any participant who did not </w:t>
      </w:r>
      <w:proofErr w:type="spellStart"/>
      <w:r w:rsidRPr="00A20AE9">
        <w:rPr>
          <w:rFonts w:ascii="Calibri" w:hAnsi="Calibri" w:cs="Calibri"/>
          <w:lang w:val="en-US"/>
        </w:rPr>
        <w:t>recognise</w:t>
      </w:r>
      <w:proofErr w:type="spellEnd"/>
      <w:r w:rsidRPr="00A20AE9">
        <w:rPr>
          <w:rFonts w:ascii="Calibri" w:hAnsi="Calibri" w:cs="Calibri"/>
          <w:lang w:val="en-US"/>
        </w:rPr>
        <w:t xml:space="preserve"> at least 50% of the featured faces was excluded from further analysis. </w:t>
      </w:r>
    </w:p>
    <w:p w14:paraId="4FDA6DE6" w14:textId="77777777" w:rsidR="006F1FB4" w:rsidRPr="00A20AE9" w:rsidRDefault="006F1FB4" w:rsidP="006F1FB4">
      <w:pPr>
        <w:rPr>
          <w:rFonts w:ascii="Calibri" w:hAnsi="Calibri" w:cs="Calibri"/>
          <w:lang w:val="en-US"/>
        </w:rPr>
      </w:pPr>
    </w:p>
    <w:p w14:paraId="09B6F14A" w14:textId="77777777" w:rsidR="006F1FB4" w:rsidRPr="00A20AE9" w:rsidRDefault="006F1FB4" w:rsidP="006F1FB4">
      <w:pPr>
        <w:rPr>
          <w:rFonts w:ascii="Calibri" w:hAnsi="Calibri" w:cs="Calibri"/>
          <w:lang w:val="en-US"/>
        </w:rPr>
      </w:pPr>
      <w:r w:rsidRPr="00A20AE9">
        <w:rPr>
          <w:rFonts w:ascii="Calibri" w:hAnsi="Calibri" w:cs="Calibri"/>
          <w:lang w:val="en-US"/>
        </w:rPr>
        <w:t xml:space="preserve">Suppl. Table 2. </w:t>
      </w:r>
    </w:p>
    <w:p w14:paraId="4A536A77" w14:textId="77777777" w:rsidR="006F1FB4" w:rsidRPr="00A20AE9" w:rsidRDefault="006F1FB4" w:rsidP="006F1FB4">
      <w:pPr>
        <w:rPr>
          <w:rFonts w:ascii="Calibri" w:hAnsi="Calibri" w:cs="Calibri"/>
          <w:i/>
          <w:iCs/>
          <w:lang w:val="en-US"/>
        </w:rPr>
      </w:pPr>
      <w:r w:rsidRPr="00A20AE9">
        <w:rPr>
          <w:rFonts w:ascii="Calibri" w:hAnsi="Calibri" w:cs="Calibri"/>
          <w:i/>
          <w:iCs/>
          <w:lang w:val="en-US"/>
        </w:rPr>
        <w:t xml:space="preserve">Range and median number of exclusions of identities per participant for each experiment, based on incorrect identifications in the recognition block.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2500"/>
        <w:gridCol w:w="2540"/>
        <w:gridCol w:w="2271"/>
      </w:tblGrid>
      <w:tr w:rsidR="006F1FB4" w:rsidRPr="00A20AE9" w14:paraId="3B100A78" w14:textId="77777777" w:rsidTr="00731391">
        <w:tc>
          <w:tcPr>
            <w:tcW w:w="950" w:type="pct"/>
            <w:tcBorders>
              <w:top w:val="single" w:sz="4" w:space="0" w:color="auto"/>
              <w:bottom w:val="single" w:sz="4" w:space="0" w:color="auto"/>
            </w:tcBorders>
            <w:vAlign w:val="center"/>
          </w:tcPr>
          <w:p w14:paraId="7D28351D" w14:textId="77777777" w:rsidR="006F1FB4" w:rsidRPr="00A20AE9" w:rsidRDefault="006F1FB4" w:rsidP="00731391">
            <w:pPr>
              <w:spacing w:before="40" w:after="40"/>
              <w:jc w:val="center"/>
              <w:rPr>
                <w:rFonts w:ascii="Calibri" w:hAnsi="Calibri" w:cs="Calibri"/>
                <w:b/>
                <w:bCs/>
                <w:lang w:val="en-US"/>
              </w:rPr>
            </w:pPr>
          </w:p>
        </w:tc>
        <w:tc>
          <w:tcPr>
            <w:tcW w:w="1385" w:type="pct"/>
            <w:tcBorders>
              <w:top w:val="single" w:sz="4" w:space="0" w:color="auto"/>
              <w:bottom w:val="single" w:sz="4" w:space="0" w:color="auto"/>
            </w:tcBorders>
            <w:vAlign w:val="center"/>
          </w:tcPr>
          <w:p w14:paraId="0A8A8A3B" w14:textId="77777777" w:rsidR="006F1FB4" w:rsidRPr="00A20AE9" w:rsidRDefault="006F1FB4" w:rsidP="00731391">
            <w:pPr>
              <w:spacing w:before="40" w:after="40"/>
              <w:jc w:val="center"/>
              <w:rPr>
                <w:rFonts w:ascii="Calibri" w:hAnsi="Calibri" w:cs="Calibri"/>
                <w:b/>
                <w:bCs/>
                <w:lang w:val="en-US"/>
              </w:rPr>
            </w:pPr>
            <w:r w:rsidRPr="00A20AE9">
              <w:rPr>
                <w:rFonts w:ascii="Calibri" w:hAnsi="Calibri" w:cs="Calibri"/>
                <w:b/>
                <w:bCs/>
                <w:lang w:val="en-US"/>
              </w:rPr>
              <w:t>Minimum Exclusions</w:t>
            </w:r>
          </w:p>
        </w:tc>
        <w:tc>
          <w:tcPr>
            <w:tcW w:w="1407" w:type="pct"/>
            <w:tcBorders>
              <w:top w:val="single" w:sz="4" w:space="0" w:color="auto"/>
              <w:bottom w:val="single" w:sz="4" w:space="0" w:color="auto"/>
            </w:tcBorders>
            <w:vAlign w:val="center"/>
          </w:tcPr>
          <w:p w14:paraId="7FE5B419" w14:textId="77777777" w:rsidR="006F1FB4" w:rsidRPr="00A20AE9" w:rsidRDefault="006F1FB4" w:rsidP="00731391">
            <w:pPr>
              <w:spacing w:before="40" w:after="40"/>
              <w:jc w:val="center"/>
              <w:rPr>
                <w:rFonts w:ascii="Calibri" w:hAnsi="Calibri" w:cs="Calibri"/>
                <w:b/>
                <w:bCs/>
                <w:lang w:val="en-US"/>
              </w:rPr>
            </w:pPr>
            <w:r w:rsidRPr="00A20AE9">
              <w:rPr>
                <w:rFonts w:ascii="Calibri" w:hAnsi="Calibri" w:cs="Calibri"/>
                <w:b/>
                <w:bCs/>
                <w:lang w:val="en-US"/>
              </w:rPr>
              <w:t>Maximum Exclusions</w:t>
            </w:r>
          </w:p>
        </w:tc>
        <w:tc>
          <w:tcPr>
            <w:tcW w:w="1258" w:type="pct"/>
            <w:tcBorders>
              <w:top w:val="single" w:sz="4" w:space="0" w:color="auto"/>
              <w:bottom w:val="single" w:sz="4" w:space="0" w:color="auto"/>
            </w:tcBorders>
            <w:vAlign w:val="center"/>
          </w:tcPr>
          <w:p w14:paraId="2A3B2BE7" w14:textId="77777777" w:rsidR="006F1FB4" w:rsidRPr="00A20AE9" w:rsidRDefault="006F1FB4" w:rsidP="00731391">
            <w:pPr>
              <w:spacing w:before="40" w:after="40"/>
              <w:jc w:val="center"/>
              <w:rPr>
                <w:rFonts w:ascii="Calibri" w:hAnsi="Calibri" w:cs="Calibri"/>
                <w:b/>
                <w:bCs/>
                <w:lang w:val="en-US"/>
              </w:rPr>
            </w:pPr>
            <w:r w:rsidRPr="00A20AE9">
              <w:rPr>
                <w:rFonts w:ascii="Calibri" w:hAnsi="Calibri" w:cs="Calibri"/>
                <w:b/>
                <w:bCs/>
                <w:lang w:val="en-US"/>
              </w:rPr>
              <w:t>Median Exclusions</w:t>
            </w:r>
          </w:p>
        </w:tc>
      </w:tr>
      <w:tr w:rsidR="006F1FB4" w:rsidRPr="00A20AE9" w14:paraId="22970BD8" w14:textId="77777777" w:rsidTr="00731391">
        <w:tc>
          <w:tcPr>
            <w:tcW w:w="950" w:type="pct"/>
            <w:tcBorders>
              <w:top w:val="single" w:sz="4" w:space="0" w:color="auto"/>
            </w:tcBorders>
            <w:vAlign w:val="center"/>
          </w:tcPr>
          <w:p w14:paraId="716E775B" w14:textId="77777777" w:rsidR="006F1FB4" w:rsidRPr="00A20AE9" w:rsidRDefault="006F1FB4" w:rsidP="00731391">
            <w:pPr>
              <w:spacing w:before="40" w:after="40"/>
              <w:rPr>
                <w:rFonts w:ascii="Calibri" w:hAnsi="Calibri" w:cs="Calibri"/>
                <w:i/>
                <w:iCs/>
                <w:lang w:val="en-US"/>
              </w:rPr>
            </w:pPr>
            <w:r w:rsidRPr="00A20AE9">
              <w:rPr>
                <w:rFonts w:ascii="Calibri" w:hAnsi="Calibri" w:cs="Calibri"/>
                <w:i/>
                <w:iCs/>
                <w:lang w:val="en-US"/>
              </w:rPr>
              <w:t>Experiment 1</w:t>
            </w:r>
          </w:p>
        </w:tc>
        <w:tc>
          <w:tcPr>
            <w:tcW w:w="1385" w:type="pct"/>
            <w:tcBorders>
              <w:top w:val="single" w:sz="4" w:space="0" w:color="auto"/>
            </w:tcBorders>
            <w:vAlign w:val="center"/>
          </w:tcPr>
          <w:p w14:paraId="35E5CF20" w14:textId="77777777" w:rsidR="006F1FB4" w:rsidRPr="00A20AE9" w:rsidRDefault="006F1FB4" w:rsidP="00731391">
            <w:pPr>
              <w:spacing w:before="40" w:after="40"/>
              <w:jc w:val="center"/>
              <w:rPr>
                <w:rFonts w:ascii="Calibri" w:hAnsi="Calibri" w:cs="Calibri"/>
                <w:lang w:val="en-US"/>
              </w:rPr>
            </w:pPr>
            <w:r w:rsidRPr="00A20AE9">
              <w:rPr>
                <w:rFonts w:ascii="Calibri" w:hAnsi="Calibri" w:cs="Calibri"/>
                <w:lang w:val="en-US"/>
              </w:rPr>
              <w:t>0</w:t>
            </w:r>
          </w:p>
        </w:tc>
        <w:tc>
          <w:tcPr>
            <w:tcW w:w="1407" w:type="pct"/>
            <w:tcBorders>
              <w:top w:val="single" w:sz="4" w:space="0" w:color="auto"/>
            </w:tcBorders>
            <w:vAlign w:val="center"/>
          </w:tcPr>
          <w:p w14:paraId="4C47DC36" w14:textId="77777777" w:rsidR="006F1FB4" w:rsidRPr="00A20AE9" w:rsidRDefault="006F1FB4" w:rsidP="00731391">
            <w:pPr>
              <w:spacing w:before="40" w:after="40"/>
              <w:jc w:val="center"/>
              <w:rPr>
                <w:rFonts w:ascii="Calibri" w:hAnsi="Calibri" w:cs="Calibri"/>
                <w:lang w:val="en-US"/>
              </w:rPr>
            </w:pPr>
            <w:r w:rsidRPr="00A20AE9">
              <w:rPr>
                <w:rFonts w:ascii="Calibri" w:hAnsi="Calibri" w:cs="Calibri"/>
                <w:lang w:val="en-US"/>
              </w:rPr>
              <w:t>22</w:t>
            </w:r>
          </w:p>
        </w:tc>
        <w:tc>
          <w:tcPr>
            <w:tcW w:w="1258" w:type="pct"/>
            <w:tcBorders>
              <w:top w:val="single" w:sz="4" w:space="0" w:color="auto"/>
            </w:tcBorders>
            <w:vAlign w:val="center"/>
          </w:tcPr>
          <w:p w14:paraId="7BD7D86F" w14:textId="77777777" w:rsidR="006F1FB4" w:rsidRPr="00A20AE9" w:rsidRDefault="006F1FB4" w:rsidP="00731391">
            <w:pPr>
              <w:spacing w:before="40" w:after="40"/>
              <w:jc w:val="center"/>
              <w:rPr>
                <w:rFonts w:ascii="Calibri" w:hAnsi="Calibri" w:cs="Calibri"/>
                <w:lang w:val="en-US"/>
              </w:rPr>
            </w:pPr>
            <w:r w:rsidRPr="00A20AE9">
              <w:rPr>
                <w:rFonts w:ascii="Calibri" w:hAnsi="Calibri" w:cs="Calibri"/>
                <w:lang w:val="en-US"/>
              </w:rPr>
              <w:t>5</w:t>
            </w:r>
          </w:p>
        </w:tc>
      </w:tr>
      <w:tr w:rsidR="006F1FB4" w:rsidRPr="00A20AE9" w14:paraId="41D245B1" w14:textId="77777777" w:rsidTr="00731391">
        <w:tc>
          <w:tcPr>
            <w:tcW w:w="950" w:type="pct"/>
            <w:vAlign w:val="center"/>
          </w:tcPr>
          <w:p w14:paraId="17AE1824" w14:textId="77777777" w:rsidR="006F1FB4" w:rsidRPr="00A20AE9" w:rsidRDefault="006F1FB4" w:rsidP="00731391">
            <w:pPr>
              <w:spacing w:before="40" w:after="40"/>
              <w:rPr>
                <w:rFonts w:ascii="Calibri" w:hAnsi="Calibri" w:cs="Calibri"/>
                <w:i/>
                <w:iCs/>
                <w:lang w:val="en-US"/>
              </w:rPr>
            </w:pPr>
            <w:r w:rsidRPr="00A20AE9">
              <w:rPr>
                <w:rFonts w:ascii="Calibri" w:hAnsi="Calibri" w:cs="Calibri"/>
                <w:i/>
                <w:iCs/>
                <w:lang w:val="en-US"/>
              </w:rPr>
              <w:t>Experiment 2</w:t>
            </w:r>
          </w:p>
        </w:tc>
        <w:tc>
          <w:tcPr>
            <w:tcW w:w="1385" w:type="pct"/>
            <w:vAlign w:val="center"/>
          </w:tcPr>
          <w:p w14:paraId="0CE0D92D" w14:textId="77777777" w:rsidR="006F1FB4" w:rsidRPr="00A20AE9" w:rsidRDefault="006F1FB4" w:rsidP="00731391">
            <w:pPr>
              <w:spacing w:before="40" w:after="40"/>
              <w:jc w:val="center"/>
              <w:rPr>
                <w:rFonts w:ascii="Calibri" w:hAnsi="Calibri" w:cs="Calibri"/>
                <w:lang w:val="en-US"/>
              </w:rPr>
            </w:pPr>
            <w:r w:rsidRPr="00A20AE9">
              <w:rPr>
                <w:rFonts w:ascii="Calibri" w:hAnsi="Calibri" w:cs="Calibri"/>
                <w:lang w:val="en-US"/>
              </w:rPr>
              <w:t>0</w:t>
            </w:r>
          </w:p>
        </w:tc>
        <w:tc>
          <w:tcPr>
            <w:tcW w:w="1407" w:type="pct"/>
            <w:vAlign w:val="center"/>
          </w:tcPr>
          <w:p w14:paraId="28F83A63" w14:textId="77777777" w:rsidR="006F1FB4" w:rsidRPr="00A20AE9" w:rsidRDefault="006F1FB4" w:rsidP="00731391">
            <w:pPr>
              <w:spacing w:before="40" w:after="40"/>
              <w:jc w:val="center"/>
              <w:rPr>
                <w:rFonts w:ascii="Calibri" w:hAnsi="Calibri" w:cs="Calibri"/>
                <w:lang w:val="en-US"/>
              </w:rPr>
            </w:pPr>
            <w:r w:rsidRPr="00A20AE9">
              <w:rPr>
                <w:rFonts w:ascii="Calibri" w:hAnsi="Calibri" w:cs="Calibri"/>
                <w:lang w:val="en-US"/>
              </w:rPr>
              <w:t>24</w:t>
            </w:r>
          </w:p>
        </w:tc>
        <w:tc>
          <w:tcPr>
            <w:tcW w:w="1258" w:type="pct"/>
            <w:vAlign w:val="center"/>
          </w:tcPr>
          <w:p w14:paraId="55E4B3CB" w14:textId="77777777" w:rsidR="006F1FB4" w:rsidRPr="00A20AE9" w:rsidRDefault="006F1FB4" w:rsidP="00731391">
            <w:pPr>
              <w:spacing w:before="40" w:after="40"/>
              <w:jc w:val="center"/>
              <w:rPr>
                <w:rFonts w:ascii="Calibri" w:hAnsi="Calibri" w:cs="Calibri"/>
                <w:lang w:val="en-US"/>
              </w:rPr>
            </w:pPr>
            <w:r w:rsidRPr="00A20AE9">
              <w:rPr>
                <w:rFonts w:ascii="Calibri" w:hAnsi="Calibri" w:cs="Calibri"/>
                <w:lang w:val="en-US"/>
              </w:rPr>
              <w:t>4</w:t>
            </w:r>
          </w:p>
        </w:tc>
      </w:tr>
      <w:tr w:rsidR="006F1FB4" w:rsidRPr="00A20AE9" w14:paraId="5C7EF87A" w14:textId="77777777" w:rsidTr="00731391">
        <w:tc>
          <w:tcPr>
            <w:tcW w:w="950" w:type="pct"/>
            <w:vAlign w:val="center"/>
          </w:tcPr>
          <w:p w14:paraId="3AC87410" w14:textId="77777777" w:rsidR="006F1FB4" w:rsidRPr="00A20AE9" w:rsidRDefault="006F1FB4" w:rsidP="00731391">
            <w:pPr>
              <w:tabs>
                <w:tab w:val="center" w:pos="1019"/>
              </w:tabs>
              <w:spacing w:before="40" w:after="40"/>
              <w:rPr>
                <w:rFonts w:ascii="Calibri" w:hAnsi="Calibri" w:cs="Calibri"/>
                <w:i/>
                <w:iCs/>
                <w:lang w:val="en-US"/>
              </w:rPr>
            </w:pPr>
            <w:r w:rsidRPr="00A20AE9">
              <w:rPr>
                <w:rFonts w:ascii="Calibri" w:hAnsi="Calibri" w:cs="Calibri"/>
                <w:i/>
                <w:iCs/>
                <w:lang w:val="en-US"/>
              </w:rPr>
              <w:t>Experiment 3</w:t>
            </w:r>
          </w:p>
        </w:tc>
        <w:tc>
          <w:tcPr>
            <w:tcW w:w="1385" w:type="pct"/>
            <w:vAlign w:val="center"/>
          </w:tcPr>
          <w:p w14:paraId="37195EB5" w14:textId="77777777" w:rsidR="006F1FB4" w:rsidRPr="00A20AE9" w:rsidRDefault="006F1FB4" w:rsidP="00731391">
            <w:pPr>
              <w:spacing w:before="40" w:after="40"/>
              <w:jc w:val="center"/>
              <w:rPr>
                <w:rFonts w:ascii="Calibri" w:hAnsi="Calibri" w:cs="Calibri"/>
                <w:lang w:val="en-US"/>
              </w:rPr>
            </w:pPr>
            <w:r w:rsidRPr="00A20AE9">
              <w:rPr>
                <w:rFonts w:ascii="Calibri" w:hAnsi="Calibri" w:cs="Calibri"/>
                <w:lang w:val="en-US"/>
              </w:rPr>
              <w:t>0</w:t>
            </w:r>
          </w:p>
        </w:tc>
        <w:tc>
          <w:tcPr>
            <w:tcW w:w="1407" w:type="pct"/>
            <w:vAlign w:val="center"/>
          </w:tcPr>
          <w:p w14:paraId="635317E0" w14:textId="77777777" w:rsidR="006F1FB4" w:rsidRPr="00A20AE9" w:rsidRDefault="006F1FB4" w:rsidP="00731391">
            <w:pPr>
              <w:spacing w:before="40" w:after="40"/>
              <w:jc w:val="center"/>
              <w:rPr>
                <w:rFonts w:ascii="Calibri" w:hAnsi="Calibri" w:cs="Calibri"/>
                <w:lang w:val="en-US"/>
              </w:rPr>
            </w:pPr>
            <w:r w:rsidRPr="00A20AE9">
              <w:rPr>
                <w:rFonts w:ascii="Calibri" w:hAnsi="Calibri" w:cs="Calibri"/>
                <w:lang w:val="en-US"/>
              </w:rPr>
              <w:t>25</w:t>
            </w:r>
          </w:p>
        </w:tc>
        <w:tc>
          <w:tcPr>
            <w:tcW w:w="1258" w:type="pct"/>
            <w:vAlign w:val="center"/>
          </w:tcPr>
          <w:p w14:paraId="05C7C937" w14:textId="77777777" w:rsidR="006F1FB4" w:rsidRPr="00A20AE9" w:rsidRDefault="006F1FB4" w:rsidP="00731391">
            <w:pPr>
              <w:spacing w:before="40" w:after="40"/>
              <w:jc w:val="center"/>
              <w:rPr>
                <w:rFonts w:ascii="Calibri" w:hAnsi="Calibri" w:cs="Calibri"/>
                <w:lang w:val="en-US"/>
              </w:rPr>
            </w:pPr>
            <w:r w:rsidRPr="00A20AE9">
              <w:rPr>
                <w:rFonts w:ascii="Calibri" w:hAnsi="Calibri" w:cs="Calibri"/>
                <w:lang w:val="en-US"/>
              </w:rPr>
              <w:t>5.5</w:t>
            </w:r>
          </w:p>
        </w:tc>
      </w:tr>
      <w:tr w:rsidR="006F1FB4" w:rsidRPr="00A20AE9" w14:paraId="1735F9AB" w14:textId="77777777" w:rsidTr="00731391">
        <w:tc>
          <w:tcPr>
            <w:tcW w:w="950" w:type="pct"/>
            <w:vAlign w:val="center"/>
          </w:tcPr>
          <w:p w14:paraId="0E0F54B0" w14:textId="77777777" w:rsidR="006F1FB4" w:rsidRPr="00A20AE9" w:rsidRDefault="006F1FB4" w:rsidP="00731391">
            <w:pPr>
              <w:spacing w:before="40" w:after="40"/>
              <w:rPr>
                <w:rFonts w:ascii="Calibri" w:hAnsi="Calibri" w:cs="Calibri"/>
                <w:i/>
                <w:iCs/>
                <w:lang w:val="en-US"/>
              </w:rPr>
            </w:pPr>
            <w:r w:rsidRPr="00A20AE9">
              <w:rPr>
                <w:rFonts w:ascii="Calibri" w:hAnsi="Calibri" w:cs="Calibri"/>
                <w:i/>
                <w:iCs/>
                <w:lang w:val="en-US"/>
              </w:rPr>
              <w:t>Experiment 4</w:t>
            </w:r>
          </w:p>
        </w:tc>
        <w:tc>
          <w:tcPr>
            <w:tcW w:w="1385" w:type="pct"/>
            <w:vAlign w:val="center"/>
          </w:tcPr>
          <w:p w14:paraId="7D309AC8" w14:textId="77777777" w:rsidR="006F1FB4" w:rsidRPr="00A20AE9" w:rsidRDefault="006F1FB4" w:rsidP="00731391">
            <w:pPr>
              <w:spacing w:before="40" w:after="40"/>
              <w:jc w:val="center"/>
              <w:rPr>
                <w:rFonts w:ascii="Calibri" w:hAnsi="Calibri" w:cs="Calibri"/>
                <w:lang w:val="en-US"/>
              </w:rPr>
            </w:pPr>
            <w:r w:rsidRPr="00A20AE9">
              <w:rPr>
                <w:rFonts w:ascii="Calibri" w:hAnsi="Calibri" w:cs="Calibri"/>
                <w:lang w:val="en-US"/>
              </w:rPr>
              <w:t>0</w:t>
            </w:r>
          </w:p>
        </w:tc>
        <w:tc>
          <w:tcPr>
            <w:tcW w:w="1407" w:type="pct"/>
            <w:vAlign w:val="center"/>
          </w:tcPr>
          <w:p w14:paraId="4CAEE95C" w14:textId="77777777" w:rsidR="006F1FB4" w:rsidRPr="00A20AE9" w:rsidRDefault="006F1FB4" w:rsidP="00731391">
            <w:pPr>
              <w:spacing w:before="40" w:after="40"/>
              <w:jc w:val="center"/>
              <w:rPr>
                <w:rFonts w:ascii="Calibri" w:hAnsi="Calibri" w:cs="Calibri"/>
                <w:lang w:val="en-US"/>
              </w:rPr>
            </w:pPr>
            <w:r w:rsidRPr="00A20AE9">
              <w:rPr>
                <w:rFonts w:ascii="Calibri" w:hAnsi="Calibri" w:cs="Calibri"/>
                <w:lang w:val="en-US"/>
              </w:rPr>
              <w:t>23</w:t>
            </w:r>
          </w:p>
        </w:tc>
        <w:tc>
          <w:tcPr>
            <w:tcW w:w="1258" w:type="pct"/>
            <w:vAlign w:val="center"/>
          </w:tcPr>
          <w:p w14:paraId="6D3B4E41" w14:textId="77777777" w:rsidR="006F1FB4" w:rsidRPr="00A20AE9" w:rsidRDefault="006F1FB4" w:rsidP="00731391">
            <w:pPr>
              <w:spacing w:before="40" w:after="40"/>
              <w:jc w:val="center"/>
              <w:rPr>
                <w:rFonts w:ascii="Calibri" w:hAnsi="Calibri" w:cs="Calibri"/>
                <w:lang w:val="en-US"/>
              </w:rPr>
            </w:pPr>
            <w:r w:rsidRPr="00A20AE9">
              <w:rPr>
                <w:rFonts w:ascii="Calibri" w:hAnsi="Calibri" w:cs="Calibri"/>
                <w:lang w:val="en-US"/>
              </w:rPr>
              <w:t>5</w:t>
            </w:r>
          </w:p>
        </w:tc>
      </w:tr>
    </w:tbl>
    <w:p w14:paraId="0CB7D7E3" w14:textId="77777777" w:rsidR="006F1FB4" w:rsidRPr="00A20AE9" w:rsidRDefault="006F1FB4" w:rsidP="006F1FB4">
      <w:pPr>
        <w:rPr>
          <w:rFonts w:ascii="Calibri" w:hAnsi="Calibri" w:cs="Calibri"/>
        </w:rPr>
      </w:pPr>
    </w:p>
    <w:p w14:paraId="03E1CCE0" w14:textId="77777777" w:rsidR="006F1FB4" w:rsidRPr="00A20AE9" w:rsidRDefault="006F1FB4" w:rsidP="006F1FB4">
      <w:pPr>
        <w:rPr>
          <w:rFonts w:ascii="Calibri" w:hAnsi="Calibri" w:cs="Calibri"/>
        </w:rPr>
      </w:pPr>
      <w:r w:rsidRPr="00A20AE9">
        <w:rPr>
          <w:rFonts w:ascii="Calibri" w:hAnsi="Calibri" w:cs="Calibri"/>
        </w:rPr>
        <w:br w:type="page"/>
      </w:r>
    </w:p>
    <w:p w14:paraId="087D63B4" w14:textId="77777777" w:rsidR="006F1FB4" w:rsidRPr="00A20AE9" w:rsidRDefault="006F1FB4" w:rsidP="006F1FB4">
      <w:pPr>
        <w:rPr>
          <w:rFonts w:ascii="Calibri" w:hAnsi="Calibri" w:cs="Calibri"/>
          <w:lang w:val="en-US"/>
        </w:rPr>
      </w:pPr>
      <w:r w:rsidRPr="00A20AE9">
        <w:rPr>
          <w:rFonts w:ascii="Calibri" w:hAnsi="Calibri" w:cs="Calibri"/>
          <w:lang w:val="en-US"/>
        </w:rPr>
        <w:lastRenderedPageBreak/>
        <w:t xml:space="preserve">We additionally provide a full report of all descriptive data and statistical testing results from all experiments which has been summarized in the main body of the manuscript for brevity. This encompasses Balanced Integration Scores (BIS) scores for the main analysis of the effects of alignment, which are reported as divided accuracy and median reaction time scores in the main manuscript; and median and median reaction time scores for comparisons between horizontal and vertical composites, and between experiments, which are reported as BIS in the main manuscript. </w:t>
      </w:r>
    </w:p>
    <w:p w14:paraId="4D6697F4" w14:textId="77777777" w:rsidR="006F1FB4" w:rsidRPr="00A20AE9" w:rsidRDefault="006F1FB4" w:rsidP="006F1FB4">
      <w:pPr>
        <w:rPr>
          <w:rFonts w:ascii="Calibri" w:hAnsi="Calibri" w:cs="Calibri"/>
          <w:lang w:val="en-US"/>
        </w:rPr>
      </w:pPr>
      <w:r w:rsidRPr="00A20AE9">
        <w:rPr>
          <w:rFonts w:ascii="Calibri" w:hAnsi="Calibri" w:cs="Calibri"/>
          <w:lang w:val="en-US"/>
        </w:rPr>
        <w:t xml:space="preserve"> </w:t>
      </w:r>
    </w:p>
    <w:p w14:paraId="73E041E1" w14:textId="77777777" w:rsidR="006F1FB4" w:rsidRPr="00A20AE9" w:rsidRDefault="006F1FB4" w:rsidP="006F1FB4">
      <w:pPr>
        <w:rPr>
          <w:rFonts w:ascii="Calibri" w:hAnsi="Calibri" w:cs="Calibri"/>
          <w:lang w:val="en-US"/>
        </w:rPr>
      </w:pPr>
      <w:r w:rsidRPr="00A20AE9">
        <w:rPr>
          <w:rFonts w:ascii="Calibri" w:hAnsi="Calibri" w:cs="Calibri"/>
          <w:lang w:val="en-US"/>
        </w:rPr>
        <w:t xml:space="preserve">Suppl. Table 3. </w:t>
      </w:r>
    </w:p>
    <w:p w14:paraId="7D4C578F" w14:textId="77777777" w:rsidR="006F1FB4" w:rsidRPr="00A20AE9" w:rsidRDefault="006F1FB4" w:rsidP="006F1FB4">
      <w:pPr>
        <w:rPr>
          <w:rFonts w:ascii="Calibri" w:hAnsi="Calibri" w:cs="Calibri"/>
          <w:i/>
          <w:iCs/>
        </w:rPr>
      </w:pPr>
      <w:r w:rsidRPr="00A20AE9">
        <w:rPr>
          <w:rFonts w:ascii="Calibri" w:hAnsi="Calibri" w:cs="Calibri"/>
          <w:i/>
          <w:iCs/>
          <w:lang w:val="en-US"/>
        </w:rPr>
        <w:t>Descriptive statistics for Balanced Integration Scores (BIS) for individual alignment conditions across all experiments.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276"/>
        <w:gridCol w:w="1580"/>
        <w:gridCol w:w="1581"/>
        <w:gridCol w:w="1580"/>
        <w:gridCol w:w="1581"/>
      </w:tblGrid>
      <w:tr w:rsidR="006F1FB4" w:rsidRPr="00A20AE9" w14:paraId="493EC311" w14:textId="77777777" w:rsidTr="00731391">
        <w:tc>
          <w:tcPr>
            <w:tcW w:w="1418" w:type="dxa"/>
            <w:tcBorders>
              <w:top w:val="single" w:sz="4" w:space="0" w:color="auto"/>
              <w:bottom w:val="single" w:sz="4" w:space="0" w:color="auto"/>
            </w:tcBorders>
          </w:tcPr>
          <w:p w14:paraId="74C80ED8" w14:textId="77777777" w:rsidR="006F1FB4" w:rsidRPr="00A20AE9" w:rsidRDefault="006F1FB4" w:rsidP="00731391">
            <w:pPr>
              <w:spacing w:beforeLines="20" w:before="48" w:afterLines="20" w:after="48"/>
              <w:rPr>
                <w:rFonts w:ascii="Calibri" w:hAnsi="Calibri" w:cs="Calibri"/>
                <w:b/>
                <w:bCs/>
              </w:rPr>
            </w:pPr>
            <w:r w:rsidRPr="00A20AE9">
              <w:rPr>
                <w:rFonts w:ascii="Calibri" w:hAnsi="Calibri" w:cs="Calibri"/>
                <w:b/>
                <w:bCs/>
              </w:rPr>
              <w:t>Experiment</w:t>
            </w:r>
          </w:p>
        </w:tc>
        <w:tc>
          <w:tcPr>
            <w:tcW w:w="1276" w:type="dxa"/>
            <w:tcBorders>
              <w:top w:val="single" w:sz="4" w:space="0" w:color="auto"/>
              <w:bottom w:val="single" w:sz="4" w:space="0" w:color="auto"/>
            </w:tcBorders>
          </w:tcPr>
          <w:p w14:paraId="39EE6516" w14:textId="77777777" w:rsidR="006F1FB4" w:rsidRPr="00A20AE9" w:rsidRDefault="006F1FB4" w:rsidP="00731391">
            <w:pPr>
              <w:spacing w:beforeLines="20" w:before="48" w:afterLines="20" w:after="48"/>
              <w:rPr>
                <w:rFonts w:ascii="Calibri" w:hAnsi="Calibri" w:cs="Calibri"/>
                <w:b/>
                <w:bCs/>
              </w:rPr>
            </w:pPr>
          </w:p>
        </w:tc>
        <w:tc>
          <w:tcPr>
            <w:tcW w:w="1580" w:type="dxa"/>
            <w:tcBorders>
              <w:top w:val="single" w:sz="4" w:space="0" w:color="auto"/>
              <w:bottom w:val="single" w:sz="4" w:space="0" w:color="auto"/>
            </w:tcBorders>
          </w:tcPr>
          <w:p w14:paraId="09A8D722" w14:textId="77777777" w:rsidR="006F1FB4" w:rsidRPr="00A20AE9" w:rsidRDefault="006F1FB4" w:rsidP="00731391">
            <w:pPr>
              <w:spacing w:beforeLines="20" w:before="48" w:afterLines="20" w:after="48"/>
              <w:jc w:val="center"/>
              <w:rPr>
                <w:rFonts w:ascii="Calibri" w:hAnsi="Calibri" w:cs="Calibri"/>
                <w:b/>
                <w:bCs/>
              </w:rPr>
            </w:pPr>
            <w:r w:rsidRPr="00A20AE9">
              <w:rPr>
                <w:rFonts w:ascii="Calibri" w:hAnsi="Calibri" w:cs="Calibri"/>
                <w:b/>
                <w:bCs/>
              </w:rPr>
              <w:t>Aligned M</w:t>
            </w:r>
          </w:p>
        </w:tc>
        <w:tc>
          <w:tcPr>
            <w:tcW w:w="1581" w:type="dxa"/>
            <w:tcBorders>
              <w:top w:val="single" w:sz="4" w:space="0" w:color="auto"/>
              <w:bottom w:val="single" w:sz="4" w:space="0" w:color="auto"/>
            </w:tcBorders>
          </w:tcPr>
          <w:p w14:paraId="2D51FA89" w14:textId="77777777" w:rsidR="006F1FB4" w:rsidRPr="00A20AE9" w:rsidRDefault="006F1FB4" w:rsidP="00731391">
            <w:pPr>
              <w:spacing w:beforeLines="20" w:before="48" w:afterLines="20" w:after="48"/>
              <w:jc w:val="center"/>
              <w:rPr>
                <w:rFonts w:ascii="Calibri" w:hAnsi="Calibri" w:cs="Calibri"/>
                <w:b/>
                <w:bCs/>
              </w:rPr>
            </w:pPr>
            <w:r w:rsidRPr="00A20AE9">
              <w:rPr>
                <w:rFonts w:ascii="Calibri" w:hAnsi="Calibri" w:cs="Calibri"/>
                <w:b/>
                <w:bCs/>
              </w:rPr>
              <w:t>Aligned SD</w:t>
            </w:r>
          </w:p>
        </w:tc>
        <w:tc>
          <w:tcPr>
            <w:tcW w:w="1580" w:type="dxa"/>
            <w:tcBorders>
              <w:top w:val="single" w:sz="4" w:space="0" w:color="auto"/>
              <w:bottom w:val="single" w:sz="4" w:space="0" w:color="auto"/>
            </w:tcBorders>
          </w:tcPr>
          <w:p w14:paraId="3D0522AD" w14:textId="77777777" w:rsidR="006F1FB4" w:rsidRPr="00A20AE9" w:rsidRDefault="006F1FB4" w:rsidP="00731391">
            <w:pPr>
              <w:spacing w:beforeLines="20" w:before="48" w:afterLines="20" w:after="48"/>
              <w:jc w:val="center"/>
              <w:rPr>
                <w:rFonts w:ascii="Calibri" w:hAnsi="Calibri" w:cs="Calibri"/>
                <w:b/>
                <w:bCs/>
              </w:rPr>
            </w:pPr>
            <w:r w:rsidRPr="00A20AE9">
              <w:rPr>
                <w:rFonts w:ascii="Calibri" w:hAnsi="Calibri" w:cs="Calibri"/>
                <w:b/>
                <w:bCs/>
              </w:rPr>
              <w:t>Misaligned M</w:t>
            </w:r>
          </w:p>
        </w:tc>
        <w:tc>
          <w:tcPr>
            <w:tcW w:w="1581" w:type="dxa"/>
            <w:tcBorders>
              <w:top w:val="single" w:sz="4" w:space="0" w:color="auto"/>
              <w:bottom w:val="single" w:sz="4" w:space="0" w:color="auto"/>
            </w:tcBorders>
          </w:tcPr>
          <w:p w14:paraId="09101693" w14:textId="77777777" w:rsidR="006F1FB4" w:rsidRPr="00A20AE9" w:rsidRDefault="006F1FB4" w:rsidP="00731391">
            <w:pPr>
              <w:spacing w:beforeLines="20" w:before="48" w:afterLines="20" w:after="48"/>
              <w:jc w:val="center"/>
              <w:rPr>
                <w:rFonts w:ascii="Calibri" w:hAnsi="Calibri" w:cs="Calibri"/>
                <w:b/>
                <w:bCs/>
              </w:rPr>
            </w:pPr>
            <w:r w:rsidRPr="00A20AE9">
              <w:rPr>
                <w:rFonts w:ascii="Calibri" w:hAnsi="Calibri" w:cs="Calibri"/>
                <w:b/>
                <w:bCs/>
              </w:rPr>
              <w:t>Misaligned SD</w:t>
            </w:r>
          </w:p>
        </w:tc>
      </w:tr>
      <w:tr w:rsidR="006F1FB4" w:rsidRPr="00A20AE9" w14:paraId="0517DB19" w14:textId="77777777" w:rsidTr="00731391">
        <w:tc>
          <w:tcPr>
            <w:tcW w:w="2694" w:type="dxa"/>
            <w:gridSpan w:val="2"/>
            <w:tcBorders>
              <w:top w:val="single" w:sz="4" w:space="0" w:color="auto"/>
            </w:tcBorders>
          </w:tcPr>
          <w:p w14:paraId="07CE4FD3" w14:textId="77777777" w:rsidR="006F1FB4" w:rsidRPr="00A20AE9" w:rsidRDefault="006F1FB4" w:rsidP="00731391">
            <w:pPr>
              <w:spacing w:beforeLines="20" w:before="48" w:afterLines="20" w:after="48"/>
              <w:rPr>
                <w:rFonts w:ascii="Calibri" w:hAnsi="Calibri" w:cs="Calibri"/>
                <w:i/>
                <w:iCs/>
              </w:rPr>
            </w:pPr>
            <w:r w:rsidRPr="00A20AE9">
              <w:rPr>
                <w:rFonts w:ascii="Calibri" w:hAnsi="Calibri" w:cs="Calibri"/>
                <w:i/>
                <w:iCs/>
              </w:rPr>
              <w:t>Experiment 1</w:t>
            </w:r>
          </w:p>
        </w:tc>
        <w:tc>
          <w:tcPr>
            <w:tcW w:w="1580" w:type="dxa"/>
            <w:tcBorders>
              <w:top w:val="single" w:sz="4" w:space="0" w:color="auto"/>
            </w:tcBorders>
          </w:tcPr>
          <w:p w14:paraId="10D913AB" w14:textId="77777777" w:rsidR="006F1FB4" w:rsidRPr="00A20AE9" w:rsidRDefault="006F1FB4" w:rsidP="00731391">
            <w:pPr>
              <w:spacing w:beforeLines="20" w:before="48" w:afterLines="20" w:after="48"/>
              <w:rPr>
                <w:rFonts w:ascii="Calibri" w:hAnsi="Calibri" w:cs="Calibri"/>
              </w:rPr>
            </w:pPr>
          </w:p>
        </w:tc>
        <w:tc>
          <w:tcPr>
            <w:tcW w:w="1581" w:type="dxa"/>
            <w:tcBorders>
              <w:top w:val="single" w:sz="4" w:space="0" w:color="auto"/>
            </w:tcBorders>
          </w:tcPr>
          <w:p w14:paraId="72D43B91" w14:textId="77777777" w:rsidR="006F1FB4" w:rsidRPr="00A20AE9" w:rsidRDefault="006F1FB4" w:rsidP="00731391">
            <w:pPr>
              <w:spacing w:beforeLines="20" w:before="48" w:afterLines="20" w:after="48"/>
              <w:rPr>
                <w:rFonts w:ascii="Calibri" w:hAnsi="Calibri" w:cs="Calibri"/>
              </w:rPr>
            </w:pPr>
          </w:p>
        </w:tc>
        <w:tc>
          <w:tcPr>
            <w:tcW w:w="1580" w:type="dxa"/>
            <w:tcBorders>
              <w:top w:val="single" w:sz="4" w:space="0" w:color="auto"/>
            </w:tcBorders>
          </w:tcPr>
          <w:p w14:paraId="52FE2F92" w14:textId="77777777" w:rsidR="006F1FB4" w:rsidRPr="00A20AE9" w:rsidRDefault="006F1FB4" w:rsidP="00731391">
            <w:pPr>
              <w:spacing w:beforeLines="20" w:before="48" w:afterLines="20" w:after="48"/>
              <w:rPr>
                <w:rFonts w:ascii="Calibri" w:hAnsi="Calibri" w:cs="Calibri"/>
              </w:rPr>
            </w:pPr>
          </w:p>
        </w:tc>
        <w:tc>
          <w:tcPr>
            <w:tcW w:w="1581" w:type="dxa"/>
            <w:tcBorders>
              <w:top w:val="single" w:sz="4" w:space="0" w:color="auto"/>
            </w:tcBorders>
          </w:tcPr>
          <w:p w14:paraId="7C73E4A7" w14:textId="77777777" w:rsidR="006F1FB4" w:rsidRPr="00A20AE9" w:rsidRDefault="006F1FB4" w:rsidP="00731391">
            <w:pPr>
              <w:spacing w:beforeLines="20" w:before="48" w:afterLines="20" w:after="48"/>
              <w:rPr>
                <w:rFonts w:ascii="Calibri" w:hAnsi="Calibri" w:cs="Calibri"/>
              </w:rPr>
            </w:pPr>
          </w:p>
        </w:tc>
      </w:tr>
      <w:tr w:rsidR="006F1FB4" w:rsidRPr="00A20AE9" w14:paraId="2C8A2884" w14:textId="77777777" w:rsidTr="00731391">
        <w:tc>
          <w:tcPr>
            <w:tcW w:w="1418" w:type="dxa"/>
          </w:tcPr>
          <w:p w14:paraId="7F3D0E71" w14:textId="77777777" w:rsidR="006F1FB4" w:rsidRPr="00A20AE9" w:rsidRDefault="006F1FB4" w:rsidP="00731391">
            <w:pPr>
              <w:spacing w:beforeLines="20" w:before="48" w:afterLines="20" w:after="48"/>
              <w:rPr>
                <w:rFonts w:ascii="Calibri" w:hAnsi="Calibri" w:cs="Calibri"/>
              </w:rPr>
            </w:pPr>
          </w:p>
        </w:tc>
        <w:tc>
          <w:tcPr>
            <w:tcW w:w="1276" w:type="dxa"/>
          </w:tcPr>
          <w:p w14:paraId="64600660" w14:textId="77777777" w:rsidR="006F1FB4" w:rsidRPr="00A20AE9" w:rsidRDefault="006F1FB4" w:rsidP="00731391">
            <w:pPr>
              <w:spacing w:beforeLines="20" w:before="48" w:afterLines="20" w:after="48"/>
              <w:rPr>
                <w:rFonts w:ascii="Calibri" w:hAnsi="Calibri" w:cs="Calibri"/>
              </w:rPr>
            </w:pPr>
            <w:r w:rsidRPr="00A20AE9">
              <w:rPr>
                <w:rFonts w:ascii="Calibri" w:hAnsi="Calibri" w:cs="Calibri"/>
              </w:rPr>
              <w:t>Vertical</w:t>
            </w:r>
          </w:p>
        </w:tc>
        <w:tc>
          <w:tcPr>
            <w:tcW w:w="1580" w:type="dxa"/>
            <w:vAlign w:val="bottom"/>
          </w:tcPr>
          <w:p w14:paraId="52E17E7F"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0.07</w:t>
            </w:r>
          </w:p>
        </w:tc>
        <w:tc>
          <w:tcPr>
            <w:tcW w:w="1581" w:type="dxa"/>
            <w:vAlign w:val="bottom"/>
          </w:tcPr>
          <w:p w14:paraId="2FBE9E03"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1.04</w:t>
            </w:r>
          </w:p>
        </w:tc>
        <w:tc>
          <w:tcPr>
            <w:tcW w:w="1580" w:type="dxa"/>
            <w:vAlign w:val="bottom"/>
          </w:tcPr>
          <w:p w14:paraId="3EC0A4B1"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-0.43</w:t>
            </w:r>
          </w:p>
        </w:tc>
        <w:tc>
          <w:tcPr>
            <w:tcW w:w="1581" w:type="dxa"/>
            <w:vAlign w:val="bottom"/>
          </w:tcPr>
          <w:p w14:paraId="7F7AFEB3"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0.87</w:t>
            </w:r>
          </w:p>
        </w:tc>
      </w:tr>
      <w:tr w:rsidR="006F1FB4" w:rsidRPr="00A20AE9" w14:paraId="7B2000B6" w14:textId="77777777" w:rsidTr="00731391">
        <w:tc>
          <w:tcPr>
            <w:tcW w:w="1418" w:type="dxa"/>
          </w:tcPr>
          <w:p w14:paraId="4B4123CC" w14:textId="77777777" w:rsidR="006F1FB4" w:rsidRPr="00A20AE9" w:rsidRDefault="006F1FB4" w:rsidP="00731391">
            <w:pPr>
              <w:spacing w:beforeLines="20" w:before="48" w:afterLines="20" w:after="48"/>
              <w:rPr>
                <w:rFonts w:ascii="Calibri" w:hAnsi="Calibri" w:cs="Calibri"/>
              </w:rPr>
            </w:pPr>
          </w:p>
        </w:tc>
        <w:tc>
          <w:tcPr>
            <w:tcW w:w="1276" w:type="dxa"/>
          </w:tcPr>
          <w:p w14:paraId="1D072CC4" w14:textId="77777777" w:rsidR="006F1FB4" w:rsidRPr="00A20AE9" w:rsidRDefault="006F1FB4" w:rsidP="00731391">
            <w:pPr>
              <w:spacing w:beforeLines="20" w:before="48" w:afterLines="20" w:after="48"/>
              <w:rPr>
                <w:rFonts w:ascii="Calibri" w:hAnsi="Calibri" w:cs="Calibri"/>
              </w:rPr>
            </w:pPr>
            <w:r w:rsidRPr="00A20AE9">
              <w:rPr>
                <w:rFonts w:ascii="Calibri" w:hAnsi="Calibri" w:cs="Calibri"/>
              </w:rPr>
              <w:t>Horizontal</w:t>
            </w:r>
          </w:p>
        </w:tc>
        <w:tc>
          <w:tcPr>
            <w:tcW w:w="1580" w:type="dxa"/>
            <w:vAlign w:val="bottom"/>
          </w:tcPr>
          <w:p w14:paraId="374D2502"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0.54</w:t>
            </w:r>
          </w:p>
        </w:tc>
        <w:tc>
          <w:tcPr>
            <w:tcW w:w="1581" w:type="dxa"/>
            <w:vAlign w:val="bottom"/>
          </w:tcPr>
          <w:p w14:paraId="25919458"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1.68</w:t>
            </w:r>
          </w:p>
        </w:tc>
        <w:tc>
          <w:tcPr>
            <w:tcW w:w="1580" w:type="dxa"/>
            <w:vAlign w:val="bottom"/>
          </w:tcPr>
          <w:p w14:paraId="5CF4CCE8"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-0.18</w:t>
            </w:r>
          </w:p>
        </w:tc>
        <w:tc>
          <w:tcPr>
            <w:tcW w:w="1581" w:type="dxa"/>
            <w:vAlign w:val="bottom"/>
          </w:tcPr>
          <w:p w14:paraId="3665D16D"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1.43</w:t>
            </w:r>
          </w:p>
        </w:tc>
      </w:tr>
      <w:tr w:rsidR="006F1FB4" w:rsidRPr="00A20AE9" w14:paraId="6B431608" w14:textId="77777777" w:rsidTr="00731391">
        <w:tc>
          <w:tcPr>
            <w:tcW w:w="2694" w:type="dxa"/>
            <w:gridSpan w:val="2"/>
          </w:tcPr>
          <w:p w14:paraId="15C83636" w14:textId="77777777" w:rsidR="006F1FB4" w:rsidRPr="00A20AE9" w:rsidRDefault="006F1FB4" w:rsidP="00731391">
            <w:pPr>
              <w:spacing w:beforeLines="20" w:before="48" w:afterLines="20" w:after="48"/>
              <w:rPr>
                <w:rFonts w:ascii="Calibri" w:hAnsi="Calibri" w:cs="Calibri"/>
                <w:i/>
                <w:iCs/>
              </w:rPr>
            </w:pPr>
            <w:r w:rsidRPr="00A20AE9">
              <w:rPr>
                <w:rFonts w:ascii="Calibri" w:hAnsi="Calibri" w:cs="Calibri"/>
                <w:i/>
                <w:iCs/>
              </w:rPr>
              <w:t>Experiment 2</w:t>
            </w:r>
          </w:p>
        </w:tc>
        <w:tc>
          <w:tcPr>
            <w:tcW w:w="1580" w:type="dxa"/>
          </w:tcPr>
          <w:p w14:paraId="3CD48544" w14:textId="77777777" w:rsidR="006F1FB4" w:rsidRPr="00A20AE9" w:rsidRDefault="006F1FB4" w:rsidP="00731391">
            <w:pPr>
              <w:spacing w:beforeLines="20" w:before="48" w:afterLines="20" w:after="48"/>
              <w:rPr>
                <w:rFonts w:ascii="Calibri" w:hAnsi="Calibri" w:cs="Calibri"/>
              </w:rPr>
            </w:pPr>
          </w:p>
        </w:tc>
        <w:tc>
          <w:tcPr>
            <w:tcW w:w="1581" w:type="dxa"/>
          </w:tcPr>
          <w:p w14:paraId="40095EC4" w14:textId="77777777" w:rsidR="006F1FB4" w:rsidRPr="00A20AE9" w:rsidRDefault="006F1FB4" w:rsidP="00731391">
            <w:pPr>
              <w:spacing w:beforeLines="20" w:before="48" w:afterLines="20" w:after="48"/>
              <w:rPr>
                <w:rFonts w:ascii="Calibri" w:hAnsi="Calibri" w:cs="Calibri"/>
              </w:rPr>
            </w:pPr>
          </w:p>
        </w:tc>
        <w:tc>
          <w:tcPr>
            <w:tcW w:w="1580" w:type="dxa"/>
          </w:tcPr>
          <w:p w14:paraId="42854F9B" w14:textId="77777777" w:rsidR="006F1FB4" w:rsidRPr="00A20AE9" w:rsidRDefault="006F1FB4" w:rsidP="00731391">
            <w:pPr>
              <w:spacing w:beforeLines="20" w:before="48" w:afterLines="20" w:after="48"/>
              <w:rPr>
                <w:rFonts w:ascii="Calibri" w:hAnsi="Calibri" w:cs="Calibri"/>
              </w:rPr>
            </w:pPr>
          </w:p>
        </w:tc>
        <w:tc>
          <w:tcPr>
            <w:tcW w:w="1581" w:type="dxa"/>
          </w:tcPr>
          <w:p w14:paraId="0F4BD550" w14:textId="77777777" w:rsidR="006F1FB4" w:rsidRPr="00A20AE9" w:rsidRDefault="006F1FB4" w:rsidP="00731391">
            <w:pPr>
              <w:spacing w:beforeLines="20" w:before="48" w:afterLines="20" w:after="48"/>
              <w:rPr>
                <w:rFonts w:ascii="Calibri" w:hAnsi="Calibri" w:cs="Calibri"/>
              </w:rPr>
            </w:pPr>
          </w:p>
        </w:tc>
      </w:tr>
      <w:tr w:rsidR="006F1FB4" w:rsidRPr="00A20AE9" w14:paraId="605340EC" w14:textId="77777777" w:rsidTr="00731391">
        <w:tc>
          <w:tcPr>
            <w:tcW w:w="1418" w:type="dxa"/>
          </w:tcPr>
          <w:p w14:paraId="07B1250D" w14:textId="77777777" w:rsidR="006F1FB4" w:rsidRPr="00A20AE9" w:rsidRDefault="006F1FB4" w:rsidP="00731391">
            <w:pPr>
              <w:spacing w:beforeLines="20" w:before="48" w:afterLines="20" w:after="48"/>
              <w:rPr>
                <w:rFonts w:ascii="Calibri" w:hAnsi="Calibri" w:cs="Calibri"/>
              </w:rPr>
            </w:pPr>
          </w:p>
        </w:tc>
        <w:tc>
          <w:tcPr>
            <w:tcW w:w="1276" w:type="dxa"/>
          </w:tcPr>
          <w:p w14:paraId="31E705D1" w14:textId="77777777" w:rsidR="006F1FB4" w:rsidRPr="00A20AE9" w:rsidRDefault="006F1FB4" w:rsidP="00731391">
            <w:pPr>
              <w:spacing w:beforeLines="20" w:before="48" w:afterLines="20" w:after="48"/>
              <w:rPr>
                <w:rFonts w:ascii="Calibri" w:hAnsi="Calibri" w:cs="Calibri"/>
              </w:rPr>
            </w:pPr>
            <w:r w:rsidRPr="00A20AE9">
              <w:rPr>
                <w:rFonts w:ascii="Calibri" w:hAnsi="Calibri" w:cs="Calibri"/>
              </w:rPr>
              <w:t>Vertical</w:t>
            </w:r>
          </w:p>
        </w:tc>
        <w:tc>
          <w:tcPr>
            <w:tcW w:w="1580" w:type="dxa"/>
            <w:vAlign w:val="bottom"/>
          </w:tcPr>
          <w:p w14:paraId="06D6EF35"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0.16</w:t>
            </w:r>
          </w:p>
        </w:tc>
        <w:tc>
          <w:tcPr>
            <w:tcW w:w="1581" w:type="dxa"/>
            <w:vAlign w:val="bottom"/>
          </w:tcPr>
          <w:p w14:paraId="7EA37448"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1.25</w:t>
            </w:r>
          </w:p>
        </w:tc>
        <w:tc>
          <w:tcPr>
            <w:tcW w:w="1580" w:type="dxa"/>
            <w:vAlign w:val="bottom"/>
          </w:tcPr>
          <w:p w14:paraId="5FB0D88E"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-0.3</w:t>
            </w:r>
          </w:p>
        </w:tc>
        <w:tc>
          <w:tcPr>
            <w:tcW w:w="1581" w:type="dxa"/>
            <w:vAlign w:val="bottom"/>
          </w:tcPr>
          <w:p w14:paraId="1E7096BB"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1.02</w:t>
            </w:r>
          </w:p>
        </w:tc>
      </w:tr>
      <w:tr w:rsidR="006F1FB4" w:rsidRPr="00A20AE9" w14:paraId="65F36B43" w14:textId="77777777" w:rsidTr="00731391">
        <w:tc>
          <w:tcPr>
            <w:tcW w:w="1418" w:type="dxa"/>
          </w:tcPr>
          <w:p w14:paraId="74EE9864" w14:textId="77777777" w:rsidR="006F1FB4" w:rsidRPr="00A20AE9" w:rsidRDefault="006F1FB4" w:rsidP="00731391">
            <w:pPr>
              <w:spacing w:beforeLines="20" w:before="48" w:afterLines="20" w:after="48"/>
              <w:rPr>
                <w:rFonts w:ascii="Calibri" w:hAnsi="Calibri" w:cs="Calibri"/>
              </w:rPr>
            </w:pPr>
          </w:p>
        </w:tc>
        <w:tc>
          <w:tcPr>
            <w:tcW w:w="1276" w:type="dxa"/>
          </w:tcPr>
          <w:p w14:paraId="00591B6F" w14:textId="77777777" w:rsidR="006F1FB4" w:rsidRPr="00A20AE9" w:rsidRDefault="006F1FB4" w:rsidP="00731391">
            <w:pPr>
              <w:spacing w:beforeLines="20" w:before="48" w:afterLines="20" w:after="48"/>
              <w:rPr>
                <w:rFonts w:ascii="Calibri" w:hAnsi="Calibri" w:cs="Calibri"/>
              </w:rPr>
            </w:pPr>
            <w:r w:rsidRPr="00A20AE9">
              <w:rPr>
                <w:rFonts w:ascii="Calibri" w:hAnsi="Calibri" w:cs="Calibri"/>
              </w:rPr>
              <w:t>Horizontal</w:t>
            </w:r>
          </w:p>
        </w:tc>
        <w:tc>
          <w:tcPr>
            <w:tcW w:w="1580" w:type="dxa"/>
            <w:vAlign w:val="bottom"/>
          </w:tcPr>
          <w:p w14:paraId="757E2266"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0.46</w:t>
            </w:r>
          </w:p>
        </w:tc>
        <w:tc>
          <w:tcPr>
            <w:tcW w:w="1581" w:type="dxa"/>
            <w:vAlign w:val="bottom"/>
          </w:tcPr>
          <w:p w14:paraId="02FAA24A"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1.58</w:t>
            </w:r>
          </w:p>
        </w:tc>
        <w:tc>
          <w:tcPr>
            <w:tcW w:w="1580" w:type="dxa"/>
            <w:vAlign w:val="bottom"/>
          </w:tcPr>
          <w:p w14:paraId="64309CB7"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-0.32</w:t>
            </w:r>
          </w:p>
        </w:tc>
        <w:tc>
          <w:tcPr>
            <w:tcW w:w="1581" w:type="dxa"/>
            <w:vAlign w:val="bottom"/>
          </w:tcPr>
          <w:p w14:paraId="37F8FC4A"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1.23</w:t>
            </w:r>
          </w:p>
        </w:tc>
      </w:tr>
      <w:tr w:rsidR="006F1FB4" w:rsidRPr="00A20AE9" w14:paraId="16710C38" w14:textId="77777777" w:rsidTr="00731391">
        <w:tc>
          <w:tcPr>
            <w:tcW w:w="2694" w:type="dxa"/>
            <w:gridSpan w:val="2"/>
          </w:tcPr>
          <w:p w14:paraId="4666D503" w14:textId="77777777" w:rsidR="006F1FB4" w:rsidRPr="00A20AE9" w:rsidRDefault="006F1FB4" w:rsidP="00731391">
            <w:pPr>
              <w:spacing w:beforeLines="20" w:before="48" w:afterLines="20" w:after="48"/>
              <w:rPr>
                <w:rFonts w:ascii="Calibri" w:hAnsi="Calibri" w:cs="Calibri"/>
                <w:i/>
                <w:iCs/>
              </w:rPr>
            </w:pPr>
            <w:r w:rsidRPr="00A20AE9">
              <w:rPr>
                <w:rFonts w:ascii="Calibri" w:hAnsi="Calibri" w:cs="Calibri"/>
                <w:i/>
                <w:iCs/>
              </w:rPr>
              <w:t>Experiment 3</w:t>
            </w:r>
          </w:p>
        </w:tc>
        <w:tc>
          <w:tcPr>
            <w:tcW w:w="1580" w:type="dxa"/>
          </w:tcPr>
          <w:p w14:paraId="7206AE9A" w14:textId="77777777" w:rsidR="006F1FB4" w:rsidRPr="00A20AE9" w:rsidRDefault="006F1FB4" w:rsidP="00731391">
            <w:pPr>
              <w:spacing w:beforeLines="20" w:before="48" w:afterLines="20" w:after="48"/>
              <w:rPr>
                <w:rFonts w:ascii="Calibri" w:hAnsi="Calibri" w:cs="Calibri"/>
              </w:rPr>
            </w:pPr>
          </w:p>
        </w:tc>
        <w:tc>
          <w:tcPr>
            <w:tcW w:w="1581" w:type="dxa"/>
          </w:tcPr>
          <w:p w14:paraId="056533F9" w14:textId="77777777" w:rsidR="006F1FB4" w:rsidRPr="00A20AE9" w:rsidRDefault="006F1FB4" w:rsidP="00731391">
            <w:pPr>
              <w:spacing w:beforeLines="20" w:before="48" w:afterLines="20" w:after="48"/>
              <w:rPr>
                <w:rFonts w:ascii="Calibri" w:hAnsi="Calibri" w:cs="Calibri"/>
              </w:rPr>
            </w:pPr>
          </w:p>
        </w:tc>
        <w:tc>
          <w:tcPr>
            <w:tcW w:w="1580" w:type="dxa"/>
          </w:tcPr>
          <w:p w14:paraId="16878BD6" w14:textId="77777777" w:rsidR="006F1FB4" w:rsidRPr="00A20AE9" w:rsidRDefault="006F1FB4" w:rsidP="00731391">
            <w:pPr>
              <w:spacing w:beforeLines="20" w:before="48" w:afterLines="20" w:after="48"/>
              <w:rPr>
                <w:rFonts w:ascii="Calibri" w:hAnsi="Calibri" w:cs="Calibri"/>
              </w:rPr>
            </w:pPr>
          </w:p>
        </w:tc>
        <w:tc>
          <w:tcPr>
            <w:tcW w:w="1581" w:type="dxa"/>
          </w:tcPr>
          <w:p w14:paraId="690C42F1" w14:textId="77777777" w:rsidR="006F1FB4" w:rsidRPr="00A20AE9" w:rsidRDefault="006F1FB4" w:rsidP="00731391">
            <w:pPr>
              <w:spacing w:beforeLines="20" w:before="48" w:afterLines="20" w:after="48"/>
              <w:rPr>
                <w:rFonts w:ascii="Calibri" w:hAnsi="Calibri" w:cs="Calibri"/>
              </w:rPr>
            </w:pPr>
          </w:p>
        </w:tc>
      </w:tr>
      <w:tr w:rsidR="006F1FB4" w:rsidRPr="00A20AE9" w14:paraId="399DA915" w14:textId="77777777" w:rsidTr="00731391">
        <w:tc>
          <w:tcPr>
            <w:tcW w:w="1418" w:type="dxa"/>
          </w:tcPr>
          <w:p w14:paraId="09EE6CB4" w14:textId="77777777" w:rsidR="006F1FB4" w:rsidRPr="00A20AE9" w:rsidRDefault="006F1FB4" w:rsidP="00731391">
            <w:pPr>
              <w:spacing w:beforeLines="20" w:before="48" w:afterLines="20" w:after="48"/>
              <w:rPr>
                <w:rFonts w:ascii="Calibri" w:hAnsi="Calibri" w:cs="Calibri"/>
              </w:rPr>
            </w:pPr>
          </w:p>
        </w:tc>
        <w:tc>
          <w:tcPr>
            <w:tcW w:w="1276" w:type="dxa"/>
          </w:tcPr>
          <w:p w14:paraId="1ACCFD40" w14:textId="77777777" w:rsidR="006F1FB4" w:rsidRPr="00A20AE9" w:rsidRDefault="006F1FB4" w:rsidP="00731391">
            <w:pPr>
              <w:spacing w:beforeLines="20" w:before="48" w:afterLines="20" w:after="48"/>
              <w:rPr>
                <w:rFonts w:ascii="Calibri" w:hAnsi="Calibri" w:cs="Calibri"/>
              </w:rPr>
            </w:pPr>
            <w:r w:rsidRPr="00A20AE9">
              <w:rPr>
                <w:rFonts w:ascii="Calibri" w:hAnsi="Calibri" w:cs="Calibri"/>
              </w:rPr>
              <w:t>Vertical</w:t>
            </w:r>
          </w:p>
        </w:tc>
        <w:tc>
          <w:tcPr>
            <w:tcW w:w="1580" w:type="dxa"/>
            <w:vAlign w:val="bottom"/>
          </w:tcPr>
          <w:p w14:paraId="451C3B25"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-0.32</w:t>
            </w:r>
          </w:p>
        </w:tc>
        <w:tc>
          <w:tcPr>
            <w:tcW w:w="1581" w:type="dxa"/>
            <w:vAlign w:val="bottom"/>
          </w:tcPr>
          <w:p w14:paraId="6715CB70"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1.61</w:t>
            </w:r>
          </w:p>
        </w:tc>
        <w:tc>
          <w:tcPr>
            <w:tcW w:w="1580" w:type="dxa"/>
            <w:vAlign w:val="bottom"/>
          </w:tcPr>
          <w:p w14:paraId="4A2A6F17"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-0.67</w:t>
            </w:r>
          </w:p>
        </w:tc>
        <w:tc>
          <w:tcPr>
            <w:tcW w:w="1581" w:type="dxa"/>
            <w:vAlign w:val="bottom"/>
          </w:tcPr>
          <w:p w14:paraId="58F4924E"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1.66</w:t>
            </w:r>
          </w:p>
        </w:tc>
      </w:tr>
      <w:tr w:rsidR="006F1FB4" w:rsidRPr="00A20AE9" w14:paraId="4E2CADA4" w14:textId="77777777" w:rsidTr="00731391">
        <w:tc>
          <w:tcPr>
            <w:tcW w:w="1418" w:type="dxa"/>
          </w:tcPr>
          <w:p w14:paraId="706C4FEF" w14:textId="77777777" w:rsidR="006F1FB4" w:rsidRPr="00A20AE9" w:rsidRDefault="006F1FB4" w:rsidP="00731391">
            <w:pPr>
              <w:spacing w:beforeLines="20" w:before="48" w:afterLines="20" w:after="48"/>
              <w:rPr>
                <w:rFonts w:ascii="Calibri" w:hAnsi="Calibri" w:cs="Calibri"/>
              </w:rPr>
            </w:pPr>
          </w:p>
        </w:tc>
        <w:tc>
          <w:tcPr>
            <w:tcW w:w="1276" w:type="dxa"/>
          </w:tcPr>
          <w:p w14:paraId="064384B4" w14:textId="77777777" w:rsidR="006F1FB4" w:rsidRPr="00A20AE9" w:rsidRDefault="006F1FB4" w:rsidP="00731391">
            <w:pPr>
              <w:spacing w:beforeLines="20" w:before="48" w:afterLines="20" w:after="48"/>
              <w:rPr>
                <w:rFonts w:ascii="Calibri" w:hAnsi="Calibri" w:cs="Calibri"/>
              </w:rPr>
            </w:pPr>
            <w:r w:rsidRPr="00A20AE9">
              <w:rPr>
                <w:rFonts w:ascii="Calibri" w:hAnsi="Calibri" w:cs="Calibri"/>
              </w:rPr>
              <w:t>Horizontal</w:t>
            </w:r>
          </w:p>
        </w:tc>
        <w:tc>
          <w:tcPr>
            <w:tcW w:w="1580" w:type="dxa"/>
            <w:vAlign w:val="bottom"/>
          </w:tcPr>
          <w:p w14:paraId="6746B10C"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0.7</w:t>
            </w:r>
          </w:p>
        </w:tc>
        <w:tc>
          <w:tcPr>
            <w:tcW w:w="1581" w:type="dxa"/>
            <w:vAlign w:val="bottom"/>
          </w:tcPr>
          <w:p w14:paraId="1E031A63"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1.03</w:t>
            </w:r>
          </w:p>
        </w:tc>
        <w:tc>
          <w:tcPr>
            <w:tcW w:w="1580" w:type="dxa"/>
            <w:vAlign w:val="bottom"/>
          </w:tcPr>
          <w:p w14:paraId="7818198F"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0.28</w:t>
            </w:r>
          </w:p>
        </w:tc>
        <w:tc>
          <w:tcPr>
            <w:tcW w:w="1581" w:type="dxa"/>
            <w:vAlign w:val="bottom"/>
          </w:tcPr>
          <w:p w14:paraId="4F997BBC"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0.89</w:t>
            </w:r>
          </w:p>
        </w:tc>
      </w:tr>
      <w:tr w:rsidR="006F1FB4" w:rsidRPr="00A20AE9" w14:paraId="0C73F918" w14:textId="77777777" w:rsidTr="00731391">
        <w:tc>
          <w:tcPr>
            <w:tcW w:w="2694" w:type="dxa"/>
            <w:gridSpan w:val="2"/>
          </w:tcPr>
          <w:p w14:paraId="230E5E52" w14:textId="77777777" w:rsidR="006F1FB4" w:rsidRPr="00A20AE9" w:rsidRDefault="006F1FB4" w:rsidP="00731391">
            <w:pPr>
              <w:spacing w:beforeLines="20" w:before="48" w:afterLines="20" w:after="48"/>
              <w:rPr>
                <w:rFonts w:ascii="Calibri" w:hAnsi="Calibri" w:cs="Calibri"/>
                <w:i/>
                <w:iCs/>
              </w:rPr>
            </w:pPr>
            <w:r w:rsidRPr="00A20AE9">
              <w:rPr>
                <w:rFonts w:ascii="Calibri" w:hAnsi="Calibri" w:cs="Calibri"/>
                <w:i/>
                <w:iCs/>
              </w:rPr>
              <w:t>Experiment 4</w:t>
            </w:r>
          </w:p>
        </w:tc>
        <w:tc>
          <w:tcPr>
            <w:tcW w:w="1580" w:type="dxa"/>
          </w:tcPr>
          <w:p w14:paraId="79453F49" w14:textId="77777777" w:rsidR="006F1FB4" w:rsidRPr="00A20AE9" w:rsidRDefault="006F1FB4" w:rsidP="00731391">
            <w:pPr>
              <w:spacing w:beforeLines="20" w:before="48" w:afterLines="20" w:after="48"/>
              <w:rPr>
                <w:rFonts w:ascii="Calibri" w:hAnsi="Calibri" w:cs="Calibri"/>
              </w:rPr>
            </w:pPr>
          </w:p>
        </w:tc>
        <w:tc>
          <w:tcPr>
            <w:tcW w:w="1581" w:type="dxa"/>
          </w:tcPr>
          <w:p w14:paraId="7099C901" w14:textId="77777777" w:rsidR="006F1FB4" w:rsidRPr="00A20AE9" w:rsidRDefault="006F1FB4" w:rsidP="00731391">
            <w:pPr>
              <w:spacing w:beforeLines="20" w:before="48" w:afterLines="20" w:after="48"/>
              <w:rPr>
                <w:rFonts w:ascii="Calibri" w:hAnsi="Calibri" w:cs="Calibri"/>
              </w:rPr>
            </w:pPr>
          </w:p>
        </w:tc>
        <w:tc>
          <w:tcPr>
            <w:tcW w:w="1580" w:type="dxa"/>
          </w:tcPr>
          <w:p w14:paraId="56C1245F" w14:textId="77777777" w:rsidR="006F1FB4" w:rsidRPr="00A20AE9" w:rsidRDefault="006F1FB4" w:rsidP="00731391">
            <w:pPr>
              <w:spacing w:beforeLines="20" w:before="48" w:afterLines="20" w:after="48"/>
              <w:rPr>
                <w:rFonts w:ascii="Calibri" w:hAnsi="Calibri" w:cs="Calibri"/>
              </w:rPr>
            </w:pPr>
          </w:p>
        </w:tc>
        <w:tc>
          <w:tcPr>
            <w:tcW w:w="1581" w:type="dxa"/>
          </w:tcPr>
          <w:p w14:paraId="4A9D37D6" w14:textId="77777777" w:rsidR="006F1FB4" w:rsidRPr="00A20AE9" w:rsidRDefault="006F1FB4" w:rsidP="00731391">
            <w:pPr>
              <w:spacing w:beforeLines="20" w:before="48" w:afterLines="20" w:after="48"/>
              <w:rPr>
                <w:rFonts w:ascii="Calibri" w:hAnsi="Calibri" w:cs="Calibri"/>
              </w:rPr>
            </w:pPr>
          </w:p>
        </w:tc>
      </w:tr>
      <w:tr w:rsidR="006F1FB4" w:rsidRPr="00A20AE9" w14:paraId="3739EAA3" w14:textId="77777777" w:rsidTr="00731391">
        <w:tc>
          <w:tcPr>
            <w:tcW w:w="1418" w:type="dxa"/>
          </w:tcPr>
          <w:p w14:paraId="5827B3DB" w14:textId="77777777" w:rsidR="006F1FB4" w:rsidRPr="00A20AE9" w:rsidRDefault="006F1FB4" w:rsidP="00731391">
            <w:pPr>
              <w:spacing w:beforeLines="20" w:before="48" w:afterLines="20" w:after="48"/>
              <w:rPr>
                <w:rFonts w:ascii="Calibri" w:hAnsi="Calibri" w:cs="Calibri"/>
              </w:rPr>
            </w:pPr>
          </w:p>
        </w:tc>
        <w:tc>
          <w:tcPr>
            <w:tcW w:w="1276" w:type="dxa"/>
          </w:tcPr>
          <w:p w14:paraId="062BC3DC" w14:textId="77777777" w:rsidR="006F1FB4" w:rsidRPr="00A20AE9" w:rsidRDefault="006F1FB4" w:rsidP="00731391">
            <w:pPr>
              <w:spacing w:beforeLines="20" w:before="48" w:afterLines="20" w:after="48"/>
              <w:rPr>
                <w:rFonts w:ascii="Calibri" w:hAnsi="Calibri" w:cs="Calibri"/>
              </w:rPr>
            </w:pPr>
            <w:r w:rsidRPr="00A20AE9">
              <w:rPr>
                <w:rFonts w:ascii="Calibri" w:hAnsi="Calibri" w:cs="Calibri"/>
              </w:rPr>
              <w:t>Vertical</w:t>
            </w:r>
          </w:p>
        </w:tc>
        <w:tc>
          <w:tcPr>
            <w:tcW w:w="1580" w:type="dxa"/>
            <w:vAlign w:val="bottom"/>
          </w:tcPr>
          <w:p w14:paraId="58058698"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-0.8</w:t>
            </w:r>
          </w:p>
        </w:tc>
        <w:tc>
          <w:tcPr>
            <w:tcW w:w="1581" w:type="dxa"/>
            <w:vAlign w:val="bottom"/>
          </w:tcPr>
          <w:p w14:paraId="67094D7B"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0.97</w:t>
            </w:r>
          </w:p>
        </w:tc>
        <w:tc>
          <w:tcPr>
            <w:tcW w:w="1580" w:type="dxa"/>
            <w:vAlign w:val="bottom"/>
          </w:tcPr>
          <w:p w14:paraId="6AEE66D6"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-0.97</w:t>
            </w:r>
          </w:p>
        </w:tc>
        <w:tc>
          <w:tcPr>
            <w:tcW w:w="1581" w:type="dxa"/>
            <w:vAlign w:val="bottom"/>
          </w:tcPr>
          <w:p w14:paraId="56EC02F2"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0.75</w:t>
            </w:r>
          </w:p>
        </w:tc>
      </w:tr>
      <w:tr w:rsidR="006F1FB4" w:rsidRPr="00A20AE9" w14:paraId="68376799" w14:textId="77777777" w:rsidTr="00731391">
        <w:tc>
          <w:tcPr>
            <w:tcW w:w="1418" w:type="dxa"/>
          </w:tcPr>
          <w:p w14:paraId="43EB3832" w14:textId="77777777" w:rsidR="006F1FB4" w:rsidRPr="00A20AE9" w:rsidRDefault="006F1FB4" w:rsidP="00731391">
            <w:pPr>
              <w:spacing w:beforeLines="20" w:before="48" w:afterLines="20" w:after="48"/>
              <w:rPr>
                <w:rFonts w:ascii="Calibri" w:hAnsi="Calibri" w:cs="Calibri"/>
              </w:rPr>
            </w:pPr>
          </w:p>
        </w:tc>
        <w:tc>
          <w:tcPr>
            <w:tcW w:w="1276" w:type="dxa"/>
          </w:tcPr>
          <w:p w14:paraId="31D7ACDB" w14:textId="77777777" w:rsidR="006F1FB4" w:rsidRPr="00A20AE9" w:rsidRDefault="006F1FB4" w:rsidP="00731391">
            <w:pPr>
              <w:spacing w:beforeLines="20" w:before="48" w:afterLines="20" w:after="48"/>
              <w:rPr>
                <w:rFonts w:ascii="Calibri" w:hAnsi="Calibri" w:cs="Calibri"/>
              </w:rPr>
            </w:pPr>
            <w:r w:rsidRPr="00A20AE9">
              <w:rPr>
                <w:rFonts w:ascii="Calibri" w:hAnsi="Calibri" w:cs="Calibri"/>
              </w:rPr>
              <w:t>Horizontal</w:t>
            </w:r>
          </w:p>
        </w:tc>
        <w:tc>
          <w:tcPr>
            <w:tcW w:w="1580" w:type="dxa"/>
            <w:vAlign w:val="bottom"/>
          </w:tcPr>
          <w:p w14:paraId="3A0F2D78"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0.66</w:t>
            </w:r>
          </w:p>
        </w:tc>
        <w:tc>
          <w:tcPr>
            <w:tcW w:w="1581" w:type="dxa"/>
            <w:vAlign w:val="bottom"/>
          </w:tcPr>
          <w:p w14:paraId="73501B40"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1.41</w:t>
            </w:r>
          </w:p>
        </w:tc>
        <w:tc>
          <w:tcPr>
            <w:tcW w:w="1580" w:type="dxa"/>
            <w:vAlign w:val="bottom"/>
          </w:tcPr>
          <w:p w14:paraId="63324B1A"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1.11</w:t>
            </w:r>
          </w:p>
        </w:tc>
        <w:tc>
          <w:tcPr>
            <w:tcW w:w="1581" w:type="dxa"/>
            <w:vAlign w:val="bottom"/>
          </w:tcPr>
          <w:p w14:paraId="1B78112B" w14:textId="77777777" w:rsidR="006F1FB4" w:rsidRPr="00A20AE9" w:rsidRDefault="006F1FB4" w:rsidP="00731391">
            <w:pPr>
              <w:spacing w:beforeLines="20" w:before="48" w:afterLines="20" w:after="48"/>
              <w:jc w:val="center"/>
              <w:rPr>
                <w:rFonts w:ascii="Calibri" w:hAnsi="Calibri" w:cs="Calibri"/>
              </w:rPr>
            </w:pPr>
            <w:r w:rsidRPr="00A20AE9">
              <w:rPr>
                <w:rFonts w:ascii="Calibri" w:hAnsi="Calibri" w:cs="Calibri"/>
              </w:rPr>
              <w:t>1.53</w:t>
            </w:r>
          </w:p>
        </w:tc>
      </w:tr>
    </w:tbl>
    <w:p w14:paraId="308E55A3" w14:textId="77777777" w:rsidR="006F1FB4" w:rsidRPr="00A20AE9" w:rsidRDefault="006F1FB4" w:rsidP="006F1FB4">
      <w:pPr>
        <w:rPr>
          <w:rFonts w:ascii="Calibri" w:hAnsi="Calibri" w:cs="Calibri"/>
        </w:rPr>
      </w:pPr>
    </w:p>
    <w:p w14:paraId="5F782E1F" w14:textId="77777777" w:rsidR="006F1FB4" w:rsidRPr="00A20AE9" w:rsidRDefault="006F1FB4" w:rsidP="006F1FB4">
      <w:pPr>
        <w:rPr>
          <w:rFonts w:ascii="Calibri" w:hAnsi="Calibri" w:cs="Calibri"/>
        </w:rPr>
      </w:pPr>
      <w:r w:rsidRPr="00A20AE9">
        <w:rPr>
          <w:rFonts w:ascii="Calibri" w:hAnsi="Calibri" w:cs="Calibri"/>
        </w:rPr>
        <w:br w:type="page"/>
      </w:r>
    </w:p>
    <w:p w14:paraId="208E4849" w14:textId="77777777" w:rsidR="006F1FB4" w:rsidRPr="00A20AE9" w:rsidRDefault="006F1FB4" w:rsidP="006F1FB4">
      <w:pPr>
        <w:rPr>
          <w:rFonts w:ascii="Calibri" w:hAnsi="Calibri" w:cs="Calibri"/>
          <w:lang w:val="en-US"/>
        </w:rPr>
      </w:pPr>
      <w:r w:rsidRPr="00A20AE9">
        <w:rPr>
          <w:rFonts w:ascii="Calibri" w:hAnsi="Calibri" w:cs="Calibri"/>
          <w:lang w:val="en-US"/>
        </w:rPr>
        <w:lastRenderedPageBreak/>
        <w:t xml:space="preserve">Suppl. Table 4. </w:t>
      </w:r>
    </w:p>
    <w:p w14:paraId="0D77D703" w14:textId="77777777" w:rsidR="006F1FB4" w:rsidRPr="00A20AE9" w:rsidRDefault="006F1FB4" w:rsidP="006F1FB4">
      <w:pPr>
        <w:rPr>
          <w:rFonts w:ascii="Calibri" w:hAnsi="Calibri" w:cs="Calibri"/>
          <w:i/>
          <w:iCs/>
          <w:lang w:val="en-US"/>
        </w:rPr>
      </w:pPr>
      <w:r w:rsidRPr="00A20AE9">
        <w:rPr>
          <w:rFonts w:ascii="Calibri" w:hAnsi="Calibri" w:cs="Calibri"/>
          <w:i/>
          <w:iCs/>
          <w:lang w:val="en-US"/>
        </w:rPr>
        <w:t>Results of paired sample t-tests comparing Aligned with Misaligned composite BIS across all experiments.</w:t>
      </w:r>
    </w:p>
    <w:tbl>
      <w:tblPr>
        <w:tblStyle w:val="TableGrid"/>
        <w:tblW w:w="5060"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772"/>
        <w:gridCol w:w="2240"/>
        <w:gridCol w:w="986"/>
        <w:gridCol w:w="1134"/>
        <w:gridCol w:w="1273"/>
        <w:gridCol w:w="1134"/>
        <w:gridCol w:w="1483"/>
      </w:tblGrid>
      <w:tr w:rsidR="006F1FB4" w:rsidRPr="00A20AE9" w14:paraId="5D37E605" w14:textId="77777777" w:rsidTr="00731391">
        <w:trPr>
          <w:gridBefore w:val="1"/>
          <w:wBefore w:w="61" w:type="pct"/>
          <w:trHeight w:val="284"/>
        </w:trPr>
        <w:tc>
          <w:tcPr>
            <w:tcW w:w="1648" w:type="pct"/>
            <w:gridSpan w:val="2"/>
            <w:tcBorders>
              <w:top w:val="single" w:sz="4" w:space="0" w:color="auto"/>
              <w:bottom w:val="single" w:sz="4" w:space="0" w:color="auto"/>
            </w:tcBorders>
            <w:vAlign w:val="center"/>
          </w:tcPr>
          <w:p w14:paraId="4980544C" w14:textId="77777777" w:rsidR="006F1FB4" w:rsidRPr="00A20AE9" w:rsidRDefault="006F1FB4" w:rsidP="00731391">
            <w:pPr>
              <w:spacing w:beforeLines="40" w:before="96" w:afterLines="40" w:after="96"/>
              <w:jc w:val="center"/>
              <w:rPr>
                <w:rFonts w:ascii="Calibri" w:hAnsi="Calibri" w:cs="Calibri"/>
                <w:b/>
                <w:bCs/>
              </w:rPr>
            </w:pPr>
          </w:p>
        </w:tc>
        <w:tc>
          <w:tcPr>
            <w:tcW w:w="540" w:type="pct"/>
            <w:tcBorders>
              <w:top w:val="single" w:sz="4" w:space="0" w:color="auto"/>
              <w:bottom w:val="single" w:sz="4" w:space="0" w:color="auto"/>
            </w:tcBorders>
            <w:vAlign w:val="center"/>
          </w:tcPr>
          <w:p w14:paraId="5B2EC904" w14:textId="77777777" w:rsidR="006F1FB4" w:rsidRPr="00A20AE9" w:rsidRDefault="006F1FB4" w:rsidP="00731391">
            <w:pPr>
              <w:spacing w:beforeLines="40" w:before="96" w:afterLines="40" w:after="96"/>
              <w:jc w:val="center"/>
              <w:rPr>
                <w:rFonts w:ascii="Calibri" w:hAnsi="Calibri" w:cs="Calibri"/>
                <w:b/>
                <w:bCs/>
                <w:i/>
                <w:iCs/>
              </w:rPr>
            </w:pPr>
            <w:proofErr w:type="spellStart"/>
            <w:r w:rsidRPr="00A20AE9">
              <w:rPr>
                <w:rFonts w:ascii="Calibri" w:hAnsi="Calibri" w:cs="Calibri"/>
                <w:b/>
                <w:bCs/>
                <w:i/>
                <w:iCs/>
              </w:rPr>
              <w:t>df</w:t>
            </w:r>
            <w:proofErr w:type="spellEnd"/>
          </w:p>
        </w:tc>
        <w:tc>
          <w:tcPr>
            <w:tcW w:w="621" w:type="pct"/>
            <w:tcBorders>
              <w:top w:val="single" w:sz="4" w:space="0" w:color="auto"/>
              <w:bottom w:val="single" w:sz="4" w:space="0" w:color="auto"/>
            </w:tcBorders>
            <w:vAlign w:val="center"/>
          </w:tcPr>
          <w:p w14:paraId="2CE27D64" w14:textId="77777777" w:rsidR="006F1FB4" w:rsidRPr="00A20AE9" w:rsidRDefault="006F1FB4" w:rsidP="00731391">
            <w:pPr>
              <w:spacing w:beforeLines="40" w:before="96" w:afterLines="40" w:after="96"/>
              <w:jc w:val="center"/>
              <w:rPr>
                <w:rFonts w:ascii="Calibri" w:hAnsi="Calibri" w:cs="Calibri"/>
                <w:b/>
                <w:bCs/>
                <w:i/>
                <w:iCs/>
              </w:rPr>
            </w:pPr>
            <w:r w:rsidRPr="00A20AE9">
              <w:rPr>
                <w:rFonts w:ascii="Calibri" w:hAnsi="Calibri" w:cs="Calibri"/>
                <w:b/>
                <w:bCs/>
                <w:i/>
                <w:iCs/>
              </w:rPr>
              <w:t>t</w:t>
            </w:r>
          </w:p>
        </w:tc>
        <w:tc>
          <w:tcPr>
            <w:tcW w:w="697" w:type="pct"/>
            <w:tcBorders>
              <w:top w:val="single" w:sz="4" w:space="0" w:color="auto"/>
              <w:bottom w:val="single" w:sz="4" w:space="0" w:color="auto"/>
            </w:tcBorders>
            <w:vAlign w:val="center"/>
          </w:tcPr>
          <w:p w14:paraId="07F11E21" w14:textId="77777777" w:rsidR="006F1FB4" w:rsidRPr="00A20AE9" w:rsidRDefault="006F1FB4" w:rsidP="00731391">
            <w:pPr>
              <w:spacing w:beforeLines="40" w:before="96" w:afterLines="40" w:after="96"/>
              <w:jc w:val="center"/>
              <w:rPr>
                <w:rFonts w:ascii="Calibri" w:hAnsi="Calibri" w:cs="Calibri"/>
                <w:b/>
                <w:bCs/>
                <w:i/>
                <w:iCs/>
              </w:rPr>
            </w:pPr>
            <w:r w:rsidRPr="00A20AE9">
              <w:rPr>
                <w:rFonts w:ascii="Calibri" w:hAnsi="Calibri" w:cs="Calibri"/>
                <w:b/>
                <w:bCs/>
                <w:i/>
                <w:iCs/>
              </w:rPr>
              <w:t>p</w:t>
            </w:r>
          </w:p>
        </w:tc>
        <w:tc>
          <w:tcPr>
            <w:tcW w:w="621" w:type="pct"/>
            <w:tcBorders>
              <w:top w:val="single" w:sz="4" w:space="0" w:color="auto"/>
              <w:bottom w:val="single" w:sz="4" w:space="0" w:color="auto"/>
            </w:tcBorders>
            <w:vAlign w:val="center"/>
          </w:tcPr>
          <w:p w14:paraId="481D7F53" w14:textId="77777777" w:rsidR="006F1FB4" w:rsidRPr="00A20AE9" w:rsidRDefault="006F1FB4" w:rsidP="00731391">
            <w:pPr>
              <w:spacing w:beforeLines="40" w:before="96" w:afterLines="40" w:after="96"/>
              <w:jc w:val="center"/>
              <w:rPr>
                <w:rFonts w:ascii="Calibri" w:hAnsi="Calibri" w:cs="Calibri"/>
                <w:b/>
                <w:bCs/>
                <w:i/>
                <w:iCs/>
              </w:rPr>
            </w:pPr>
            <w:proofErr w:type="spellStart"/>
            <w:r w:rsidRPr="00A20AE9">
              <w:rPr>
                <w:rFonts w:ascii="Calibri" w:hAnsi="Calibri" w:cs="Calibri"/>
                <w:b/>
                <w:bCs/>
                <w:i/>
                <w:iCs/>
              </w:rPr>
              <w:t>d</w:t>
            </w:r>
            <w:r w:rsidRPr="00A20AE9">
              <w:rPr>
                <w:rFonts w:ascii="Calibri" w:hAnsi="Calibri" w:cs="Calibri"/>
                <w:b/>
                <w:bCs/>
                <w:i/>
                <w:iCs/>
                <w:vertAlign w:val="subscript"/>
              </w:rPr>
              <w:t>avg</w:t>
            </w:r>
            <w:proofErr w:type="spellEnd"/>
          </w:p>
        </w:tc>
        <w:tc>
          <w:tcPr>
            <w:tcW w:w="813" w:type="pct"/>
            <w:tcBorders>
              <w:top w:val="single" w:sz="4" w:space="0" w:color="auto"/>
              <w:bottom w:val="single" w:sz="4" w:space="0" w:color="auto"/>
            </w:tcBorders>
          </w:tcPr>
          <w:p w14:paraId="2EAA7ADB" w14:textId="77777777" w:rsidR="006F1FB4" w:rsidRPr="00A20AE9" w:rsidRDefault="006F1FB4" w:rsidP="00731391">
            <w:pPr>
              <w:spacing w:beforeLines="40" w:before="96" w:afterLines="40" w:after="96"/>
              <w:jc w:val="center"/>
              <w:rPr>
                <w:rFonts w:ascii="Calibri" w:hAnsi="Calibri" w:cs="Calibri"/>
                <w:b/>
                <w:bCs/>
                <w:i/>
                <w:iCs/>
              </w:rPr>
            </w:pPr>
            <w:r w:rsidRPr="00A20AE9">
              <w:rPr>
                <w:rFonts w:ascii="Calibri" w:hAnsi="Calibri" w:cs="Calibri"/>
                <w:b/>
                <w:bCs/>
                <w:i/>
                <w:iCs/>
              </w:rPr>
              <w:t>BF</w:t>
            </w:r>
            <w:r w:rsidRPr="00A20AE9">
              <w:rPr>
                <w:rFonts w:ascii="Calibri" w:hAnsi="Calibri" w:cs="Calibri"/>
                <w:b/>
                <w:bCs/>
                <w:i/>
                <w:iCs/>
                <w:vertAlign w:val="subscript"/>
              </w:rPr>
              <w:t>10</w:t>
            </w:r>
          </w:p>
        </w:tc>
      </w:tr>
      <w:tr w:rsidR="006F1FB4" w:rsidRPr="00A20AE9" w14:paraId="549FB0C4" w14:textId="77777777" w:rsidTr="00731391">
        <w:trPr>
          <w:trHeight w:val="284"/>
        </w:trPr>
        <w:tc>
          <w:tcPr>
            <w:tcW w:w="1709" w:type="pct"/>
            <w:gridSpan w:val="3"/>
            <w:tcBorders>
              <w:top w:val="single" w:sz="4" w:space="0" w:color="auto"/>
              <w:bottom w:val="nil"/>
            </w:tcBorders>
            <w:vAlign w:val="center"/>
          </w:tcPr>
          <w:p w14:paraId="44802C14"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 xml:space="preserve">Experiment 1 </w:t>
            </w:r>
          </w:p>
        </w:tc>
        <w:tc>
          <w:tcPr>
            <w:tcW w:w="540" w:type="pct"/>
            <w:tcBorders>
              <w:top w:val="single" w:sz="4" w:space="0" w:color="auto"/>
              <w:bottom w:val="nil"/>
            </w:tcBorders>
            <w:vAlign w:val="center"/>
          </w:tcPr>
          <w:p w14:paraId="0427C214"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single" w:sz="4" w:space="0" w:color="auto"/>
              <w:bottom w:val="nil"/>
            </w:tcBorders>
            <w:vAlign w:val="center"/>
          </w:tcPr>
          <w:p w14:paraId="044D1F55"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single" w:sz="4" w:space="0" w:color="auto"/>
              <w:bottom w:val="nil"/>
            </w:tcBorders>
            <w:vAlign w:val="center"/>
          </w:tcPr>
          <w:p w14:paraId="1DB7BDD9"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single" w:sz="4" w:space="0" w:color="auto"/>
              <w:bottom w:val="nil"/>
            </w:tcBorders>
            <w:vAlign w:val="center"/>
          </w:tcPr>
          <w:p w14:paraId="2CFAE9A0" w14:textId="77777777" w:rsidR="006F1FB4" w:rsidRPr="00A20AE9" w:rsidRDefault="006F1FB4" w:rsidP="00731391">
            <w:pPr>
              <w:spacing w:beforeLines="40" w:before="96" w:afterLines="40" w:after="96"/>
              <w:jc w:val="center"/>
              <w:rPr>
                <w:rFonts w:ascii="Calibri" w:hAnsi="Calibri" w:cs="Calibri"/>
              </w:rPr>
            </w:pPr>
          </w:p>
        </w:tc>
        <w:tc>
          <w:tcPr>
            <w:tcW w:w="813" w:type="pct"/>
            <w:tcBorders>
              <w:top w:val="single" w:sz="4" w:space="0" w:color="auto"/>
              <w:bottom w:val="nil"/>
            </w:tcBorders>
          </w:tcPr>
          <w:p w14:paraId="30E17704"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329348EC" w14:textId="77777777" w:rsidTr="00731391">
        <w:trPr>
          <w:trHeight w:val="284"/>
        </w:trPr>
        <w:tc>
          <w:tcPr>
            <w:tcW w:w="483" w:type="pct"/>
            <w:gridSpan w:val="2"/>
            <w:tcBorders>
              <w:top w:val="nil"/>
              <w:bottom w:val="nil"/>
            </w:tcBorders>
            <w:vAlign w:val="center"/>
          </w:tcPr>
          <w:p w14:paraId="0D4D20A7" w14:textId="77777777" w:rsidR="006F1FB4" w:rsidRPr="00A20AE9" w:rsidRDefault="006F1FB4" w:rsidP="00731391">
            <w:pPr>
              <w:spacing w:beforeLines="40" w:before="96" w:afterLines="40" w:after="96"/>
              <w:rPr>
                <w:rFonts w:ascii="Calibri" w:hAnsi="Calibri" w:cs="Calibri"/>
              </w:rPr>
            </w:pPr>
          </w:p>
        </w:tc>
        <w:tc>
          <w:tcPr>
            <w:tcW w:w="1226" w:type="pct"/>
            <w:tcBorders>
              <w:top w:val="nil"/>
              <w:bottom w:val="nil"/>
            </w:tcBorders>
            <w:vAlign w:val="center"/>
          </w:tcPr>
          <w:p w14:paraId="62EA6B27"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Vertical composite</w:t>
            </w:r>
          </w:p>
        </w:tc>
        <w:tc>
          <w:tcPr>
            <w:tcW w:w="540" w:type="pct"/>
            <w:tcBorders>
              <w:top w:val="nil"/>
              <w:bottom w:val="nil"/>
            </w:tcBorders>
            <w:vAlign w:val="center"/>
          </w:tcPr>
          <w:p w14:paraId="561D91C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476D8A1B"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4.62</w:t>
            </w:r>
          </w:p>
        </w:tc>
        <w:tc>
          <w:tcPr>
            <w:tcW w:w="697" w:type="pct"/>
            <w:tcBorders>
              <w:top w:val="nil"/>
              <w:bottom w:val="nil"/>
            </w:tcBorders>
            <w:vAlign w:val="bottom"/>
          </w:tcPr>
          <w:p w14:paraId="5058045A"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&lt;.001</w:t>
            </w:r>
          </w:p>
        </w:tc>
        <w:tc>
          <w:tcPr>
            <w:tcW w:w="621" w:type="pct"/>
            <w:tcBorders>
              <w:top w:val="nil"/>
              <w:bottom w:val="nil"/>
            </w:tcBorders>
            <w:vAlign w:val="bottom"/>
          </w:tcPr>
          <w:p w14:paraId="5BABC2AA"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0.52</w:t>
            </w:r>
          </w:p>
        </w:tc>
        <w:tc>
          <w:tcPr>
            <w:tcW w:w="813" w:type="pct"/>
            <w:tcBorders>
              <w:top w:val="nil"/>
              <w:bottom w:val="nil"/>
            </w:tcBorders>
          </w:tcPr>
          <w:p w14:paraId="6757E90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&gt;100</w:t>
            </w:r>
          </w:p>
        </w:tc>
      </w:tr>
      <w:tr w:rsidR="006F1FB4" w:rsidRPr="00A20AE9" w14:paraId="23A1E663" w14:textId="77777777" w:rsidTr="00731391">
        <w:trPr>
          <w:trHeight w:val="284"/>
        </w:trPr>
        <w:tc>
          <w:tcPr>
            <w:tcW w:w="483" w:type="pct"/>
            <w:gridSpan w:val="2"/>
            <w:tcBorders>
              <w:top w:val="nil"/>
              <w:bottom w:val="nil"/>
            </w:tcBorders>
            <w:vAlign w:val="center"/>
          </w:tcPr>
          <w:p w14:paraId="576152FC" w14:textId="77777777" w:rsidR="006F1FB4" w:rsidRPr="00A20AE9" w:rsidRDefault="006F1FB4" w:rsidP="00731391">
            <w:pPr>
              <w:spacing w:beforeLines="40" w:before="96" w:afterLines="40" w:after="96"/>
              <w:rPr>
                <w:rFonts w:ascii="Calibri" w:hAnsi="Calibri" w:cs="Calibri"/>
              </w:rPr>
            </w:pPr>
          </w:p>
        </w:tc>
        <w:tc>
          <w:tcPr>
            <w:tcW w:w="1226" w:type="pct"/>
            <w:tcBorders>
              <w:top w:val="nil"/>
              <w:bottom w:val="nil"/>
            </w:tcBorders>
            <w:vAlign w:val="center"/>
          </w:tcPr>
          <w:p w14:paraId="4BB971CD"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 composite</w:t>
            </w:r>
          </w:p>
        </w:tc>
        <w:tc>
          <w:tcPr>
            <w:tcW w:w="540" w:type="pct"/>
            <w:tcBorders>
              <w:top w:val="nil"/>
              <w:bottom w:val="nil"/>
            </w:tcBorders>
            <w:vAlign w:val="center"/>
          </w:tcPr>
          <w:p w14:paraId="244FA0AA"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1DD34F69"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6.06</w:t>
            </w:r>
          </w:p>
        </w:tc>
        <w:tc>
          <w:tcPr>
            <w:tcW w:w="697" w:type="pct"/>
            <w:tcBorders>
              <w:top w:val="nil"/>
              <w:bottom w:val="nil"/>
            </w:tcBorders>
            <w:vAlign w:val="bottom"/>
          </w:tcPr>
          <w:p w14:paraId="4E9A24B8"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&lt;.001</w:t>
            </w:r>
          </w:p>
        </w:tc>
        <w:tc>
          <w:tcPr>
            <w:tcW w:w="621" w:type="pct"/>
            <w:tcBorders>
              <w:top w:val="nil"/>
              <w:bottom w:val="nil"/>
            </w:tcBorders>
            <w:vAlign w:val="bottom"/>
          </w:tcPr>
          <w:p w14:paraId="0A7F7BD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0.46</w:t>
            </w:r>
          </w:p>
        </w:tc>
        <w:tc>
          <w:tcPr>
            <w:tcW w:w="813" w:type="pct"/>
            <w:tcBorders>
              <w:top w:val="nil"/>
              <w:bottom w:val="nil"/>
            </w:tcBorders>
          </w:tcPr>
          <w:p w14:paraId="57BDB3A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&gt;100</w:t>
            </w:r>
          </w:p>
        </w:tc>
      </w:tr>
      <w:tr w:rsidR="006F1FB4" w:rsidRPr="00A20AE9" w14:paraId="69BE2739" w14:textId="77777777" w:rsidTr="00731391">
        <w:trPr>
          <w:trHeight w:val="284"/>
        </w:trPr>
        <w:tc>
          <w:tcPr>
            <w:tcW w:w="1709" w:type="pct"/>
            <w:gridSpan w:val="3"/>
            <w:tcBorders>
              <w:top w:val="nil"/>
              <w:bottom w:val="nil"/>
            </w:tcBorders>
            <w:vAlign w:val="center"/>
          </w:tcPr>
          <w:p w14:paraId="151019D7"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 xml:space="preserve">Experiment 2 </w:t>
            </w:r>
          </w:p>
        </w:tc>
        <w:tc>
          <w:tcPr>
            <w:tcW w:w="540" w:type="pct"/>
            <w:tcBorders>
              <w:top w:val="nil"/>
              <w:bottom w:val="nil"/>
            </w:tcBorders>
            <w:vAlign w:val="center"/>
          </w:tcPr>
          <w:p w14:paraId="25BC1796"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center"/>
          </w:tcPr>
          <w:p w14:paraId="3BE19E19"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nil"/>
              <w:bottom w:val="nil"/>
            </w:tcBorders>
            <w:vAlign w:val="bottom"/>
          </w:tcPr>
          <w:p w14:paraId="597AFF4B" w14:textId="77777777" w:rsidR="006F1FB4" w:rsidRPr="00A20AE9" w:rsidRDefault="006F1FB4" w:rsidP="00731391">
            <w:pPr>
              <w:spacing w:beforeLines="40" w:before="96" w:afterLines="40" w:after="96"/>
              <w:jc w:val="center"/>
              <w:rPr>
                <w:rFonts w:ascii="Calibri" w:hAnsi="Calibri" w:cs="Calibri"/>
                <w:b/>
                <w:bCs/>
              </w:rPr>
            </w:pPr>
          </w:p>
        </w:tc>
        <w:tc>
          <w:tcPr>
            <w:tcW w:w="621" w:type="pct"/>
            <w:tcBorders>
              <w:top w:val="nil"/>
              <w:bottom w:val="nil"/>
            </w:tcBorders>
            <w:vAlign w:val="bottom"/>
          </w:tcPr>
          <w:p w14:paraId="5EA0D4C2" w14:textId="77777777" w:rsidR="006F1FB4" w:rsidRPr="00A20AE9" w:rsidRDefault="006F1FB4" w:rsidP="00731391">
            <w:pPr>
              <w:spacing w:beforeLines="40" w:before="96" w:afterLines="40" w:after="96"/>
              <w:jc w:val="center"/>
              <w:rPr>
                <w:rFonts w:ascii="Calibri" w:hAnsi="Calibri" w:cs="Calibri"/>
              </w:rPr>
            </w:pPr>
          </w:p>
        </w:tc>
        <w:tc>
          <w:tcPr>
            <w:tcW w:w="813" w:type="pct"/>
            <w:tcBorders>
              <w:top w:val="nil"/>
              <w:bottom w:val="nil"/>
            </w:tcBorders>
            <w:vAlign w:val="bottom"/>
          </w:tcPr>
          <w:p w14:paraId="5B0F019F"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77AA460B" w14:textId="77777777" w:rsidTr="00731391">
        <w:trPr>
          <w:trHeight w:val="284"/>
        </w:trPr>
        <w:tc>
          <w:tcPr>
            <w:tcW w:w="483" w:type="pct"/>
            <w:gridSpan w:val="2"/>
            <w:tcBorders>
              <w:top w:val="nil"/>
              <w:bottom w:val="nil"/>
            </w:tcBorders>
            <w:vAlign w:val="center"/>
          </w:tcPr>
          <w:p w14:paraId="3EF39637" w14:textId="77777777" w:rsidR="006F1FB4" w:rsidRPr="00A20AE9" w:rsidRDefault="006F1FB4" w:rsidP="00731391">
            <w:pPr>
              <w:spacing w:beforeLines="40" w:before="96" w:afterLines="40" w:after="96"/>
              <w:rPr>
                <w:rFonts w:ascii="Calibri" w:hAnsi="Calibri" w:cs="Calibri"/>
              </w:rPr>
            </w:pPr>
          </w:p>
        </w:tc>
        <w:tc>
          <w:tcPr>
            <w:tcW w:w="1226" w:type="pct"/>
            <w:tcBorders>
              <w:top w:val="nil"/>
              <w:bottom w:val="nil"/>
            </w:tcBorders>
            <w:vAlign w:val="center"/>
          </w:tcPr>
          <w:p w14:paraId="21D69406"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Vertical composite</w:t>
            </w:r>
          </w:p>
        </w:tc>
        <w:tc>
          <w:tcPr>
            <w:tcW w:w="540" w:type="pct"/>
            <w:tcBorders>
              <w:top w:val="nil"/>
              <w:bottom w:val="nil"/>
            </w:tcBorders>
            <w:vAlign w:val="center"/>
          </w:tcPr>
          <w:p w14:paraId="3FF96E1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5F004B6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3.79</w:t>
            </w:r>
          </w:p>
        </w:tc>
        <w:tc>
          <w:tcPr>
            <w:tcW w:w="697" w:type="pct"/>
            <w:tcBorders>
              <w:top w:val="nil"/>
              <w:bottom w:val="nil"/>
            </w:tcBorders>
            <w:vAlign w:val="bottom"/>
          </w:tcPr>
          <w:p w14:paraId="2958B3D6"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&lt;.001</w:t>
            </w:r>
          </w:p>
        </w:tc>
        <w:tc>
          <w:tcPr>
            <w:tcW w:w="621" w:type="pct"/>
            <w:tcBorders>
              <w:top w:val="nil"/>
              <w:bottom w:val="nil"/>
            </w:tcBorders>
            <w:vAlign w:val="bottom"/>
          </w:tcPr>
          <w:p w14:paraId="4AF7EC49"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0.41</w:t>
            </w:r>
          </w:p>
        </w:tc>
        <w:tc>
          <w:tcPr>
            <w:tcW w:w="813" w:type="pct"/>
            <w:tcBorders>
              <w:top w:val="nil"/>
              <w:bottom w:val="nil"/>
            </w:tcBorders>
          </w:tcPr>
          <w:p w14:paraId="24309AAB"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70.22</w:t>
            </w:r>
          </w:p>
        </w:tc>
      </w:tr>
      <w:tr w:rsidR="006F1FB4" w:rsidRPr="00A20AE9" w14:paraId="3379B32C" w14:textId="77777777" w:rsidTr="00731391">
        <w:trPr>
          <w:trHeight w:val="284"/>
        </w:trPr>
        <w:tc>
          <w:tcPr>
            <w:tcW w:w="483" w:type="pct"/>
            <w:gridSpan w:val="2"/>
            <w:tcBorders>
              <w:top w:val="nil"/>
              <w:bottom w:val="nil"/>
            </w:tcBorders>
            <w:vAlign w:val="center"/>
          </w:tcPr>
          <w:p w14:paraId="5A4E0F7A" w14:textId="77777777" w:rsidR="006F1FB4" w:rsidRPr="00A20AE9" w:rsidRDefault="006F1FB4" w:rsidP="00731391">
            <w:pPr>
              <w:spacing w:beforeLines="40" w:before="96" w:afterLines="40" w:after="96"/>
              <w:rPr>
                <w:rFonts w:ascii="Calibri" w:hAnsi="Calibri" w:cs="Calibri"/>
              </w:rPr>
            </w:pPr>
          </w:p>
        </w:tc>
        <w:tc>
          <w:tcPr>
            <w:tcW w:w="1226" w:type="pct"/>
            <w:tcBorders>
              <w:top w:val="nil"/>
              <w:bottom w:val="nil"/>
            </w:tcBorders>
            <w:vAlign w:val="center"/>
          </w:tcPr>
          <w:p w14:paraId="7FB4A258"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 composite</w:t>
            </w:r>
          </w:p>
        </w:tc>
        <w:tc>
          <w:tcPr>
            <w:tcW w:w="540" w:type="pct"/>
            <w:tcBorders>
              <w:top w:val="nil"/>
              <w:bottom w:val="nil"/>
            </w:tcBorders>
            <w:vAlign w:val="center"/>
          </w:tcPr>
          <w:p w14:paraId="4FC500CE"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53BCBBF9"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5.46</w:t>
            </w:r>
          </w:p>
        </w:tc>
        <w:tc>
          <w:tcPr>
            <w:tcW w:w="697" w:type="pct"/>
            <w:tcBorders>
              <w:top w:val="nil"/>
              <w:bottom w:val="nil"/>
            </w:tcBorders>
            <w:vAlign w:val="bottom"/>
          </w:tcPr>
          <w:p w14:paraId="0A8410D5"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&lt;.001</w:t>
            </w:r>
          </w:p>
        </w:tc>
        <w:tc>
          <w:tcPr>
            <w:tcW w:w="621" w:type="pct"/>
            <w:tcBorders>
              <w:top w:val="nil"/>
              <w:bottom w:val="nil"/>
            </w:tcBorders>
            <w:vAlign w:val="bottom"/>
          </w:tcPr>
          <w:p w14:paraId="078678E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0.55</w:t>
            </w:r>
          </w:p>
        </w:tc>
        <w:tc>
          <w:tcPr>
            <w:tcW w:w="813" w:type="pct"/>
            <w:tcBorders>
              <w:top w:val="nil"/>
              <w:bottom w:val="nil"/>
            </w:tcBorders>
          </w:tcPr>
          <w:p w14:paraId="4CD8C7E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&gt;100</w:t>
            </w:r>
          </w:p>
        </w:tc>
      </w:tr>
      <w:tr w:rsidR="006F1FB4" w:rsidRPr="00A20AE9" w14:paraId="1C4A8551" w14:textId="77777777" w:rsidTr="00731391">
        <w:trPr>
          <w:trHeight w:val="284"/>
        </w:trPr>
        <w:tc>
          <w:tcPr>
            <w:tcW w:w="1709" w:type="pct"/>
            <w:gridSpan w:val="3"/>
            <w:tcBorders>
              <w:top w:val="nil"/>
              <w:bottom w:val="nil"/>
            </w:tcBorders>
            <w:vAlign w:val="center"/>
          </w:tcPr>
          <w:p w14:paraId="5EDB790C"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 xml:space="preserve">Experiment 3 </w:t>
            </w:r>
          </w:p>
        </w:tc>
        <w:tc>
          <w:tcPr>
            <w:tcW w:w="540" w:type="pct"/>
            <w:tcBorders>
              <w:top w:val="nil"/>
              <w:bottom w:val="nil"/>
            </w:tcBorders>
            <w:vAlign w:val="center"/>
          </w:tcPr>
          <w:p w14:paraId="24BFA7F0"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center"/>
          </w:tcPr>
          <w:p w14:paraId="679A6F36"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nil"/>
              <w:bottom w:val="nil"/>
            </w:tcBorders>
            <w:vAlign w:val="bottom"/>
          </w:tcPr>
          <w:p w14:paraId="2AA96055" w14:textId="77777777" w:rsidR="006F1FB4" w:rsidRPr="00A20AE9" w:rsidRDefault="006F1FB4" w:rsidP="00731391">
            <w:pPr>
              <w:spacing w:beforeLines="40" w:before="96" w:afterLines="40" w:after="96"/>
              <w:jc w:val="center"/>
              <w:rPr>
                <w:rFonts w:ascii="Calibri" w:hAnsi="Calibri" w:cs="Calibri"/>
                <w:b/>
                <w:bCs/>
              </w:rPr>
            </w:pPr>
          </w:p>
        </w:tc>
        <w:tc>
          <w:tcPr>
            <w:tcW w:w="621" w:type="pct"/>
            <w:tcBorders>
              <w:top w:val="nil"/>
              <w:bottom w:val="nil"/>
            </w:tcBorders>
            <w:vAlign w:val="bottom"/>
          </w:tcPr>
          <w:p w14:paraId="3EE15E11" w14:textId="77777777" w:rsidR="006F1FB4" w:rsidRPr="00A20AE9" w:rsidRDefault="006F1FB4" w:rsidP="00731391">
            <w:pPr>
              <w:spacing w:beforeLines="40" w:before="96" w:afterLines="40" w:after="96"/>
              <w:jc w:val="center"/>
              <w:rPr>
                <w:rFonts w:ascii="Calibri" w:hAnsi="Calibri" w:cs="Calibri"/>
              </w:rPr>
            </w:pPr>
          </w:p>
        </w:tc>
        <w:tc>
          <w:tcPr>
            <w:tcW w:w="813" w:type="pct"/>
            <w:tcBorders>
              <w:top w:val="nil"/>
              <w:bottom w:val="nil"/>
            </w:tcBorders>
            <w:vAlign w:val="bottom"/>
          </w:tcPr>
          <w:p w14:paraId="66E28D10"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5FDCC72C" w14:textId="77777777" w:rsidTr="00731391">
        <w:trPr>
          <w:trHeight w:val="284"/>
        </w:trPr>
        <w:tc>
          <w:tcPr>
            <w:tcW w:w="483" w:type="pct"/>
            <w:gridSpan w:val="2"/>
            <w:tcBorders>
              <w:top w:val="nil"/>
              <w:bottom w:val="nil"/>
            </w:tcBorders>
            <w:vAlign w:val="center"/>
          </w:tcPr>
          <w:p w14:paraId="71E93A7B" w14:textId="77777777" w:rsidR="006F1FB4" w:rsidRPr="00A20AE9" w:rsidRDefault="006F1FB4" w:rsidP="00731391">
            <w:pPr>
              <w:spacing w:beforeLines="40" w:before="96" w:afterLines="40" w:after="96"/>
              <w:rPr>
                <w:rFonts w:ascii="Calibri" w:hAnsi="Calibri" w:cs="Calibri"/>
              </w:rPr>
            </w:pPr>
          </w:p>
        </w:tc>
        <w:tc>
          <w:tcPr>
            <w:tcW w:w="1226" w:type="pct"/>
            <w:tcBorders>
              <w:top w:val="nil"/>
              <w:bottom w:val="nil"/>
            </w:tcBorders>
            <w:vAlign w:val="center"/>
          </w:tcPr>
          <w:p w14:paraId="1B757A85"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Vertical composite</w:t>
            </w:r>
          </w:p>
        </w:tc>
        <w:tc>
          <w:tcPr>
            <w:tcW w:w="540" w:type="pct"/>
            <w:tcBorders>
              <w:top w:val="nil"/>
              <w:bottom w:val="nil"/>
            </w:tcBorders>
            <w:vAlign w:val="center"/>
          </w:tcPr>
          <w:p w14:paraId="04EA0148"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203FED24"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5.54</w:t>
            </w:r>
          </w:p>
        </w:tc>
        <w:tc>
          <w:tcPr>
            <w:tcW w:w="697" w:type="pct"/>
            <w:tcBorders>
              <w:top w:val="nil"/>
              <w:bottom w:val="nil"/>
            </w:tcBorders>
            <w:vAlign w:val="bottom"/>
          </w:tcPr>
          <w:p w14:paraId="4F794A94"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&lt;.001</w:t>
            </w:r>
          </w:p>
        </w:tc>
        <w:tc>
          <w:tcPr>
            <w:tcW w:w="621" w:type="pct"/>
            <w:tcBorders>
              <w:top w:val="nil"/>
              <w:bottom w:val="nil"/>
            </w:tcBorders>
            <w:vAlign w:val="bottom"/>
          </w:tcPr>
          <w:p w14:paraId="7B2EFB0F"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0.21</w:t>
            </w:r>
          </w:p>
        </w:tc>
        <w:tc>
          <w:tcPr>
            <w:tcW w:w="813" w:type="pct"/>
            <w:tcBorders>
              <w:top w:val="nil"/>
              <w:bottom w:val="nil"/>
            </w:tcBorders>
          </w:tcPr>
          <w:p w14:paraId="546272D9"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&gt;100</w:t>
            </w:r>
          </w:p>
        </w:tc>
      </w:tr>
      <w:tr w:rsidR="006F1FB4" w:rsidRPr="00A20AE9" w14:paraId="31C024A4" w14:textId="77777777" w:rsidTr="00731391">
        <w:trPr>
          <w:trHeight w:val="284"/>
        </w:trPr>
        <w:tc>
          <w:tcPr>
            <w:tcW w:w="483" w:type="pct"/>
            <w:gridSpan w:val="2"/>
            <w:tcBorders>
              <w:top w:val="nil"/>
              <w:bottom w:val="nil"/>
            </w:tcBorders>
            <w:vAlign w:val="center"/>
          </w:tcPr>
          <w:p w14:paraId="33D1C2BE" w14:textId="77777777" w:rsidR="006F1FB4" w:rsidRPr="00A20AE9" w:rsidRDefault="006F1FB4" w:rsidP="00731391">
            <w:pPr>
              <w:spacing w:beforeLines="40" w:before="96" w:afterLines="40" w:after="96"/>
              <w:rPr>
                <w:rFonts w:ascii="Calibri" w:hAnsi="Calibri" w:cs="Calibri"/>
              </w:rPr>
            </w:pPr>
          </w:p>
        </w:tc>
        <w:tc>
          <w:tcPr>
            <w:tcW w:w="1226" w:type="pct"/>
            <w:tcBorders>
              <w:top w:val="nil"/>
              <w:bottom w:val="nil"/>
            </w:tcBorders>
            <w:vAlign w:val="center"/>
          </w:tcPr>
          <w:p w14:paraId="1128D21C"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 composite</w:t>
            </w:r>
          </w:p>
        </w:tc>
        <w:tc>
          <w:tcPr>
            <w:tcW w:w="540" w:type="pct"/>
            <w:tcBorders>
              <w:top w:val="nil"/>
              <w:bottom w:val="nil"/>
            </w:tcBorders>
            <w:vAlign w:val="center"/>
          </w:tcPr>
          <w:p w14:paraId="661142E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3F4083BD"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5.12</w:t>
            </w:r>
          </w:p>
        </w:tc>
        <w:tc>
          <w:tcPr>
            <w:tcW w:w="697" w:type="pct"/>
            <w:tcBorders>
              <w:top w:val="nil"/>
              <w:bottom w:val="nil"/>
            </w:tcBorders>
            <w:vAlign w:val="bottom"/>
          </w:tcPr>
          <w:p w14:paraId="290AD21D"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&lt;.001</w:t>
            </w:r>
          </w:p>
        </w:tc>
        <w:tc>
          <w:tcPr>
            <w:tcW w:w="621" w:type="pct"/>
            <w:tcBorders>
              <w:top w:val="nil"/>
              <w:bottom w:val="nil"/>
            </w:tcBorders>
            <w:vAlign w:val="bottom"/>
          </w:tcPr>
          <w:p w14:paraId="1F2B5DF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0.43</w:t>
            </w:r>
          </w:p>
        </w:tc>
        <w:tc>
          <w:tcPr>
            <w:tcW w:w="813" w:type="pct"/>
            <w:tcBorders>
              <w:top w:val="nil"/>
              <w:bottom w:val="nil"/>
            </w:tcBorders>
          </w:tcPr>
          <w:p w14:paraId="5DC0350D"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&gt;100</w:t>
            </w:r>
          </w:p>
        </w:tc>
      </w:tr>
      <w:tr w:rsidR="006F1FB4" w:rsidRPr="00A20AE9" w14:paraId="59C28646" w14:textId="77777777" w:rsidTr="00731391">
        <w:trPr>
          <w:trHeight w:val="284"/>
        </w:trPr>
        <w:tc>
          <w:tcPr>
            <w:tcW w:w="1709" w:type="pct"/>
            <w:gridSpan w:val="3"/>
            <w:tcBorders>
              <w:top w:val="nil"/>
              <w:bottom w:val="nil"/>
            </w:tcBorders>
            <w:vAlign w:val="center"/>
          </w:tcPr>
          <w:p w14:paraId="334A7727"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 xml:space="preserve">Experiment 4 </w:t>
            </w:r>
          </w:p>
        </w:tc>
        <w:tc>
          <w:tcPr>
            <w:tcW w:w="540" w:type="pct"/>
            <w:tcBorders>
              <w:top w:val="nil"/>
              <w:bottom w:val="nil"/>
            </w:tcBorders>
            <w:vAlign w:val="center"/>
          </w:tcPr>
          <w:p w14:paraId="4AC9E943"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center"/>
          </w:tcPr>
          <w:p w14:paraId="3F067DDD"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nil"/>
              <w:bottom w:val="nil"/>
            </w:tcBorders>
            <w:vAlign w:val="bottom"/>
          </w:tcPr>
          <w:p w14:paraId="77176EE8"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bottom"/>
          </w:tcPr>
          <w:p w14:paraId="5906C280" w14:textId="77777777" w:rsidR="006F1FB4" w:rsidRPr="00A20AE9" w:rsidRDefault="006F1FB4" w:rsidP="00731391">
            <w:pPr>
              <w:spacing w:beforeLines="40" w:before="96" w:afterLines="40" w:after="96"/>
              <w:jc w:val="center"/>
              <w:rPr>
                <w:rFonts w:ascii="Calibri" w:hAnsi="Calibri" w:cs="Calibri"/>
              </w:rPr>
            </w:pPr>
          </w:p>
        </w:tc>
        <w:tc>
          <w:tcPr>
            <w:tcW w:w="813" w:type="pct"/>
            <w:tcBorders>
              <w:top w:val="nil"/>
              <w:bottom w:val="nil"/>
            </w:tcBorders>
            <w:vAlign w:val="bottom"/>
          </w:tcPr>
          <w:p w14:paraId="73608B07"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67F77984" w14:textId="77777777" w:rsidTr="00731391">
        <w:trPr>
          <w:trHeight w:val="284"/>
        </w:trPr>
        <w:tc>
          <w:tcPr>
            <w:tcW w:w="483" w:type="pct"/>
            <w:gridSpan w:val="2"/>
            <w:tcBorders>
              <w:top w:val="nil"/>
              <w:bottom w:val="nil"/>
            </w:tcBorders>
            <w:vAlign w:val="center"/>
          </w:tcPr>
          <w:p w14:paraId="16A619A7" w14:textId="77777777" w:rsidR="006F1FB4" w:rsidRPr="00A20AE9" w:rsidRDefault="006F1FB4" w:rsidP="00731391">
            <w:pPr>
              <w:spacing w:beforeLines="40" w:before="96" w:afterLines="40" w:after="96"/>
              <w:rPr>
                <w:rFonts w:ascii="Calibri" w:hAnsi="Calibri" w:cs="Calibri"/>
              </w:rPr>
            </w:pPr>
          </w:p>
        </w:tc>
        <w:tc>
          <w:tcPr>
            <w:tcW w:w="1226" w:type="pct"/>
            <w:tcBorders>
              <w:top w:val="nil"/>
              <w:bottom w:val="nil"/>
            </w:tcBorders>
            <w:vAlign w:val="center"/>
          </w:tcPr>
          <w:p w14:paraId="7D32D68F"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Vertical composite</w:t>
            </w:r>
          </w:p>
        </w:tc>
        <w:tc>
          <w:tcPr>
            <w:tcW w:w="540" w:type="pct"/>
            <w:tcBorders>
              <w:top w:val="nil"/>
              <w:bottom w:val="nil"/>
            </w:tcBorders>
            <w:vAlign w:val="center"/>
          </w:tcPr>
          <w:p w14:paraId="225E235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107D752E"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1.79</w:t>
            </w:r>
          </w:p>
        </w:tc>
        <w:tc>
          <w:tcPr>
            <w:tcW w:w="697" w:type="pct"/>
            <w:tcBorders>
              <w:top w:val="nil"/>
              <w:bottom w:val="nil"/>
            </w:tcBorders>
            <w:vAlign w:val="bottom"/>
          </w:tcPr>
          <w:p w14:paraId="38051345"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.078</w:t>
            </w:r>
          </w:p>
        </w:tc>
        <w:tc>
          <w:tcPr>
            <w:tcW w:w="621" w:type="pct"/>
            <w:tcBorders>
              <w:top w:val="nil"/>
              <w:bottom w:val="nil"/>
            </w:tcBorders>
            <w:vAlign w:val="bottom"/>
          </w:tcPr>
          <w:p w14:paraId="35C10254"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0.19</w:t>
            </w:r>
          </w:p>
        </w:tc>
        <w:tc>
          <w:tcPr>
            <w:tcW w:w="813" w:type="pct"/>
            <w:tcBorders>
              <w:top w:val="nil"/>
              <w:bottom w:val="nil"/>
            </w:tcBorders>
          </w:tcPr>
          <w:p w14:paraId="4883163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0.62</w:t>
            </w:r>
          </w:p>
        </w:tc>
      </w:tr>
      <w:tr w:rsidR="006F1FB4" w:rsidRPr="00A20AE9" w14:paraId="2FC4DDF7" w14:textId="77777777" w:rsidTr="00731391">
        <w:trPr>
          <w:trHeight w:val="284"/>
        </w:trPr>
        <w:tc>
          <w:tcPr>
            <w:tcW w:w="483" w:type="pct"/>
            <w:gridSpan w:val="2"/>
            <w:tcBorders>
              <w:top w:val="nil"/>
              <w:bottom w:val="single" w:sz="4" w:space="0" w:color="auto"/>
            </w:tcBorders>
            <w:vAlign w:val="center"/>
          </w:tcPr>
          <w:p w14:paraId="1BFDB8BD" w14:textId="77777777" w:rsidR="006F1FB4" w:rsidRPr="00A20AE9" w:rsidRDefault="006F1FB4" w:rsidP="00731391">
            <w:pPr>
              <w:spacing w:beforeLines="40" w:before="96" w:afterLines="40" w:after="96"/>
              <w:rPr>
                <w:rFonts w:ascii="Calibri" w:hAnsi="Calibri" w:cs="Calibri"/>
              </w:rPr>
            </w:pPr>
          </w:p>
        </w:tc>
        <w:tc>
          <w:tcPr>
            <w:tcW w:w="1226" w:type="pct"/>
            <w:tcBorders>
              <w:top w:val="nil"/>
              <w:bottom w:val="single" w:sz="4" w:space="0" w:color="auto"/>
            </w:tcBorders>
            <w:vAlign w:val="center"/>
          </w:tcPr>
          <w:p w14:paraId="6FA4E0D5"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 composite</w:t>
            </w:r>
          </w:p>
        </w:tc>
        <w:tc>
          <w:tcPr>
            <w:tcW w:w="540" w:type="pct"/>
            <w:tcBorders>
              <w:top w:val="nil"/>
              <w:bottom w:val="single" w:sz="4" w:space="0" w:color="auto"/>
            </w:tcBorders>
            <w:vAlign w:val="center"/>
          </w:tcPr>
          <w:p w14:paraId="235231BC"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single" w:sz="4" w:space="0" w:color="auto"/>
            </w:tcBorders>
            <w:vAlign w:val="bottom"/>
          </w:tcPr>
          <w:p w14:paraId="234AB192"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-3.20</w:t>
            </w:r>
          </w:p>
        </w:tc>
        <w:tc>
          <w:tcPr>
            <w:tcW w:w="697" w:type="pct"/>
            <w:tcBorders>
              <w:top w:val="nil"/>
              <w:bottom w:val="single" w:sz="4" w:space="0" w:color="auto"/>
            </w:tcBorders>
            <w:vAlign w:val="bottom"/>
          </w:tcPr>
          <w:p w14:paraId="038AF154"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.002</w:t>
            </w:r>
          </w:p>
        </w:tc>
        <w:tc>
          <w:tcPr>
            <w:tcW w:w="621" w:type="pct"/>
            <w:tcBorders>
              <w:top w:val="nil"/>
              <w:bottom w:val="single" w:sz="4" w:space="0" w:color="auto"/>
            </w:tcBorders>
            <w:vAlign w:val="bottom"/>
          </w:tcPr>
          <w:p w14:paraId="0458DB5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0.31</w:t>
            </w:r>
          </w:p>
        </w:tc>
        <w:tc>
          <w:tcPr>
            <w:tcW w:w="813" w:type="pct"/>
            <w:tcBorders>
              <w:top w:val="nil"/>
              <w:bottom w:val="single" w:sz="4" w:space="0" w:color="auto"/>
            </w:tcBorders>
          </w:tcPr>
          <w:p w14:paraId="5FE3587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13.29</w:t>
            </w:r>
          </w:p>
        </w:tc>
      </w:tr>
    </w:tbl>
    <w:p w14:paraId="2E840A53" w14:textId="77777777" w:rsidR="006F1FB4" w:rsidRPr="00A20AE9" w:rsidRDefault="006F1FB4" w:rsidP="006F1FB4">
      <w:pPr>
        <w:rPr>
          <w:rFonts w:ascii="Calibri" w:hAnsi="Calibri" w:cs="Calibri"/>
          <w:i/>
          <w:iCs/>
        </w:rPr>
      </w:pPr>
    </w:p>
    <w:p w14:paraId="1A8CD178" w14:textId="77777777" w:rsidR="006F1FB4" w:rsidRPr="00A20AE9" w:rsidRDefault="006F1FB4" w:rsidP="006F1FB4">
      <w:pPr>
        <w:rPr>
          <w:rFonts w:ascii="Calibri" w:hAnsi="Calibri" w:cs="Calibri"/>
        </w:rPr>
      </w:pPr>
      <w:r w:rsidRPr="00A20AE9">
        <w:rPr>
          <w:rFonts w:ascii="Calibri" w:hAnsi="Calibri" w:cs="Calibri"/>
        </w:rPr>
        <w:br w:type="page"/>
      </w:r>
    </w:p>
    <w:p w14:paraId="274CAEBA" w14:textId="77777777" w:rsidR="006F1FB4" w:rsidRPr="00A20AE9" w:rsidRDefault="006F1FB4" w:rsidP="006F1FB4">
      <w:pPr>
        <w:rPr>
          <w:rFonts w:ascii="Calibri" w:hAnsi="Calibri" w:cs="Calibri"/>
          <w:lang w:val="en-US"/>
        </w:rPr>
      </w:pPr>
      <w:r w:rsidRPr="00A20AE9">
        <w:rPr>
          <w:rFonts w:ascii="Calibri" w:hAnsi="Calibri" w:cs="Calibri"/>
          <w:lang w:val="en-US"/>
        </w:rPr>
        <w:lastRenderedPageBreak/>
        <w:t xml:space="preserve">Suppl. Table 5. </w:t>
      </w:r>
    </w:p>
    <w:p w14:paraId="43D7F002" w14:textId="77777777" w:rsidR="006F1FB4" w:rsidRPr="00A20AE9" w:rsidRDefault="006F1FB4" w:rsidP="006F1FB4">
      <w:pPr>
        <w:rPr>
          <w:rFonts w:ascii="Calibri" w:hAnsi="Calibri" w:cs="Calibri"/>
          <w:i/>
          <w:iCs/>
        </w:rPr>
      </w:pPr>
      <w:r w:rsidRPr="00A20AE9">
        <w:rPr>
          <w:rFonts w:ascii="Calibri" w:hAnsi="Calibri" w:cs="Calibri"/>
          <w:i/>
          <w:iCs/>
          <w:lang w:val="en-US"/>
        </w:rPr>
        <w:t xml:space="preserve">Descriptive statistics for Accuracy (%) and Median Reaction Time (RT; s) measures for CFE size (Aligned – </w:t>
      </w:r>
      <w:proofErr w:type="gramStart"/>
      <w:r w:rsidRPr="00A20AE9">
        <w:rPr>
          <w:rFonts w:ascii="Calibri" w:hAnsi="Calibri" w:cs="Calibri"/>
          <w:i/>
          <w:iCs/>
          <w:lang w:val="en-US"/>
        </w:rPr>
        <w:t>Misaligned)  for</w:t>
      </w:r>
      <w:proofErr w:type="gramEnd"/>
      <w:r w:rsidRPr="00A20AE9">
        <w:rPr>
          <w:rFonts w:ascii="Calibri" w:hAnsi="Calibri" w:cs="Calibri"/>
          <w:i/>
          <w:iCs/>
          <w:lang w:val="en-US"/>
        </w:rPr>
        <w:t xml:space="preserve"> horizontal and vertical composites independently across all experiments.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276"/>
        <w:gridCol w:w="1580"/>
        <w:gridCol w:w="1581"/>
        <w:gridCol w:w="1580"/>
        <w:gridCol w:w="1581"/>
      </w:tblGrid>
      <w:tr w:rsidR="006F1FB4" w:rsidRPr="00A20AE9" w14:paraId="6B859F67" w14:textId="77777777" w:rsidTr="00731391">
        <w:tc>
          <w:tcPr>
            <w:tcW w:w="1418" w:type="dxa"/>
            <w:tcBorders>
              <w:top w:val="single" w:sz="4" w:space="0" w:color="auto"/>
              <w:bottom w:val="single" w:sz="4" w:space="0" w:color="auto"/>
            </w:tcBorders>
          </w:tcPr>
          <w:p w14:paraId="4E1F5FC8" w14:textId="77777777" w:rsidR="006F1FB4" w:rsidRPr="00A20AE9" w:rsidRDefault="006F1FB4" w:rsidP="00731391">
            <w:pPr>
              <w:spacing w:beforeLines="40" w:before="96" w:afterLines="40" w:after="96"/>
              <w:rPr>
                <w:rFonts w:ascii="Calibri" w:hAnsi="Calibri" w:cs="Calibri"/>
                <w:b/>
                <w:bCs/>
              </w:rPr>
            </w:pPr>
            <w:r w:rsidRPr="00A20AE9">
              <w:rPr>
                <w:rFonts w:ascii="Calibri" w:hAnsi="Calibri" w:cs="Calibri"/>
                <w:b/>
                <w:bCs/>
              </w:rPr>
              <w:t>Experiment</w:t>
            </w:r>
          </w:p>
        </w:tc>
        <w:tc>
          <w:tcPr>
            <w:tcW w:w="1276" w:type="dxa"/>
            <w:tcBorders>
              <w:top w:val="single" w:sz="4" w:space="0" w:color="auto"/>
              <w:bottom w:val="single" w:sz="4" w:space="0" w:color="auto"/>
            </w:tcBorders>
          </w:tcPr>
          <w:p w14:paraId="24AA5A71" w14:textId="77777777" w:rsidR="006F1FB4" w:rsidRPr="00A20AE9" w:rsidRDefault="006F1FB4" w:rsidP="00731391">
            <w:pPr>
              <w:spacing w:beforeLines="40" w:before="96" w:afterLines="40" w:after="96"/>
              <w:rPr>
                <w:rFonts w:ascii="Calibri" w:hAnsi="Calibri" w:cs="Calibri"/>
                <w:b/>
                <w:bCs/>
              </w:rPr>
            </w:pPr>
          </w:p>
        </w:tc>
        <w:tc>
          <w:tcPr>
            <w:tcW w:w="1580" w:type="dxa"/>
            <w:tcBorders>
              <w:top w:val="single" w:sz="4" w:space="0" w:color="auto"/>
              <w:bottom w:val="single" w:sz="4" w:space="0" w:color="auto"/>
            </w:tcBorders>
          </w:tcPr>
          <w:p w14:paraId="365C7246"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Accuracy M</w:t>
            </w:r>
          </w:p>
        </w:tc>
        <w:tc>
          <w:tcPr>
            <w:tcW w:w="1581" w:type="dxa"/>
            <w:tcBorders>
              <w:top w:val="single" w:sz="4" w:space="0" w:color="auto"/>
              <w:bottom w:val="single" w:sz="4" w:space="0" w:color="auto"/>
            </w:tcBorders>
          </w:tcPr>
          <w:p w14:paraId="1398BD60"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Accuracy SD</w:t>
            </w:r>
          </w:p>
        </w:tc>
        <w:tc>
          <w:tcPr>
            <w:tcW w:w="1580" w:type="dxa"/>
            <w:tcBorders>
              <w:top w:val="single" w:sz="4" w:space="0" w:color="auto"/>
              <w:bottom w:val="single" w:sz="4" w:space="0" w:color="auto"/>
            </w:tcBorders>
          </w:tcPr>
          <w:p w14:paraId="65A5CC76"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RT M</w:t>
            </w:r>
          </w:p>
        </w:tc>
        <w:tc>
          <w:tcPr>
            <w:tcW w:w="1581" w:type="dxa"/>
            <w:tcBorders>
              <w:top w:val="single" w:sz="4" w:space="0" w:color="auto"/>
              <w:bottom w:val="single" w:sz="4" w:space="0" w:color="auto"/>
            </w:tcBorders>
          </w:tcPr>
          <w:p w14:paraId="24A1BABD"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RT SD</w:t>
            </w:r>
          </w:p>
        </w:tc>
      </w:tr>
      <w:tr w:rsidR="006F1FB4" w:rsidRPr="00A20AE9" w14:paraId="03F76507" w14:textId="77777777" w:rsidTr="00731391">
        <w:tc>
          <w:tcPr>
            <w:tcW w:w="2694" w:type="dxa"/>
            <w:gridSpan w:val="2"/>
            <w:tcBorders>
              <w:top w:val="single" w:sz="4" w:space="0" w:color="auto"/>
            </w:tcBorders>
          </w:tcPr>
          <w:p w14:paraId="00411BD9"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Experiment 1</w:t>
            </w:r>
          </w:p>
        </w:tc>
        <w:tc>
          <w:tcPr>
            <w:tcW w:w="1580" w:type="dxa"/>
            <w:tcBorders>
              <w:top w:val="single" w:sz="4" w:space="0" w:color="auto"/>
            </w:tcBorders>
          </w:tcPr>
          <w:p w14:paraId="5CD5F6D2" w14:textId="77777777" w:rsidR="006F1FB4" w:rsidRPr="00A20AE9" w:rsidRDefault="006F1FB4" w:rsidP="00731391">
            <w:pPr>
              <w:spacing w:beforeLines="40" w:before="96" w:afterLines="40" w:after="96"/>
              <w:rPr>
                <w:rFonts w:ascii="Calibri" w:hAnsi="Calibri" w:cs="Calibri"/>
              </w:rPr>
            </w:pPr>
          </w:p>
        </w:tc>
        <w:tc>
          <w:tcPr>
            <w:tcW w:w="1581" w:type="dxa"/>
            <w:tcBorders>
              <w:top w:val="single" w:sz="4" w:space="0" w:color="auto"/>
            </w:tcBorders>
          </w:tcPr>
          <w:p w14:paraId="176ACFD4" w14:textId="77777777" w:rsidR="006F1FB4" w:rsidRPr="00A20AE9" w:rsidRDefault="006F1FB4" w:rsidP="00731391">
            <w:pPr>
              <w:spacing w:beforeLines="40" w:before="96" w:afterLines="40" w:after="96"/>
              <w:rPr>
                <w:rFonts w:ascii="Calibri" w:hAnsi="Calibri" w:cs="Calibri"/>
              </w:rPr>
            </w:pPr>
          </w:p>
        </w:tc>
        <w:tc>
          <w:tcPr>
            <w:tcW w:w="1580" w:type="dxa"/>
            <w:tcBorders>
              <w:top w:val="single" w:sz="4" w:space="0" w:color="auto"/>
            </w:tcBorders>
          </w:tcPr>
          <w:p w14:paraId="77B3AB57" w14:textId="77777777" w:rsidR="006F1FB4" w:rsidRPr="00A20AE9" w:rsidRDefault="006F1FB4" w:rsidP="00731391">
            <w:pPr>
              <w:spacing w:beforeLines="40" w:before="96" w:afterLines="40" w:after="96"/>
              <w:rPr>
                <w:rFonts w:ascii="Calibri" w:hAnsi="Calibri" w:cs="Calibri"/>
              </w:rPr>
            </w:pPr>
          </w:p>
        </w:tc>
        <w:tc>
          <w:tcPr>
            <w:tcW w:w="1581" w:type="dxa"/>
            <w:tcBorders>
              <w:top w:val="single" w:sz="4" w:space="0" w:color="auto"/>
            </w:tcBorders>
          </w:tcPr>
          <w:p w14:paraId="42C112B4" w14:textId="77777777" w:rsidR="006F1FB4" w:rsidRPr="00A20AE9" w:rsidRDefault="006F1FB4" w:rsidP="00731391">
            <w:pPr>
              <w:spacing w:beforeLines="40" w:before="96" w:afterLines="40" w:after="96"/>
              <w:rPr>
                <w:rFonts w:ascii="Calibri" w:hAnsi="Calibri" w:cs="Calibri"/>
              </w:rPr>
            </w:pPr>
          </w:p>
        </w:tc>
      </w:tr>
      <w:tr w:rsidR="006F1FB4" w:rsidRPr="00A20AE9" w14:paraId="11DE4854" w14:textId="77777777" w:rsidTr="00731391">
        <w:tc>
          <w:tcPr>
            <w:tcW w:w="1418" w:type="dxa"/>
          </w:tcPr>
          <w:p w14:paraId="44EB64A8" w14:textId="77777777" w:rsidR="006F1FB4" w:rsidRPr="00A20AE9" w:rsidRDefault="006F1FB4" w:rsidP="00731391">
            <w:pPr>
              <w:spacing w:beforeLines="40" w:before="96" w:afterLines="40" w:after="96"/>
              <w:rPr>
                <w:rFonts w:ascii="Calibri" w:hAnsi="Calibri" w:cs="Calibri"/>
              </w:rPr>
            </w:pPr>
          </w:p>
        </w:tc>
        <w:tc>
          <w:tcPr>
            <w:tcW w:w="1276" w:type="dxa"/>
          </w:tcPr>
          <w:p w14:paraId="158153D4"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Vertical</w:t>
            </w:r>
          </w:p>
        </w:tc>
        <w:tc>
          <w:tcPr>
            <w:tcW w:w="1580" w:type="dxa"/>
            <w:vAlign w:val="bottom"/>
          </w:tcPr>
          <w:p w14:paraId="1D79BAD8"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-2.06</w:t>
            </w:r>
          </w:p>
        </w:tc>
        <w:tc>
          <w:tcPr>
            <w:tcW w:w="1581" w:type="dxa"/>
            <w:vAlign w:val="bottom"/>
          </w:tcPr>
          <w:p w14:paraId="6201A73D"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4.90</w:t>
            </w:r>
          </w:p>
        </w:tc>
        <w:tc>
          <w:tcPr>
            <w:tcW w:w="1580" w:type="dxa"/>
            <w:vAlign w:val="bottom"/>
          </w:tcPr>
          <w:p w14:paraId="7479C6E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0.03</w:t>
            </w:r>
          </w:p>
        </w:tc>
        <w:tc>
          <w:tcPr>
            <w:tcW w:w="1581" w:type="dxa"/>
            <w:vAlign w:val="bottom"/>
          </w:tcPr>
          <w:p w14:paraId="7ED0231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0.05</w:t>
            </w:r>
          </w:p>
        </w:tc>
      </w:tr>
      <w:tr w:rsidR="006F1FB4" w:rsidRPr="00A20AE9" w14:paraId="7695F870" w14:textId="77777777" w:rsidTr="00731391">
        <w:tc>
          <w:tcPr>
            <w:tcW w:w="1418" w:type="dxa"/>
          </w:tcPr>
          <w:p w14:paraId="17896974" w14:textId="77777777" w:rsidR="006F1FB4" w:rsidRPr="00A20AE9" w:rsidRDefault="006F1FB4" w:rsidP="00731391">
            <w:pPr>
              <w:spacing w:beforeLines="40" w:before="96" w:afterLines="40" w:after="96"/>
              <w:rPr>
                <w:rFonts w:ascii="Calibri" w:hAnsi="Calibri" w:cs="Calibri"/>
              </w:rPr>
            </w:pPr>
          </w:p>
        </w:tc>
        <w:tc>
          <w:tcPr>
            <w:tcW w:w="1276" w:type="dxa"/>
          </w:tcPr>
          <w:p w14:paraId="0D9F3DB1"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w:t>
            </w:r>
          </w:p>
        </w:tc>
        <w:tc>
          <w:tcPr>
            <w:tcW w:w="1580" w:type="dxa"/>
            <w:vAlign w:val="bottom"/>
          </w:tcPr>
          <w:p w14:paraId="310E6BC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-3.53</w:t>
            </w:r>
          </w:p>
        </w:tc>
        <w:tc>
          <w:tcPr>
            <w:tcW w:w="1581" w:type="dxa"/>
            <w:vAlign w:val="bottom"/>
          </w:tcPr>
          <w:p w14:paraId="11492E7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4.62</w:t>
            </w:r>
          </w:p>
        </w:tc>
        <w:tc>
          <w:tcPr>
            <w:tcW w:w="1580" w:type="dxa"/>
            <w:vAlign w:val="bottom"/>
          </w:tcPr>
          <w:p w14:paraId="3F87A90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0.02</w:t>
            </w:r>
          </w:p>
        </w:tc>
        <w:tc>
          <w:tcPr>
            <w:tcW w:w="1581" w:type="dxa"/>
            <w:vAlign w:val="bottom"/>
          </w:tcPr>
          <w:p w14:paraId="526B39D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0.08</w:t>
            </w:r>
          </w:p>
        </w:tc>
      </w:tr>
      <w:tr w:rsidR="006F1FB4" w:rsidRPr="00A20AE9" w14:paraId="7B146B22" w14:textId="77777777" w:rsidTr="00731391">
        <w:tc>
          <w:tcPr>
            <w:tcW w:w="2694" w:type="dxa"/>
            <w:gridSpan w:val="2"/>
          </w:tcPr>
          <w:p w14:paraId="7268E801"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Experiment 2</w:t>
            </w:r>
          </w:p>
        </w:tc>
        <w:tc>
          <w:tcPr>
            <w:tcW w:w="1580" w:type="dxa"/>
          </w:tcPr>
          <w:p w14:paraId="3D99705D" w14:textId="77777777" w:rsidR="006F1FB4" w:rsidRPr="00A20AE9" w:rsidRDefault="006F1FB4" w:rsidP="00731391">
            <w:pPr>
              <w:spacing w:beforeLines="40" w:before="96" w:afterLines="40" w:after="96"/>
              <w:rPr>
                <w:rFonts w:ascii="Calibri" w:hAnsi="Calibri" w:cs="Calibri"/>
              </w:rPr>
            </w:pPr>
          </w:p>
        </w:tc>
        <w:tc>
          <w:tcPr>
            <w:tcW w:w="1581" w:type="dxa"/>
          </w:tcPr>
          <w:p w14:paraId="42787F52" w14:textId="77777777" w:rsidR="006F1FB4" w:rsidRPr="00A20AE9" w:rsidRDefault="006F1FB4" w:rsidP="00731391">
            <w:pPr>
              <w:spacing w:beforeLines="40" w:before="96" w:afterLines="40" w:after="96"/>
              <w:rPr>
                <w:rFonts w:ascii="Calibri" w:hAnsi="Calibri" w:cs="Calibri"/>
              </w:rPr>
            </w:pPr>
          </w:p>
        </w:tc>
        <w:tc>
          <w:tcPr>
            <w:tcW w:w="1580" w:type="dxa"/>
          </w:tcPr>
          <w:p w14:paraId="23B936F8" w14:textId="77777777" w:rsidR="006F1FB4" w:rsidRPr="00A20AE9" w:rsidRDefault="006F1FB4" w:rsidP="00731391">
            <w:pPr>
              <w:spacing w:beforeLines="40" w:before="96" w:afterLines="40" w:after="96"/>
              <w:rPr>
                <w:rFonts w:ascii="Calibri" w:hAnsi="Calibri" w:cs="Calibri"/>
              </w:rPr>
            </w:pPr>
          </w:p>
        </w:tc>
        <w:tc>
          <w:tcPr>
            <w:tcW w:w="1581" w:type="dxa"/>
          </w:tcPr>
          <w:p w14:paraId="137E9B31" w14:textId="77777777" w:rsidR="006F1FB4" w:rsidRPr="00A20AE9" w:rsidRDefault="006F1FB4" w:rsidP="00731391">
            <w:pPr>
              <w:spacing w:beforeLines="40" w:before="96" w:afterLines="40" w:after="96"/>
              <w:rPr>
                <w:rFonts w:ascii="Calibri" w:hAnsi="Calibri" w:cs="Calibri"/>
              </w:rPr>
            </w:pPr>
          </w:p>
        </w:tc>
      </w:tr>
      <w:tr w:rsidR="006F1FB4" w:rsidRPr="00A20AE9" w14:paraId="7E24BCD5" w14:textId="77777777" w:rsidTr="00731391">
        <w:tc>
          <w:tcPr>
            <w:tcW w:w="1418" w:type="dxa"/>
          </w:tcPr>
          <w:p w14:paraId="595EEA5E" w14:textId="77777777" w:rsidR="006F1FB4" w:rsidRPr="00A20AE9" w:rsidRDefault="006F1FB4" w:rsidP="00731391">
            <w:pPr>
              <w:spacing w:beforeLines="40" w:before="96" w:afterLines="40" w:after="96"/>
              <w:rPr>
                <w:rFonts w:ascii="Calibri" w:hAnsi="Calibri" w:cs="Calibri"/>
              </w:rPr>
            </w:pPr>
          </w:p>
        </w:tc>
        <w:tc>
          <w:tcPr>
            <w:tcW w:w="1276" w:type="dxa"/>
          </w:tcPr>
          <w:p w14:paraId="2951EB19"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Vertical</w:t>
            </w:r>
          </w:p>
        </w:tc>
        <w:tc>
          <w:tcPr>
            <w:tcW w:w="1580" w:type="dxa"/>
            <w:vAlign w:val="bottom"/>
          </w:tcPr>
          <w:p w14:paraId="46B4D47B"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-2.28</w:t>
            </w:r>
          </w:p>
        </w:tc>
        <w:tc>
          <w:tcPr>
            <w:tcW w:w="1581" w:type="dxa"/>
            <w:vAlign w:val="bottom"/>
          </w:tcPr>
          <w:p w14:paraId="22484794"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6.96</w:t>
            </w:r>
          </w:p>
        </w:tc>
        <w:tc>
          <w:tcPr>
            <w:tcW w:w="1580" w:type="dxa"/>
            <w:vAlign w:val="bottom"/>
          </w:tcPr>
          <w:p w14:paraId="49EECAE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0.04</w:t>
            </w:r>
          </w:p>
        </w:tc>
        <w:tc>
          <w:tcPr>
            <w:tcW w:w="1581" w:type="dxa"/>
            <w:vAlign w:val="bottom"/>
          </w:tcPr>
          <w:p w14:paraId="68EA434C"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0.09</w:t>
            </w:r>
          </w:p>
        </w:tc>
      </w:tr>
      <w:tr w:rsidR="006F1FB4" w:rsidRPr="00A20AE9" w14:paraId="73A7304C" w14:textId="77777777" w:rsidTr="00731391">
        <w:tc>
          <w:tcPr>
            <w:tcW w:w="1418" w:type="dxa"/>
          </w:tcPr>
          <w:p w14:paraId="626D2BBE" w14:textId="77777777" w:rsidR="006F1FB4" w:rsidRPr="00A20AE9" w:rsidRDefault="006F1FB4" w:rsidP="00731391">
            <w:pPr>
              <w:spacing w:beforeLines="40" w:before="96" w:afterLines="40" w:after="96"/>
              <w:rPr>
                <w:rFonts w:ascii="Calibri" w:hAnsi="Calibri" w:cs="Calibri"/>
              </w:rPr>
            </w:pPr>
          </w:p>
        </w:tc>
        <w:tc>
          <w:tcPr>
            <w:tcW w:w="1276" w:type="dxa"/>
          </w:tcPr>
          <w:p w14:paraId="1133F550"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w:t>
            </w:r>
          </w:p>
        </w:tc>
        <w:tc>
          <w:tcPr>
            <w:tcW w:w="1580" w:type="dxa"/>
            <w:vAlign w:val="bottom"/>
          </w:tcPr>
          <w:p w14:paraId="1156B70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-4.90</w:t>
            </w:r>
          </w:p>
        </w:tc>
        <w:tc>
          <w:tcPr>
            <w:tcW w:w="1581" w:type="dxa"/>
            <w:vAlign w:val="bottom"/>
          </w:tcPr>
          <w:p w14:paraId="46B7A35D"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7.41</w:t>
            </w:r>
          </w:p>
        </w:tc>
        <w:tc>
          <w:tcPr>
            <w:tcW w:w="1580" w:type="dxa"/>
            <w:vAlign w:val="bottom"/>
          </w:tcPr>
          <w:p w14:paraId="0E03063F"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0.03</w:t>
            </w:r>
          </w:p>
        </w:tc>
        <w:tc>
          <w:tcPr>
            <w:tcW w:w="1581" w:type="dxa"/>
            <w:vAlign w:val="bottom"/>
          </w:tcPr>
          <w:p w14:paraId="25136219"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0.09</w:t>
            </w:r>
          </w:p>
        </w:tc>
      </w:tr>
      <w:tr w:rsidR="006F1FB4" w:rsidRPr="00A20AE9" w14:paraId="0B39A376" w14:textId="77777777" w:rsidTr="00731391">
        <w:tc>
          <w:tcPr>
            <w:tcW w:w="2694" w:type="dxa"/>
            <w:gridSpan w:val="2"/>
          </w:tcPr>
          <w:p w14:paraId="6FF4BDEE"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Experiment 3</w:t>
            </w:r>
          </w:p>
        </w:tc>
        <w:tc>
          <w:tcPr>
            <w:tcW w:w="1580" w:type="dxa"/>
          </w:tcPr>
          <w:p w14:paraId="1B274A13" w14:textId="77777777" w:rsidR="006F1FB4" w:rsidRPr="00A20AE9" w:rsidRDefault="006F1FB4" w:rsidP="00731391">
            <w:pPr>
              <w:spacing w:beforeLines="40" w:before="96" w:afterLines="40" w:after="96"/>
              <w:rPr>
                <w:rFonts w:ascii="Calibri" w:hAnsi="Calibri" w:cs="Calibri"/>
              </w:rPr>
            </w:pPr>
          </w:p>
        </w:tc>
        <w:tc>
          <w:tcPr>
            <w:tcW w:w="1581" w:type="dxa"/>
          </w:tcPr>
          <w:p w14:paraId="4D51830F" w14:textId="77777777" w:rsidR="006F1FB4" w:rsidRPr="00A20AE9" w:rsidRDefault="006F1FB4" w:rsidP="00731391">
            <w:pPr>
              <w:spacing w:beforeLines="40" w:before="96" w:afterLines="40" w:after="96"/>
              <w:rPr>
                <w:rFonts w:ascii="Calibri" w:hAnsi="Calibri" w:cs="Calibri"/>
              </w:rPr>
            </w:pPr>
          </w:p>
        </w:tc>
        <w:tc>
          <w:tcPr>
            <w:tcW w:w="1580" w:type="dxa"/>
          </w:tcPr>
          <w:p w14:paraId="4B1DAD37" w14:textId="77777777" w:rsidR="006F1FB4" w:rsidRPr="00A20AE9" w:rsidRDefault="006F1FB4" w:rsidP="00731391">
            <w:pPr>
              <w:spacing w:beforeLines="40" w:before="96" w:afterLines="40" w:after="96"/>
              <w:rPr>
                <w:rFonts w:ascii="Calibri" w:hAnsi="Calibri" w:cs="Calibri"/>
              </w:rPr>
            </w:pPr>
          </w:p>
        </w:tc>
        <w:tc>
          <w:tcPr>
            <w:tcW w:w="1581" w:type="dxa"/>
          </w:tcPr>
          <w:p w14:paraId="4C8AFDDB" w14:textId="77777777" w:rsidR="006F1FB4" w:rsidRPr="00A20AE9" w:rsidRDefault="006F1FB4" w:rsidP="00731391">
            <w:pPr>
              <w:spacing w:beforeLines="40" w:before="96" w:afterLines="40" w:after="96"/>
              <w:rPr>
                <w:rFonts w:ascii="Calibri" w:hAnsi="Calibri" w:cs="Calibri"/>
              </w:rPr>
            </w:pPr>
          </w:p>
        </w:tc>
      </w:tr>
      <w:tr w:rsidR="006F1FB4" w:rsidRPr="00A20AE9" w14:paraId="060FE986" w14:textId="77777777" w:rsidTr="00731391">
        <w:tc>
          <w:tcPr>
            <w:tcW w:w="1418" w:type="dxa"/>
          </w:tcPr>
          <w:p w14:paraId="3D40A4BC" w14:textId="77777777" w:rsidR="006F1FB4" w:rsidRPr="00A20AE9" w:rsidRDefault="006F1FB4" w:rsidP="00731391">
            <w:pPr>
              <w:spacing w:beforeLines="40" w:before="96" w:afterLines="40" w:after="96"/>
              <w:rPr>
                <w:rFonts w:ascii="Calibri" w:hAnsi="Calibri" w:cs="Calibri"/>
              </w:rPr>
            </w:pPr>
          </w:p>
        </w:tc>
        <w:tc>
          <w:tcPr>
            <w:tcW w:w="1276" w:type="dxa"/>
          </w:tcPr>
          <w:p w14:paraId="73FC82FB"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Vertical</w:t>
            </w:r>
          </w:p>
        </w:tc>
        <w:tc>
          <w:tcPr>
            <w:tcW w:w="1580" w:type="dxa"/>
            <w:vAlign w:val="bottom"/>
          </w:tcPr>
          <w:p w14:paraId="3939CA59"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-3.47</w:t>
            </w:r>
          </w:p>
        </w:tc>
        <w:tc>
          <w:tcPr>
            <w:tcW w:w="1581" w:type="dxa"/>
            <w:vAlign w:val="bottom"/>
          </w:tcPr>
          <w:p w14:paraId="7914993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6.89</w:t>
            </w:r>
          </w:p>
        </w:tc>
        <w:tc>
          <w:tcPr>
            <w:tcW w:w="1580" w:type="dxa"/>
            <w:vAlign w:val="bottom"/>
          </w:tcPr>
          <w:p w14:paraId="2646A78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0.06</w:t>
            </w:r>
          </w:p>
        </w:tc>
        <w:tc>
          <w:tcPr>
            <w:tcW w:w="1581" w:type="dxa"/>
            <w:vAlign w:val="bottom"/>
          </w:tcPr>
          <w:p w14:paraId="7F94AF24"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0.14</w:t>
            </w:r>
          </w:p>
        </w:tc>
      </w:tr>
      <w:tr w:rsidR="006F1FB4" w:rsidRPr="00A20AE9" w14:paraId="25F731C6" w14:textId="77777777" w:rsidTr="00731391">
        <w:tc>
          <w:tcPr>
            <w:tcW w:w="1418" w:type="dxa"/>
          </w:tcPr>
          <w:p w14:paraId="2B7E6D75" w14:textId="77777777" w:rsidR="006F1FB4" w:rsidRPr="00A20AE9" w:rsidRDefault="006F1FB4" w:rsidP="00731391">
            <w:pPr>
              <w:spacing w:beforeLines="40" w:before="96" w:afterLines="40" w:after="96"/>
              <w:rPr>
                <w:rFonts w:ascii="Calibri" w:hAnsi="Calibri" w:cs="Calibri"/>
              </w:rPr>
            </w:pPr>
          </w:p>
        </w:tc>
        <w:tc>
          <w:tcPr>
            <w:tcW w:w="1276" w:type="dxa"/>
          </w:tcPr>
          <w:p w14:paraId="2C39E8B0"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w:t>
            </w:r>
          </w:p>
        </w:tc>
        <w:tc>
          <w:tcPr>
            <w:tcW w:w="1580" w:type="dxa"/>
            <w:vAlign w:val="bottom"/>
          </w:tcPr>
          <w:p w14:paraId="44A070D8"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-5.35</w:t>
            </w:r>
          </w:p>
        </w:tc>
        <w:tc>
          <w:tcPr>
            <w:tcW w:w="1581" w:type="dxa"/>
            <w:vAlign w:val="bottom"/>
          </w:tcPr>
          <w:p w14:paraId="5A15DE3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9.45</w:t>
            </w:r>
          </w:p>
        </w:tc>
        <w:tc>
          <w:tcPr>
            <w:tcW w:w="1580" w:type="dxa"/>
            <w:vAlign w:val="bottom"/>
          </w:tcPr>
          <w:p w14:paraId="13F9E1D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0.05</w:t>
            </w:r>
          </w:p>
        </w:tc>
        <w:tc>
          <w:tcPr>
            <w:tcW w:w="1581" w:type="dxa"/>
            <w:vAlign w:val="bottom"/>
          </w:tcPr>
          <w:p w14:paraId="74596EA9"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0.15</w:t>
            </w:r>
          </w:p>
        </w:tc>
      </w:tr>
      <w:tr w:rsidR="006F1FB4" w:rsidRPr="00A20AE9" w14:paraId="59E7D9B7" w14:textId="77777777" w:rsidTr="00731391">
        <w:tc>
          <w:tcPr>
            <w:tcW w:w="2694" w:type="dxa"/>
            <w:gridSpan w:val="2"/>
          </w:tcPr>
          <w:p w14:paraId="173D2D75"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Experiment 4</w:t>
            </w:r>
          </w:p>
        </w:tc>
        <w:tc>
          <w:tcPr>
            <w:tcW w:w="1580" w:type="dxa"/>
          </w:tcPr>
          <w:p w14:paraId="2105A1A5" w14:textId="77777777" w:rsidR="006F1FB4" w:rsidRPr="00A20AE9" w:rsidRDefault="006F1FB4" w:rsidP="00731391">
            <w:pPr>
              <w:spacing w:beforeLines="40" w:before="96" w:afterLines="40" w:after="96"/>
              <w:rPr>
                <w:rFonts w:ascii="Calibri" w:hAnsi="Calibri" w:cs="Calibri"/>
              </w:rPr>
            </w:pPr>
          </w:p>
        </w:tc>
        <w:tc>
          <w:tcPr>
            <w:tcW w:w="1581" w:type="dxa"/>
          </w:tcPr>
          <w:p w14:paraId="7016FCFF" w14:textId="77777777" w:rsidR="006F1FB4" w:rsidRPr="00A20AE9" w:rsidRDefault="006F1FB4" w:rsidP="00731391">
            <w:pPr>
              <w:spacing w:beforeLines="40" w:before="96" w:afterLines="40" w:after="96"/>
              <w:rPr>
                <w:rFonts w:ascii="Calibri" w:hAnsi="Calibri" w:cs="Calibri"/>
              </w:rPr>
            </w:pPr>
          </w:p>
        </w:tc>
        <w:tc>
          <w:tcPr>
            <w:tcW w:w="1580" w:type="dxa"/>
          </w:tcPr>
          <w:p w14:paraId="3CF4BC78" w14:textId="77777777" w:rsidR="006F1FB4" w:rsidRPr="00A20AE9" w:rsidRDefault="006F1FB4" w:rsidP="00731391">
            <w:pPr>
              <w:spacing w:beforeLines="40" w:before="96" w:afterLines="40" w:after="96"/>
              <w:rPr>
                <w:rFonts w:ascii="Calibri" w:hAnsi="Calibri" w:cs="Calibri"/>
              </w:rPr>
            </w:pPr>
          </w:p>
        </w:tc>
        <w:tc>
          <w:tcPr>
            <w:tcW w:w="1581" w:type="dxa"/>
          </w:tcPr>
          <w:p w14:paraId="13EF2EEC" w14:textId="77777777" w:rsidR="006F1FB4" w:rsidRPr="00A20AE9" w:rsidRDefault="006F1FB4" w:rsidP="00731391">
            <w:pPr>
              <w:spacing w:beforeLines="40" w:before="96" w:afterLines="40" w:after="96"/>
              <w:rPr>
                <w:rFonts w:ascii="Calibri" w:hAnsi="Calibri" w:cs="Calibri"/>
              </w:rPr>
            </w:pPr>
          </w:p>
        </w:tc>
      </w:tr>
      <w:tr w:rsidR="006F1FB4" w:rsidRPr="00A20AE9" w14:paraId="6D8D06D7" w14:textId="77777777" w:rsidTr="00731391">
        <w:tc>
          <w:tcPr>
            <w:tcW w:w="1418" w:type="dxa"/>
          </w:tcPr>
          <w:p w14:paraId="2E983459" w14:textId="77777777" w:rsidR="006F1FB4" w:rsidRPr="00A20AE9" w:rsidRDefault="006F1FB4" w:rsidP="00731391">
            <w:pPr>
              <w:spacing w:beforeLines="40" w:before="96" w:afterLines="40" w:after="96"/>
              <w:rPr>
                <w:rFonts w:ascii="Calibri" w:hAnsi="Calibri" w:cs="Calibri"/>
              </w:rPr>
            </w:pPr>
          </w:p>
        </w:tc>
        <w:tc>
          <w:tcPr>
            <w:tcW w:w="1276" w:type="dxa"/>
          </w:tcPr>
          <w:p w14:paraId="201CFF45"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Vertical</w:t>
            </w:r>
          </w:p>
        </w:tc>
        <w:tc>
          <w:tcPr>
            <w:tcW w:w="1580" w:type="dxa"/>
            <w:vAlign w:val="bottom"/>
          </w:tcPr>
          <w:p w14:paraId="1379B1BE"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-0.05</w:t>
            </w:r>
          </w:p>
        </w:tc>
        <w:tc>
          <w:tcPr>
            <w:tcW w:w="1581" w:type="dxa"/>
            <w:vAlign w:val="bottom"/>
          </w:tcPr>
          <w:p w14:paraId="3EA477ED"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4.36</w:t>
            </w:r>
          </w:p>
        </w:tc>
        <w:tc>
          <w:tcPr>
            <w:tcW w:w="1580" w:type="dxa"/>
            <w:vAlign w:val="bottom"/>
          </w:tcPr>
          <w:p w14:paraId="469997E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0.05</w:t>
            </w:r>
          </w:p>
        </w:tc>
        <w:tc>
          <w:tcPr>
            <w:tcW w:w="1581" w:type="dxa"/>
            <w:vAlign w:val="bottom"/>
          </w:tcPr>
          <w:p w14:paraId="0D64C2AC"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0.09</w:t>
            </w:r>
          </w:p>
        </w:tc>
      </w:tr>
      <w:tr w:rsidR="006F1FB4" w:rsidRPr="00A20AE9" w14:paraId="194A42EA" w14:textId="77777777" w:rsidTr="00731391">
        <w:tc>
          <w:tcPr>
            <w:tcW w:w="1418" w:type="dxa"/>
          </w:tcPr>
          <w:p w14:paraId="564C5573" w14:textId="77777777" w:rsidR="006F1FB4" w:rsidRPr="00A20AE9" w:rsidRDefault="006F1FB4" w:rsidP="00731391">
            <w:pPr>
              <w:spacing w:beforeLines="40" w:before="96" w:afterLines="40" w:after="96"/>
              <w:rPr>
                <w:rFonts w:ascii="Calibri" w:hAnsi="Calibri" w:cs="Calibri"/>
              </w:rPr>
            </w:pPr>
          </w:p>
        </w:tc>
        <w:tc>
          <w:tcPr>
            <w:tcW w:w="1276" w:type="dxa"/>
          </w:tcPr>
          <w:p w14:paraId="4976F39E"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w:t>
            </w:r>
          </w:p>
        </w:tc>
        <w:tc>
          <w:tcPr>
            <w:tcW w:w="1580" w:type="dxa"/>
            <w:vAlign w:val="bottom"/>
          </w:tcPr>
          <w:p w14:paraId="736CE23E"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1.75</w:t>
            </w:r>
          </w:p>
        </w:tc>
        <w:tc>
          <w:tcPr>
            <w:tcW w:w="1581" w:type="dxa"/>
            <w:vAlign w:val="bottom"/>
          </w:tcPr>
          <w:p w14:paraId="3330494E"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6.64</w:t>
            </w:r>
          </w:p>
        </w:tc>
        <w:tc>
          <w:tcPr>
            <w:tcW w:w="1580" w:type="dxa"/>
            <w:vAlign w:val="bottom"/>
          </w:tcPr>
          <w:p w14:paraId="5E78F4A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-0.05</w:t>
            </w:r>
          </w:p>
        </w:tc>
        <w:tc>
          <w:tcPr>
            <w:tcW w:w="1581" w:type="dxa"/>
            <w:vAlign w:val="bottom"/>
          </w:tcPr>
          <w:p w14:paraId="614E70CD"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0.14</w:t>
            </w:r>
          </w:p>
        </w:tc>
      </w:tr>
    </w:tbl>
    <w:p w14:paraId="50F5C7B3" w14:textId="77777777" w:rsidR="006F1FB4" w:rsidRPr="00A20AE9" w:rsidRDefault="006F1FB4" w:rsidP="006F1FB4">
      <w:pPr>
        <w:rPr>
          <w:rFonts w:ascii="Calibri" w:hAnsi="Calibri" w:cs="Calibri"/>
        </w:rPr>
      </w:pPr>
    </w:p>
    <w:p w14:paraId="7FFAFCCF" w14:textId="77777777" w:rsidR="006F1FB4" w:rsidRPr="00A20AE9" w:rsidRDefault="006F1FB4" w:rsidP="006F1FB4">
      <w:pPr>
        <w:rPr>
          <w:rFonts w:ascii="Calibri" w:hAnsi="Calibri" w:cs="Calibri"/>
        </w:rPr>
      </w:pPr>
      <w:r w:rsidRPr="00A20AE9">
        <w:rPr>
          <w:rFonts w:ascii="Calibri" w:hAnsi="Calibri" w:cs="Calibri"/>
        </w:rPr>
        <w:br w:type="page"/>
      </w:r>
    </w:p>
    <w:p w14:paraId="5AC188C9" w14:textId="77777777" w:rsidR="006F1FB4" w:rsidRPr="00A20AE9" w:rsidRDefault="006F1FB4" w:rsidP="006F1FB4">
      <w:pPr>
        <w:rPr>
          <w:rFonts w:ascii="Calibri" w:hAnsi="Calibri" w:cs="Calibri"/>
          <w:lang w:val="en-US"/>
        </w:rPr>
      </w:pPr>
      <w:r w:rsidRPr="00A20AE9">
        <w:rPr>
          <w:rFonts w:ascii="Calibri" w:hAnsi="Calibri" w:cs="Calibri"/>
          <w:lang w:val="en-US"/>
        </w:rPr>
        <w:lastRenderedPageBreak/>
        <w:t xml:space="preserve">Suppl. Table 6. </w:t>
      </w:r>
    </w:p>
    <w:p w14:paraId="4DA95CF6" w14:textId="77777777" w:rsidR="006F1FB4" w:rsidRPr="00A20AE9" w:rsidRDefault="006F1FB4" w:rsidP="006F1FB4">
      <w:pPr>
        <w:rPr>
          <w:rFonts w:ascii="Calibri" w:hAnsi="Calibri" w:cs="Calibri"/>
          <w:i/>
          <w:iCs/>
          <w:lang w:val="en-US"/>
        </w:rPr>
      </w:pPr>
      <w:r w:rsidRPr="00A20AE9">
        <w:rPr>
          <w:rFonts w:ascii="Calibri" w:hAnsi="Calibri" w:cs="Calibri"/>
          <w:i/>
          <w:iCs/>
          <w:lang w:val="en-US"/>
        </w:rPr>
        <w:t xml:space="preserve">Results of paired sample t-tests comparing Accuracy and RT Median CFE sizes (Aligned – </w:t>
      </w:r>
      <w:proofErr w:type="gramStart"/>
      <w:r w:rsidRPr="00A20AE9">
        <w:rPr>
          <w:rFonts w:ascii="Calibri" w:hAnsi="Calibri" w:cs="Calibri"/>
          <w:i/>
          <w:iCs/>
          <w:lang w:val="en-US"/>
        </w:rPr>
        <w:t>Misaligned)  between</w:t>
      </w:r>
      <w:proofErr w:type="gramEnd"/>
      <w:r w:rsidRPr="00A20AE9">
        <w:rPr>
          <w:rFonts w:ascii="Calibri" w:hAnsi="Calibri" w:cs="Calibri"/>
          <w:i/>
          <w:iCs/>
          <w:lang w:val="en-US"/>
        </w:rPr>
        <w:t xml:space="preserve"> horizontal and vertical composites across all experiments</w:t>
      </w:r>
    </w:p>
    <w:tbl>
      <w:tblPr>
        <w:tblStyle w:val="TableGrid"/>
        <w:tblW w:w="5060"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808"/>
        <w:gridCol w:w="2242"/>
        <w:gridCol w:w="986"/>
        <w:gridCol w:w="1134"/>
        <w:gridCol w:w="1273"/>
        <w:gridCol w:w="1134"/>
        <w:gridCol w:w="1445"/>
      </w:tblGrid>
      <w:tr w:rsidR="006F1FB4" w:rsidRPr="00A20AE9" w14:paraId="6F2D9AB0" w14:textId="77777777" w:rsidTr="00731391">
        <w:trPr>
          <w:gridBefore w:val="1"/>
          <w:wBefore w:w="61" w:type="pct"/>
          <w:trHeight w:val="284"/>
        </w:trPr>
        <w:tc>
          <w:tcPr>
            <w:tcW w:w="1668" w:type="pct"/>
            <w:gridSpan w:val="2"/>
            <w:tcBorders>
              <w:top w:val="single" w:sz="4" w:space="0" w:color="auto"/>
              <w:bottom w:val="single" w:sz="4" w:space="0" w:color="auto"/>
            </w:tcBorders>
            <w:vAlign w:val="center"/>
          </w:tcPr>
          <w:p w14:paraId="75603051" w14:textId="77777777" w:rsidR="006F1FB4" w:rsidRPr="00A20AE9" w:rsidRDefault="006F1FB4" w:rsidP="00731391">
            <w:pPr>
              <w:spacing w:beforeLines="40" w:before="96" w:afterLines="40" w:after="96"/>
              <w:jc w:val="center"/>
              <w:rPr>
                <w:rFonts w:ascii="Calibri" w:hAnsi="Calibri" w:cs="Calibri"/>
                <w:b/>
                <w:bCs/>
              </w:rPr>
            </w:pPr>
          </w:p>
        </w:tc>
        <w:tc>
          <w:tcPr>
            <w:tcW w:w="540" w:type="pct"/>
            <w:tcBorders>
              <w:top w:val="single" w:sz="4" w:space="0" w:color="auto"/>
              <w:bottom w:val="single" w:sz="4" w:space="0" w:color="auto"/>
            </w:tcBorders>
            <w:vAlign w:val="center"/>
          </w:tcPr>
          <w:p w14:paraId="062A834C" w14:textId="77777777" w:rsidR="006F1FB4" w:rsidRPr="00A20AE9" w:rsidRDefault="006F1FB4" w:rsidP="00731391">
            <w:pPr>
              <w:spacing w:beforeLines="40" w:before="96" w:afterLines="40" w:after="96"/>
              <w:jc w:val="center"/>
              <w:rPr>
                <w:rFonts w:ascii="Calibri" w:hAnsi="Calibri" w:cs="Calibri"/>
                <w:b/>
                <w:bCs/>
                <w:i/>
                <w:iCs/>
              </w:rPr>
            </w:pPr>
            <w:proofErr w:type="spellStart"/>
            <w:r w:rsidRPr="00A20AE9">
              <w:rPr>
                <w:rFonts w:ascii="Calibri" w:hAnsi="Calibri" w:cs="Calibri"/>
                <w:b/>
                <w:bCs/>
                <w:i/>
                <w:iCs/>
              </w:rPr>
              <w:t>df</w:t>
            </w:r>
            <w:proofErr w:type="spellEnd"/>
          </w:p>
        </w:tc>
        <w:tc>
          <w:tcPr>
            <w:tcW w:w="621" w:type="pct"/>
            <w:tcBorders>
              <w:top w:val="single" w:sz="4" w:space="0" w:color="auto"/>
              <w:bottom w:val="single" w:sz="4" w:space="0" w:color="auto"/>
            </w:tcBorders>
            <w:vAlign w:val="center"/>
          </w:tcPr>
          <w:p w14:paraId="27FBB56E" w14:textId="77777777" w:rsidR="006F1FB4" w:rsidRPr="00A20AE9" w:rsidRDefault="006F1FB4" w:rsidP="00731391">
            <w:pPr>
              <w:spacing w:beforeLines="40" w:before="96" w:afterLines="40" w:after="96"/>
              <w:jc w:val="center"/>
              <w:rPr>
                <w:rFonts w:ascii="Calibri" w:hAnsi="Calibri" w:cs="Calibri"/>
                <w:b/>
                <w:bCs/>
                <w:i/>
                <w:iCs/>
              </w:rPr>
            </w:pPr>
            <w:r w:rsidRPr="00A20AE9">
              <w:rPr>
                <w:rFonts w:ascii="Calibri" w:hAnsi="Calibri" w:cs="Calibri"/>
                <w:b/>
                <w:bCs/>
                <w:i/>
                <w:iCs/>
              </w:rPr>
              <w:t>t</w:t>
            </w:r>
          </w:p>
        </w:tc>
        <w:tc>
          <w:tcPr>
            <w:tcW w:w="697" w:type="pct"/>
            <w:tcBorders>
              <w:top w:val="single" w:sz="4" w:space="0" w:color="auto"/>
              <w:bottom w:val="single" w:sz="4" w:space="0" w:color="auto"/>
            </w:tcBorders>
            <w:vAlign w:val="center"/>
          </w:tcPr>
          <w:p w14:paraId="7E6C06FD" w14:textId="77777777" w:rsidR="006F1FB4" w:rsidRPr="00A20AE9" w:rsidRDefault="006F1FB4" w:rsidP="00731391">
            <w:pPr>
              <w:spacing w:beforeLines="40" w:before="96" w:afterLines="40" w:after="96"/>
              <w:jc w:val="center"/>
              <w:rPr>
                <w:rFonts w:ascii="Calibri" w:hAnsi="Calibri" w:cs="Calibri"/>
                <w:b/>
                <w:bCs/>
                <w:i/>
                <w:iCs/>
              </w:rPr>
            </w:pPr>
            <w:r w:rsidRPr="00A20AE9">
              <w:rPr>
                <w:rFonts w:ascii="Calibri" w:hAnsi="Calibri" w:cs="Calibri"/>
                <w:b/>
                <w:bCs/>
                <w:i/>
                <w:iCs/>
              </w:rPr>
              <w:t>p</w:t>
            </w:r>
          </w:p>
        </w:tc>
        <w:tc>
          <w:tcPr>
            <w:tcW w:w="621" w:type="pct"/>
            <w:tcBorders>
              <w:top w:val="single" w:sz="4" w:space="0" w:color="auto"/>
              <w:bottom w:val="single" w:sz="4" w:space="0" w:color="auto"/>
            </w:tcBorders>
            <w:vAlign w:val="center"/>
          </w:tcPr>
          <w:p w14:paraId="1155036F" w14:textId="77777777" w:rsidR="006F1FB4" w:rsidRPr="00A20AE9" w:rsidRDefault="006F1FB4" w:rsidP="00731391">
            <w:pPr>
              <w:spacing w:beforeLines="40" w:before="96" w:afterLines="40" w:after="96"/>
              <w:jc w:val="center"/>
              <w:rPr>
                <w:rFonts w:ascii="Calibri" w:hAnsi="Calibri" w:cs="Calibri"/>
                <w:b/>
                <w:bCs/>
                <w:i/>
                <w:iCs/>
              </w:rPr>
            </w:pPr>
            <w:proofErr w:type="spellStart"/>
            <w:r w:rsidRPr="00A20AE9">
              <w:rPr>
                <w:rFonts w:ascii="Calibri" w:hAnsi="Calibri" w:cs="Calibri"/>
                <w:b/>
                <w:bCs/>
                <w:i/>
                <w:iCs/>
              </w:rPr>
              <w:t>d</w:t>
            </w:r>
            <w:r w:rsidRPr="00A20AE9">
              <w:rPr>
                <w:rFonts w:ascii="Calibri" w:hAnsi="Calibri" w:cs="Calibri"/>
                <w:b/>
                <w:bCs/>
                <w:i/>
                <w:iCs/>
                <w:vertAlign w:val="subscript"/>
              </w:rPr>
              <w:t>avg</w:t>
            </w:r>
            <w:proofErr w:type="spellEnd"/>
          </w:p>
        </w:tc>
        <w:tc>
          <w:tcPr>
            <w:tcW w:w="792" w:type="pct"/>
            <w:tcBorders>
              <w:top w:val="single" w:sz="4" w:space="0" w:color="auto"/>
              <w:bottom w:val="single" w:sz="4" w:space="0" w:color="auto"/>
            </w:tcBorders>
          </w:tcPr>
          <w:p w14:paraId="057185FB" w14:textId="77777777" w:rsidR="006F1FB4" w:rsidRPr="00A20AE9" w:rsidRDefault="006F1FB4" w:rsidP="00731391">
            <w:pPr>
              <w:spacing w:beforeLines="40" w:before="96" w:afterLines="40" w:after="96"/>
              <w:jc w:val="center"/>
              <w:rPr>
                <w:rFonts w:ascii="Calibri" w:hAnsi="Calibri" w:cs="Calibri"/>
                <w:b/>
                <w:bCs/>
                <w:i/>
                <w:iCs/>
              </w:rPr>
            </w:pPr>
            <w:r w:rsidRPr="00A20AE9">
              <w:rPr>
                <w:rFonts w:ascii="Calibri" w:hAnsi="Calibri" w:cs="Calibri"/>
                <w:b/>
                <w:bCs/>
                <w:i/>
                <w:iCs/>
              </w:rPr>
              <w:t>BF</w:t>
            </w:r>
            <w:r w:rsidRPr="00A20AE9">
              <w:rPr>
                <w:rFonts w:ascii="Calibri" w:hAnsi="Calibri" w:cs="Calibri"/>
                <w:b/>
                <w:bCs/>
                <w:i/>
                <w:iCs/>
                <w:vertAlign w:val="subscript"/>
              </w:rPr>
              <w:t>10</w:t>
            </w:r>
          </w:p>
        </w:tc>
      </w:tr>
      <w:tr w:rsidR="006F1FB4" w:rsidRPr="00A20AE9" w14:paraId="76C60853" w14:textId="77777777" w:rsidTr="00731391">
        <w:trPr>
          <w:trHeight w:val="284"/>
        </w:trPr>
        <w:tc>
          <w:tcPr>
            <w:tcW w:w="1730" w:type="pct"/>
            <w:gridSpan w:val="3"/>
            <w:tcBorders>
              <w:top w:val="single" w:sz="4" w:space="0" w:color="auto"/>
              <w:bottom w:val="nil"/>
            </w:tcBorders>
            <w:vAlign w:val="center"/>
          </w:tcPr>
          <w:p w14:paraId="43944E18"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 xml:space="preserve">Experiment 1 </w:t>
            </w:r>
          </w:p>
        </w:tc>
        <w:tc>
          <w:tcPr>
            <w:tcW w:w="540" w:type="pct"/>
            <w:tcBorders>
              <w:top w:val="single" w:sz="4" w:space="0" w:color="auto"/>
              <w:bottom w:val="nil"/>
            </w:tcBorders>
            <w:vAlign w:val="center"/>
          </w:tcPr>
          <w:p w14:paraId="2B84C7CF"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single" w:sz="4" w:space="0" w:color="auto"/>
              <w:bottom w:val="nil"/>
            </w:tcBorders>
            <w:vAlign w:val="center"/>
          </w:tcPr>
          <w:p w14:paraId="1FF228EB"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single" w:sz="4" w:space="0" w:color="auto"/>
              <w:bottom w:val="nil"/>
            </w:tcBorders>
            <w:vAlign w:val="center"/>
          </w:tcPr>
          <w:p w14:paraId="2818753F"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single" w:sz="4" w:space="0" w:color="auto"/>
              <w:bottom w:val="nil"/>
            </w:tcBorders>
            <w:vAlign w:val="center"/>
          </w:tcPr>
          <w:p w14:paraId="4D56BC5D" w14:textId="77777777" w:rsidR="006F1FB4" w:rsidRPr="00A20AE9" w:rsidRDefault="006F1FB4" w:rsidP="00731391">
            <w:pPr>
              <w:spacing w:beforeLines="40" w:before="96" w:afterLines="40" w:after="96"/>
              <w:jc w:val="center"/>
              <w:rPr>
                <w:rFonts w:ascii="Calibri" w:hAnsi="Calibri" w:cs="Calibri"/>
              </w:rPr>
            </w:pPr>
          </w:p>
        </w:tc>
        <w:tc>
          <w:tcPr>
            <w:tcW w:w="792" w:type="pct"/>
            <w:tcBorders>
              <w:top w:val="single" w:sz="4" w:space="0" w:color="auto"/>
              <w:bottom w:val="nil"/>
            </w:tcBorders>
          </w:tcPr>
          <w:p w14:paraId="13852AC2"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7F513238" w14:textId="77777777" w:rsidTr="00731391">
        <w:trPr>
          <w:trHeight w:val="284"/>
        </w:trPr>
        <w:tc>
          <w:tcPr>
            <w:tcW w:w="503" w:type="pct"/>
            <w:gridSpan w:val="2"/>
            <w:tcBorders>
              <w:top w:val="nil"/>
              <w:bottom w:val="nil"/>
            </w:tcBorders>
            <w:vAlign w:val="center"/>
          </w:tcPr>
          <w:p w14:paraId="263A4CAB"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259C00FB"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Accuracy</w:t>
            </w:r>
          </w:p>
        </w:tc>
        <w:tc>
          <w:tcPr>
            <w:tcW w:w="540" w:type="pct"/>
            <w:tcBorders>
              <w:top w:val="nil"/>
              <w:bottom w:val="nil"/>
            </w:tcBorders>
            <w:vAlign w:val="center"/>
          </w:tcPr>
          <w:p w14:paraId="6CDE743F"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2D1E97A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-1.65</w:t>
            </w:r>
          </w:p>
        </w:tc>
        <w:tc>
          <w:tcPr>
            <w:tcW w:w="697" w:type="pct"/>
            <w:tcBorders>
              <w:top w:val="nil"/>
              <w:bottom w:val="nil"/>
            </w:tcBorders>
            <w:vAlign w:val="bottom"/>
          </w:tcPr>
          <w:p w14:paraId="09AC20B5"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.105</w:t>
            </w:r>
          </w:p>
        </w:tc>
        <w:tc>
          <w:tcPr>
            <w:tcW w:w="621" w:type="pct"/>
            <w:tcBorders>
              <w:top w:val="nil"/>
              <w:bottom w:val="nil"/>
            </w:tcBorders>
            <w:vAlign w:val="bottom"/>
          </w:tcPr>
          <w:p w14:paraId="2B6F871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0.31</w:t>
            </w:r>
          </w:p>
        </w:tc>
        <w:tc>
          <w:tcPr>
            <w:tcW w:w="792" w:type="pct"/>
            <w:tcBorders>
              <w:top w:val="nil"/>
              <w:bottom w:val="nil"/>
            </w:tcBorders>
            <w:vAlign w:val="bottom"/>
          </w:tcPr>
          <w:p w14:paraId="709E2DD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0.49</w:t>
            </w:r>
          </w:p>
        </w:tc>
      </w:tr>
      <w:tr w:rsidR="006F1FB4" w:rsidRPr="00A20AE9" w14:paraId="351DCBAA" w14:textId="77777777" w:rsidTr="00731391">
        <w:trPr>
          <w:trHeight w:val="284"/>
        </w:trPr>
        <w:tc>
          <w:tcPr>
            <w:tcW w:w="503" w:type="pct"/>
            <w:gridSpan w:val="2"/>
            <w:tcBorders>
              <w:top w:val="nil"/>
              <w:bottom w:val="nil"/>
            </w:tcBorders>
            <w:vAlign w:val="center"/>
          </w:tcPr>
          <w:p w14:paraId="690099A2"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5712CF77"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RT Median</w:t>
            </w:r>
          </w:p>
        </w:tc>
        <w:tc>
          <w:tcPr>
            <w:tcW w:w="540" w:type="pct"/>
            <w:tcBorders>
              <w:top w:val="nil"/>
              <w:bottom w:val="nil"/>
            </w:tcBorders>
            <w:vAlign w:val="center"/>
          </w:tcPr>
          <w:p w14:paraId="07ADEC7D"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36562C3C"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-0.5</w:t>
            </w:r>
          </w:p>
        </w:tc>
        <w:tc>
          <w:tcPr>
            <w:tcW w:w="697" w:type="pct"/>
            <w:tcBorders>
              <w:top w:val="nil"/>
              <w:bottom w:val="nil"/>
            </w:tcBorders>
            <w:vAlign w:val="bottom"/>
          </w:tcPr>
          <w:p w14:paraId="22EBD5D0"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.623</w:t>
            </w:r>
          </w:p>
        </w:tc>
        <w:tc>
          <w:tcPr>
            <w:tcW w:w="621" w:type="pct"/>
            <w:tcBorders>
              <w:top w:val="nil"/>
              <w:bottom w:val="nil"/>
            </w:tcBorders>
            <w:vAlign w:val="bottom"/>
          </w:tcPr>
          <w:p w14:paraId="4C76422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0.09</w:t>
            </w:r>
          </w:p>
        </w:tc>
        <w:tc>
          <w:tcPr>
            <w:tcW w:w="792" w:type="pct"/>
            <w:tcBorders>
              <w:top w:val="nil"/>
              <w:bottom w:val="nil"/>
            </w:tcBorders>
            <w:vAlign w:val="bottom"/>
          </w:tcPr>
          <w:p w14:paraId="6FD40DAE"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0.15</w:t>
            </w:r>
          </w:p>
        </w:tc>
      </w:tr>
      <w:tr w:rsidR="006F1FB4" w:rsidRPr="00A20AE9" w14:paraId="22F186F9" w14:textId="77777777" w:rsidTr="00731391">
        <w:trPr>
          <w:trHeight w:val="284"/>
        </w:trPr>
        <w:tc>
          <w:tcPr>
            <w:tcW w:w="1730" w:type="pct"/>
            <w:gridSpan w:val="3"/>
            <w:tcBorders>
              <w:top w:val="nil"/>
              <w:bottom w:val="nil"/>
            </w:tcBorders>
            <w:vAlign w:val="center"/>
          </w:tcPr>
          <w:p w14:paraId="531B118C"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 xml:space="preserve">Experiment 2 </w:t>
            </w:r>
          </w:p>
        </w:tc>
        <w:tc>
          <w:tcPr>
            <w:tcW w:w="540" w:type="pct"/>
            <w:tcBorders>
              <w:top w:val="nil"/>
              <w:bottom w:val="nil"/>
            </w:tcBorders>
            <w:vAlign w:val="center"/>
          </w:tcPr>
          <w:p w14:paraId="507D0B10"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center"/>
          </w:tcPr>
          <w:p w14:paraId="681E5188"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nil"/>
              <w:bottom w:val="nil"/>
            </w:tcBorders>
            <w:vAlign w:val="bottom"/>
          </w:tcPr>
          <w:p w14:paraId="6E2ABDBF" w14:textId="77777777" w:rsidR="006F1FB4" w:rsidRPr="00A20AE9" w:rsidRDefault="006F1FB4" w:rsidP="00731391">
            <w:pPr>
              <w:spacing w:beforeLines="40" w:before="96" w:afterLines="40" w:after="96"/>
              <w:jc w:val="center"/>
              <w:rPr>
                <w:rFonts w:ascii="Calibri" w:hAnsi="Calibri" w:cs="Calibri"/>
                <w:b/>
                <w:bCs/>
              </w:rPr>
            </w:pPr>
          </w:p>
        </w:tc>
        <w:tc>
          <w:tcPr>
            <w:tcW w:w="621" w:type="pct"/>
            <w:tcBorders>
              <w:top w:val="nil"/>
              <w:bottom w:val="nil"/>
            </w:tcBorders>
            <w:vAlign w:val="bottom"/>
          </w:tcPr>
          <w:p w14:paraId="78BE4570" w14:textId="77777777" w:rsidR="006F1FB4" w:rsidRPr="00A20AE9" w:rsidRDefault="006F1FB4" w:rsidP="00731391">
            <w:pPr>
              <w:spacing w:beforeLines="40" w:before="96" w:afterLines="40" w:after="96"/>
              <w:jc w:val="center"/>
              <w:rPr>
                <w:rFonts w:ascii="Calibri" w:hAnsi="Calibri" w:cs="Calibri"/>
              </w:rPr>
            </w:pPr>
          </w:p>
        </w:tc>
        <w:tc>
          <w:tcPr>
            <w:tcW w:w="792" w:type="pct"/>
            <w:tcBorders>
              <w:top w:val="nil"/>
              <w:bottom w:val="nil"/>
            </w:tcBorders>
            <w:vAlign w:val="bottom"/>
          </w:tcPr>
          <w:p w14:paraId="367AE009"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5A0A7DC9" w14:textId="77777777" w:rsidTr="00731391">
        <w:trPr>
          <w:trHeight w:val="284"/>
        </w:trPr>
        <w:tc>
          <w:tcPr>
            <w:tcW w:w="503" w:type="pct"/>
            <w:gridSpan w:val="2"/>
            <w:tcBorders>
              <w:top w:val="nil"/>
              <w:bottom w:val="nil"/>
            </w:tcBorders>
            <w:vAlign w:val="center"/>
          </w:tcPr>
          <w:p w14:paraId="26D3BFCC"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2471B793"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Accuracy</w:t>
            </w:r>
          </w:p>
        </w:tc>
        <w:tc>
          <w:tcPr>
            <w:tcW w:w="540" w:type="pct"/>
            <w:tcBorders>
              <w:top w:val="nil"/>
              <w:bottom w:val="nil"/>
            </w:tcBorders>
            <w:vAlign w:val="center"/>
          </w:tcPr>
          <w:p w14:paraId="399C3A4D"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397562C8"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-1.95</w:t>
            </w:r>
          </w:p>
        </w:tc>
        <w:tc>
          <w:tcPr>
            <w:tcW w:w="697" w:type="pct"/>
            <w:tcBorders>
              <w:top w:val="nil"/>
              <w:bottom w:val="nil"/>
            </w:tcBorders>
            <w:vAlign w:val="bottom"/>
          </w:tcPr>
          <w:p w14:paraId="675B5F15"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.056</w:t>
            </w:r>
          </w:p>
        </w:tc>
        <w:tc>
          <w:tcPr>
            <w:tcW w:w="621" w:type="pct"/>
            <w:tcBorders>
              <w:top w:val="nil"/>
              <w:bottom w:val="nil"/>
            </w:tcBorders>
            <w:vAlign w:val="bottom"/>
          </w:tcPr>
          <w:p w14:paraId="375B8CF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0.36</w:t>
            </w:r>
          </w:p>
        </w:tc>
        <w:tc>
          <w:tcPr>
            <w:tcW w:w="792" w:type="pct"/>
            <w:tcBorders>
              <w:top w:val="nil"/>
              <w:bottom w:val="nil"/>
            </w:tcBorders>
            <w:vAlign w:val="bottom"/>
          </w:tcPr>
          <w:p w14:paraId="4E3B7529"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0.80</w:t>
            </w:r>
          </w:p>
        </w:tc>
      </w:tr>
      <w:tr w:rsidR="006F1FB4" w:rsidRPr="00A20AE9" w14:paraId="1D5862EB" w14:textId="77777777" w:rsidTr="00731391">
        <w:trPr>
          <w:trHeight w:val="284"/>
        </w:trPr>
        <w:tc>
          <w:tcPr>
            <w:tcW w:w="503" w:type="pct"/>
            <w:gridSpan w:val="2"/>
            <w:tcBorders>
              <w:top w:val="nil"/>
              <w:bottom w:val="nil"/>
            </w:tcBorders>
            <w:vAlign w:val="center"/>
          </w:tcPr>
          <w:p w14:paraId="5F886454"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0E7DE254"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RT Median</w:t>
            </w:r>
          </w:p>
        </w:tc>
        <w:tc>
          <w:tcPr>
            <w:tcW w:w="540" w:type="pct"/>
            <w:tcBorders>
              <w:top w:val="nil"/>
              <w:bottom w:val="nil"/>
            </w:tcBorders>
            <w:vAlign w:val="center"/>
          </w:tcPr>
          <w:p w14:paraId="0E60750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25755B9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-0.85</w:t>
            </w:r>
          </w:p>
        </w:tc>
        <w:tc>
          <w:tcPr>
            <w:tcW w:w="697" w:type="pct"/>
            <w:tcBorders>
              <w:top w:val="nil"/>
              <w:bottom w:val="nil"/>
            </w:tcBorders>
            <w:vAlign w:val="bottom"/>
          </w:tcPr>
          <w:p w14:paraId="22477A7C"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.398</w:t>
            </w:r>
          </w:p>
        </w:tc>
        <w:tc>
          <w:tcPr>
            <w:tcW w:w="621" w:type="pct"/>
            <w:tcBorders>
              <w:top w:val="nil"/>
              <w:bottom w:val="nil"/>
            </w:tcBorders>
            <w:vAlign w:val="bottom"/>
          </w:tcPr>
          <w:p w14:paraId="2B32BD9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0.14</w:t>
            </w:r>
          </w:p>
        </w:tc>
        <w:tc>
          <w:tcPr>
            <w:tcW w:w="792" w:type="pct"/>
            <w:tcBorders>
              <w:top w:val="nil"/>
              <w:bottom w:val="nil"/>
            </w:tcBorders>
            <w:vAlign w:val="bottom"/>
          </w:tcPr>
          <w:p w14:paraId="54A01BD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0.19</w:t>
            </w:r>
          </w:p>
        </w:tc>
      </w:tr>
      <w:tr w:rsidR="006F1FB4" w:rsidRPr="00A20AE9" w14:paraId="7C18232D" w14:textId="77777777" w:rsidTr="00731391">
        <w:trPr>
          <w:trHeight w:val="284"/>
        </w:trPr>
        <w:tc>
          <w:tcPr>
            <w:tcW w:w="1730" w:type="pct"/>
            <w:gridSpan w:val="3"/>
            <w:tcBorders>
              <w:top w:val="nil"/>
              <w:bottom w:val="nil"/>
            </w:tcBorders>
            <w:vAlign w:val="center"/>
          </w:tcPr>
          <w:p w14:paraId="62D78F1C"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 xml:space="preserve">Experiment 3 </w:t>
            </w:r>
          </w:p>
        </w:tc>
        <w:tc>
          <w:tcPr>
            <w:tcW w:w="540" w:type="pct"/>
            <w:tcBorders>
              <w:top w:val="nil"/>
              <w:bottom w:val="nil"/>
            </w:tcBorders>
            <w:vAlign w:val="center"/>
          </w:tcPr>
          <w:p w14:paraId="029A18CA"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center"/>
          </w:tcPr>
          <w:p w14:paraId="6CB5BB45"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nil"/>
              <w:bottom w:val="nil"/>
            </w:tcBorders>
            <w:vAlign w:val="bottom"/>
          </w:tcPr>
          <w:p w14:paraId="12DE479F" w14:textId="77777777" w:rsidR="006F1FB4" w:rsidRPr="00A20AE9" w:rsidRDefault="006F1FB4" w:rsidP="00731391">
            <w:pPr>
              <w:spacing w:beforeLines="40" w:before="96" w:afterLines="40" w:after="96"/>
              <w:jc w:val="center"/>
              <w:rPr>
                <w:rFonts w:ascii="Calibri" w:hAnsi="Calibri" w:cs="Calibri"/>
                <w:b/>
                <w:bCs/>
              </w:rPr>
            </w:pPr>
          </w:p>
        </w:tc>
        <w:tc>
          <w:tcPr>
            <w:tcW w:w="621" w:type="pct"/>
            <w:tcBorders>
              <w:top w:val="nil"/>
              <w:bottom w:val="nil"/>
            </w:tcBorders>
            <w:vAlign w:val="bottom"/>
          </w:tcPr>
          <w:p w14:paraId="746E6B69" w14:textId="77777777" w:rsidR="006F1FB4" w:rsidRPr="00A20AE9" w:rsidRDefault="006F1FB4" w:rsidP="00731391">
            <w:pPr>
              <w:spacing w:beforeLines="40" w:before="96" w:afterLines="40" w:after="96"/>
              <w:jc w:val="center"/>
              <w:rPr>
                <w:rFonts w:ascii="Calibri" w:hAnsi="Calibri" w:cs="Calibri"/>
              </w:rPr>
            </w:pPr>
          </w:p>
        </w:tc>
        <w:tc>
          <w:tcPr>
            <w:tcW w:w="792" w:type="pct"/>
            <w:tcBorders>
              <w:top w:val="nil"/>
              <w:bottom w:val="nil"/>
            </w:tcBorders>
            <w:vAlign w:val="bottom"/>
          </w:tcPr>
          <w:p w14:paraId="4B1B9461"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5F75EAB1" w14:textId="77777777" w:rsidTr="00731391">
        <w:trPr>
          <w:trHeight w:val="284"/>
        </w:trPr>
        <w:tc>
          <w:tcPr>
            <w:tcW w:w="503" w:type="pct"/>
            <w:gridSpan w:val="2"/>
            <w:tcBorders>
              <w:top w:val="nil"/>
              <w:bottom w:val="nil"/>
            </w:tcBorders>
            <w:vAlign w:val="center"/>
          </w:tcPr>
          <w:p w14:paraId="450A82AA"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3F437D6A"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Accuracy</w:t>
            </w:r>
          </w:p>
        </w:tc>
        <w:tc>
          <w:tcPr>
            <w:tcW w:w="540" w:type="pct"/>
            <w:tcBorders>
              <w:top w:val="nil"/>
              <w:bottom w:val="nil"/>
            </w:tcBorders>
            <w:vAlign w:val="center"/>
          </w:tcPr>
          <w:p w14:paraId="1B2F143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7826569E"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-1.36</w:t>
            </w:r>
          </w:p>
        </w:tc>
        <w:tc>
          <w:tcPr>
            <w:tcW w:w="697" w:type="pct"/>
            <w:tcBorders>
              <w:top w:val="nil"/>
              <w:bottom w:val="nil"/>
            </w:tcBorders>
            <w:vAlign w:val="bottom"/>
          </w:tcPr>
          <w:p w14:paraId="71D5DBCA"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.179</w:t>
            </w:r>
          </w:p>
        </w:tc>
        <w:tc>
          <w:tcPr>
            <w:tcW w:w="621" w:type="pct"/>
            <w:tcBorders>
              <w:top w:val="nil"/>
              <w:bottom w:val="nil"/>
            </w:tcBorders>
            <w:vAlign w:val="bottom"/>
          </w:tcPr>
          <w:p w14:paraId="345DBFE8"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0.23</w:t>
            </w:r>
          </w:p>
        </w:tc>
        <w:tc>
          <w:tcPr>
            <w:tcW w:w="792" w:type="pct"/>
            <w:tcBorders>
              <w:top w:val="nil"/>
              <w:bottom w:val="nil"/>
            </w:tcBorders>
            <w:vAlign w:val="bottom"/>
          </w:tcPr>
          <w:p w14:paraId="0B97F3F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0.33</w:t>
            </w:r>
          </w:p>
        </w:tc>
      </w:tr>
      <w:tr w:rsidR="006F1FB4" w:rsidRPr="00A20AE9" w14:paraId="421D6C61" w14:textId="77777777" w:rsidTr="00731391">
        <w:trPr>
          <w:trHeight w:val="284"/>
        </w:trPr>
        <w:tc>
          <w:tcPr>
            <w:tcW w:w="503" w:type="pct"/>
            <w:gridSpan w:val="2"/>
            <w:tcBorders>
              <w:top w:val="nil"/>
              <w:bottom w:val="nil"/>
            </w:tcBorders>
            <w:vAlign w:val="center"/>
          </w:tcPr>
          <w:p w14:paraId="49B98475"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6D1B5584"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RT Median</w:t>
            </w:r>
          </w:p>
        </w:tc>
        <w:tc>
          <w:tcPr>
            <w:tcW w:w="540" w:type="pct"/>
            <w:tcBorders>
              <w:top w:val="nil"/>
              <w:bottom w:val="nil"/>
            </w:tcBorders>
            <w:vAlign w:val="center"/>
          </w:tcPr>
          <w:p w14:paraId="4CACA11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15ABC34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-0.34</w:t>
            </w:r>
          </w:p>
        </w:tc>
        <w:tc>
          <w:tcPr>
            <w:tcW w:w="697" w:type="pct"/>
            <w:tcBorders>
              <w:top w:val="nil"/>
              <w:bottom w:val="nil"/>
            </w:tcBorders>
            <w:vAlign w:val="bottom"/>
          </w:tcPr>
          <w:p w14:paraId="796E18F5"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.733</w:t>
            </w:r>
          </w:p>
        </w:tc>
        <w:tc>
          <w:tcPr>
            <w:tcW w:w="621" w:type="pct"/>
            <w:tcBorders>
              <w:top w:val="nil"/>
              <w:bottom w:val="nil"/>
            </w:tcBorders>
            <w:vAlign w:val="bottom"/>
          </w:tcPr>
          <w:p w14:paraId="0FC05D6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0.05</w:t>
            </w:r>
          </w:p>
        </w:tc>
        <w:tc>
          <w:tcPr>
            <w:tcW w:w="792" w:type="pct"/>
            <w:tcBorders>
              <w:top w:val="nil"/>
              <w:bottom w:val="nil"/>
            </w:tcBorders>
            <w:vAlign w:val="bottom"/>
          </w:tcPr>
          <w:p w14:paraId="61CAF4C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0.15</w:t>
            </w:r>
          </w:p>
        </w:tc>
      </w:tr>
      <w:tr w:rsidR="006F1FB4" w:rsidRPr="00A20AE9" w14:paraId="6C6C74D0" w14:textId="77777777" w:rsidTr="00731391">
        <w:trPr>
          <w:trHeight w:val="284"/>
        </w:trPr>
        <w:tc>
          <w:tcPr>
            <w:tcW w:w="1730" w:type="pct"/>
            <w:gridSpan w:val="3"/>
            <w:tcBorders>
              <w:top w:val="nil"/>
              <w:bottom w:val="nil"/>
            </w:tcBorders>
            <w:vAlign w:val="center"/>
          </w:tcPr>
          <w:p w14:paraId="7DD3A944"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 xml:space="preserve">Experiment 4 </w:t>
            </w:r>
          </w:p>
        </w:tc>
        <w:tc>
          <w:tcPr>
            <w:tcW w:w="540" w:type="pct"/>
            <w:tcBorders>
              <w:top w:val="nil"/>
              <w:bottom w:val="nil"/>
            </w:tcBorders>
            <w:vAlign w:val="center"/>
          </w:tcPr>
          <w:p w14:paraId="3C11825A"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center"/>
          </w:tcPr>
          <w:p w14:paraId="06C278DC"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nil"/>
              <w:bottom w:val="nil"/>
            </w:tcBorders>
            <w:vAlign w:val="bottom"/>
          </w:tcPr>
          <w:p w14:paraId="6DA3524E"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bottom"/>
          </w:tcPr>
          <w:p w14:paraId="2D9977FE" w14:textId="77777777" w:rsidR="006F1FB4" w:rsidRPr="00A20AE9" w:rsidRDefault="006F1FB4" w:rsidP="00731391">
            <w:pPr>
              <w:spacing w:beforeLines="40" w:before="96" w:afterLines="40" w:after="96"/>
              <w:jc w:val="center"/>
              <w:rPr>
                <w:rFonts w:ascii="Calibri" w:hAnsi="Calibri" w:cs="Calibri"/>
              </w:rPr>
            </w:pPr>
          </w:p>
        </w:tc>
        <w:tc>
          <w:tcPr>
            <w:tcW w:w="792" w:type="pct"/>
            <w:tcBorders>
              <w:top w:val="nil"/>
              <w:bottom w:val="nil"/>
            </w:tcBorders>
            <w:vAlign w:val="bottom"/>
          </w:tcPr>
          <w:p w14:paraId="739D1646"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11F645DD" w14:textId="77777777" w:rsidTr="00731391">
        <w:trPr>
          <w:trHeight w:val="284"/>
        </w:trPr>
        <w:tc>
          <w:tcPr>
            <w:tcW w:w="503" w:type="pct"/>
            <w:gridSpan w:val="2"/>
            <w:tcBorders>
              <w:top w:val="nil"/>
              <w:bottom w:val="nil"/>
            </w:tcBorders>
            <w:vAlign w:val="center"/>
          </w:tcPr>
          <w:p w14:paraId="17CA334B"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431E9518"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Accuracy</w:t>
            </w:r>
          </w:p>
        </w:tc>
        <w:tc>
          <w:tcPr>
            <w:tcW w:w="540" w:type="pct"/>
            <w:tcBorders>
              <w:top w:val="nil"/>
              <w:bottom w:val="nil"/>
            </w:tcBorders>
            <w:vAlign w:val="center"/>
          </w:tcPr>
          <w:p w14:paraId="074A933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52FD4744"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1.71</w:t>
            </w:r>
          </w:p>
        </w:tc>
        <w:tc>
          <w:tcPr>
            <w:tcW w:w="697" w:type="pct"/>
            <w:tcBorders>
              <w:top w:val="nil"/>
              <w:bottom w:val="nil"/>
            </w:tcBorders>
            <w:vAlign w:val="bottom"/>
          </w:tcPr>
          <w:p w14:paraId="59A3E9B2"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.092</w:t>
            </w:r>
          </w:p>
        </w:tc>
        <w:tc>
          <w:tcPr>
            <w:tcW w:w="621" w:type="pct"/>
            <w:tcBorders>
              <w:top w:val="nil"/>
              <w:bottom w:val="nil"/>
            </w:tcBorders>
            <w:vAlign w:val="bottom"/>
          </w:tcPr>
          <w:p w14:paraId="00494462"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0.32</w:t>
            </w:r>
          </w:p>
        </w:tc>
        <w:tc>
          <w:tcPr>
            <w:tcW w:w="792" w:type="pct"/>
            <w:tcBorders>
              <w:top w:val="nil"/>
              <w:bottom w:val="nil"/>
            </w:tcBorders>
          </w:tcPr>
          <w:p w14:paraId="15D11A9A"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0.54</w:t>
            </w:r>
          </w:p>
        </w:tc>
      </w:tr>
      <w:tr w:rsidR="006F1FB4" w:rsidRPr="00A20AE9" w14:paraId="7C385A84" w14:textId="77777777" w:rsidTr="00731391">
        <w:trPr>
          <w:trHeight w:val="284"/>
        </w:trPr>
        <w:tc>
          <w:tcPr>
            <w:tcW w:w="503" w:type="pct"/>
            <w:gridSpan w:val="2"/>
            <w:tcBorders>
              <w:top w:val="nil"/>
              <w:bottom w:val="single" w:sz="4" w:space="0" w:color="auto"/>
            </w:tcBorders>
            <w:vAlign w:val="center"/>
          </w:tcPr>
          <w:p w14:paraId="2FE2EECF"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single" w:sz="4" w:space="0" w:color="auto"/>
            </w:tcBorders>
            <w:vAlign w:val="center"/>
          </w:tcPr>
          <w:p w14:paraId="2FF037B9"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RT Median</w:t>
            </w:r>
          </w:p>
        </w:tc>
        <w:tc>
          <w:tcPr>
            <w:tcW w:w="540" w:type="pct"/>
            <w:tcBorders>
              <w:top w:val="nil"/>
              <w:bottom w:val="single" w:sz="4" w:space="0" w:color="auto"/>
            </w:tcBorders>
            <w:vAlign w:val="center"/>
          </w:tcPr>
          <w:p w14:paraId="2D968CEC"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single" w:sz="4" w:space="0" w:color="auto"/>
            </w:tcBorders>
            <w:vAlign w:val="bottom"/>
          </w:tcPr>
          <w:p w14:paraId="03A915FA"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-5.69</w:t>
            </w:r>
          </w:p>
        </w:tc>
        <w:tc>
          <w:tcPr>
            <w:tcW w:w="697" w:type="pct"/>
            <w:tcBorders>
              <w:top w:val="nil"/>
              <w:bottom w:val="single" w:sz="4" w:space="0" w:color="auto"/>
            </w:tcBorders>
            <w:vAlign w:val="bottom"/>
          </w:tcPr>
          <w:p w14:paraId="08BCBBF1"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&lt;.001</w:t>
            </w:r>
          </w:p>
        </w:tc>
        <w:tc>
          <w:tcPr>
            <w:tcW w:w="621" w:type="pct"/>
            <w:tcBorders>
              <w:top w:val="nil"/>
              <w:bottom w:val="single" w:sz="4" w:space="0" w:color="auto"/>
            </w:tcBorders>
            <w:vAlign w:val="bottom"/>
          </w:tcPr>
          <w:p w14:paraId="4B82AECB"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0.83</w:t>
            </w:r>
          </w:p>
        </w:tc>
        <w:tc>
          <w:tcPr>
            <w:tcW w:w="792" w:type="pct"/>
            <w:tcBorders>
              <w:top w:val="nil"/>
              <w:bottom w:val="single" w:sz="4" w:space="0" w:color="auto"/>
            </w:tcBorders>
          </w:tcPr>
          <w:p w14:paraId="6F787BF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&gt;100</w:t>
            </w:r>
          </w:p>
        </w:tc>
      </w:tr>
    </w:tbl>
    <w:p w14:paraId="18F5652E" w14:textId="77777777" w:rsidR="006F1FB4" w:rsidRPr="00A20AE9" w:rsidRDefault="006F1FB4" w:rsidP="006F1FB4">
      <w:pPr>
        <w:rPr>
          <w:rFonts w:ascii="Calibri" w:hAnsi="Calibri" w:cs="Calibri"/>
        </w:rPr>
      </w:pPr>
    </w:p>
    <w:p w14:paraId="1937467E" w14:textId="77777777" w:rsidR="006F1FB4" w:rsidRPr="00A20AE9" w:rsidRDefault="006F1FB4" w:rsidP="006F1FB4">
      <w:pPr>
        <w:rPr>
          <w:rFonts w:ascii="Calibri" w:hAnsi="Calibri" w:cs="Calibri"/>
        </w:rPr>
      </w:pPr>
      <w:r w:rsidRPr="00A20AE9">
        <w:rPr>
          <w:rFonts w:ascii="Calibri" w:hAnsi="Calibri" w:cs="Calibri"/>
        </w:rPr>
        <w:br w:type="page"/>
      </w:r>
    </w:p>
    <w:p w14:paraId="78980CC3" w14:textId="77777777" w:rsidR="006F1FB4" w:rsidRPr="00A20AE9" w:rsidRDefault="006F1FB4" w:rsidP="006F1FB4">
      <w:pPr>
        <w:rPr>
          <w:rFonts w:ascii="Calibri" w:hAnsi="Calibri" w:cs="Calibri"/>
          <w:lang w:val="en-US"/>
        </w:rPr>
      </w:pPr>
      <w:r w:rsidRPr="00A20AE9">
        <w:rPr>
          <w:rFonts w:ascii="Calibri" w:hAnsi="Calibri" w:cs="Calibri"/>
          <w:lang w:val="en-US"/>
        </w:rPr>
        <w:lastRenderedPageBreak/>
        <w:t xml:space="preserve">Suppl. Table 7. </w:t>
      </w:r>
    </w:p>
    <w:p w14:paraId="7C2E8F7E" w14:textId="77777777" w:rsidR="006F1FB4" w:rsidRPr="00A20AE9" w:rsidRDefault="006F1FB4" w:rsidP="006F1FB4">
      <w:pPr>
        <w:rPr>
          <w:rFonts w:ascii="Calibri" w:hAnsi="Calibri" w:cs="Calibri"/>
          <w:i/>
          <w:iCs/>
        </w:rPr>
      </w:pPr>
      <w:r w:rsidRPr="00A20AE9">
        <w:rPr>
          <w:rFonts w:ascii="Calibri" w:hAnsi="Calibri" w:cs="Calibri"/>
          <w:i/>
          <w:iCs/>
          <w:lang w:val="en-US"/>
        </w:rPr>
        <w:t>Descriptive statistics for Accuracy (%) and Median Reaction Time (RT; s) measures for CFE size (Aligned – Misaligned) of horizontal and vertical composites for comparison across experimental pairings.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3"/>
        <w:gridCol w:w="1647"/>
        <w:gridCol w:w="1501"/>
        <w:gridCol w:w="1502"/>
        <w:gridCol w:w="1531"/>
        <w:gridCol w:w="1532"/>
      </w:tblGrid>
      <w:tr w:rsidR="006F1FB4" w:rsidRPr="00A20AE9" w14:paraId="317D1CD2" w14:textId="77777777" w:rsidTr="00731391">
        <w:tc>
          <w:tcPr>
            <w:tcW w:w="1313" w:type="dxa"/>
            <w:tcBorders>
              <w:top w:val="single" w:sz="4" w:space="0" w:color="auto"/>
              <w:bottom w:val="single" w:sz="4" w:space="0" w:color="auto"/>
            </w:tcBorders>
          </w:tcPr>
          <w:p w14:paraId="2143E251" w14:textId="77777777" w:rsidR="006F1FB4" w:rsidRPr="00A20AE9" w:rsidRDefault="006F1FB4" w:rsidP="00731391">
            <w:pPr>
              <w:spacing w:beforeLines="40" w:before="96" w:afterLines="40" w:after="96"/>
              <w:rPr>
                <w:rFonts w:ascii="Calibri" w:hAnsi="Calibri" w:cs="Calibri"/>
                <w:b/>
                <w:bCs/>
              </w:rPr>
            </w:pPr>
            <w:r w:rsidRPr="00A20AE9">
              <w:rPr>
                <w:rFonts w:ascii="Calibri" w:hAnsi="Calibri" w:cs="Calibri"/>
                <w:b/>
                <w:bCs/>
              </w:rPr>
              <w:t>Comparison</w:t>
            </w:r>
          </w:p>
        </w:tc>
        <w:tc>
          <w:tcPr>
            <w:tcW w:w="1647" w:type="dxa"/>
            <w:tcBorders>
              <w:top w:val="single" w:sz="4" w:space="0" w:color="auto"/>
              <w:bottom w:val="single" w:sz="4" w:space="0" w:color="auto"/>
            </w:tcBorders>
          </w:tcPr>
          <w:p w14:paraId="444DF58C" w14:textId="77777777" w:rsidR="006F1FB4" w:rsidRPr="00A20AE9" w:rsidRDefault="006F1FB4" w:rsidP="00731391">
            <w:pPr>
              <w:spacing w:beforeLines="40" w:before="96" w:afterLines="40" w:after="96"/>
              <w:rPr>
                <w:rFonts w:ascii="Calibri" w:hAnsi="Calibri" w:cs="Calibri"/>
                <w:b/>
                <w:bCs/>
              </w:rPr>
            </w:pPr>
          </w:p>
        </w:tc>
        <w:tc>
          <w:tcPr>
            <w:tcW w:w="1501" w:type="dxa"/>
            <w:tcBorders>
              <w:top w:val="single" w:sz="4" w:space="0" w:color="auto"/>
              <w:bottom w:val="single" w:sz="4" w:space="0" w:color="auto"/>
            </w:tcBorders>
          </w:tcPr>
          <w:p w14:paraId="7DD1D791"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 xml:space="preserve">Vertical M </w:t>
            </w:r>
          </w:p>
        </w:tc>
        <w:tc>
          <w:tcPr>
            <w:tcW w:w="1502" w:type="dxa"/>
            <w:tcBorders>
              <w:top w:val="single" w:sz="4" w:space="0" w:color="auto"/>
              <w:bottom w:val="single" w:sz="4" w:space="0" w:color="auto"/>
            </w:tcBorders>
          </w:tcPr>
          <w:p w14:paraId="7647E277"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Vertical SD</w:t>
            </w:r>
          </w:p>
        </w:tc>
        <w:tc>
          <w:tcPr>
            <w:tcW w:w="1531" w:type="dxa"/>
            <w:tcBorders>
              <w:top w:val="single" w:sz="4" w:space="0" w:color="auto"/>
              <w:bottom w:val="single" w:sz="4" w:space="0" w:color="auto"/>
            </w:tcBorders>
          </w:tcPr>
          <w:p w14:paraId="3EC7D4C2"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Horizontal M</w:t>
            </w:r>
          </w:p>
        </w:tc>
        <w:tc>
          <w:tcPr>
            <w:tcW w:w="1532" w:type="dxa"/>
            <w:tcBorders>
              <w:top w:val="single" w:sz="4" w:space="0" w:color="auto"/>
              <w:bottom w:val="single" w:sz="4" w:space="0" w:color="auto"/>
            </w:tcBorders>
          </w:tcPr>
          <w:p w14:paraId="1339F51D"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Horizontal SD</w:t>
            </w:r>
          </w:p>
        </w:tc>
      </w:tr>
      <w:tr w:rsidR="006F1FB4" w:rsidRPr="00A20AE9" w14:paraId="34451E21" w14:textId="77777777" w:rsidTr="00731391">
        <w:tc>
          <w:tcPr>
            <w:tcW w:w="2960" w:type="dxa"/>
            <w:gridSpan w:val="2"/>
            <w:tcBorders>
              <w:top w:val="single" w:sz="4" w:space="0" w:color="auto"/>
              <w:bottom w:val="nil"/>
            </w:tcBorders>
          </w:tcPr>
          <w:p w14:paraId="27C7827A" w14:textId="77777777" w:rsidR="006F1FB4" w:rsidRPr="00A20AE9" w:rsidRDefault="006F1FB4" w:rsidP="00731391">
            <w:pPr>
              <w:spacing w:beforeLines="40" w:before="96" w:afterLines="40" w:after="96"/>
              <w:rPr>
                <w:rFonts w:ascii="Calibri" w:hAnsi="Calibri" w:cs="Calibri"/>
                <w:b/>
                <w:bCs/>
              </w:rPr>
            </w:pPr>
            <w:r w:rsidRPr="00A20AE9">
              <w:rPr>
                <w:rFonts w:ascii="Calibri" w:hAnsi="Calibri" w:cs="Calibri"/>
                <w:b/>
                <w:bCs/>
              </w:rPr>
              <w:t>Accuracy</w:t>
            </w:r>
          </w:p>
        </w:tc>
        <w:tc>
          <w:tcPr>
            <w:tcW w:w="1501" w:type="dxa"/>
            <w:tcBorders>
              <w:top w:val="single" w:sz="4" w:space="0" w:color="auto"/>
              <w:bottom w:val="nil"/>
            </w:tcBorders>
          </w:tcPr>
          <w:p w14:paraId="2BE54229" w14:textId="77777777" w:rsidR="006F1FB4" w:rsidRPr="00A20AE9" w:rsidRDefault="006F1FB4" w:rsidP="00731391">
            <w:pPr>
              <w:spacing w:beforeLines="40" w:before="96" w:afterLines="40" w:after="96"/>
              <w:rPr>
                <w:rFonts w:ascii="Calibri" w:hAnsi="Calibri" w:cs="Calibri"/>
              </w:rPr>
            </w:pPr>
          </w:p>
        </w:tc>
        <w:tc>
          <w:tcPr>
            <w:tcW w:w="1502" w:type="dxa"/>
            <w:tcBorders>
              <w:top w:val="single" w:sz="4" w:space="0" w:color="auto"/>
              <w:bottom w:val="nil"/>
            </w:tcBorders>
          </w:tcPr>
          <w:p w14:paraId="1527EF72" w14:textId="77777777" w:rsidR="006F1FB4" w:rsidRPr="00A20AE9" w:rsidRDefault="006F1FB4" w:rsidP="00731391">
            <w:pPr>
              <w:spacing w:beforeLines="40" w:before="96" w:afterLines="40" w:after="96"/>
              <w:rPr>
                <w:rFonts w:ascii="Calibri" w:hAnsi="Calibri" w:cs="Calibri"/>
              </w:rPr>
            </w:pPr>
          </w:p>
        </w:tc>
        <w:tc>
          <w:tcPr>
            <w:tcW w:w="1531" w:type="dxa"/>
            <w:tcBorders>
              <w:top w:val="single" w:sz="4" w:space="0" w:color="auto"/>
              <w:bottom w:val="nil"/>
            </w:tcBorders>
          </w:tcPr>
          <w:p w14:paraId="3819A602" w14:textId="77777777" w:rsidR="006F1FB4" w:rsidRPr="00A20AE9" w:rsidRDefault="006F1FB4" w:rsidP="00731391">
            <w:pPr>
              <w:spacing w:beforeLines="40" w:before="96" w:afterLines="40" w:after="96"/>
              <w:rPr>
                <w:rFonts w:ascii="Calibri" w:hAnsi="Calibri" w:cs="Calibri"/>
              </w:rPr>
            </w:pPr>
          </w:p>
        </w:tc>
        <w:tc>
          <w:tcPr>
            <w:tcW w:w="1532" w:type="dxa"/>
            <w:tcBorders>
              <w:top w:val="single" w:sz="4" w:space="0" w:color="auto"/>
              <w:bottom w:val="nil"/>
            </w:tcBorders>
          </w:tcPr>
          <w:p w14:paraId="4B025A0A" w14:textId="77777777" w:rsidR="006F1FB4" w:rsidRPr="00A20AE9" w:rsidRDefault="006F1FB4" w:rsidP="00731391">
            <w:pPr>
              <w:spacing w:beforeLines="40" w:before="96" w:afterLines="40" w:after="96"/>
              <w:rPr>
                <w:rFonts w:ascii="Calibri" w:hAnsi="Calibri" w:cs="Calibri"/>
              </w:rPr>
            </w:pPr>
          </w:p>
        </w:tc>
      </w:tr>
      <w:tr w:rsidR="006F1FB4" w:rsidRPr="00A20AE9" w14:paraId="78EF5D85" w14:textId="77777777" w:rsidTr="00731391">
        <w:tc>
          <w:tcPr>
            <w:tcW w:w="2960" w:type="dxa"/>
            <w:gridSpan w:val="2"/>
            <w:tcBorders>
              <w:top w:val="nil"/>
            </w:tcBorders>
          </w:tcPr>
          <w:p w14:paraId="5AA1B26D"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 xml:space="preserve">Priming </w:t>
            </w:r>
          </w:p>
        </w:tc>
        <w:tc>
          <w:tcPr>
            <w:tcW w:w="1501" w:type="dxa"/>
            <w:tcBorders>
              <w:top w:val="nil"/>
            </w:tcBorders>
          </w:tcPr>
          <w:p w14:paraId="0846E2A8" w14:textId="77777777" w:rsidR="006F1FB4" w:rsidRPr="00A20AE9" w:rsidRDefault="006F1FB4" w:rsidP="00731391">
            <w:pPr>
              <w:spacing w:beforeLines="40" w:before="96" w:afterLines="40" w:after="96"/>
              <w:rPr>
                <w:rFonts w:ascii="Calibri" w:hAnsi="Calibri" w:cs="Calibri"/>
              </w:rPr>
            </w:pPr>
          </w:p>
        </w:tc>
        <w:tc>
          <w:tcPr>
            <w:tcW w:w="1502" w:type="dxa"/>
            <w:tcBorders>
              <w:top w:val="nil"/>
            </w:tcBorders>
          </w:tcPr>
          <w:p w14:paraId="2271FF74" w14:textId="77777777" w:rsidR="006F1FB4" w:rsidRPr="00A20AE9" w:rsidRDefault="006F1FB4" w:rsidP="00731391">
            <w:pPr>
              <w:spacing w:beforeLines="40" w:before="96" w:afterLines="40" w:after="96"/>
              <w:rPr>
                <w:rFonts w:ascii="Calibri" w:hAnsi="Calibri" w:cs="Calibri"/>
              </w:rPr>
            </w:pPr>
          </w:p>
        </w:tc>
        <w:tc>
          <w:tcPr>
            <w:tcW w:w="1531" w:type="dxa"/>
            <w:tcBorders>
              <w:top w:val="nil"/>
            </w:tcBorders>
          </w:tcPr>
          <w:p w14:paraId="0A61D65E" w14:textId="77777777" w:rsidR="006F1FB4" w:rsidRPr="00A20AE9" w:rsidRDefault="006F1FB4" w:rsidP="00731391">
            <w:pPr>
              <w:spacing w:beforeLines="40" w:before="96" w:afterLines="40" w:after="96"/>
              <w:rPr>
                <w:rFonts w:ascii="Calibri" w:hAnsi="Calibri" w:cs="Calibri"/>
              </w:rPr>
            </w:pPr>
          </w:p>
        </w:tc>
        <w:tc>
          <w:tcPr>
            <w:tcW w:w="1532" w:type="dxa"/>
            <w:tcBorders>
              <w:top w:val="nil"/>
            </w:tcBorders>
          </w:tcPr>
          <w:p w14:paraId="666983BA" w14:textId="77777777" w:rsidR="006F1FB4" w:rsidRPr="00A20AE9" w:rsidRDefault="006F1FB4" w:rsidP="00731391">
            <w:pPr>
              <w:spacing w:beforeLines="40" w:before="96" w:afterLines="40" w:after="96"/>
              <w:rPr>
                <w:rFonts w:ascii="Calibri" w:hAnsi="Calibri" w:cs="Calibri"/>
              </w:rPr>
            </w:pPr>
          </w:p>
        </w:tc>
      </w:tr>
      <w:tr w:rsidR="006F1FB4" w:rsidRPr="00A20AE9" w14:paraId="3CFFA578" w14:textId="77777777" w:rsidTr="00731391">
        <w:tc>
          <w:tcPr>
            <w:tcW w:w="1313" w:type="dxa"/>
          </w:tcPr>
          <w:p w14:paraId="11E3A730" w14:textId="77777777" w:rsidR="006F1FB4" w:rsidRPr="00A20AE9" w:rsidRDefault="006F1FB4" w:rsidP="00731391">
            <w:pPr>
              <w:spacing w:beforeLines="40" w:before="96" w:afterLines="40" w:after="96"/>
              <w:rPr>
                <w:rFonts w:ascii="Calibri" w:hAnsi="Calibri" w:cs="Calibri"/>
              </w:rPr>
            </w:pPr>
          </w:p>
        </w:tc>
        <w:tc>
          <w:tcPr>
            <w:tcW w:w="1647" w:type="dxa"/>
          </w:tcPr>
          <w:p w14:paraId="65919741"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Experiment 1</w:t>
            </w:r>
          </w:p>
        </w:tc>
        <w:tc>
          <w:tcPr>
            <w:tcW w:w="1501" w:type="dxa"/>
            <w:vAlign w:val="bottom"/>
          </w:tcPr>
          <w:p w14:paraId="1D648902"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-2.28</w:t>
            </w:r>
          </w:p>
        </w:tc>
        <w:tc>
          <w:tcPr>
            <w:tcW w:w="1502" w:type="dxa"/>
            <w:vAlign w:val="bottom"/>
          </w:tcPr>
          <w:p w14:paraId="34E8D6E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6.96</w:t>
            </w:r>
          </w:p>
        </w:tc>
        <w:tc>
          <w:tcPr>
            <w:tcW w:w="1531" w:type="dxa"/>
            <w:vAlign w:val="bottom"/>
          </w:tcPr>
          <w:p w14:paraId="63888F0A"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-4.9</w:t>
            </w:r>
          </w:p>
        </w:tc>
        <w:tc>
          <w:tcPr>
            <w:tcW w:w="1532" w:type="dxa"/>
            <w:vAlign w:val="bottom"/>
          </w:tcPr>
          <w:p w14:paraId="08E464E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7.41</w:t>
            </w:r>
          </w:p>
        </w:tc>
      </w:tr>
      <w:tr w:rsidR="006F1FB4" w:rsidRPr="00A20AE9" w14:paraId="698296C3" w14:textId="77777777" w:rsidTr="00731391">
        <w:tc>
          <w:tcPr>
            <w:tcW w:w="1313" w:type="dxa"/>
          </w:tcPr>
          <w:p w14:paraId="367BC53C" w14:textId="77777777" w:rsidR="006F1FB4" w:rsidRPr="00A20AE9" w:rsidRDefault="006F1FB4" w:rsidP="00731391">
            <w:pPr>
              <w:spacing w:beforeLines="40" w:before="96" w:afterLines="40" w:after="96"/>
              <w:rPr>
                <w:rFonts w:ascii="Calibri" w:hAnsi="Calibri" w:cs="Calibri"/>
              </w:rPr>
            </w:pPr>
          </w:p>
        </w:tc>
        <w:tc>
          <w:tcPr>
            <w:tcW w:w="1647" w:type="dxa"/>
          </w:tcPr>
          <w:p w14:paraId="454A6411"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Experiment 2</w:t>
            </w:r>
          </w:p>
        </w:tc>
        <w:tc>
          <w:tcPr>
            <w:tcW w:w="1501" w:type="dxa"/>
            <w:vAlign w:val="bottom"/>
          </w:tcPr>
          <w:p w14:paraId="51EDAEC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-2.06</w:t>
            </w:r>
          </w:p>
        </w:tc>
        <w:tc>
          <w:tcPr>
            <w:tcW w:w="1502" w:type="dxa"/>
            <w:vAlign w:val="bottom"/>
          </w:tcPr>
          <w:p w14:paraId="2656D08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4.9</w:t>
            </w:r>
          </w:p>
        </w:tc>
        <w:tc>
          <w:tcPr>
            <w:tcW w:w="1531" w:type="dxa"/>
            <w:vAlign w:val="bottom"/>
          </w:tcPr>
          <w:p w14:paraId="6B8A826A"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-3.53</w:t>
            </w:r>
          </w:p>
        </w:tc>
        <w:tc>
          <w:tcPr>
            <w:tcW w:w="1532" w:type="dxa"/>
            <w:vAlign w:val="bottom"/>
          </w:tcPr>
          <w:p w14:paraId="3BB9FF44"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4.62</w:t>
            </w:r>
          </w:p>
        </w:tc>
      </w:tr>
      <w:tr w:rsidR="006F1FB4" w:rsidRPr="00A20AE9" w14:paraId="6B29BC03" w14:textId="77777777" w:rsidTr="00731391">
        <w:tc>
          <w:tcPr>
            <w:tcW w:w="2960" w:type="dxa"/>
            <w:gridSpan w:val="2"/>
          </w:tcPr>
          <w:p w14:paraId="51DEA67B"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Half Attendance</w:t>
            </w:r>
          </w:p>
        </w:tc>
        <w:tc>
          <w:tcPr>
            <w:tcW w:w="1501" w:type="dxa"/>
          </w:tcPr>
          <w:p w14:paraId="65A5AF3F" w14:textId="77777777" w:rsidR="006F1FB4" w:rsidRPr="00A20AE9" w:rsidRDefault="006F1FB4" w:rsidP="00731391">
            <w:pPr>
              <w:spacing w:beforeLines="40" w:before="96" w:afterLines="40" w:after="96"/>
              <w:rPr>
                <w:rFonts w:ascii="Calibri" w:hAnsi="Calibri" w:cs="Calibri"/>
              </w:rPr>
            </w:pPr>
          </w:p>
        </w:tc>
        <w:tc>
          <w:tcPr>
            <w:tcW w:w="1502" w:type="dxa"/>
          </w:tcPr>
          <w:p w14:paraId="2040F9AD" w14:textId="77777777" w:rsidR="006F1FB4" w:rsidRPr="00A20AE9" w:rsidRDefault="006F1FB4" w:rsidP="00731391">
            <w:pPr>
              <w:spacing w:beforeLines="40" w:before="96" w:afterLines="40" w:after="96"/>
              <w:rPr>
                <w:rFonts w:ascii="Calibri" w:hAnsi="Calibri" w:cs="Calibri"/>
              </w:rPr>
            </w:pPr>
          </w:p>
        </w:tc>
        <w:tc>
          <w:tcPr>
            <w:tcW w:w="1531" w:type="dxa"/>
          </w:tcPr>
          <w:p w14:paraId="77B72A00" w14:textId="77777777" w:rsidR="006F1FB4" w:rsidRPr="00A20AE9" w:rsidRDefault="006F1FB4" w:rsidP="00731391">
            <w:pPr>
              <w:spacing w:beforeLines="40" w:before="96" w:afterLines="40" w:after="96"/>
              <w:rPr>
                <w:rFonts w:ascii="Calibri" w:hAnsi="Calibri" w:cs="Calibri"/>
              </w:rPr>
            </w:pPr>
          </w:p>
        </w:tc>
        <w:tc>
          <w:tcPr>
            <w:tcW w:w="1532" w:type="dxa"/>
          </w:tcPr>
          <w:p w14:paraId="48D33F21" w14:textId="77777777" w:rsidR="006F1FB4" w:rsidRPr="00A20AE9" w:rsidRDefault="006F1FB4" w:rsidP="00731391">
            <w:pPr>
              <w:spacing w:beforeLines="40" w:before="96" w:afterLines="40" w:after="96"/>
              <w:rPr>
                <w:rFonts w:ascii="Calibri" w:hAnsi="Calibri" w:cs="Calibri"/>
              </w:rPr>
            </w:pPr>
          </w:p>
        </w:tc>
      </w:tr>
      <w:tr w:rsidR="006F1FB4" w:rsidRPr="00A20AE9" w14:paraId="0AE25914" w14:textId="77777777" w:rsidTr="00731391">
        <w:tc>
          <w:tcPr>
            <w:tcW w:w="1313" w:type="dxa"/>
          </w:tcPr>
          <w:p w14:paraId="3B1EB5ED" w14:textId="77777777" w:rsidR="006F1FB4" w:rsidRPr="00A20AE9" w:rsidRDefault="006F1FB4" w:rsidP="00731391">
            <w:pPr>
              <w:spacing w:beforeLines="40" w:before="96" w:afterLines="40" w:after="96"/>
              <w:rPr>
                <w:rFonts w:ascii="Calibri" w:hAnsi="Calibri" w:cs="Calibri"/>
              </w:rPr>
            </w:pPr>
          </w:p>
        </w:tc>
        <w:tc>
          <w:tcPr>
            <w:tcW w:w="1647" w:type="dxa"/>
          </w:tcPr>
          <w:p w14:paraId="2436223C"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Experiment 2</w:t>
            </w:r>
          </w:p>
        </w:tc>
        <w:tc>
          <w:tcPr>
            <w:tcW w:w="1501" w:type="dxa"/>
            <w:vAlign w:val="bottom"/>
          </w:tcPr>
          <w:p w14:paraId="4BCC292B"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-2.28</w:t>
            </w:r>
          </w:p>
        </w:tc>
        <w:tc>
          <w:tcPr>
            <w:tcW w:w="1502" w:type="dxa"/>
            <w:vAlign w:val="bottom"/>
          </w:tcPr>
          <w:p w14:paraId="72543A7F"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6.96</w:t>
            </w:r>
          </w:p>
        </w:tc>
        <w:tc>
          <w:tcPr>
            <w:tcW w:w="1531" w:type="dxa"/>
            <w:vAlign w:val="bottom"/>
          </w:tcPr>
          <w:p w14:paraId="24551F3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-3.47</w:t>
            </w:r>
          </w:p>
        </w:tc>
        <w:tc>
          <w:tcPr>
            <w:tcW w:w="1532" w:type="dxa"/>
            <w:vAlign w:val="bottom"/>
          </w:tcPr>
          <w:p w14:paraId="709B24DE"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6.89</w:t>
            </w:r>
          </w:p>
        </w:tc>
      </w:tr>
      <w:tr w:rsidR="006F1FB4" w:rsidRPr="00A20AE9" w14:paraId="4645445E" w14:textId="77777777" w:rsidTr="00731391">
        <w:tc>
          <w:tcPr>
            <w:tcW w:w="1313" w:type="dxa"/>
          </w:tcPr>
          <w:p w14:paraId="288014A1" w14:textId="77777777" w:rsidR="006F1FB4" w:rsidRPr="00A20AE9" w:rsidRDefault="006F1FB4" w:rsidP="00731391">
            <w:pPr>
              <w:spacing w:beforeLines="40" w:before="96" w:afterLines="40" w:after="96"/>
              <w:rPr>
                <w:rFonts w:ascii="Calibri" w:hAnsi="Calibri" w:cs="Calibri"/>
              </w:rPr>
            </w:pPr>
          </w:p>
        </w:tc>
        <w:tc>
          <w:tcPr>
            <w:tcW w:w="1647" w:type="dxa"/>
          </w:tcPr>
          <w:p w14:paraId="54A43F73"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Experiment 3</w:t>
            </w:r>
          </w:p>
        </w:tc>
        <w:tc>
          <w:tcPr>
            <w:tcW w:w="1501" w:type="dxa"/>
            <w:vAlign w:val="bottom"/>
          </w:tcPr>
          <w:p w14:paraId="3C230C4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-4.9</w:t>
            </w:r>
          </w:p>
        </w:tc>
        <w:tc>
          <w:tcPr>
            <w:tcW w:w="1502" w:type="dxa"/>
            <w:vAlign w:val="bottom"/>
          </w:tcPr>
          <w:p w14:paraId="2799B53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7.41</w:t>
            </w:r>
          </w:p>
        </w:tc>
        <w:tc>
          <w:tcPr>
            <w:tcW w:w="1531" w:type="dxa"/>
            <w:vAlign w:val="bottom"/>
          </w:tcPr>
          <w:p w14:paraId="4EC8C648"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-5.35</w:t>
            </w:r>
          </w:p>
        </w:tc>
        <w:tc>
          <w:tcPr>
            <w:tcW w:w="1532" w:type="dxa"/>
            <w:vAlign w:val="bottom"/>
          </w:tcPr>
          <w:p w14:paraId="076B9BD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9.45</w:t>
            </w:r>
          </w:p>
        </w:tc>
      </w:tr>
      <w:tr w:rsidR="006F1FB4" w:rsidRPr="00A20AE9" w14:paraId="43E34009" w14:textId="77777777" w:rsidTr="00731391">
        <w:tc>
          <w:tcPr>
            <w:tcW w:w="2960" w:type="dxa"/>
            <w:gridSpan w:val="2"/>
          </w:tcPr>
          <w:p w14:paraId="6A5CA0C3" w14:textId="77777777" w:rsidR="006F1FB4" w:rsidRPr="00A20AE9" w:rsidRDefault="006F1FB4" w:rsidP="00731391">
            <w:pPr>
              <w:spacing w:beforeLines="40" w:before="96" w:afterLines="40" w:after="96"/>
              <w:rPr>
                <w:rFonts w:ascii="Calibri" w:hAnsi="Calibri" w:cs="Calibri"/>
                <w:b/>
                <w:bCs/>
              </w:rPr>
            </w:pPr>
            <w:r w:rsidRPr="00A20AE9">
              <w:rPr>
                <w:rFonts w:ascii="Calibri" w:hAnsi="Calibri" w:cs="Calibri"/>
                <w:b/>
                <w:bCs/>
              </w:rPr>
              <w:t>Median Reaction Time</w:t>
            </w:r>
          </w:p>
        </w:tc>
        <w:tc>
          <w:tcPr>
            <w:tcW w:w="1501" w:type="dxa"/>
          </w:tcPr>
          <w:p w14:paraId="7E905824" w14:textId="77777777" w:rsidR="006F1FB4" w:rsidRPr="00A20AE9" w:rsidRDefault="006F1FB4" w:rsidP="00731391">
            <w:pPr>
              <w:spacing w:beforeLines="40" w:before="96" w:afterLines="40" w:after="96"/>
              <w:rPr>
                <w:rFonts w:ascii="Calibri" w:hAnsi="Calibri" w:cs="Calibri"/>
              </w:rPr>
            </w:pPr>
          </w:p>
        </w:tc>
        <w:tc>
          <w:tcPr>
            <w:tcW w:w="1502" w:type="dxa"/>
          </w:tcPr>
          <w:p w14:paraId="02924E39" w14:textId="77777777" w:rsidR="006F1FB4" w:rsidRPr="00A20AE9" w:rsidRDefault="006F1FB4" w:rsidP="00731391">
            <w:pPr>
              <w:spacing w:beforeLines="40" w:before="96" w:afterLines="40" w:after="96"/>
              <w:rPr>
                <w:rFonts w:ascii="Calibri" w:hAnsi="Calibri" w:cs="Calibri"/>
              </w:rPr>
            </w:pPr>
          </w:p>
        </w:tc>
        <w:tc>
          <w:tcPr>
            <w:tcW w:w="1531" w:type="dxa"/>
          </w:tcPr>
          <w:p w14:paraId="41CF9EF9" w14:textId="77777777" w:rsidR="006F1FB4" w:rsidRPr="00A20AE9" w:rsidRDefault="006F1FB4" w:rsidP="00731391">
            <w:pPr>
              <w:spacing w:beforeLines="40" w:before="96" w:afterLines="40" w:after="96"/>
              <w:rPr>
                <w:rFonts w:ascii="Calibri" w:hAnsi="Calibri" w:cs="Calibri"/>
              </w:rPr>
            </w:pPr>
          </w:p>
        </w:tc>
        <w:tc>
          <w:tcPr>
            <w:tcW w:w="1532" w:type="dxa"/>
          </w:tcPr>
          <w:p w14:paraId="55128E20" w14:textId="77777777" w:rsidR="006F1FB4" w:rsidRPr="00A20AE9" w:rsidRDefault="006F1FB4" w:rsidP="00731391">
            <w:pPr>
              <w:spacing w:beforeLines="40" w:before="96" w:afterLines="40" w:after="96"/>
              <w:rPr>
                <w:rFonts w:ascii="Calibri" w:hAnsi="Calibri" w:cs="Calibri"/>
              </w:rPr>
            </w:pPr>
          </w:p>
        </w:tc>
      </w:tr>
      <w:tr w:rsidR="006F1FB4" w:rsidRPr="00A20AE9" w14:paraId="2EE8BB4C" w14:textId="77777777" w:rsidTr="00731391">
        <w:tc>
          <w:tcPr>
            <w:tcW w:w="2960" w:type="dxa"/>
            <w:gridSpan w:val="2"/>
          </w:tcPr>
          <w:p w14:paraId="001C6E05"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Priming</w:t>
            </w:r>
          </w:p>
        </w:tc>
        <w:tc>
          <w:tcPr>
            <w:tcW w:w="1501" w:type="dxa"/>
          </w:tcPr>
          <w:p w14:paraId="5DB553A3" w14:textId="77777777" w:rsidR="006F1FB4" w:rsidRPr="00A20AE9" w:rsidRDefault="006F1FB4" w:rsidP="00731391">
            <w:pPr>
              <w:spacing w:beforeLines="40" w:before="96" w:afterLines="40" w:after="96"/>
              <w:rPr>
                <w:rFonts w:ascii="Calibri" w:hAnsi="Calibri" w:cs="Calibri"/>
              </w:rPr>
            </w:pPr>
          </w:p>
        </w:tc>
        <w:tc>
          <w:tcPr>
            <w:tcW w:w="1502" w:type="dxa"/>
          </w:tcPr>
          <w:p w14:paraId="1056794C" w14:textId="77777777" w:rsidR="006F1FB4" w:rsidRPr="00A20AE9" w:rsidRDefault="006F1FB4" w:rsidP="00731391">
            <w:pPr>
              <w:spacing w:beforeLines="40" w:before="96" w:afterLines="40" w:after="96"/>
              <w:rPr>
                <w:rFonts w:ascii="Calibri" w:hAnsi="Calibri" w:cs="Calibri"/>
              </w:rPr>
            </w:pPr>
          </w:p>
        </w:tc>
        <w:tc>
          <w:tcPr>
            <w:tcW w:w="1531" w:type="dxa"/>
          </w:tcPr>
          <w:p w14:paraId="60781BBE" w14:textId="77777777" w:rsidR="006F1FB4" w:rsidRPr="00A20AE9" w:rsidRDefault="006F1FB4" w:rsidP="00731391">
            <w:pPr>
              <w:spacing w:beforeLines="40" w:before="96" w:afterLines="40" w:after="96"/>
              <w:rPr>
                <w:rFonts w:ascii="Calibri" w:hAnsi="Calibri" w:cs="Calibri"/>
              </w:rPr>
            </w:pPr>
          </w:p>
        </w:tc>
        <w:tc>
          <w:tcPr>
            <w:tcW w:w="1532" w:type="dxa"/>
          </w:tcPr>
          <w:p w14:paraId="7ACD3EA2" w14:textId="77777777" w:rsidR="006F1FB4" w:rsidRPr="00A20AE9" w:rsidRDefault="006F1FB4" w:rsidP="00731391">
            <w:pPr>
              <w:spacing w:beforeLines="40" w:before="96" w:afterLines="40" w:after="96"/>
              <w:rPr>
                <w:rFonts w:ascii="Calibri" w:hAnsi="Calibri" w:cs="Calibri"/>
              </w:rPr>
            </w:pPr>
          </w:p>
        </w:tc>
      </w:tr>
      <w:tr w:rsidR="006F1FB4" w:rsidRPr="00A20AE9" w14:paraId="47F99AF5" w14:textId="77777777" w:rsidTr="00731391">
        <w:tc>
          <w:tcPr>
            <w:tcW w:w="1313" w:type="dxa"/>
          </w:tcPr>
          <w:p w14:paraId="3166228F" w14:textId="77777777" w:rsidR="006F1FB4" w:rsidRPr="00A20AE9" w:rsidRDefault="006F1FB4" w:rsidP="00731391">
            <w:pPr>
              <w:spacing w:beforeLines="40" w:before="96" w:afterLines="40" w:after="96"/>
              <w:rPr>
                <w:rFonts w:ascii="Calibri" w:hAnsi="Calibri" w:cs="Calibri"/>
              </w:rPr>
            </w:pPr>
          </w:p>
        </w:tc>
        <w:tc>
          <w:tcPr>
            <w:tcW w:w="1647" w:type="dxa"/>
          </w:tcPr>
          <w:p w14:paraId="36489A85"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Experiment 1</w:t>
            </w:r>
          </w:p>
        </w:tc>
        <w:tc>
          <w:tcPr>
            <w:tcW w:w="1501" w:type="dxa"/>
            <w:vAlign w:val="bottom"/>
          </w:tcPr>
          <w:p w14:paraId="1A5CC09A"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0.04</w:t>
            </w:r>
          </w:p>
        </w:tc>
        <w:tc>
          <w:tcPr>
            <w:tcW w:w="1502" w:type="dxa"/>
            <w:vAlign w:val="bottom"/>
          </w:tcPr>
          <w:p w14:paraId="73559714"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0.09</w:t>
            </w:r>
          </w:p>
        </w:tc>
        <w:tc>
          <w:tcPr>
            <w:tcW w:w="1531" w:type="dxa"/>
            <w:vAlign w:val="bottom"/>
          </w:tcPr>
          <w:p w14:paraId="3591D0E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0.03</w:t>
            </w:r>
          </w:p>
        </w:tc>
        <w:tc>
          <w:tcPr>
            <w:tcW w:w="1532" w:type="dxa"/>
            <w:vAlign w:val="bottom"/>
          </w:tcPr>
          <w:p w14:paraId="36070FE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0.09</w:t>
            </w:r>
          </w:p>
        </w:tc>
      </w:tr>
      <w:tr w:rsidR="006F1FB4" w:rsidRPr="00A20AE9" w14:paraId="0FABEA38" w14:textId="77777777" w:rsidTr="00731391">
        <w:tc>
          <w:tcPr>
            <w:tcW w:w="1313" w:type="dxa"/>
          </w:tcPr>
          <w:p w14:paraId="4DBA8FE1" w14:textId="77777777" w:rsidR="006F1FB4" w:rsidRPr="00A20AE9" w:rsidRDefault="006F1FB4" w:rsidP="00731391">
            <w:pPr>
              <w:spacing w:beforeLines="40" w:before="96" w:afterLines="40" w:after="96"/>
              <w:rPr>
                <w:rFonts w:ascii="Calibri" w:hAnsi="Calibri" w:cs="Calibri"/>
              </w:rPr>
            </w:pPr>
          </w:p>
        </w:tc>
        <w:tc>
          <w:tcPr>
            <w:tcW w:w="1647" w:type="dxa"/>
          </w:tcPr>
          <w:p w14:paraId="092E93A4"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Experiment 2</w:t>
            </w:r>
          </w:p>
        </w:tc>
        <w:tc>
          <w:tcPr>
            <w:tcW w:w="1501" w:type="dxa"/>
            <w:vAlign w:val="bottom"/>
          </w:tcPr>
          <w:p w14:paraId="5AE2B97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0.03</w:t>
            </w:r>
          </w:p>
        </w:tc>
        <w:tc>
          <w:tcPr>
            <w:tcW w:w="1502" w:type="dxa"/>
            <w:vAlign w:val="bottom"/>
          </w:tcPr>
          <w:p w14:paraId="46F10D1A"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0.05</w:t>
            </w:r>
          </w:p>
        </w:tc>
        <w:tc>
          <w:tcPr>
            <w:tcW w:w="1531" w:type="dxa"/>
            <w:vAlign w:val="bottom"/>
          </w:tcPr>
          <w:p w14:paraId="28906B4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0.02</w:t>
            </w:r>
          </w:p>
        </w:tc>
        <w:tc>
          <w:tcPr>
            <w:tcW w:w="1532" w:type="dxa"/>
            <w:vAlign w:val="bottom"/>
          </w:tcPr>
          <w:p w14:paraId="476F30B2"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0.08</w:t>
            </w:r>
          </w:p>
        </w:tc>
      </w:tr>
      <w:tr w:rsidR="006F1FB4" w:rsidRPr="00A20AE9" w14:paraId="6FA0D182" w14:textId="77777777" w:rsidTr="00731391">
        <w:tc>
          <w:tcPr>
            <w:tcW w:w="2960" w:type="dxa"/>
            <w:gridSpan w:val="2"/>
          </w:tcPr>
          <w:p w14:paraId="514519BE"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Half Attendance</w:t>
            </w:r>
          </w:p>
        </w:tc>
        <w:tc>
          <w:tcPr>
            <w:tcW w:w="1501" w:type="dxa"/>
          </w:tcPr>
          <w:p w14:paraId="62F97F17" w14:textId="77777777" w:rsidR="006F1FB4" w:rsidRPr="00A20AE9" w:rsidRDefault="006F1FB4" w:rsidP="00731391">
            <w:pPr>
              <w:spacing w:beforeLines="40" w:before="96" w:afterLines="40" w:after="96"/>
              <w:rPr>
                <w:rFonts w:ascii="Calibri" w:hAnsi="Calibri" w:cs="Calibri"/>
              </w:rPr>
            </w:pPr>
          </w:p>
        </w:tc>
        <w:tc>
          <w:tcPr>
            <w:tcW w:w="1502" w:type="dxa"/>
          </w:tcPr>
          <w:p w14:paraId="188D72DE" w14:textId="77777777" w:rsidR="006F1FB4" w:rsidRPr="00A20AE9" w:rsidRDefault="006F1FB4" w:rsidP="00731391">
            <w:pPr>
              <w:spacing w:beforeLines="40" w:before="96" w:afterLines="40" w:after="96"/>
              <w:rPr>
                <w:rFonts w:ascii="Calibri" w:hAnsi="Calibri" w:cs="Calibri"/>
              </w:rPr>
            </w:pPr>
          </w:p>
        </w:tc>
        <w:tc>
          <w:tcPr>
            <w:tcW w:w="1531" w:type="dxa"/>
          </w:tcPr>
          <w:p w14:paraId="057C7C81" w14:textId="77777777" w:rsidR="006F1FB4" w:rsidRPr="00A20AE9" w:rsidRDefault="006F1FB4" w:rsidP="00731391">
            <w:pPr>
              <w:spacing w:beforeLines="40" w:before="96" w:afterLines="40" w:after="96"/>
              <w:rPr>
                <w:rFonts w:ascii="Calibri" w:hAnsi="Calibri" w:cs="Calibri"/>
              </w:rPr>
            </w:pPr>
          </w:p>
        </w:tc>
        <w:tc>
          <w:tcPr>
            <w:tcW w:w="1532" w:type="dxa"/>
          </w:tcPr>
          <w:p w14:paraId="13C109C7" w14:textId="77777777" w:rsidR="006F1FB4" w:rsidRPr="00A20AE9" w:rsidRDefault="006F1FB4" w:rsidP="00731391">
            <w:pPr>
              <w:spacing w:beforeLines="40" w:before="96" w:afterLines="40" w:after="96"/>
              <w:rPr>
                <w:rFonts w:ascii="Calibri" w:hAnsi="Calibri" w:cs="Calibri"/>
              </w:rPr>
            </w:pPr>
          </w:p>
        </w:tc>
      </w:tr>
      <w:tr w:rsidR="006F1FB4" w:rsidRPr="00A20AE9" w14:paraId="73B665A4" w14:textId="77777777" w:rsidTr="00731391">
        <w:tc>
          <w:tcPr>
            <w:tcW w:w="1313" w:type="dxa"/>
          </w:tcPr>
          <w:p w14:paraId="07926D9A" w14:textId="77777777" w:rsidR="006F1FB4" w:rsidRPr="00A20AE9" w:rsidRDefault="006F1FB4" w:rsidP="00731391">
            <w:pPr>
              <w:spacing w:beforeLines="40" w:before="96" w:afterLines="40" w:after="96"/>
              <w:rPr>
                <w:rFonts w:ascii="Calibri" w:hAnsi="Calibri" w:cs="Calibri"/>
              </w:rPr>
            </w:pPr>
          </w:p>
        </w:tc>
        <w:tc>
          <w:tcPr>
            <w:tcW w:w="1647" w:type="dxa"/>
          </w:tcPr>
          <w:p w14:paraId="17836CB6"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Experiment 2</w:t>
            </w:r>
          </w:p>
        </w:tc>
        <w:tc>
          <w:tcPr>
            <w:tcW w:w="1501" w:type="dxa"/>
            <w:vAlign w:val="bottom"/>
          </w:tcPr>
          <w:p w14:paraId="27EE4BB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0.04</w:t>
            </w:r>
          </w:p>
        </w:tc>
        <w:tc>
          <w:tcPr>
            <w:tcW w:w="1502" w:type="dxa"/>
            <w:vAlign w:val="bottom"/>
          </w:tcPr>
          <w:p w14:paraId="7BDAD3BC"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0.09</w:t>
            </w:r>
          </w:p>
        </w:tc>
        <w:tc>
          <w:tcPr>
            <w:tcW w:w="1531" w:type="dxa"/>
            <w:vAlign w:val="bottom"/>
          </w:tcPr>
          <w:p w14:paraId="14F9DEF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0.03</w:t>
            </w:r>
          </w:p>
        </w:tc>
        <w:tc>
          <w:tcPr>
            <w:tcW w:w="1532" w:type="dxa"/>
            <w:vAlign w:val="bottom"/>
          </w:tcPr>
          <w:p w14:paraId="50EB7362"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0.09</w:t>
            </w:r>
          </w:p>
        </w:tc>
      </w:tr>
      <w:tr w:rsidR="006F1FB4" w:rsidRPr="00A20AE9" w14:paraId="2EF211D2" w14:textId="77777777" w:rsidTr="00731391">
        <w:tc>
          <w:tcPr>
            <w:tcW w:w="1313" w:type="dxa"/>
          </w:tcPr>
          <w:p w14:paraId="37664C20" w14:textId="77777777" w:rsidR="006F1FB4" w:rsidRPr="00A20AE9" w:rsidRDefault="006F1FB4" w:rsidP="00731391">
            <w:pPr>
              <w:spacing w:beforeLines="40" w:before="96" w:afterLines="40" w:after="96"/>
              <w:rPr>
                <w:rFonts w:ascii="Calibri" w:hAnsi="Calibri" w:cs="Calibri"/>
              </w:rPr>
            </w:pPr>
          </w:p>
        </w:tc>
        <w:tc>
          <w:tcPr>
            <w:tcW w:w="1647" w:type="dxa"/>
          </w:tcPr>
          <w:p w14:paraId="6A8331BA"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Experiment 3</w:t>
            </w:r>
          </w:p>
        </w:tc>
        <w:tc>
          <w:tcPr>
            <w:tcW w:w="1501" w:type="dxa"/>
            <w:vAlign w:val="bottom"/>
          </w:tcPr>
          <w:p w14:paraId="46179F1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0.06</w:t>
            </w:r>
          </w:p>
        </w:tc>
        <w:tc>
          <w:tcPr>
            <w:tcW w:w="1502" w:type="dxa"/>
            <w:vAlign w:val="bottom"/>
          </w:tcPr>
          <w:p w14:paraId="133DF14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0.14</w:t>
            </w:r>
          </w:p>
        </w:tc>
        <w:tc>
          <w:tcPr>
            <w:tcW w:w="1531" w:type="dxa"/>
            <w:vAlign w:val="bottom"/>
          </w:tcPr>
          <w:p w14:paraId="4A5DB058"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0.05</w:t>
            </w:r>
          </w:p>
        </w:tc>
        <w:tc>
          <w:tcPr>
            <w:tcW w:w="1532" w:type="dxa"/>
            <w:vAlign w:val="bottom"/>
          </w:tcPr>
          <w:p w14:paraId="0742F65D"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0.15</w:t>
            </w:r>
          </w:p>
        </w:tc>
      </w:tr>
    </w:tbl>
    <w:p w14:paraId="17A27C6F" w14:textId="77777777" w:rsidR="006F1FB4" w:rsidRPr="00A20AE9" w:rsidRDefault="006F1FB4" w:rsidP="006F1FB4">
      <w:pPr>
        <w:rPr>
          <w:rFonts w:ascii="Calibri" w:hAnsi="Calibri" w:cs="Calibri"/>
        </w:rPr>
      </w:pPr>
    </w:p>
    <w:p w14:paraId="4F8C6B51" w14:textId="77777777" w:rsidR="006F1FB4" w:rsidRPr="00A20AE9" w:rsidRDefault="006F1FB4" w:rsidP="006F1FB4">
      <w:pPr>
        <w:rPr>
          <w:rFonts w:ascii="Calibri" w:hAnsi="Calibri" w:cs="Calibri"/>
        </w:rPr>
      </w:pPr>
      <w:r w:rsidRPr="00A20AE9">
        <w:rPr>
          <w:rFonts w:ascii="Calibri" w:hAnsi="Calibri" w:cs="Calibri"/>
        </w:rPr>
        <w:br w:type="page"/>
      </w:r>
    </w:p>
    <w:p w14:paraId="58FDD6B8" w14:textId="77777777" w:rsidR="006F1FB4" w:rsidRPr="00A20AE9" w:rsidRDefault="006F1FB4" w:rsidP="006F1FB4">
      <w:pPr>
        <w:rPr>
          <w:rFonts w:ascii="Calibri" w:hAnsi="Calibri" w:cs="Calibri"/>
          <w:lang w:val="en-US"/>
        </w:rPr>
      </w:pPr>
      <w:r w:rsidRPr="00A20AE9">
        <w:rPr>
          <w:rFonts w:ascii="Calibri" w:hAnsi="Calibri" w:cs="Calibri"/>
          <w:lang w:val="en-US"/>
        </w:rPr>
        <w:lastRenderedPageBreak/>
        <w:t xml:space="preserve">Suppl. Table 8. </w:t>
      </w:r>
    </w:p>
    <w:p w14:paraId="1D2337F3" w14:textId="77777777" w:rsidR="006F1FB4" w:rsidRPr="00A20AE9" w:rsidRDefault="006F1FB4" w:rsidP="006F1FB4">
      <w:pPr>
        <w:rPr>
          <w:rFonts w:ascii="Calibri" w:hAnsi="Calibri" w:cs="Calibri"/>
          <w:i/>
          <w:iCs/>
          <w:lang w:val="en-US"/>
        </w:rPr>
      </w:pPr>
      <w:r w:rsidRPr="00A20AE9">
        <w:rPr>
          <w:rFonts w:ascii="Calibri" w:hAnsi="Calibri" w:cs="Calibri"/>
          <w:i/>
          <w:iCs/>
          <w:lang w:val="en-US"/>
        </w:rPr>
        <w:t>Results of independent sample t-tests comparing Accuracy and RT Median CFE sizes (Aligned – Misaligned) of horizontal and vertical composites for across experimental pairings.</w:t>
      </w:r>
    </w:p>
    <w:tbl>
      <w:tblPr>
        <w:tblStyle w:val="TableGrid"/>
        <w:tblW w:w="5060"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852"/>
        <w:gridCol w:w="2242"/>
        <w:gridCol w:w="986"/>
        <w:gridCol w:w="1134"/>
        <w:gridCol w:w="1273"/>
        <w:gridCol w:w="1134"/>
        <w:gridCol w:w="1401"/>
      </w:tblGrid>
      <w:tr w:rsidR="006F1FB4" w:rsidRPr="00A20AE9" w14:paraId="6996ECE3" w14:textId="77777777" w:rsidTr="00731391">
        <w:trPr>
          <w:gridBefore w:val="1"/>
          <w:wBefore w:w="61" w:type="pct"/>
          <w:trHeight w:val="284"/>
        </w:trPr>
        <w:tc>
          <w:tcPr>
            <w:tcW w:w="1693" w:type="pct"/>
            <w:gridSpan w:val="2"/>
            <w:tcBorders>
              <w:top w:val="single" w:sz="4" w:space="0" w:color="auto"/>
              <w:bottom w:val="single" w:sz="4" w:space="0" w:color="auto"/>
            </w:tcBorders>
            <w:vAlign w:val="center"/>
          </w:tcPr>
          <w:p w14:paraId="6B26165A" w14:textId="77777777" w:rsidR="006F1FB4" w:rsidRPr="00A20AE9" w:rsidRDefault="006F1FB4" w:rsidP="00731391">
            <w:pPr>
              <w:spacing w:beforeLines="40" w:before="96" w:afterLines="40" w:after="96"/>
              <w:jc w:val="center"/>
              <w:rPr>
                <w:rFonts w:ascii="Calibri" w:hAnsi="Calibri" w:cs="Calibri"/>
                <w:b/>
                <w:bCs/>
              </w:rPr>
            </w:pPr>
          </w:p>
        </w:tc>
        <w:tc>
          <w:tcPr>
            <w:tcW w:w="540" w:type="pct"/>
            <w:tcBorders>
              <w:top w:val="single" w:sz="4" w:space="0" w:color="auto"/>
              <w:bottom w:val="single" w:sz="4" w:space="0" w:color="auto"/>
            </w:tcBorders>
            <w:vAlign w:val="center"/>
          </w:tcPr>
          <w:p w14:paraId="2F3479ED" w14:textId="77777777" w:rsidR="006F1FB4" w:rsidRPr="00A20AE9" w:rsidRDefault="006F1FB4" w:rsidP="00731391">
            <w:pPr>
              <w:spacing w:beforeLines="40" w:before="96" w:afterLines="40" w:after="96"/>
              <w:jc w:val="center"/>
              <w:rPr>
                <w:rFonts w:ascii="Calibri" w:hAnsi="Calibri" w:cs="Calibri"/>
                <w:b/>
                <w:bCs/>
                <w:i/>
                <w:iCs/>
              </w:rPr>
            </w:pPr>
            <w:proofErr w:type="spellStart"/>
            <w:r w:rsidRPr="00A20AE9">
              <w:rPr>
                <w:rFonts w:ascii="Calibri" w:hAnsi="Calibri" w:cs="Calibri"/>
                <w:b/>
                <w:bCs/>
                <w:i/>
                <w:iCs/>
              </w:rPr>
              <w:t>df</w:t>
            </w:r>
            <w:proofErr w:type="spellEnd"/>
          </w:p>
        </w:tc>
        <w:tc>
          <w:tcPr>
            <w:tcW w:w="621" w:type="pct"/>
            <w:tcBorders>
              <w:top w:val="single" w:sz="4" w:space="0" w:color="auto"/>
              <w:bottom w:val="single" w:sz="4" w:space="0" w:color="auto"/>
            </w:tcBorders>
            <w:vAlign w:val="center"/>
          </w:tcPr>
          <w:p w14:paraId="0B363D10" w14:textId="77777777" w:rsidR="006F1FB4" w:rsidRPr="00A20AE9" w:rsidRDefault="006F1FB4" w:rsidP="00731391">
            <w:pPr>
              <w:spacing w:beforeLines="40" w:before="96" w:afterLines="40" w:after="96"/>
              <w:jc w:val="center"/>
              <w:rPr>
                <w:rFonts w:ascii="Calibri" w:hAnsi="Calibri" w:cs="Calibri"/>
                <w:b/>
                <w:bCs/>
                <w:i/>
                <w:iCs/>
              </w:rPr>
            </w:pPr>
            <w:r w:rsidRPr="00A20AE9">
              <w:rPr>
                <w:rFonts w:ascii="Calibri" w:hAnsi="Calibri" w:cs="Calibri"/>
                <w:b/>
                <w:bCs/>
                <w:i/>
                <w:iCs/>
              </w:rPr>
              <w:t>t</w:t>
            </w:r>
          </w:p>
        </w:tc>
        <w:tc>
          <w:tcPr>
            <w:tcW w:w="697" w:type="pct"/>
            <w:tcBorders>
              <w:top w:val="single" w:sz="4" w:space="0" w:color="auto"/>
              <w:bottom w:val="single" w:sz="4" w:space="0" w:color="auto"/>
            </w:tcBorders>
            <w:vAlign w:val="center"/>
          </w:tcPr>
          <w:p w14:paraId="3AD138A0" w14:textId="77777777" w:rsidR="006F1FB4" w:rsidRPr="00A20AE9" w:rsidRDefault="006F1FB4" w:rsidP="00731391">
            <w:pPr>
              <w:spacing w:beforeLines="40" w:before="96" w:afterLines="40" w:after="96"/>
              <w:jc w:val="center"/>
              <w:rPr>
                <w:rFonts w:ascii="Calibri" w:hAnsi="Calibri" w:cs="Calibri"/>
                <w:b/>
                <w:bCs/>
                <w:i/>
                <w:iCs/>
              </w:rPr>
            </w:pPr>
            <w:r w:rsidRPr="00A20AE9">
              <w:rPr>
                <w:rFonts w:ascii="Calibri" w:hAnsi="Calibri" w:cs="Calibri"/>
                <w:b/>
                <w:bCs/>
                <w:i/>
                <w:iCs/>
              </w:rPr>
              <w:t>p</w:t>
            </w:r>
          </w:p>
        </w:tc>
        <w:tc>
          <w:tcPr>
            <w:tcW w:w="621" w:type="pct"/>
            <w:tcBorders>
              <w:top w:val="single" w:sz="4" w:space="0" w:color="auto"/>
              <w:bottom w:val="single" w:sz="4" w:space="0" w:color="auto"/>
            </w:tcBorders>
            <w:vAlign w:val="center"/>
          </w:tcPr>
          <w:p w14:paraId="0776133E" w14:textId="77777777" w:rsidR="006F1FB4" w:rsidRPr="00A20AE9" w:rsidRDefault="006F1FB4" w:rsidP="00731391">
            <w:pPr>
              <w:spacing w:beforeLines="40" w:before="96" w:afterLines="40" w:after="96"/>
              <w:jc w:val="center"/>
              <w:rPr>
                <w:rFonts w:ascii="Calibri" w:hAnsi="Calibri" w:cs="Calibri"/>
                <w:b/>
                <w:bCs/>
                <w:i/>
                <w:iCs/>
              </w:rPr>
            </w:pPr>
            <w:proofErr w:type="spellStart"/>
            <w:r w:rsidRPr="00A20AE9">
              <w:rPr>
                <w:rFonts w:ascii="Calibri" w:hAnsi="Calibri" w:cs="Calibri"/>
                <w:b/>
                <w:bCs/>
                <w:i/>
                <w:iCs/>
              </w:rPr>
              <w:t>d</w:t>
            </w:r>
            <w:r w:rsidRPr="00A20AE9">
              <w:rPr>
                <w:rFonts w:ascii="Calibri" w:hAnsi="Calibri" w:cs="Calibri"/>
                <w:b/>
                <w:bCs/>
                <w:i/>
                <w:iCs/>
                <w:vertAlign w:val="subscript"/>
              </w:rPr>
              <w:t>avg</w:t>
            </w:r>
            <w:proofErr w:type="spellEnd"/>
          </w:p>
        </w:tc>
        <w:tc>
          <w:tcPr>
            <w:tcW w:w="768" w:type="pct"/>
            <w:tcBorders>
              <w:top w:val="single" w:sz="4" w:space="0" w:color="auto"/>
              <w:bottom w:val="single" w:sz="4" w:space="0" w:color="auto"/>
            </w:tcBorders>
          </w:tcPr>
          <w:p w14:paraId="57CCDF14" w14:textId="77777777" w:rsidR="006F1FB4" w:rsidRPr="00A20AE9" w:rsidRDefault="006F1FB4" w:rsidP="00731391">
            <w:pPr>
              <w:spacing w:beforeLines="40" w:before="96" w:afterLines="40" w:after="96"/>
              <w:jc w:val="center"/>
              <w:rPr>
                <w:rFonts w:ascii="Calibri" w:hAnsi="Calibri" w:cs="Calibri"/>
                <w:b/>
                <w:bCs/>
                <w:i/>
                <w:iCs/>
              </w:rPr>
            </w:pPr>
            <w:r w:rsidRPr="00A20AE9">
              <w:rPr>
                <w:rFonts w:ascii="Calibri" w:hAnsi="Calibri" w:cs="Calibri"/>
                <w:b/>
                <w:bCs/>
                <w:i/>
                <w:iCs/>
              </w:rPr>
              <w:t>BF</w:t>
            </w:r>
            <w:r w:rsidRPr="00A20AE9">
              <w:rPr>
                <w:rFonts w:ascii="Calibri" w:hAnsi="Calibri" w:cs="Calibri"/>
                <w:b/>
                <w:bCs/>
                <w:i/>
                <w:iCs/>
                <w:vertAlign w:val="subscript"/>
              </w:rPr>
              <w:t>10</w:t>
            </w:r>
          </w:p>
        </w:tc>
      </w:tr>
      <w:tr w:rsidR="006F1FB4" w:rsidRPr="00A20AE9" w14:paraId="1F799F24" w14:textId="77777777" w:rsidTr="00731391">
        <w:trPr>
          <w:trHeight w:val="284"/>
        </w:trPr>
        <w:tc>
          <w:tcPr>
            <w:tcW w:w="1754" w:type="pct"/>
            <w:gridSpan w:val="3"/>
            <w:tcBorders>
              <w:top w:val="single" w:sz="4" w:space="0" w:color="auto"/>
              <w:bottom w:val="nil"/>
            </w:tcBorders>
            <w:vAlign w:val="center"/>
          </w:tcPr>
          <w:p w14:paraId="5E0AAC83" w14:textId="77777777" w:rsidR="006F1FB4" w:rsidRPr="00A20AE9" w:rsidRDefault="006F1FB4" w:rsidP="00731391">
            <w:pPr>
              <w:spacing w:beforeLines="40" w:before="96" w:afterLines="40" w:after="96"/>
              <w:rPr>
                <w:rFonts w:ascii="Calibri" w:hAnsi="Calibri" w:cs="Calibri"/>
                <w:b/>
                <w:bCs/>
              </w:rPr>
            </w:pPr>
            <w:r w:rsidRPr="00A20AE9">
              <w:rPr>
                <w:rFonts w:ascii="Calibri" w:hAnsi="Calibri" w:cs="Calibri"/>
                <w:b/>
                <w:bCs/>
              </w:rPr>
              <w:t>Accuracy</w:t>
            </w:r>
          </w:p>
        </w:tc>
        <w:tc>
          <w:tcPr>
            <w:tcW w:w="540" w:type="pct"/>
            <w:tcBorders>
              <w:top w:val="single" w:sz="4" w:space="0" w:color="auto"/>
              <w:bottom w:val="nil"/>
            </w:tcBorders>
            <w:vAlign w:val="center"/>
          </w:tcPr>
          <w:p w14:paraId="5A88F495"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single" w:sz="4" w:space="0" w:color="auto"/>
              <w:bottom w:val="nil"/>
            </w:tcBorders>
            <w:vAlign w:val="center"/>
          </w:tcPr>
          <w:p w14:paraId="531BCD8C"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single" w:sz="4" w:space="0" w:color="auto"/>
              <w:bottom w:val="nil"/>
            </w:tcBorders>
            <w:vAlign w:val="center"/>
          </w:tcPr>
          <w:p w14:paraId="6CA95065"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single" w:sz="4" w:space="0" w:color="auto"/>
              <w:bottom w:val="nil"/>
            </w:tcBorders>
            <w:vAlign w:val="center"/>
          </w:tcPr>
          <w:p w14:paraId="367E190B" w14:textId="77777777" w:rsidR="006F1FB4" w:rsidRPr="00A20AE9" w:rsidRDefault="006F1FB4" w:rsidP="00731391">
            <w:pPr>
              <w:spacing w:beforeLines="40" w:before="96" w:afterLines="40" w:after="96"/>
              <w:jc w:val="center"/>
              <w:rPr>
                <w:rFonts w:ascii="Calibri" w:hAnsi="Calibri" w:cs="Calibri"/>
              </w:rPr>
            </w:pPr>
          </w:p>
        </w:tc>
        <w:tc>
          <w:tcPr>
            <w:tcW w:w="768" w:type="pct"/>
            <w:tcBorders>
              <w:top w:val="single" w:sz="4" w:space="0" w:color="auto"/>
              <w:bottom w:val="nil"/>
            </w:tcBorders>
          </w:tcPr>
          <w:p w14:paraId="1E9399A2"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6E0F6212" w14:textId="77777777" w:rsidTr="00731391">
        <w:trPr>
          <w:trHeight w:val="284"/>
        </w:trPr>
        <w:tc>
          <w:tcPr>
            <w:tcW w:w="1754" w:type="pct"/>
            <w:gridSpan w:val="3"/>
            <w:tcBorders>
              <w:top w:val="nil"/>
              <w:bottom w:val="nil"/>
            </w:tcBorders>
            <w:vAlign w:val="center"/>
          </w:tcPr>
          <w:p w14:paraId="17DADFE7"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i/>
                <w:iCs/>
              </w:rPr>
              <w:t>Priming</w:t>
            </w:r>
          </w:p>
        </w:tc>
        <w:tc>
          <w:tcPr>
            <w:tcW w:w="540" w:type="pct"/>
            <w:tcBorders>
              <w:top w:val="nil"/>
              <w:bottom w:val="nil"/>
            </w:tcBorders>
            <w:vAlign w:val="center"/>
          </w:tcPr>
          <w:p w14:paraId="42CC60C2"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bottom"/>
          </w:tcPr>
          <w:p w14:paraId="35A8C307"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nil"/>
              <w:bottom w:val="nil"/>
            </w:tcBorders>
            <w:vAlign w:val="bottom"/>
          </w:tcPr>
          <w:p w14:paraId="264EA123" w14:textId="77777777" w:rsidR="006F1FB4" w:rsidRPr="00A20AE9" w:rsidRDefault="006F1FB4" w:rsidP="00731391">
            <w:pPr>
              <w:spacing w:beforeLines="40" w:before="96" w:afterLines="40" w:after="96"/>
              <w:jc w:val="center"/>
              <w:rPr>
                <w:rFonts w:ascii="Calibri" w:hAnsi="Calibri" w:cs="Calibri"/>
                <w:b/>
                <w:bCs/>
              </w:rPr>
            </w:pPr>
          </w:p>
        </w:tc>
        <w:tc>
          <w:tcPr>
            <w:tcW w:w="621" w:type="pct"/>
            <w:tcBorders>
              <w:top w:val="nil"/>
              <w:bottom w:val="nil"/>
            </w:tcBorders>
            <w:vAlign w:val="bottom"/>
          </w:tcPr>
          <w:p w14:paraId="31887B08" w14:textId="77777777" w:rsidR="006F1FB4" w:rsidRPr="00A20AE9" w:rsidRDefault="006F1FB4" w:rsidP="00731391">
            <w:pPr>
              <w:spacing w:beforeLines="40" w:before="96" w:afterLines="40" w:after="96"/>
              <w:jc w:val="center"/>
              <w:rPr>
                <w:rFonts w:ascii="Calibri" w:hAnsi="Calibri" w:cs="Calibri"/>
              </w:rPr>
            </w:pPr>
          </w:p>
        </w:tc>
        <w:tc>
          <w:tcPr>
            <w:tcW w:w="768" w:type="pct"/>
            <w:tcBorders>
              <w:top w:val="nil"/>
              <w:bottom w:val="nil"/>
            </w:tcBorders>
            <w:vAlign w:val="bottom"/>
          </w:tcPr>
          <w:p w14:paraId="5BE4A80A"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653EBF62" w14:textId="77777777" w:rsidTr="00731391">
        <w:trPr>
          <w:trHeight w:val="284"/>
        </w:trPr>
        <w:tc>
          <w:tcPr>
            <w:tcW w:w="527" w:type="pct"/>
            <w:gridSpan w:val="2"/>
            <w:tcBorders>
              <w:top w:val="nil"/>
              <w:bottom w:val="nil"/>
            </w:tcBorders>
            <w:vAlign w:val="center"/>
          </w:tcPr>
          <w:p w14:paraId="5F322F98"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2358B928"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 xml:space="preserve">Vertical </w:t>
            </w:r>
          </w:p>
        </w:tc>
        <w:tc>
          <w:tcPr>
            <w:tcW w:w="540" w:type="pct"/>
            <w:tcBorders>
              <w:top w:val="nil"/>
              <w:bottom w:val="nil"/>
            </w:tcBorders>
            <w:vAlign w:val="center"/>
          </w:tcPr>
          <w:p w14:paraId="1DC3EC54"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126</w:t>
            </w:r>
          </w:p>
        </w:tc>
        <w:tc>
          <w:tcPr>
            <w:tcW w:w="621" w:type="pct"/>
            <w:tcBorders>
              <w:top w:val="nil"/>
              <w:bottom w:val="nil"/>
            </w:tcBorders>
            <w:vAlign w:val="bottom"/>
          </w:tcPr>
          <w:p w14:paraId="004E2038"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-0.21</w:t>
            </w:r>
          </w:p>
        </w:tc>
        <w:tc>
          <w:tcPr>
            <w:tcW w:w="697" w:type="pct"/>
            <w:tcBorders>
              <w:top w:val="nil"/>
              <w:bottom w:val="nil"/>
            </w:tcBorders>
            <w:vAlign w:val="bottom"/>
          </w:tcPr>
          <w:p w14:paraId="5036C5AE"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.836</w:t>
            </w:r>
          </w:p>
        </w:tc>
        <w:tc>
          <w:tcPr>
            <w:tcW w:w="621" w:type="pct"/>
            <w:tcBorders>
              <w:top w:val="nil"/>
              <w:bottom w:val="nil"/>
            </w:tcBorders>
            <w:vAlign w:val="bottom"/>
          </w:tcPr>
          <w:p w14:paraId="604A8D09"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0.04</w:t>
            </w:r>
          </w:p>
        </w:tc>
        <w:tc>
          <w:tcPr>
            <w:tcW w:w="768" w:type="pct"/>
            <w:tcBorders>
              <w:top w:val="nil"/>
              <w:bottom w:val="nil"/>
            </w:tcBorders>
            <w:vAlign w:val="bottom"/>
          </w:tcPr>
          <w:p w14:paraId="27117EEB"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0.193</w:t>
            </w:r>
          </w:p>
        </w:tc>
      </w:tr>
      <w:tr w:rsidR="006F1FB4" w:rsidRPr="00A20AE9" w14:paraId="388639AD" w14:textId="77777777" w:rsidTr="00731391">
        <w:trPr>
          <w:trHeight w:val="284"/>
        </w:trPr>
        <w:tc>
          <w:tcPr>
            <w:tcW w:w="527" w:type="pct"/>
            <w:gridSpan w:val="2"/>
            <w:tcBorders>
              <w:top w:val="nil"/>
              <w:bottom w:val="nil"/>
            </w:tcBorders>
            <w:vAlign w:val="center"/>
          </w:tcPr>
          <w:p w14:paraId="3340ED6A"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5CE0DB0A"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w:t>
            </w:r>
          </w:p>
        </w:tc>
        <w:tc>
          <w:tcPr>
            <w:tcW w:w="540" w:type="pct"/>
            <w:tcBorders>
              <w:top w:val="nil"/>
              <w:bottom w:val="nil"/>
            </w:tcBorders>
            <w:vAlign w:val="center"/>
          </w:tcPr>
          <w:p w14:paraId="393FFF2D"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126</w:t>
            </w:r>
          </w:p>
        </w:tc>
        <w:tc>
          <w:tcPr>
            <w:tcW w:w="621" w:type="pct"/>
            <w:tcBorders>
              <w:top w:val="nil"/>
              <w:bottom w:val="nil"/>
            </w:tcBorders>
            <w:vAlign w:val="bottom"/>
          </w:tcPr>
          <w:p w14:paraId="672D347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-1.25</w:t>
            </w:r>
          </w:p>
        </w:tc>
        <w:tc>
          <w:tcPr>
            <w:tcW w:w="697" w:type="pct"/>
            <w:tcBorders>
              <w:top w:val="nil"/>
              <w:bottom w:val="nil"/>
            </w:tcBorders>
            <w:vAlign w:val="bottom"/>
          </w:tcPr>
          <w:p w14:paraId="4C41BDC0"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.213</w:t>
            </w:r>
          </w:p>
        </w:tc>
        <w:tc>
          <w:tcPr>
            <w:tcW w:w="621" w:type="pct"/>
            <w:tcBorders>
              <w:top w:val="nil"/>
              <w:bottom w:val="nil"/>
            </w:tcBorders>
            <w:vAlign w:val="bottom"/>
          </w:tcPr>
          <w:p w14:paraId="11193B68"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0.22</w:t>
            </w:r>
          </w:p>
        </w:tc>
        <w:tc>
          <w:tcPr>
            <w:tcW w:w="768" w:type="pct"/>
            <w:tcBorders>
              <w:top w:val="nil"/>
              <w:bottom w:val="nil"/>
            </w:tcBorders>
            <w:vAlign w:val="bottom"/>
          </w:tcPr>
          <w:p w14:paraId="1008B14B"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0.384</w:t>
            </w:r>
          </w:p>
        </w:tc>
      </w:tr>
      <w:tr w:rsidR="006F1FB4" w:rsidRPr="00A20AE9" w14:paraId="1230DAD0" w14:textId="77777777" w:rsidTr="00731391">
        <w:trPr>
          <w:trHeight w:val="284"/>
        </w:trPr>
        <w:tc>
          <w:tcPr>
            <w:tcW w:w="1754" w:type="pct"/>
            <w:gridSpan w:val="3"/>
            <w:tcBorders>
              <w:top w:val="nil"/>
              <w:bottom w:val="nil"/>
            </w:tcBorders>
            <w:vAlign w:val="center"/>
          </w:tcPr>
          <w:p w14:paraId="105F7ADE"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Half Attendance</w:t>
            </w:r>
          </w:p>
        </w:tc>
        <w:tc>
          <w:tcPr>
            <w:tcW w:w="540" w:type="pct"/>
            <w:tcBorders>
              <w:top w:val="nil"/>
              <w:bottom w:val="nil"/>
            </w:tcBorders>
            <w:vAlign w:val="center"/>
          </w:tcPr>
          <w:p w14:paraId="39F94208"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center"/>
          </w:tcPr>
          <w:p w14:paraId="2A670D44"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nil"/>
              <w:bottom w:val="nil"/>
            </w:tcBorders>
            <w:vAlign w:val="bottom"/>
          </w:tcPr>
          <w:p w14:paraId="4E74B3CF" w14:textId="77777777" w:rsidR="006F1FB4" w:rsidRPr="00A20AE9" w:rsidRDefault="006F1FB4" w:rsidP="00731391">
            <w:pPr>
              <w:spacing w:beforeLines="40" w:before="96" w:afterLines="40" w:after="96"/>
              <w:jc w:val="center"/>
              <w:rPr>
                <w:rFonts w:ascii="Calibri" w:hAnsi="Calibri" w:cs="Calibri"/>
                <w:b/>
                <w:bCs/>
              </w:rPr>
            </w:pPr>
          </w:p>
        </w:tc>
        <w:tc>
          <w:tcPr>
            <w:tcW w:w="621" w:type="pct"/>
            <w:tcBorders>
              <w:top w:val="nil"/>
              <w:bottom w:val="nil"/>
            </w:tcBorders>
            <w:vAlign w:val="bottom"/>
          </w:tcPr>
          <w:p w14:paraId="6E22D853" w14:textId="77777777" w:rsidR="006F1FB4" w:rsidRPr="00A20AE9" w:rsidRDefault="006F1FB4" w:rsidP="00731391">
            <w:pPr>
              <w:spacing w:beforeLines="40" w:before="96" w:afterLines="40" w:after="96"/>
              <w:jc w:val="center"/>
              <w:rPr>
                <w:rFonts w:ascii="Calibri" w:hAnsi="Calibri" w:cs="Calibri"/>
              </w:rPr>
            </w:pPr>
          </w:p>
        </w:tc>
        <w:tc>
          <w:tcPr>
            <w:tcW w:w="768" w:type="pct"/>
            <w:tcBorders>
              <w:top w:val="nil"/>
              <w:bottom w:val="nil"/>
            </w:tcBorders>
            <w:vAlign w:val="bottom"/>
          </w:tcPr>
          <w:p w14:paraId="49D1D6F9"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46EE82E3" w14:textId="77777777" w:rsidTr="00731391">
        <w:trPr>
          <w:trHeight w:val="284"/>
        </w:trPr>
        <w:tc>
          <w:tcPr>
            <w:tcW w:w="527" w:type="pct"/>
            <w:gridSpan w:val="2"/>
            <w:tcBorders>
              <w:top w:val="nil"/>
              <w:bottom w:val="nil"/>
            </w:tcBorders>
            <w:vAlign w:val="center"/>
          </w:tcPr>
          <w:p w14:paraId="7747148F"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7CEC9839"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 xml:space="preserve">Vertical </w:t>
            </w:r>
          </w:p>
        </w:tc>
        <w:tc>
          <w:tcPr>
            <w:tcW w:w="540" w:type="pct"/>
            <w:tcBorders>
              <w:top w:val="nil"/>
              <w:bottom w:val="nil"/>
            </w:tcBorders>
            <w:vAlign w:val="center"/>
          </w:tcPr>
          <w:p w14:paraId="1B98C0AA"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126</w:t>
            </w:r>
          </w:p>
        </w:tc>
        <w:tc>
          <w:tcPr>
            <w:tcW w:w="621" w:type="pct"/>
            <w:tcBorders>
              <w:top w:val="nil"/>
              <w:bottom w:val="nil"/>
            </w:tcBorders>
            <w:vAlign w:val="bottom"/>
          </w:tcPr>
          <w:p w14:paraId="4E23FA4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0.97</w:t>
            </w:r>
          </w:p>
        </w:tc>
        <w:tc>
          <w:tcPr>
            <w:tcW w:w="697" w:type="pct"/>
            <w:tcBorders>
              <w:top w:val="nil"/>
              <w:bottom w:val="nil"/>
            </w:tcBorders>
            <w:vAlign w:val="bottom"/>
          </w:tcPr>
          <w:p w14:paraId="554511F7"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.333</w:t>
            </w:r>
          </w:p>
        </w:tc>
        <w:tc>
          <w:tcPr>
            <w:tcW w:w="621" w:type="pct"/>
            <w:tcBorders>
              <w:top w:val="nil"/>
              <w:bottom w:val="nil"/>
            </w:tcBorders>
            <w:vAlign w:val="bottom"/>
          </w:tcPr>
          <w:p w14:paraId="55CF15F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0.17</w:t>
            </w:r>
          </w:p>
        </w:tc>
        <w:tc>
          <w:tcPr>
            <w:tcW w:w="768" w:type="pct"/>
            <w:tcBorders>
              <w:top w:val="nil"/>
              <w:bottom w:val="nil"/>
            </w:tcBorders>
            <w:vAlign w:val="bottom"/>
          </w:tcPr>
          <w:p w14:paraId="048A410F"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0.290</w:t>
            </w:r>
          </w:p>
        </w:tc>
      </w:tr>
      <w:tr w:rsidR="006F1FB4" w:rsidRPr="00A20AE9" w14:paraId="00C40FA8" w14:textId="77777777" w:rsidTr="00731391">
        <w:trPr>
          <w:trHeight w:val="284"/>
        </w:trPr>
        <w:tc>
          <w:tcPr>
            <w:tcW w:w="527" w:type="pct"/>
            <w:gridSpan w:val="2"/>
            <w:tcBorders>
              <w:top w:val="nil"/>
              <w:bottom w:val="nil"/>
            </w:tcBorders>
            <w:vAlign w:val="center"/>
          </w:tcPr>
          <w:p w14:paraId="47201F46"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365C8DFB"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w:t>
            </w:r>
          </w:p>
        </w:tc>
        <w:tc>
          <w:tcPr>
            <w:tcW w:w="540" w:type="pct"/>
            <w:tcBorders>
              <w:top w:val="nil"/>
              <w:bottom w:val="nil"/>
            </w:tcBorders>
            <w:vAlign w:val="center"/>
          </w:tcPr>
          <w:p w14:paraId="17BFAFF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126</w:t>
            </w:r>
          </w:p>
        </w:tc>
        <w:tc>
          <w:tcPr>
            <w:tcW w:w="621" w:type="pct"/>
            <w:tcBorders>
              <w:top w:val="nil"/>
              <w:bottom w:val="nil"/>
            </w:tcBorders>
            <w:vAlign w:val="bottom"/>
          </w:tcPr>
          <w:p w14:paraId="2FCDC7FB"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0.30</w:t>
            </w:r>
          </w:p>
        </w:tc>
        <w:tc>
          <w:tcPr>
            <w:tcW w:w="697" w:type="pct"/>
            <w:tcBorders>
              <w:top w:val="nil"/>
              <w:bottom w:val="nil"/>
            </w:tcBorders>
            <w:vAlign w:val="bottom"/>
          </w:tcPr>
          <w:p w14:paraId="047DC5B3"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.766</w:t>
            </w:r>
          </w:p>
        </w:tc>
        <w:tc>
          <w:tcPr>
            <w:tcW w:w="621" w:type="pct"/>
            <w:tcBorders>
              <w:top w:val="nil"/>
              <w:bottom w:val="nil"/>
            </w:tcBorders>
            <w:vAlign w:val="bottom"/>
          </w:tcPr>
          <w:p w14:paraId="68160B8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0.05</w:t>
            </w:r>
          </w:p>
        </w:tc>
        <w:tc>
          <w:tcPr>
            <w:tcW w:w="768" w:type="pct"/>
            <w:tcBorders>
              <w:top w:val="nil"/>
              <w:bottom w:val="nil"/>
            </w:tcBorders>
            <w:vAlign w:val="bottom"/>
          </w:tcPr>
          <w:p w14:paraId="30C4963A"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0.197</w:t>
            </w:r>
          </w:p>
        </w:tc>
      </w:tr>
      <w:tr w:rsidR="006F1FB4" w:rsidRPr="00A20AE9" w14:paraId="152A00F2" w14:textId="77777777" w:rsidTr="00731391">
        <w:trPr>
          <w:trHeight w:val="284"/>
        </w:trPr>
        <w:tc>
          <w:tcPr>
            <w:tcW w:w="1754" w:type="pct"/>
            <w:gridSpan w:val="3"/>
            <w:tcBorders>
              <w:top w:val="nil"/>
              <w:bottom w:val="nil"/>
            </w:tcBorders>
            <w:vAlign w:val="center"/>
          </w:tcPr>
          <w:p w14:paraId="7C9958AC" w14:textId="77777777" w:rsidR="006F1FB4" w:rsidRPr="00A20AE9" w:rsidRDefault="006F1FB4" w:rsidP="00731391">
            <w:pPr>
              <w:spacing w:beforeLines="40" w:before="96" w:afterLines="40" w:after="96"/>
              <w:rPr>
                <w:rFonts w:ascii="Calibri" w:hAnsi="Calibri" w:cs="Calibri"/>
                <w:b/>
                <w:bCs/>
              </w:rPr>
            </w:pPr>
            <w:r w:rsidRPr="00A20AE9">
              <w:rPr>
                <w:rFonts w:ascii="Calibri" w:hAnsi="Calibri" w:cs="Calibri"/>
                <w:b/>
                <w:bCs/>
              </w:rPr>
              <w:t>Median Reaction Time</w:t>
            </w:r>
          </w:p>
        </w:tc>
        <w:tc>
          <w:tcPr>
            <w:tcW w:w="540" w:type="pct"/>
            <w:tcBorders>
              <w:top w:val="nil"/>
              <w:bottom w:val="nil"/>
            </w:tcBorders>
            <w:vAlign w:val="center"/>
          </w:tcPr>
          <w:p w14:paraId="21EBCAFA"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center"/>
          </w:tcPr>
          <w:p w14:paraId="6DD6AE03"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nil"/>
              <w:bottom w:val="nil"/>
            </w:tcBorders>
            <w:vAlign w:val="bottom"/>
          </w:tcPr>
          <w:p w14:paraId="5FDE9715" w14:textId="77777777" w:rsidR="006F1FB4" w:rsidRPr="00A20AE9" w:rsidRDefault="006F1FB4" w:rsidP="00731391">
            <w:pPr>
              <w:spacing w:beforeLines="40" w:before="96" w:afterLines="40" w:after="96"/>
              <w:jc w:val="center"/>
              <w:rPr>
                <w:rFonts w:ascii="Calibri" w:hAnsi="Calibri" w:cs="Calibri"/>
                <w:b/>
                <w:bCs/>
              </w:rPr>
            </w:pPr>
          </w:p>
        </w:tc>
        <w:tc>
          <w:tcPr>
            <w:tcW w:w="621" w:type="pct"/>
            <w:tcBorders>
              <w:top w:val="nil"/>
              <w:bottom w:val="nil"/>
            </w:tcBorders>
            <w:vAlign w:val="bottom"/>
          </w:tcPr>
          <w:p w14:paraId="7956F357" w14:textId="77777777" w:rsidR="006F1FB4" w:rsidRPr="00A20AE9" w:rsidRDefault="006F1FB4" w:rsidP="00731391">
            <w:pPr>
              <w:spacing w:beforeLines="40" w:before="96" w:afterLines="40" w:after="96"/>
              <w:jc w:val="center"/>
              <w:rPr>
                <w:rFonts w:ascii="Calibri" w:hAnsi="Calibri" w:cs="Calibri"/>
              </w:rPr>
            </w:pPr>
          </w:p>
        </w:tc>
        <w:tc>
          <w:tcPr>
            <w:tcW w:w="768" w:type="pct"/>
            <w:tcBorders>
              <w:top w:val="nil"/>
              <w:bottom w:val="nil"/>
            </w:tcBorders>
            <w:vAlign w:val="bottom"/>
          </w:tcPr>
          <w:p w14:paraId="17C25455"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0B92C908" w14:textId="77777777" w:rsidTr="00731391">
        <w:trPr>
          <w:trHeight w:val="284"/>
        </w:trPr>
        <w:tc>
          <w:tcPr>
            <w:tcW w:w="1754" w:type="pct"/>
            <w:gridSpan w:val="3"/>
            <w:tcBorders>
              <w:top w:val="nil"/>
              <w:bottom w:val="nil"/>
            </w:tcBorders>
            <w:vAlign w:val="center"/>
          </w:tcPr>
          <w:p w14:paraId="07730302"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Priming</w:t>
            </w:r>
          </w:p>
        </w:tc>
        <w:tc>
          <w:tcPr>
            <w:tcW w:w="540" w:type="pct"/>
            <w:tcBorders>
              <w:top w:val="nil"/>
              <w:bottom w:val="nil"/>
            </w:tcBorders>
            <w:vAlign w:val="center"/>
          </w:tcPr>
          <w:p w14:paraId="624714F4"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center"/>
          </w:tcPr>
          <w:p w14:paraId="5BFBBB71"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nil"/>
              <w:bottom w:val="nil"/>
            </w:tcBorders>
            <w:vAlign w:val="bottom"/>
          </w:tcPr>
          <w:p w14:paraId="6352BFFB" w14:textId="77777777" w:rsidR="006F1FB4" w:rsidRPr="00A20AE9" w:rsidRDefault="006F1FB4" w:rsidP="00731391">
            <w:pPr>
              <w:spacing w:beforeLines="40" w:before="96" w:afterLines="40" w:after="96"/>
              <w:jc w:val="center"/>
              <w:rPr>
                <w:rFonts w:ascii="Calibri" w:hAnsi="Calibri" w:cs="Calibri"/>
                <w:b/>
                <w:bCs/>
              </w:rPr>
            </w:pPr>
          </w:p>
        </w:tc>
        <w:tc>
          <w:tcPr>
            <w:tcW w:w="621" w:type="pct"/>
            <w:tcBorders>
              <w:top w:val="nil"/>
              <w:bottom w:val="nil"/>
            </w:tcBorders>
            <w:vAlign w:val="bottom"/>
          </w:tcPr>
          <w:p w14:paraId="789BE988" w14:textId="77777777" w:rsidR="006F1FB4" w:rsidRPr="00A20AE9" w:rsidRDefault="006F1FB4" w:rsidP="00731391">
            <w:pPr>
              <w:spacing w:beforeLines="40" w:before="96" w:afterLines="40" w:after="96"/>
              <w:jc w:val="center"/>
              <w:rPr>
                <w:rFonts w:ascii="Calibri" w:hAnsi="Calibri" w:cs="Calibri"/>
              </w:rPr>
            </w:pPr>
          </w:p>
        </w:tc>
        <w:tc>
          <w:tcPr>
            <w:tcW w:w="768" w:type="pct"/>
            <w:tcBorders>
              <w:top w:val="nil"/>
              <w:bottom w:val="nil"/>
            </w:tcBorders>
            <w:vAlign w:val="bottom"/>
          </w:tcPr>
          <w:p w14:paraId="105AEF16"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4CF54784" w14:textId="77777777" w:rsidTr="00731391">
        <w:trPr>
          <w:trHeight w:val="284"/>
        </w:trPr>
        <w:tc>
          <w:tcPr>
            <w:tcW w:w="527" w:type="pct"/>
            <w:gridSpan w:val="2"/>
            <w:tcBorders>
              <w:top w:val="nil"/>
              <w:bottom w:val="nil"/>
            </w:tcBorders>
            <w:vAlign w:val="center"/>
          </w:tcPr>
          <w:p w14:paraId="1936E790"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6A5E46DE"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 xml:space="preserve">Vertical </w:t>
            </w:r>
          </w:p>
        </w:tc>
        <w:tc>
          <w:tcPr>
            <w:tcW w:w="540" w:type="pct"/>
            <w:tcBorders>
              <w:top w:val="nil"/>
              <w:bottom w:val="nil"/>
            </w:tcBorders>
          </w:tcPr>
          <w:p w14:paraId="3DD19E6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126</w:t>
            </w:r>
          </w:p>
        </w:tc>
        <w:tc>
          <w:tcPr>
            <w:tcW w:w="621" w:type="pct"/>
            <w:tcBorders>
              <w:top w:val="nil"/>
              <w:bottom w:val="nil"/>
            </w:tcBorders>
            <w:vAlign w:val="bottom"/>
          </w:tcPr>
          <w:p w14:paraId="2DB66A2D"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1.06</w:t>
            </w:r>
          </w:p>
        </w:tc>
        <w:tc>
          <w:tcPr>
            <w:tcW w:w="697" w:type="pct"/>
            <w:tcBorders>
              <w:top w:val="nil"/>
              <w:bottom w:val="nil"/>
            </w:tcBorders>
            <w:vAlign w:val="bottom"/>
          </w:tcPr>
          <w:p w14:paraId="4A13FFE3"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.290</w:t>
            </w:r>
          </w:p>
        </w:tc>
        <w:tc>
          <w:tcPr>
            <w:tcW w:w="621" w:type="pct"/>
            <w:tcBorders>
              <w:top w:val="nil"/>
              <w:bottom w:val="nil"/>
            </w:tcBorders>
            <w:vAlign w:val="bottom"/>
          </w:tcPr>
          <w:p w14:paraId="7C4C828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0.19</w:t>
            </w:r>
          </w:p>
        </w:tc>
        <w:tc>
          <w:tcPr>
            <w:tcW w:w="768" w:type="pct"/>
            <w:tcBorders>
              <w:top w:val="nil"/>
              <w:bottom w:val="nil"/>
            </w:tcBorders>
            <w:vAlign w:val="bottom"/>
          </w:tcPr>
          <w:p w14:paraId="1E375CF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0.315</w:t>
            </w:r>
          </w:p>
        </w:tc>
      </w:tr>
      <w:tr w:rsidR="006F1FB4" w:rsidRPr="00A20AE9" w14:paraId="6B6CBC2B" w14:textId="77777777" w:rsidTr="00731391">
        <w:trPr>
          <w:trHeight w:val="284"/>
        </w:trPr>
        <w:tc>
          <w:tcPr>
            <w:tcW w:w="527" w:type="pct"/>
            <w:gridSpan w:val="2"/>
            <w:tcBorders>
              <w:top w:val="nil"/>
              <w:bottom w:val="nil"/>
            </w:tcBorders>
            <w:vAlign w:val="center"/>
          </w:tcPr>
          <w:p w14:paraId="78C5751B"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4A2A8B10"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w:t>
            </w:r>
          </w:p>
        </w:tc>
        <w:tc>
          <w:tcPr>
            <w:tcW w:w="540" w:type="pct"/>
            <w:tcBorders>
              <w:top w:val="nil"/>
              <w:bottom w:val="nil"/>
            </w:tcBorders>
          </w:tcPr>
          <w:p w14:paraId="5D25C13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126</w:t>
            </w:r>
          </w:p>
        </w:tc>
        <w:tc>
          <w:tcPr>
            <w:tcW w:w="621" w:type="pct"/>
            <w:tcBorders>
              <w:top w:val="nil"/>
              <w:bottom w:val="nil"/>
            </w:tcBorders>
            <w:vAlign w:val="bottom"/>
          </w:tcPr>
          <w:p w14:paraId="0C7199F2"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0.44</w:t>
            </w:r>
          </w:p>
        </w:tc>
        <w:tc>
          <w:tcPr>
            <w:tcW w:w="697" w:type="pct"/>
            <w:tcBorders>
              <w:top w:val="nil"/>
              <w:bottom w:val="nil"/>
            </w:tcBorders>
            <w:vAlign w:val="bottom"/>
          </w:tcPr>
          <w:p w14:paraId="7D2B9946"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.663</w:t>
            </w:r>
          </w:p>
        </w:tc>
        <w:tc>
          <w:tcPr>
            <w:tcW w:w="621" w:type="pct"/>
            <w:tcBorders>
              <w:top w:val="nil"/>
              <w:bottom w:val="nil"/>
            </w:tcBorders>
            <w:vAlign w:val="bottom"/>
          </w:tcPr>
          <w:p w14:paraId="0CA413C2"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0.08</w:t>
            </w:r>
          </w:p>
        </w:tc>
        <w:tc>
          <w:tcPr>
            <w:tcW w:w="768" w:type="pct"/>
            <w:tcBorders>
              <w:top w:val="nil"/>
              <w:bottom w:val="nil"/>
            </w:tcBorders>
            <w:vAlign w:val="bottom"/>
          </w:tcPr>
          <w:p w14:paraId="0D96C0BD"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0.206</w:t>
            </w:r>
          </w:p>
        </w:tc>
      </w:tr>
      <w:tr w:rsidR="006F1FB4" w:rsidRPr="00A20AE9" w14:paraId="30C2A769" w14:textId="77777777" w:rsidTr="00731391">
        <w:trPr>
          <w:trHeight w:val="284"/>
        </w:trPr>
        <w:tc>
          <w:tcPr>
            <w:tcW w:w="1754" w:type="pct"/>
            <w:gridSpan w:val="3"/>
            <w:tcBorders>
              <w:top w:val="nil"/>
              <w:bottom w:val="nil"/>
            </w:tcBorders>
            <w:vAlign w:val="center"/>
          </w:tcPr>
          <w:p w14:paraId="457BAF96"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Half Attendance</w:t>
            </w:r>
          </w:p>
        </w:tc>
        <w:tc>
          <w:tcPr>
            <w:tcW w:w="540" w:type="pct"/>
            <w:tcBorders>
              <w:top w:val="nil"/>
              <w:bottom w:val="nil"/>
            </w:tcBorders>
            <w:vAlign w:val="center"/>
          </w:tcPr>
          <w:p w14:paraId="350BF1F9"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center"/>
          </w:tcPr>
          <w:p w14:paraId="264EA730"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nil"/>
              <w:bottom w:val="nil"/>
            </w:tcBorders>
            <w:vAlign w:val="bottom"/>
          </w:tcPr>
          <w:p w14:paraId="3270AC16"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bottom"/>
          </w:tcPr>
          <w:p w14:paraId="2786A50E" w14:textId="77777777" w:rsidR="006F1FB4" w:rsidRPr="00A20AE9" w:rsidRDefault="006F1FB4" w:rsidP="00731391">
            <w:pPr>
              <w:spacing w:beforeLines="40" w:before="96" w:afterLines="40" w:after="96"/>
              <w:jc w:val="center"/>
              <w:rPr>
                <w:rFonts w:ascii="Calibri" w:hAnsi="Calibri" w:cs="Calibri"/>
              </w:rPr>
            </w:pPr>
          </w:p>
        </w:tc>
        <w:tc>
          <w:tcPr>
            <w:tcW w:w="768" w:type="pct"/>
            <w:tcBorders>
              <w:top w:val="nil"/>
              <w:bottom w:val="nil"/>
            </w:tcBorders>
            <w:vAlign w:val="bottom"/>
          </w:tcPr>
          <w:p w14:paraId="7376D47D"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4D90CD77" w14:textId="77777777" w:rsidTr="00731391">
        <w:trPr>
          <w:trHeight w:val="284"/>
        </w:trPr>
        <w:tc>
          <w:tcPr>
            <w:tcW w:w="527" w:type="pct"/>
            <w:gridSpan w:val="2"/>
            <w:tcBorders>
              <w:top w:val="nil"/>
              <w:bottom w:val="nil"/>
            </w:tcBorders>
            <w:vAlign w:val="center"/>
          </w:tcPr>
          <w:p w14:paraId="369D457B"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4A7F4D75"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 xml:space="preserve">Vertical </w:t>
            </w:r>
          </w:p>
        </w:tc>
        <w:tc>
          <w:tcPr>
            <w:tcW w:w="540" w:type="pct"/>
            <w:tcBorders>
              <w:top w:val="nil"/>
              <w:bottom w:val="nil"/>
            </w:tcBorders>
          </w:tcPr>
          <w:p w14:paraId="10CB702D"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126</w:t>
            </w:r>
          </w:p>
        </w:tc>
        <w:tc>
          <w:tcPr>
            <w:tcW w:w="621" w:type="pct"/>
            <w:tcBorders>
              <w:top w:val="nil"/>
              <w:bottom w:val="nil"/>
            </w:tcBorders>
            <w:vAlign w:val="bottom"/>
          </w:tcPr>
          <w:p w14:paraId="679B2CB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-0.94</w:t>
            </w:r>
          </w:p>
        </w:tc>
        <w:tc>
          <w:tcPr>
            <w:tcW w:w="697" w:type="pct"/>
            <w:tcBorders>
              <w:top w:val="nil"/>
              <w:bottom w:val="nil"/>
            </w:tcBorders>
            <w:vAlign w:val="bottom"/>
          </w:tcPr>
          <w:p w14:paraId="470E3A92"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.348</w:t>
            </w:r>
          </w:p>
        </w:tc>
        <w:tc>
          <w:tcPr>
            <w:tcW w:w="621" w:type="pct"/>
            <w:tcBorders>
              <w:top w:val="nil"/>
              <w:bottom w:val="nil"/>
            </w:tcBorders>
            <w:vAlign w:val="bottom"/>
          </w:tcPr>
          <w:p w14:paraId="07E9DCB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0.17</w:t>
            </w:r>
          </w:p>
        </w:tc>
        <w:tc>
          <w:tcPr>
            <w:tcW w:w="768" w:type="pct"/>
            <w:tcBorders>
              <w:top w:val="nil"/>
              <w:bottom w:val="nil"/>
            </w:tcBorders>
            <w:vAlign w:val="bottom"/>
          </w:tcPr>
          <w:p w14:paraId="31C42A2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0.282</w:t>
            </w:r>
          </w:p>
        </w:tc>
      </w:tr>
      <w:tr w:rsidR="006F1FB4" w:rsidRPr="00A20AE9" w14:paraId="54F20228" w14:textId="77777777" w:rsidTr="00731391">
        <w:trPr>
          <w:trHeight w:val="284"/>
        </w:trPr>
        <w:tc>
          <w:tcPr>
            <w:tcW w:w="527" w:type="pct"/>
            <w:gridSpan w:val="2"/>
            <w:tcBorders>
              <w:top w:val="nil"/>
              <w:bottom w:val="single" w:sz="4" w:space="0" w:color="auto"/>
            </w:tcBorders>
            <w:vAlign w:val="center"/>
          </w:tcPr>
          <w:p w14:paraId="47271EC7"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single" w:sz="4" w:space="0" w:color="auto"/>
            </w:tcBorders>
            <w:vAlign w:val="center"/>
          </w:tcPr>
          <w:p w14:paraId="42D49C3F"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w:t>
            </w:r>
          </w:p>
        </w:tc>
        <w:tc>
          <w:tcPr>
            <w:tcW w:w="540" w:type="pct"/>
            <w:tcBorders>
              <w:top w:val="nil"/>
              <w:bottom w:val="single" w:sz="4" w:space="0" w:color="auto"/>
            </w:tcBorders>
          </w:tcPr>
          <w:p w14:paraId="717B029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126</w:t>
            </w:r>
          </w:p>
        </w:tc>
        <w:tc>
          <w:tcPr>
            <w:tcW w:w="621" w:type="pct"/>
            <w:tcBorders>
              <w:top w:val="nil"/>
              <w:bottom w:val="single" w:sz="4" w:space="0" w:color="auto"/>
            </w:tcBorders>
            <w:vAlign w:val="bottom"/>
          </w:tcPr>
          <w:p w14:paraId="171E3AD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-1.14</w:t>
            </w:r>
          </w:p>
        </w:tc>
        <w:tc>
          <w:tcPr>
            <w:tcW w:w="697" w:type="pct"/>
            <w:tcBorders>
              <w:top w:val="nil"/>
              <w:bottom w:val="single" w:sz="4" w:space="0" w:color="auto"/>
            </w:tcBorders>
            <w:vAlign w:val="bottom"/>
          </w:tcPr>
          <w:p w14:paraId="7DC2F1A2"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.257</w:t>
            </w:r>
          </w:p>
        </w:tc>
        <w:tc>
          <w:tcPr>
            <w:tcW w:w="621" w:type="pct"/>
            <w:tcBorders>
              <w:top w:val="nil"/>
              <w:bottom w:val="single" w:sz="4" w:space="0" w:color="auto"/>
            </w:tcBorders>
            <w:vAlign w:val="bottom"/>
          </w:tcPr>
          <w:p w14:paraId="3ABCDD4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0.20</w:t>
            </w:r>
          </w:p>
        </w:tc>
        <w:tc>
          <w:tcPr>
            <w:tcW w:w="768" w:type="pct"/>
            <w:tcBorders>
              <w:top w:val="nil"/>
              <w:bottom w:val="single" w:sz="4" w:space="0" w:color="auto"/>
            </w:tcBorders>
            <w:vAlign w:val="bottom"/>
          </w:tcPr>
          <w:p w14:paraId="7A817EFF"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0.340</w:t>
            </w:r>
          </w:p>
        </w:tc>
      </w:tr>
    </w:tbl>
    <w:p w14:paraId="6349ACBE" w14:textId="77777777" w:rsidR="006F1FB4" w:rsidRPr="00A20AE9" w:rsidRDefault="006F1FB4" w:rsidP="006F1FB4">
      <w:pPr>
        <w:rPr>
          <w:rFonts w:ascii="Calibri" w:hAnsi="Calibri" w:cs="Calibri"/>
          <w:lang w:val="en-US"/>
        </w:rPr>
      </w:pPr>
    </w:p>
    <w:p w14:paraId="1C74EAAA" w14:textId="77777777" w:rsidR="006F1FB4" w:rsidRPr="00A20AE9" w:rsidRDefault="006F1FB4" w:rsidP="006F1FB4">
      <w:pPr>
        <w:rPr>
          <w:rFonts w:ascii="Calibri" w:hAnsi="Calibri" w:cs="Calibri"/>
          <w:lang w:val="en-US"/>
        </w:rPr>
      </w:pPr>
      <w:r w:rsidRPr="00A20AE9">
        <w:rPr>
          <w:rFonts w:ascii="Calibri" w:hAnsi="Calibri" w:cs="Calibri"/>
          <w:lang w:val="en-US"/>
        </w:rPr>
        <w:br w:type="page"/>
      </w:r>
    </w:p>
    <w:p w14:paraId="4C5B35FA" w14:textId="77777777" w:rsidR="006F1FB4" w:rsidRPr="00A20AE9" w:rsidRDefault="006F1FB4" w:rsidP="006F1FB4">
      <w:pPr>
        <w:rPr>
          <w:rFonts w:ascii="Calibri" w:hAnsi="Calibri" w:cs="Calibri"/>
          <w:lang w:val="en-US"/>
        </w:rPr>
      </w:pPr>
      <w:r w:rsidRPr="00A20AE9">
        <w:rPr>
          <w:rFonts w:ascii="Calibri" w:hAnsi="Calibri" w:cs="Calibri"/>
          <w:lang w:val="en-US"/>
        </w:rPr>
        <w:lastRenderedPageBreak/>
        <w:t xml:space="preserve">Suppl. Table 9. </w:t>
      </w:r>
    </w:p>
    <w:p w14:paraId="623296D4" w14:textId="77777777" w:rsidR="006F1FB4" w:rsidRPr="00A20AE9" w:rsidRDefault="006F1FB4" w:rsidP="006F1FB4">
      <w:pPr>
        <w:rPr>
          <w:rFonts w:ascii="Calibri" w:hAnsi="Calibri" w:cs="Calibri"/>
          <w:i/>
          <w:iCs/>
        </w:rPr>
      </w:pPr>
      <w:r w:rsidRPr="00A20AE9">
        <w:rPr>
          <w:rFonts w:ascii="Calibri" w:hAnsi="Calibri" w:cs="Calibri"/>
          <w:i/>
          <w:iCs/>
          <w:lang w:val="en-US"/>
        </w:rPr>
        <w:t>Descriptive statistics for Accuracy (%) and Median Reaction Time (RT; s) measures for basic dependent variable comparisons of individual familiar halves for comparison across experiment 4 comparisons.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313"/>
        <w:gridCol w:w="1647"/>
        <w:gridCol w:w="1501"/>
        <w:gridCol w:w="1502"/>
        <w:gridCol w:w="1531"/>
        <w:gridCol w:w="1532"/>
      </w:tblGrid>
      <w:tr w:rsidR="006F1FB4" w:rsidRPr="00A20AE9" w14:paraId="4CC7C64C" w14:textId="77777777" w:rsidTr="00731391">
        <w:trPr>
          <w:gridBefore w:val="1"/>
          <w:wBefore w:w="108" w:type="dxa"/>
        </w:trPr>
        <w:tc>
          <w:tcPr>
            <w:tcW w:w="2960" w:type="dxa"/>
            <w:gridSpan w:val="2"/>
            <w:tcBorders>
              <w:top w:val="single" w:sz="4" w:space="0" w:color="auto"/>
              <w:bottom w:val="single" w:sz="4" w:space="0" w:color="auto"/>
            </w:tcBorders>
          </w:tcPr>
          <w:p w14:paraId="49D12925" w14:textId="77777777" w:rsidR="006F1FB4" w:rsidRPr="00A20AE9" w:rsidRDefault="006F1FB4" w:rsidP="00731391">
            <w:pPr>
              <w:spacing w:beforeLines="40" w:before="96" w:afterLines="40" w:after="96"/>
              <w:rPr>
                <w:rFonts w:ascii="Calibri" w:hAnsi="Calibri" w:cs="Calibri"/>
                <w:b/>
                <w:bCs/>
              </w:rPr>
            </w:pPr>
            <w:r w:rsidRPr="00A20AE9">
              <w:rPr>
                <w:rFonts w:ascii="Calibri" w:hAnsi="Calibri" w:cs="Calibri"/>
                <w:b/>
                <w:bCs/>
              </w:rPr>
              <w:t>Comparison</w:t>
            </w:r>
          </w:p>
        </w:tc>
        <w:tc>
          <w:tcPr>
            <w:tcW w:w="1501" w:type="dxa"/>
            <w:tcBorders>
              <w:top w:val="single" w:sz="4" w:space="0" w:color="auto"/>
              <w:bottom w:val="single" w:sz="4" w:space="0" w:color="auto"/>
            </w:tcBorders>
          </w:tcPr>
          <w:p w14:paraId="78243A05"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Aligned M</w:t>
            </w:r>
          </w:p>
        </w:tc>
        <w:tc>
          <w:tcPr>
            <w:tcW w:w="1502" w:type="dxa"/>
            <w:tcBorders>
              <w:top w:val="single" w:sz="4" w:space="0" w:color="auto"/>
              <w:bottom w:val="single" w:sz="4" w:space="0" w:color="auto"/>
            </w:tcBorders>
          </w:tcPr>
          <w:p w14:paraId="20D2B9E5"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Aligned SD</w:t>
            </w:r>
          </w:p>
        </w:tc>
        <w:tc>
          <w:tcPr>
            <w:tcW w:w="1531" w:type="dxa"/>
            <w:tcBorders>
              <w:top w:val="single" w:sz="4" w:space="0" w:color="auto"/>
              <w:bottom w:val="single" w:sz="4" w:space="0" w:color="auto"/>
            </w:tcBorders>
          </w:tcPr>
          <w:p w14:paraId="4F324535"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Misaligned M</w:t>
            </w:r>
          </w:p>
        </w:tc>
        <w:tc>
          <w:tcPr>
            <w:tcW w:w="1532" w:type="dxa"/>
            <w:tcBorders>
              <w:top w:val="single" w:sz="4" w:space="0" w:color="auto"/>
              <w:bottom w:val="single" w:sz="4" w:space="0" w:color="auto"/>
            </w:tcBorders>
          </w:tcPr>
          <w:p w14:paraId="5695D2E0"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b/>
                <w:bCs/>
              </w:rPr>
              <w:t>Misaligned SD</w:t>
            </w:r>
          </w:p>
        </w:tc>
      </w:tr>
      <w:tr w:rsidR="006F1FB4" w:rsidRPr="00A20AE9" w14:paraId="069E8DFD" w14:textId="77777777" w:rsidTr="00731391">
        <w:trPr>
          <w:gridBefore w:val="1"/>
          <w:wBefore w:w="108" w:type="dxa"/>
        </w:trPr>
        <w:tc>
          <w:tcPr>
            <w:tcW w:w="2960" w:type="dxa"/>
            <w:gridSpan w:val="2"/>
            <w:tcBorders>
              <w:top w:val="nil"/>
            </w:tcBorders>
          </w:tcPr>
          <w:p w14:paraId="270F332B"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 xml:space="preserve">Accuracy </w:t>
            </w:r>
          </w:p>
        </w:tc>
        <w:tc>
          <w:tcPr>
            <w:tcW w:w="1501" w:type="dxa"/>
            <w:tcBorders>
              <w:top w:val="nil"/>
            </w:tcBorders>
          </w:tcPr>
          <w:p w14:paraId="0D2ABF22" w14:textId="77777777" w:rsidR="006F1FB4" w:rsidRPr="00A20AE9" w:rsidRDefault="006F1FB4" w:rsidP="00731391">
            <w:pPr>
              <w:spacing w:beforeLines="40" w:before="96" w:afterLines="40" w:after="96"/>
              <w:rPr>
                <w:rFonts w:ascii="Calibri" w:hAnsi="Calibri" w:cs="Calibri"/>
              </w:rPr>
            </w:pPr>
          </w:p>
        </w:tc>
        <w:tc>
          <w:tcPr>
            <w:tcW w:w="1502" w:type="dxa"/>
            <w:tcBorders>
              <w:top w:val="nil"/>
            </w:tcBorders>
          </w:tcPr>
          <w:p w14:paraId="3BF32BE8" w14:textId="77777777" w:rsidR="006F1FB4" w:rsidRPr="00A20AE9" w:rsidRDefault="006F1FB4" w:rsidP="00731391">
            <w:pPr>
              <w:spacing w:beforeLines="40" w:before="96" w:afterLines="40" w:after="96"/>
              <w:rPr>
                <w:rFonts w:ascii="Calibri" w:hAnsi="Calibri" w:cs="Calibri"/>
              </w:rPr>
            </w:pPr>
          </w:p>
        </w:tc>
        <w:tc>
          <w:tcPr>
            <w:tcW w:w="1531" w:type="dxa"/>
            <w:tcBorders>
              <w:top w:val="nil"/>
            </w:tcBorders>
          </w:tcPr>
          <w:p w14:paraId="7AE831BA" w14:textId="77777777" w:rsidR="006F1FB4" w:rsidRPr="00A20AE9" w:rsidRDefault="006F1FB4" w:rsidP="00731391">
            <w:pPr>
              <w:spacing w:beforeLines="40" w:before="96" w:afterLines="40" w:after="96"/>
              <w:rPr>
                <w:rFonts w:ascii="Calibri" w:hAnsi="Calibri" w:cs="Calibri"/>
              </w:rPr>
            </w:pPr>
          </w:p>
        </w:tc>
        <w:tc>
          <w:tcPr>
            <w:tcW w:w="1532" w:type="dxa"/>
            <w:tcBorders>
              <w:top w:val="nil"/>
            </w:tcBorders>
          </w:tcPr>
          <w:p w14:paraId="38C8B398" w14:textId="77777777" w:rsidR="006F1FB4" w:rsidRPr="00A20AE9" w:rsidRDefault="006F1FB4" w:rsidP="00731391">
            <w:pPr>
              <w:spacing w:beforeLines="40" w:before="96" w:afterLines="40" w:after="96"/>
              <w:rPr>
                <w:rFonts w:ascii="Calibri" w:hAnsi="Calibri" w:cs="Calibri"/>
              </w:rPr>
            </w:pPr>
          </w:p>
        </w:tc>
      </w:tr>
      <w:tr w:rsidR="006F1FB4" w:rsidRPr="00A20AE9" w14:paraId="40018666" w14:textId="77777777" w:rsidTr="00731391">
        <w:trPr>
          <w:gridBefore w:val="1"/>
          <w:wBefore w:w="108" w:type="dxa"/>
        </w:trPr>
        <w:tc>
          <w:tcPr>
            <w:tcW w:w="1313" w:type="dxa"/>
          </w:tcPr>
          <w:p w14:paraId="0BB9C621" w14:textId="77777777" w:rsidR="006F1FB4" w:rsidRPr="00A20AE9" w:rsidRDefault="006F1FB4" w:rsidP="00731391">
            <w:pPr>
              <w:spacing w:beforeLines="40" w:before="96" w:afterLines="40" w:after="96"/>
              <w:rPr>
                <w:rFonts w:ascii="Calibri" w:hAnsi="Calibri" w:cs="Calibri"/>
              </w:rPr>
            </w:pPr>
          </w:p>
        </w:tc>
        <w:tc>
          <w:tcPr>
            <w:tcW w:w="1647" w:type="dxa"/>
          </w:tcPr>
          <w:p w14:paraId="70F2A1B3"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Left</w:t>
            </w:r>
          </w:p>
        </w:tc>
        <w:tc>
          <w:tcPr>
            <w:tcW w:w="1501" w:type="dxa"/>
            <w:vAlign w:val="bottom"/>
          </w:tcPr>
          <w:p w14:paraId="2732355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95.20</w:t>
            </w:r>
          </w:p>
        </w:tc>
        <w:tc>
          <w:tcPr>
            <w:tcW w:w="1502" w:type="dxa"/>
            <w:vAlign w:val="bottom"/>
          </w:tcPr>
          <w:p w14:paraId="4C34C788"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5.91</w:t>
            </w:r>
          </w:p>
        </w:tc>
        <w:tc>
          <w:tcPr>
            <w:tcW w:w="1531" w:type="dxa"/>
            <w:vAlign w:val="bottom"/>
          </w:tcPr>
          <w:p w14:paraId="1FD79B74"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94.63</w:t>
            </w:r>
          </w:p>
        </w:tc>
        <w:tc>
          <w:tcPr>
            <w:tcW w:w="1532" w:type="dxa"/>
            <w:vAlign w:val="bottom"/>
          </w:tcPr>
          <w:p w14:paraId="2D736BF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5.92</w:t>
            </w:r>
          </w:p>
        </w:tc>
      </w:tr>
      <w:tr w:rsidR="006F1FB4" w:rsidRPr="00A20AE9" w14:paraId="544CA42E" w14:textId="77777777" w:rsidTr="00731391">
        <w:trPr>
          <w:gridBefore w:val="1"/>
          <w:wBefore w:w="108" w:type="dxa"/>
        </w:trPr>
        <w:tc>
          <w:tcPr>
            <w:tcW w:w="1313" w:type="dxa"/>
          </w:tcPr>
          <w:p w14:paraId="158DBC37" w14:textId="77777777" w:rsidR="006F1FB4" w:rsidRPr="00A20AE9" w:rsidRDefault="006F1FB4" w:rsidP="00731391">
            <w:pPr>
              <w:spacing w:beforeLines="40" w:before="96" w:afterLines="40" w:after="96"/>
              <w:rPr>
                <w:rFonts w:ascii="Calibri" w:hAnsi="Calibri" w:cs="Calibri"/>
              </w:rPr>
            </w:pPr>
          </w:p>
        </w:tc>
        <w:tc>
          <w:tcPr>
            <w:tcW w:w="1647" w:type="dxa"/>
          </w:tcPr>
          <w:p w14:paraId="797A568E"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Right</w:t>
            </w:r>
          </w:p>
        </w:tc>
        <w:tc>
          <w:tcPr>
            <w:tcW w:w="1501" w:type="dxa"/>
            <w:vAlign w:val="bottom"/>
          </w:tcPr>
          <w:p w14:paraId="655777DA"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94.43</w:t>
            </w:r>
          </w:p>
        </w:tc>
        <w:tc>
          <w:tcPr>
            <w:tcW w:w="1502" w:type="dxa"/>
            <w:vAlign w:val="bottom"/>
          </w:tcPr>
          <w:p w14:paraId="679DC02F"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5.86</w:t>
            </w:r>
          </w:p>
        </w:tc>
        <w:tc>
          <w:tcPr>
            <w:tcW w:w="1531" w:type="dxa"/>
            <w:vAlign w:val="bottom"/>
          </w:tcPr>
          <w:p w14:paraId="29E2AAAF"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95.05</w:t>
            </w:r>
          </w:p>
        </w:tc>
        <w:tc>
          <w:tcPr>
            <w:tcW w:w="1532" w:type="dxa"/>
            <w:vAlign w:val="bottom"/>
          </w:tcPr>
          <w:p w14:paraId="77BACCB8"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5.00</w:t>
            </w:r>
          </w:p>
        </w:tc>
      </w:tr>
      <w:tr w:rsidR="006F1FB4" w:rsidRPr="00A20AE9" w14:paraId="5287CBD9" w14:textId="77777777" w:rsidTr="00731391">
        <w:trPr>
          <w:gridBefore w:val="1"/>
          <w:wBefore w:w="108" w:type="dxa"/>
        </w:trPr>
        <w:tc>
          <w:tcPr>
            <w:tcW w:w="1313" w:type="dxa"/>
          </w:tcPr>
          <w:p w14:paraId="1B4363F0" w14:textId="77777777" w:rsidR="006F1FB4" w:rsidRPr="00A20AE9" w:rsidRDefault="006F1FB4" w:rsidP="00731391">
            <w:pPr>
              <w:spacing w:beforeLines="40" w:before="96" w:afterLines="40" w:after="96"/>
              <w:rPr>
                <w:rFonts w:ascii="Calibri" w:hAnsi="Calibri" w:cs="Calibri"/>
              </w:rPr>
            </w:pPr>
          </w:p>
        </w:tc>
        <w:tc>
          <w:tcPr>
            <w:tcW w:w="1647" w:type="dxa"/>
          </w:tcPr>
          <w:p w14:paraId="035D9EE5"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Up</w:t>
            </w:r>
          </w:p>
        </w:tc>
        <w:tc>
          <w:tcPr>
            <w:tcW w:w="1501" w:type="dxa"/>
            <w:vAlign w:val="bottom"/>
          </w:tcPr>
          <w:p w14:paraId="39A56D3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89.12</w:t>
            </w:r>
          </w:p>
        </w:tc>
        <w:tc>
          <w:tcPr>
            <w:tcW w:w="1502" w:type="dxa"/>
            <w:vAlign w:val="bottom"/>
          </w:tcPr>
          <w:p w14:paraId="1A5BAF6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11.05</w:t>
            </w:r>
          </w:p>
        </w:tc>
        <w:tc>
          <w:tcPr>
            <w:tcW w:w="1531" w:type="dxa"/>
            <w:vAlign w:val="bottom"/>
          </w:tcPr>
          <w:p w14:paraId="4A649C6B"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88.89</w:t>
            </w:r>
          </w:p>
        </w:tc>
        <w:tc>
          <w:tcPr>
            <w:tcW w:w="1532" w:type="dxa"/>
            <w:vAlign w:val="bottom"/>
          </w:tcPr>
          <w:p w14:paraId="10D18FD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7.84</w:t>
            </w:r>
          </w:p>
        </w:tc>
      </w:tr>
      <w:tr w:rsidR="006F1FB4" w:rsidRPr="00A20AE9" w14:paraId="66F68BED" w14:textId="77777777" w:rsidTr="00731391">
        <w:trPr>
          <w:gridBefore w:val="1"/>
          <w:wBefore w:w="108" w:type="dxa"/>
        </w:trPr>
        <w:tc>
          <w:tcPr>
            <w:tcW w:w="1313" w:type="dxa"/>
          </w:tcPr>
          <w:p w14:paraId="3EA42C22" w14:textId="77777777" w:rsidR="006F1FB4" w:rsidRPr="00A20AE9" w:rsidRDefault="006F1FB4" w:rsidP="00731391">
            <w:pPr>
              <w:spacing w:beforeLines="40" w:before="96" w:afterLines="40" w:after="96"/>
              <w:rPr>
                <w:rFonts w:ascii="Calibri" w:hAnsi="Calibri" w:cs="Calibri"/>
              </w:rPr>
            </w:pPr>
          </w:p>
        </w:tc>
        <w:tc>
          <w:tcPr>
            <w:tcW w:w="1647" w:type="dxa"/>
          </w:tcPr>
          <w:p w14:paraId="3B3DE832"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Down</w:t>
            </w:r>
          </w:p>
        </w:tc>
        <w:tc>
          <w:tcPr>
            <w:tcW w:w="1501" w:type="dxa"/>
            <w:vAlign w:val="bottom"/>
          </w:tcPr>
          <w:p w14:paraId="5101A9D1"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88.99</w:t>
            </w:r>
          </w:p>
        </w:tc>
        <w:tc>
          <w:tcPr>
            <w:tcW w:w="1502" w:type="dxa"/>
            <w:vAlign w:val="bottom"/>
          </w:tcPr>
          <w:p w14:paraId="47DCA718"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11.71</w:t>
            </w:r>
          </w:p>
        </w:tc>
        <w:tc>
          <w:tcPr>
            <w:tcW w:w="1531" w:type="dxa"/>
            <w:vAlign w:val="bottom"/>
          </w:tcPr>
          <w:p w14:paraId="77031A5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87.30</w:t>
            </w:r>
          </w:p>
        </w:tc>
        <w:tc>
          <w:tcPr>
            <w:tcW w:w="1532" w:type="dxa"/>
            <w:vAlign w:val="bottom"/>
          </w:tcPr>
          <w:p w14:paraId="4D162E2E"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10.39</w:t>
            </w:r>
          </w:p>
        </w:tc>
      </w:tr>
      <w:tr w:rsidR="006F1FB4" w:rsidRPr="00A20AE9" w14:paraId="63222A5B" w14:textId="77777777" w:rsidTr="00731391">
        <w:tc>
          <w:tcPr>
            <w:tcW w:w="3068" w:type="dxa"/>
            <w:gridSpan w:val="3"/>
          </w:tcPr>
          <w:p w14:paraId="1B62EE8C" w14:textId="77777777" w:rsidR="006F1FB4" w:rsidRPr="00A20AE9" w:rsidRDefault="006F1FB4" w:rsidP="00731391">
            <w:pPr>
              <w:spacing w:beforeLines="40" w:before="96" w:afterLines="40" w:after="96"/>
              <w:rPr>
                <w:rFonts w:ascii="Calibri" w:hAnsi="Calibri" w:cs="Calibri"/>
                <w:i/>
                <w:iCs/>
              </w:rPr>
            </w:pPr>
            <w:bookmarkStart w:id="53" w:name="_Hlk181284207"/>
            <w:r w:rsidRPr="00A20AE9">
              <w:rPr>
                <w:rFonts w:ascii="Calibri" w:hAnsi="Calibri" w:cs="Calibri"/>
                <w:i/>
                <w:iCs/>
              </w:rPr>
              <w:t>Median Reaction Time</w:t>
            </w:r>
          </w:p>
        </w:tc>
        <w:tc>
          <w:tcPr>
            <w:tcW w:w="1501" w:type="dxa"/>
          </w:tcPr>
          <w:p w14:paraId="3D663678" w14:textId="77777777" w:rsidR="006F1FB4" w:rsidRPr="00A20AE9" w:rsidRDefault="006F1FB4" w:rsidP="00731391">
            <w:pPr>
              <w:spacing w:beforeLines="40" w:before="96" w:afterLines="40" w:after="96"/>
              <w:rPr>
                <w:rFonts w:ascii="Calibri" w:hAnsi="Calibri" w:cs="Calibri"/>
              </w:rPr>
            </w:pPr>
          </w:p>
        </w:tc>
        <w:tc>
          <w:tcPr>
            <w:tcW w:w="1502" w:type="dxa"/>
          </w:tcPr>
          <w:p w14:paraId="1544699F" w14:textId="77777777" w:rsidR="006F1FB4" w:rsidRPr="00A20AE9" w:rsidRDefault="006F1FB4" w:rsidP="00731391">
            <w:pPr>
              <w:spacing w:beforeLines="40" w:before="96" w:afterLines="40" w:after="96"/>
              <w:rPr>
                <w:rFonts w:ascii="Calibri" w:hAnsi="Calibri" w:cs="Calibri"/>
              </w:rPr>
            </w:pPr>
          </w:p>
        </w:tc>
        <w:tc>
          <w:tcPr>
            <w:tcW w:w="1531" w:type="dxa"/>
          </w:tcPr>
          <w:p w14:paraId="7C94ABEF" w14:textId="77777777" w:rsidR="006F1FB4" w:rsidRPr="00A20AE9" w:rsidRDefault="006F1FB4" w:rsidP="00731391">
            <w:pPr>
              <w:spacing w:beforeLines="40" w:before="96" w:afterLines="40" w:after="96"/>
              <w:rPr>
                <w:rFonts w:ascii="Calibri" w:hAnsi="Calibri" w:cs="Calibri"/>
              </w:rPr>
            </w:pPr>
          </w:p>
        </w:tc>
        <w:tc>
          <w:tcPr>
            <w:tcW w:w="1532" w:type="dxa"/>
          </w:tcPr>
          <w:p w14:paraId="6E94F259" w14:textId="77777777" w:rsidR="006F1FB4" w:rsidRPr="00A20AE9" w:rsidRDefault="006F1FB4" w:rsidP="00731391">
            <w:pPr>
              <w:spacing w:beforeLines="40" w:before="96" w:afterLines="40" w:after="96"/>
              <w:rPr>
                <w:rFonts w:ascii="Calibri" w:hAnsi="Calibri" w:cs="Calibri"/>
              </w:rPr>
            </w:pPr>
          </w:p>
        </w:tc>
      </w:tr>
      <w:tr w:rsidR="006F1FB4" w:rsidRPr="00A20AE9" w14:paraId="741E8E8F" w14:textId="77777777" w:rsidTr="00731391">
        <w:tc>
          <w:tcPr>
            <w:tcW w:w="1421" w:type="dxa"/>
            <w:gridSpan w:val="2"/>
          </w:tcPr>
          <w:p w14:paraId="30BFBFCC" w14:textId="77777777" w:rsidR="006F1FB4" w:rsidRPr="00A20AE9" w:rsidRDefault="006F1FB4" w:rsidP="00731391">
            <w:pPr>
              <w:spacing w:beforeLines="40" w:before="96" w:afterLines="40" w:after="96"/>
              <w:rPr>
                <w:rFonts w:ascii="Calibri" w:hAnsi="Calibri" w:cs="Calibri"/>
              </w:rPr>
            </w:pPr>
          </w:p>
        </w:tc>
        <w:tc>
          <w:tcPr>
            <w:tcW w:w="1647" w:type="dxa"/>
          </w:tcPr>
          <w:p w14:paraId="472DCDAD"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Left</w:t>
            </w:r>
          </w:p>
        </w:tc>
        <w:tc>
          <w:tcPr>
            <w:tcW w:w="1501" w:type="dxa"/>
            <w:vAlign w:val="bottom"/>
          </w:tcPr>
          <w:p w14:paraId="4338342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0.95</w:t>
            </w:r>
          </w:p>
        </w:tc>
        <w:tc>
          <w:tcPr>
            <w:tcW w:w="1502" w:type="dxa"/>
            <w:vAlign w:val="bottom"/>
          </w:tcPr>
          <w:p w14:paraId="5E35688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0.29</w:t>
            </w:r>
          </w:p>
        </w:tc>
        <w:tc>
          <w:tcPr>
            <w:tcW w:w="1531" w:type="dxa"/>
            <w:vAlign w:val="bottom"/>
          </w:tcPr>
          <w:p w14:paraId="41F7CAE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0.89</w:t>
            </w:r>
          </w:p>
        </w:tc>
        <w:tc>
          <w:tcPr>
            <w:tcW w:w="1532" w:type="dxa"/>
            <w:vAlign w:val="bottom"/>
          </w:tcPr>
          <w:p w14:paraId="5A2FBACF"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0.21</w:t>
            </w:r>
          </w:p>
        </w:tc>
      </w:tr>
      <w:tr w:rsidR="006F1FB4" w:rsidRPr="00A20AE9" w14:paraId="6A71ACED" w14:textId="77777777" w:rsidTr="00731391">
        <w:tc>
          <w:tcPr>
            <w:tcW w:w="1421" w:type="dxa"/>
            <w:gridSpan w:val="2"/>
          </w:tcPr>
          <w:p w14:paraId="534FEB59" w14:textId="77777777" w:rsidR="006F1FB4" w:rsidRPr="00A20AE9" w:rsidRDefault="006F1FB4" w:rsidP="00731391">
            <w:pPr>
              <w:spacing w:beforeLines="40" w:before="96" w:afterLines="40" w:after="96"/>
              <w:rPr>
                <w:rFonts w:ascii="Calibri" w:hAnsi="Calibri" w:cs="Calibri"/>
              </w:rPr>
            </w:pPr>
          </w:p>
        </w:tc>
        <w:tc>
          <w:tcPr>
            <w:tcW w:w="1647" w:type="dxa"/>
          </w:tcPr>
          <w:p w14:paraId="3C04A8A6"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Right</w:t>
            </w:r>
          </w:p>
        </w:tc>
        <w:tc>
          <w:tcPr>
            <w:tcW w:w="1501" w:type="dxa"/>
            <w:vAlign w:val="bottom"/>
          </w:tcPr>
          <w:p w14:paraId="19C6B0B0"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0.91</w:t>
            </w:r>
          </w:p>
        </w:tc>
        <w:tc>
          <w:tcPr>
            <w:tcW w:w="1502" w:type="dxa"/>
            <w:vAlign w:val="bottom"/>
          </w:tcPr>
          <w:p w14:paraId="7675153E"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0.21</w:t>
            </w:r>
          </w:p>
        </w:tc>
        <w:tc>
          <w:tcPr>
            <w:tcW w:w="1531" w:type="dxa"/>
            <w:vAlign w:val="bottom"/>
          </w:tcPr>
          <w:p w14:paraId="04BCEC6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0.87</w:t>
            </w:r>
          </w:p>
        </w:tc>
        <w:tc>
          <w:tcPr>
            <w:tcW w:w="1532" w:type="dxa"/>
            <w:vAlign w:val="bottom"/>
          </w:tcPr>
          <w:p w14:paraId="5EC5EF14"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0.19</w:t>
            </w:r>
          </w:p>
        </w:tc>
      </w:tr>
      <w:tr w:rsidR="006F1FB4" w:rsidRPr="00A20AE9" w14:paraId="19E7C1F1" w14:textId="77777777" w:rsidTr="00731391">
        <w:tc>
          <w:tcPr>
            <w:tcW w:w="1421" w:type="dxa"/>
            <w:gridSpan w:val="2"/>
          </w:tcPr>
          <w:p w14:paraId="2603F80F" w14:textId="77777777" w:rsidR="006F1FB4" w:rsidRPr="00A20AE9" w:rsidRDefault="006F1FB4" w:rsidP="00731391">
            <w:pPr>
              <w:spacing w:beforeLines="40" w:before="96" w:afterLines="40" w:after="96"/>
              <w:rPr>
                <w:rFonts w:ascii="Calibri" w:hAnsi="Calibri" w:cs="Calibri"/>
              </w:rPr>
            </w:pPr>
          </w:p>
        </w:tc>
        <w:tc>
          <w:tcPr>
            <w:tcW w:w="1647" w:type="dxa"/>
          </w:tcPr>
          <w:p w14:paraId="015029E0"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Up</w:t>
            </w:r>
          </w:p>
        </w:tc>
        <w:tc>
          <w:tcPr>
            <w:tcW w:w="1501" w:type="dxa"/>
            <w:vAlign w:val="bottom"/>
          </w:tcPr>
          <w:p w14:paraId="7B63225B"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1.13</w:t>
            </w:r>
          </w:p>
        </w:tc>
        <w:tc>
          <w:tcPr>
            <w:tcW w:w="1502" w:type="dxa"/>
            <w:vAlign w:val="bottom"/>
          </w:tcPr>
          <w:p w14:paraId="2529EECE"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0.41</w:t>
            </w:r>
          </w:p>
        </w:tc>
        <w:tc>
          <w:tcPr>
            <w:tcW w:w="1531" w:type="dxa"/>
            <w:vAlign w:val="bottom"/>
          </w:tcPr>
          <w:p w14:paraId="54BB0982"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1.16</w:t>
            </w:r>
          </w:p>
        </w:tc>
        <w:tc>
          <w:tcPr>
            <w:tcW w:w="1532" w:type="dxa"/>
            <w:vAlign w:val="bottom"/>
          </w:tcPr>
          <w:p w14:paraId="2668B4AB"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0.41</w:t>
            </w:r>
          </w:p>
        </w:tc>
      </w:tr>
      <w:tr w:rsidR="006F1FB4" w:rsidRPr="00A20AE9" w14:paraId="462E82B7" w14:textId="77777777" w:rsidTr="00731391">
        <w:tc>
          <w:tcPr>
            <w:tcW w:w="1421" w:type="dxa"/>
            <w:gridSpan w:val="2"/>
          </w:tcPr>
          <w:p w14:paraId="6B07E868" w14:textId="77777777" w:rsidR="006F1FB4" w:rsidRPr="00A20AE9" w:rsidRDefault="006F1FB4" w:rsidP="00731391">
            <w:pPr>
              <w:spacing w:beforeLines="40" w:before="96" w:afterLines="40" w:after="96"/>
              <w:rPr>
                <w:rFonts w:ascii="Calibri" w:hAnsi="Calibri" w:cs="Calibri"/>
              </w:rPr>
            </w:pPr>
          </w:p>
        </w:tc>
        <w:tc>
          <w:tcPr>
            <w:tcW w:w="1647" w:type="dxa"/>
          </w:tcPr>
          <w:p w14:paraId="296BBDEA"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Down</w:t>
            </w:r>
          </w:p>
        </w:tc>
        <w:tc>
          <w:tcPr>
            <w:tcW w:w="1501" w:type="dxa"/>
            <w:vAlign w:val="bottom"/>
          </w:tcPr>
          <w:p w14:paraId="256195A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1.18</w:t>
            </w:r>
          </w:p>
        </w:tc>
        <w:tc>
          <w:tcPr>
            <w:tcW w:w="1502" w:type="dxa"/>
            <w:vAlign w:val="bottom"/>
          </w:tcPr>
          <w:p w14:paraId="2BB6BA6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0.49</w:t>
            </w:r>
          </w:p>
        </w:tc>
        <w:tc>
          <w:tcPr>
            <w:tcW w:w="1531" w:type="dxa"/>
            <w:vAlign w:val="bottom"/>
          </w:tcPr>
          <w:p w14:paraId="1C19C4A2"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1.17</w:t>
            </w:r>
          </w:p>
        </w:tc>
        <w:tc>
          <w:tcPr>
            <w:tcW w:w="1532" w:type="dxa"/>
            <w:vAlign w:val="bottom"/>
          </w:tcPr>
          <w:p w14:paraId="23992BB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0.38</w:t>
            </w:r>
          </w:p>
        </w:tc>
      </w:tr>
      <w:bookmarkEnd w:id="53"/>
    </w:tbl>
    <w:p w14:paraId="015976A8" w14:textId="77777777" w:rsidR="006F1FB4" w:rsidRPr="00A20AE9" w:rsidRDefault="006F1FB4" w:rsidP="006F1FB4">
      <w:pPr>
        <w:rPr>
          <w:rFonts w:ascii="Calibri" w:hAnsi="Calibri" w:cs="Calibri"/>
        </w:rPr>
      </w:pPr>
    </w:p>
    <w:p w14:paraId="6029CC24" w14:textId="77777777" w:rsidR="006F1FB4" w:rsidRPr="00A20AE9" w:rsidRDefault="006F1FB4" w:rsidP="006F1FB4">
      <w:pPr>
        <w:rPr>
          <w:rFonts w:ascii="Calibri" w:hAnsi="Calibri" w:cs="Calibri"/>
        </w:rPr>
      </w:pPr>
      <w:r w:rsidRPr="00A20AE9">
        <w:rPr>
          <w:rFonts w:ascii="Calibri" w:hAnsi="Calibri" w:cs="Calibri"/>
        </w:rPr>
        <w:br w:type="page"/>
      </w:r>
    </w:p>
    <w:p w14:paraId="3E897B5D" w14:textId="77777777" w:rsidR="006F1FB4" w:rsidRPr="00A20AE9" w:rsidRDefault="006F1FB4" w:rsidP="006F1FB4">
      <w:pPr>
        <w:rPr>
          <w:rFonts w:ascii="Calibri" w:hAnsi="Calibri" w:cs="Calibri"/>
          <w:lang w:val="en-US"/>
        </w:rPr>
      </w:pPr>
      <w:r w:rsidRPr="00A20AE9">
        <w:rPr>
          <w:rFonts w:ascii="Calibri" w:hAnsi="Calibri" w:cs="Calibri"/>
          <w:lang w:val="en-US"/>
        </w:rPr>
        <w:lastRenderedPageBreak/>
        <w:t xml:space="preserve">Suppl. Table 10. </w:t>
      </w:r>
    </w:p>
    <w:p w14:paraId="3B4E6E82" w14:textId="77777777" w:rsidR="006F1FB4" w:rsidRPr="00A20AE9" w:rsidRDefault="006F1FB4" w:rsidP="006F1FB4">
      <w:pPr>
        <w:rPr>
          <w:rFonts w:ascii="Calibri" w:hAnsi="Calibri" w:cs="Calibri"/>
          <w:i/>
          <w:iCs/>
          <w:lang w:val="en-US"/>
        </w:rPr>
      </w:pPr>
      <w:r w:rsidRPr="00A20AE9">
        <w:rPr>
          <w:rFonts w:ascii="Calibri" w:hAnsi="Calibri" w:cs="Calibri"/>
          <w:i/>
          <w:iCs/>
          <w:lang w:val="en-US"/>
        </w:rPr>
        <w:t>Results of independent sample t-tests comparing Accuracy and RT Median CFE sizes (Aligned – Misaligned) of individual familiar halves for comparison across experiment 4 comparisons.</w:t>
      </w:r>
    </w:p>
    <w:tbl>
      <w:tblPr>
        <w:tblStyle w:val="TableGrid"/>
        <w:tblW w:w="5060"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872"/>
        <w:gridCol w:w="2242"/>
        <w:gridCol w:w="986"/>
        <w:gridCol w:w="1134"/>
        <w:gridCol w:w="1273"/>
        <w:gridCol w:w="1134"/>
        <w:gridCol w:w="1381"/>
      </w:tblGrid>
      <w:tr w:rsidR="006F1FB4" w:rsidRPr="00A20AE9" w14:paraId="495558EA" w14:textId="77777777" w:rsidTr="00731391">
        <w:trPr>
          <w:gridBefore w:val="1"/>
          <w:wBefore w:w="61" w:type="pct"/>
          <w:trHeight w:val="284"/>
        </w:trPr>
        <w:tc>
          <w:tcPr>
            <w:tcW w:w="1704" w:type="pct"/>
            <w:gridSpan w:val="2"/>
            <w:tcBorders>
              <w:top w:val="single" w:sz="4" w:space="0" w:color="auto"/>
              <w:bottom w:val="single" w:sz="4" w:space="0" w:color="auto"/>
            </w:tcBorders>
            <w:vAlign w:val="center"/>
          </w:tcPr>
          <w:p w14:paraId="4AF25541" w14:textId="77777777" w:rsidR="006F1FB4" w:rsidRPr="00A20AE9" w:rsidRDefault="006F1FB4" w:rsidP="00731391">
            <w:pPr>
              <w:spacing w:beforeLines="40" w:before="96" w:afterLines="40" w:after="96"/>
              <w:jc w:val="center"/>
              <w:rPr>
                <w:rFonts w:ascii="Calibri" w:hAnsi="Calibri" w:cs="Calibri"/>
                <w:b/>
                <w:bCs/>
              </w:rPr>
            </w:pPr>
          </w:p>
        </w:tc>
        <w:tc>
          <w:tcPr>
            <w:tcW w:w="540" w:type="pct"/>
            <w:tcBorders>
              <w:top w:val="single" w:sz="4" w:space="0" w:color="auto"/>
              <w:bottom w:val="single" w:sz="4" w:space="0" w:color="auto"/>
            </w:tcBorders>
            <w:vAlign w:val="center"/>
          </w:tcPr>
          <w:p w14:paraId="4DBD8B42" w14:textId="77777777" w:rsidR="006F1FB4" w:rsidRPr="00A20AE9" w:rsidRDefault="006F1FB4" w:rsidP="00731391">
            <w:pPr>
              <w:spacing w:beforeLines="40" w:before="96" w:afterLines="40" w:after="96"/>
              <w:jc w:val="center"/>
              <w:rPr>
                <w:rFonts w:ascii="Calibri" w:hAnsi="Calibri" w:cs="Calibri"/>
                <w:b/>
                <w:bCs/>
                <w:i/>
                <w:iCs/>
              </w:rPr>
            </w:pPr>
            <w:proofErr w:type="spellStart"/>
            <w:r w:rsidRPr="00A20AE9">
              <w:rPr>
                <w:rFonts w:ascii="Calibri" w:hAnsi="Calibri" w:cs="Calibri"/>
                <w:b/>
                <w:bCs/>
                <w:i/>
                <w:iCs/>
              </w:rPr>
              <w:t>df</w:t>
            </w:r>
            <w:proofErr w:type="spellEnd"/>
          </w:p>
        </w:tc>
        <w:tc>
          <w:tcPr>
            <w:tcW w:w="621" w:type="pct"/>
            <w:tcBorders>
              <w:top w:val="single" w:sz="4" w:space="0" w:color="auto"/>
              <w:bottom w:val="single" w:sz="4" w:space="0" w:color="auto"/>
            </w:tcBorders>
            <w:vAlign w:val="center"/>
          </w:tcPr>
          <w:p w14:paraId="7B944B59" w14:textId="77777777" w:rsidR="006F1FB4" w:rsidRPr="00A20AE9" w:rsidRDefault="006F1FB4" w:rsidP="00731391">
            <w:pPr>
              <w:spacing w:beforeLines="40" w:before="96" w:afterLines="40" w:after="96"/>
              <w:jc w:val="center"/>
              <w:rPr>
                <w:rFonts w:ascii="Calibri" w:hAnsi="Calibri" w:cs="Calibri"/>
                <w:b/>
                <w:bCs/>
                <w:i/>
                <w:iCs/>
              </w:rPr>
            </w:pPr>
            <w:r w:rsidRPr="00A20AE9">
              <w:rPr>
                <w:rFonts w:ascii="Calibri" w:hAnsi="Calibri" w:cs="Calibri"/>
                <w:b/>
                <w:bCs/>
                <w:i/>
                <w:iCs/>
              </w:rPr>
              <w:t>t</w:t>
            </w:r>
          </w:p>
        </w:tc>
        <w:tc>
          <w:tcPr>
            <w:tcW w:w="697" w:type="pct"/>
            <w:tcBorders>
              <w:top w:val="single" w:sz="4" w:space="0" w:color="auto"/>
              <w:bottom w:val="single" w:sz="4" w:space="0" w:color="auto"/>
            </w:tcBorders>
            <w:vAlign w:val="center"/>
          </w:tcPr>
          <w:p w14:paraId="031B9683" w14:textId="77777777" w:rsidR="006F1FB4" w:rsidRPr="00A20AE9" w:rsidRDefault="006F1FB4" w:rsidP="00731391">
            <w:pPr>
              <w:spacing w:beforeLines="40" w:before="96" w:afterLines="40" w:after="96"/>
              <w:jc w:val="center"/>
              <w:rPr>
                <w:rFonts w:ascii="Calibri" w:hAnsi="Calibri" w:cs="Calibri"/>
                <w:b/>
                <w:bCs/>
                <w:i/>
                <w:iCs/>
              </w:rPr>
            </w:pPr>
            <w:r w:rsidRPr="00A20AE9">
              <w:rPr>
                <w:rFonts w:ascii="Calibri" w:hAnsi="Calibri" w:cs="Calibri"/>
                <w:b/>
                <w:bCs/>
                <w:i/>
                <w:iCs/>
              </w:rPr>
              <w:t>p</w:t>
            </w:r>
          </w:p>
        </w:tc>
        <w:tc>
          <w:tcPr>
            <w:tcW w:w="621" w:type="pct"/>
            <w:tcBorders>
              <w:top w:val="single" w:sz="4" w:space="0" w:color="auto"/>
              <w:bottom w:val="single" w:sz="4" w:space="0" w:color="auto"/>
            </w:tcBorders>
            <w:vAlign w:val="center"/>
          </w:tcPr>
          <w:p w14:paraId="5469D8C2" w14:textId="77777777" w:rsidR="006F1FB4" w:rsidRPr="00A20AE9" w:rsidRDefault="006F1FB4" w:rsidP="00731391">
            <w:pPr>
              <w:spacing w:beforeLines="40" w:before="96" w:afterLines="40" w:after="96"/>
              <w:jc w:val="center"/>
              <w:rPr>
                <w:rFonts w:ascii="Calibri" w:hAnsi="Calibri" w:cs="Calibri"/>
                <w:b/>
                <w:bCs/>
                <w:i/>
                <w:iCs/>
              </w:rPr>
            </w:pPr>
            <w:proofErr w:type="spellStart"/>
            <w:r w:rsidRPr="00A20AE9">
              <w:rPr>
                <w:rFonts w:ascii="Calibri" w:hAnsi="Calibri" w:cs="Calibri"/>
                <w:b/>
                <w:bCs/>
                <w:i/>
                <w:iCs/>
              </w:rPr>
              <w:t>d</w:t>
            </w:r>
            <w:r w:rsidRPr="00A20AE9">
              <w:rPr>
                <w:rFonts w:ascii="Calibri" w:hAnsi="Calibri" w:cs="Calibri"/>
                <w:b/>
                <w:bCs/>
                <w:i/>
                <w:iCs/>
                <w:vertAlign w:val="subscript"/>
              </w:rPr>
              <w:t>avg</w:t>
            </w:r>
            <w:proofErr w:type="spellEnd"/>
          </w:p>
        </w:tc>
        <w:tc>
          <w:tcPr>
            <w:tcW w:w="757" w:type="pct"/>
            <w:tcBorders>
              <w:top w:val="single" w:sz="4" w:space="0" w:color="auto"/>
              <w:bottom w:val="single" w:sz="4" w:space="0" w:color="auto"/>
            </w:tcBorders>
          </w:tcPr>
          <w:p w14:paraId="7BAD7B05" w14:textId="77777777" w:rsidR="006F1FB4" w:rsidRPr="00A20AE9" w:rsidRDefault="006F1FB4" w:rsidP="00731391">
            <w:pPr>
              <w:spacing w:beforeLines="40" w:before="96" w:afterLines="40" w:after="96"/>
              <w:jc w:val="center"/>
              <w:rPr>
                <w:rFonts w:ascii="Calibri" w:hAnsi="Calibri" w:cs="Calibri"/>
                <w:b/>
                <w:bCs/>
                <w:i/>
                <w:iCs/>
              </w:rPr>
            </w:pPr>
            <w:r w:rsidRPr="00A20AE9">
              <w:rPr>
                <w:rFonts w:ascii="Calibri" w:hAnsi="Calibri" w:cs="Calibri"/>
                <w:b/>
                <w:bCs/>
                <w:i/>
                <w:iCs/>
              </w:rPr>
              <w:t>BF</w:t>
            </w:r>
            <w:r w:rsidRPr="00A20AE9">
              <w:rPr>
                <w:rFonts w:ascii="Calibri" w:hAnsi="Calibri" w:cs="Calibri"/>
                <w:b/>
                <w:bCs/>
                <w:i/>
                <w:iCs/>
                <w:vertAlign w:val="subscript"/>
              </w:rPr>
              <w:t>10</w:t>
            </w:r>
          </w:p>
        </w:tc>
      </w:tr>
      <w:tr w:rsidR="006F1FB4" w:rsidRPr="00A20AE9" w14:paraId="0BA48F81" w14:textId="77777777" w:rsidTr="00731391">
        <w:trPr>
          <w:trHeight w:val="284"/>
        </w:trPr>
        <w:tc>
          <w:tcPr>
            <w:tcW w:w="1765" w:type="pct"/>
            <w:gridSpan w:val="3"/>
            <w:tcBorders>
              <w:top w:val="nil"/>
              <w:bottom w:val="nil"/>
            </w:tcBorders>
            <w:vAlign w:val="center"/>
          </w:tcPr>
          <w:p w14:paraId="6A40EAA3"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i/>
                <w:iCs/>
              </w:rPr>
              <w:t>Accuracy</w:t>
            </w:r>
          </w:p>
        </w:tc>
        <w:tc>
          <w:tcPr>
            <w:tcW w:w="540" w:type="pct"/>
            <w:tcBorders>
              <w:top w:val="nil"/>
              <w:bottom w:val="nil"/>
            </w:tcBorders>
            <w:vAlign w:val="center"/>
          </w:tcPr>
          <w:p w14:paraId="5776630E"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bottom"/>
          </w:tcPr>
          <w:p w14:paraId="73C2E2E1"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nil"/>
              <w:bottom w:val="nil"/>
            </w:tcBorders>
            <w:vAlign w:val="bottom"/>
          </w:tcPr>
          <w:p w14:paraId="1686C6EE" w14:textId="77777777" w:rsidR="006F1FB4" w:rsidRPr="00A20AE9" w:rsidRDefault="006F1FB4" w:rsidP="00731391">
            <w:pPr>
              <w:spacing w:beforeLines="40" w:before="96" w:afterLines="40" w:after="96"/>
              <w:jc w:val="center"/>
              <w:rPr>
                <w:rFonts w:ascii="Calibri" w:hAnsi="Calibri" w:cs="Calibri"/>
                <w:b/>
                <w:bCs/>
              </w:rPr>
            </w:pPr>
          </w:p>
        </w:tc>
        <w:tc>
          <w:tcPr>
            <w:tcW w:w="621" w:type="pct"/>
            <w:tcBorders>
              <w:top w:val="nil"/>
              <w:bottom w:val="nil"/>
            </w:tcBorders>
            <w:vAlign w:val="bottom"/>
          </w:tcPr>
          <w:p w14:paraId="4B8A4F3C" w14:textId="77777777" w:rsidR="006F1FB4" w:rsidRPr="00A20AE9" w:rsidRDefault="006F1FB4" w:rsidP="00731391">
            <w:pPr>
              <w:spacing w:beforeLines="40" w:before="96" w:afterLines="40" w:after="96"/>
              <w:jc w:val="center"/>
              <w:rPr>
                <w:rFonts w:ascii="Calibri" w:hAnsi="Calibri" w:cs="Calibri"/>
              </w:rPr>
            </w:pPr>
          </w:p>
        </w:tc>
        <w:tc>
          <w:tcPr>
            <w:tcW w:w="757" w:type="pct"/>
            <w:tcBorders>
              <w:top w:val="nil"/>
              <w:bottom w:val="nil"/>
            </w:tcBorders>
            <w:vAlign w:val="bottom"/>
          </w:tcPr>
          <w:p w14:paraId="140E822C"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01C48C8C" w14:textId="77777777" w:rsidTr="00731391">
        <w:trPr>
          <w:trHeight w:val="284"/>
        </w:trPr>
        <w:tc>
          <w:tcPr>
            <w:tcW w:w="538" w:type="pct"/>
            <w:gridSpan w:val="2"/>
            <w:tcBorders>
              <w:top w:val="nil"/>
              <w:bottom w:val="nil"/>
            </w:tcBorders>
            <w:vAlign w:val="center"/>
          </w:tcPr>
          <w:p w14:paraId="43220036"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0A6EE1E0"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Vertical (</w:t>
            </w:r>
            <w:proofErr w:type="spellStart"/>
            <w:proofErr w:type="gramStart"/>
            <w:r w:rsidRPr="00A20AE9">
              <w:rPr>
                <w:rFonts w:ascii="Calibri" w:hAnsi="Calibri" w:cs="Calibri"/>
              </w:rPr>
              <w:t>Left:Right</w:t>
            </w:r>
            <w:proofErr w:type="spellEnd"/>
            <w:proofErr w:type="gramEnd"/>
            <w:r w:rsidRPr="00A20AE9">
              <w:rPr>
                <w:rFonts w:ascii="Calibri" w:hAnsi="Calibri" w:cs="Calibri"/>
              </w:rPr>
              <w:t xml:space="preserve">) </w:t>
            </w:r>
          </w:p>
        </w:tc>
        <w:tc>
          <w:tcPr>
            <w:tcW w:w="540" w:type="pct"/>
            <w:tcBorders>
              <w:top w:val="nil"/>
              <w:bottom w:val="nil"/>
            </w:tcBorders>
            <w:vAlign w:val="bottom"/>
          </w:tcPr>
          <w:p w14:paraId="5ADC021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4548797B"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0.95</w:t>
            </w:r>
          </w:p>
        </w:tc>
        <w:tc>
          <w:tcPr>
            <w:tcW w:w="697" w:type="pct"/>
            <w:tcBorders>
              <w:top w:val="nil"/>
              <w:bottom w:val="nil"/>
            </w:tcBorders>
            <w:vAlign w:val="bottom"/>
          </w:tcPr>
          <w:p w14:paraId="086930B7"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.692</w:t>
            </w:r>
          </w:p>
        </w:tc>
        <w:tc>
          <w:tcPr>
            <w:tcW w:w="621" w:type="pct"/>
            <w:tcBorders>
              <w:top w:val="nil"/>
              <w:bottom w:val="nil"/>
            </w:tcBorders>
            <w:vAlign w:val="bottom"/>
          </w:tcPr>
          <w:p w14:paraId="467E857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0.18</w:t>
            </w:r>
          </w:p>
        </w:tc>
        <w:tc>
          <w:tcPr>
            <w:tcW w:w="757" w:type="pct"/>
            <w:tcBorders>
              <w:top w:val="nil"/>
              <w:bottom w:val="nil"/>
            </w:tcBorders>
            <w:vAlign w:val="bottom"/>
          </w:tcPr>
          <w:p w14:paraId="7ED30DC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0.211</w:t>
            </w:r>
          </w:p>
        </w:tc>
      </w:tr>
      <w:tr w:rsidR="006F1FB4" w:rsidRPr="00A20AE9" w14:paraId="024604FB" w14:textId="77777777" w:rsidTr="00731391">
        <w:trPr>
          <w:trHeight w:val="284"/>
        </w:trPr>
        <w:tc>
          <w:tcPr>
            <w:tcW w:w="538" w:type="pct"/>
            <w:gridSpan w:val="2"/>
            <w:tcBorders>
              <w:top w:val="nil"/>
              <w:bottom w:val="nil"/>
            </w:tcBorders>
            <w:vAlign w:val="center"/>
          </w:tcPr>
          <w:p w14:paraId="6C509712"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6AC080EE"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 (</w:t>
            </w:r>
            <w:proofErr w:type="spellStart"/>
            <w:proofErr w:type="gramStart"/>
            <w:r w:rsidRPr="00A20AE9">
              <w:rPr>
                <w:rFonts w:ascii="Calibri" w:hAnsi="Calibri" w:cs="Calibri"/>
              </w:rPr>
              <w:t>Up:Down</w:t>
            </w:r>
            <w:proofErr w:type="spellEnd"/>
            <w:proofErr w:type="gramEnd"/>
            <w:r w:rsidRPr="00A20AE9">
              <w:rPr>
                <w:rFonts w:ascii="Calibri" w:hAnsi="Calibri" w:cs="Calibri"/>
              </w:rPr>
              <w:t>)</w:t>
            </w:r>
          </w:p>
        </w:tc>
        <w:tc>
          <w:tcPr>
            <w:tcW w:w="540" w:type="pct"/>
            <w:tcBorders>
              <w:top w:val="nil"/>
              <w:bottom w:val="nil"/>
            </w:tcBorders>
            <w:vAlign w:val="bottom"/>
          </w:tcPr>
          <w:p w14:paraId="761F10E3"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20D7B9EC"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-0.78</w:t>
            </w:r>
          </w:p>
        </w:tc>
        <w:tc>
          <w:tcPr>
            <w:tcW w:w="697" w:type="pct"/>
            <w:tcBorders>
              <w:top w:val="nil"/>
              <w:bottom w:val="nil"/>
            </w:tcBorders>
            <w:vAlign w:val="bottom"/>
          </w:tcPr>
          <w:p w14:paraId="0F04441E"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.692</w:t>
            </w:r>
          </w:p>
        </w:tc>
        <w:tc>
          <w:tcPr>
            <w:tcW w:w="621" w:type="pct"/>
            <w:tcBorders>
              <w:top w:val="nil"/>
              <w:bottom w:val="nil"/>
            </w:tcBorders>
            <w:vAlign w:val="bottom"/>
          </w:tcPr>
          <w:p w14:paraId="31B5DAE9"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0.15</w:t>
            </w:r>
          </w:p>
        </w:tc>
        <w:tc>
          <w:tcPr>
            <w:tcW w:w="757" w:type="pct"/>
            <w:tcBorders>
              <w:top w:val="nil"/>
              <w:bottom w:val="nil"/>
            </w:tcBorders>
            <w:vAlign w:val="bottom"/>
          </w:tcPr>
          <w:p w14:paraId="289BF65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0.183</w:t>
            </w:r>
          </w:p>
        </w:tc>
      </w:tr>
      <w:tr w:rsidR="006F1FB4" w:rsidRPr="00A20AE9" w14:paraId="0763A2D8" w14:textId="77777777" w:rsidTr="00731391">
        <w:trPr>
          <w:trHeight w:val="284"/>
        </w:trPr>
        <w:tc>
          <w:tcPr>
            <w:tcW w:w="1765" w:type="pct"/>
            <w:gridSpan w:val="3"/>
            <w:tcBorders>
              <w:top w:val="nil"/>
              <w:bottom w:val="nil"/>
            </w:tcBorders>
            <w:vAlign w:val="center"/>
          </w:tcPr>
          <w:p w14:paraId="5339CC73" w14:textId="77777777" w:rsidR="006F1FB4" w:rsidRPr="00A20AE9" w:rsidRDefault="006F1FB4" w:rsidP="00731391">
            <w:pPr>
              <w:spacing w:beforeLines="40" w:before="96" w:afterLines="40" w:after="96"/>
              <w:rPr>
                <w:rFonts w:ascii="Calibri" w:hAnsi="Calibri" w:cs="Calibri"/>
                <w:i/>
                <w:iCs/>
              </w:rPr>
            </w:pPr>
            <w:r w:rsidRPr="00A20AE9">
              <w:rPr>
                <w:rFonts w:ascii="Calibri" w:hAnsi="Calibri" w:cs="Calibri"/>
                <w:i/>
                <w:iCs/>
              </w:rPr>
              <w:t>Median Reaction Time</w:t>
            </w:r>
          </w:p>
        </w:tc>
        <w:tc>
          <w:tcPr>
            <w:tcW w:w="540" w:type="pct"/>
            <w:tcBorders>
              <w:top w:val="nil"/>
              <w:bottom w:val="nil"/>
            </w:tcBorders>
            <w:vAlign w:val="center"/>
          </w:tcPr>
          <w:p w14:paraId="6B654B9E" w14:textId="77777777" w:rsidR="006F1FB4" w:rsidRPr="00A20AE9" w:rsidRDefault="006F1FB4" w:rsidP="00731391">
            <w:pPr>
              <w:spacing w:beforeLines="40" w:before="96" w:afterLines="40" w:after="96"/>
              <w:jc w:val="center"/>
              <w:rPr>
                <w:rFonts w:ascii="Calibri" w:hAnsi="Calibri" w:cs="Calibri"/>
              </w:rPr>
            </w:pPr>
          </w:p>
        </w:tc>
        <w:tc>
          <w:tcPr>
            <w:tcW w:w="621" w:type="pct"/>
            <w:tcBorders>
              <w:top w:val="nil"/>
              <w:bottom w:val="nil"/>
            </w:tcBorders>
            <w:vAlign w:val="bottom"/>
          </w:tcPr>
          <w:p w14:paraId="2812D633" w14:textId="77777777" w:rsidR="006F1FB4" w:rsidRPr="00A20AE9" w:rsidRDefault="006F1FB4" w:rsidP="00731391">
            <w:pPr>
              <w:spacing w:beforeLines="40" w:before="96" w:afterLines="40" w:after="96"/>
              <w:jc w:val="center"/>
              <w:rPr>
                <w:rFonts w:ascii="Calibri" w:hAnsi="Calibri" w:cs="Calibri"/>
              </w:rPr>
            </w:pPr>
          </w:p>
        </w:tc>
        <w:tc>
          <w:tcPr>
            <w:tcW w:w="697" w:type="pct"/>
            <w:tcBorders>
              <w:top w:val="nil"/>
              <w:bottom w:val="nil"/>
            </w:tcBorders>
            <w:vAlign w:val="bottom"/>
          </w:tcPr>
          <w:p w14:paraId="75B02848" w14:textId="77777777" w:rsidR="006F1FB4" w:rsidRPr="00A20AE9" w:rsidRDefault="006F1FB4" w:rsidP="00731391">
            <w:pPr>
              <w:spacing w:beforeLines="40" w:before="96" w:afterLines="40" w:after="96"/>
              <w:jc w:val="center"/>
              <w:rPr>
                <w:rFonts w:ascii="Calibri" w:hAnsi="Calibri" w:cs="Calibri"/>
                <w:b/>
                <w:bCs/>
              </w:rPr>
            </w:pPr>
          </w:p>
        </w:tc>
        <w:tc>
          <w:tcPr>
            <w:tcW w:w="621" w:type="pct"/>
            <w:tcBorders>
              <w:top w:val="nil"/>
              <w:bottom w:val="nil"/>
            </w:tcBorders>
            <w:vAlign w:val="bottom"/>
          </w:tcPr>
          <w:p w14:paraId="0206567C" w14:textId="77777777" w:rsidR="006F1FB4" w:rsidRPr="00A20AE9" w:rsidRDefault="006F1FB4" w:rsidP="00731391">
            <w:pPr>
              <w:spacing w:beforeLines="40" w:before="96" w:afterLines="40" w:after="96"/>
              <w:jc w:val="center"/>
              <w:rPr>
                <w:rFonts w:ascii="Calibri" w:hAnsi="Calibri" w:cs="Calibri"/>
              </w:rPr>
            </w:pPr>
          </w:p>
        </w:tc>
        <w:tc>
          <w:tcPr>
            <w:tcW w:w="757" w:type="pct"/>
            <w:tcBorders>
              <w:top w:val="nil"/>
              <w:bottom w:val="nil"/>
            </w:tcBorders>
            <w:vAlign w:val="bottom"/>
          </w:tcPr>
          <w:p w14:paraId="48307E21" w14:textId="77777777" w:rsidR="006F1FB4" w:rsidRPr="00A20AE9" w:rsidRDefault="006F1FB4" w:rsidP="00731391">
            <w:pPr>
              <w:spacing w:beforeLines="40" w:before="96" w:afterLines="40" w:after="96"/>
              <w:jc w:val="center"/>
              <w:rPr>
                <w:rFonts w:ascii="Calibri" w:hAnsi="Calibri" w:cs="Calibri"/>
              </w:rPr>
            </w:pPr>
          </w:p>
        </w:tc>
      </w:tr>
      <w:tr w:rsidR="006F1FB4" w:rsidRPr="00A20AE9" w14:paraId="13975E33" w14:textId="77777777" w:rsidTr="00731391">
        <w:trPr>
          <w:trHeight w:val="284"/>
        </w:trPr>
        <w:tc>
          <w:tcPr>
            <w:tcW w:w="538" w:type="pct"/>
            <w:gridSpan w:val="2"/>
            <w:tcBorders>
              <w:top w:val="nil"/>
              <w:bottom w:val="nil"/>
            </w:tcBorders>
            <w:vAlign w:val="center"/>
          </w:tcPr>
          <w:p w14:paraId="146ADD56"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nil"/>
            </w:tcBorders>
            <w:vAlign w:val="center"/>
          </w:tcPr>
          <w:p w14:paraId="62B9EDCD"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Vertical (</w:t>
            </w:r>
            <w:proofErr w:type="spellStart"/>
            <w:proofErr w:type="gramStart"/>
            <w:r w:rsidRPr="00A20AE9">
              <w:rPr>
                <w:rFonts w:ascii="Calibri" w:hAnsi="Calibri" w:cs="Calibri"/>
              </w:rPr>
              <w:t>Left:Right</w:t>
            </w:r>
            <w:proofErr w:type="spellEnd"/>
            <w:proofErr w:type="gramEnd"/>
            <w:r w:rsidRPr="00A20AE9">
              <w:rPr>
                <w:rFonts w:ascii="Calibri" w:hAnsi="Calibri" w:cs="Calibri"/>
              </w:rPr>
              <w:t xml:space="preserve">) </w:t>
            </w:r>
          </w:p>
        </w:tc>
        <w:tc>
          <w:tcPr>
            <w:tcW w:w="540" w:type="pct"/>
            <w:tcBorders>
              <w:top w:val="nil"/>
              <w:bottom w:val="nil"/>
            </w:tcBorders>
            <w:vAlign w:val="bottom"/>
          </w:tcPr>
          <w:p w14:paraId="11E4CF3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nil"/>
            </w:tcBorders>
            <w:vAlign w:val="bottom"/>
          </w:tcPr>
          <w:p w14:paraId="11EDCFCA"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0.33</w:t>
            </w:r>
          </w:p>
        </w:tc>
        <w:tc>
          <w:tcPr>
            <w:tcW w:w="697" w:type="pct"/>
            <w:tcBorders>
              <w:top w:val="nil"/>
              <w:bottom w:val="nil"/>
            </w:tcBorders>
            <w:vAlign w:val="bottom"/>
          </w:tcPr>
          <w:p w14:paraId="6B494050"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.743</w:t>
            </w:r>
          </w:p>
        </w:tc>
        <w:tc>
          <w:tcPr>
            <w:tcW w:w="621" w:type="pct"/>
            <w:tcBorders>
              <w:top w:val="nil"/>
              <w:bottom w:val="nil"/>
            </w:tcBorders>
            <w:vAlign w:val="bottom"/>
          </w:tcPr>
          <w:p w14:paraId="74352549"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0.06</w:t>
            </w:r>
          </w:p>
        </w:tc>
        <w:tc>
          <w:tcPr>
            <w:tcW w:w="757" w:type="pct"/>
            <w:tcBorders>
              <w:top w:val="nil"/>
              <w:bottom w:val="nil"/>
            </w:tcBorders>
            <w:vAlign w:val="bottom"/>
          </w:tcPr>
          <w:p w14:paraId="35E454D6"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0.144</w:t>
            </w:r>
          </w:p>
        </w:tc>
      </w:tr>
      <w:tr w:rsidR="006F1FB4" w:rsidRPr="00A20AE9" w14:paraId="4B56B83D" w14:textId="77777777" w:rsidTr="00731391">
        <w:trPr>
          <w:trHeight w:val="284"/>
        </w:trPr>
        <w:tc>
          <w:tcPr>
            <w:tcW w:w="538" w:type="pct"/>
            <w:gridSpan w:val="2"/>
            <w:tcBorders>
              <w:top w:val="nil"/>
              <w:bottom w:val="single" w:sz="4" w:space="0" w:color="auto"/>
            </w:tcBorders>
            <w:vAlign w:val="center"/>
          </w:tcPr>
          <w:p w14:paraId="310596CE" w14:textId="77777777" w:rsidR="006F1FB4" w:rsidRPr="00A20AE9" w:rsidRDefault="006F1FB4" w:rsidP="00731391">
            <w:pPr>
              <w:spacing w:beforeLines="40" w:before="96" w:afterLines="40" w:after="96"/>
              <w:rPr>
                <w:rFonts w:ascii="Calibri" w:hAnsi="Calibri" w:cs="Calibri"/>
              </w:rPr>
            </w:pPr>
          </w:p>
        </w:tc>
        <w:tc>
          <w:tcPr>
            <w:tcW w:w="1227" w:type="pct"/>
            <w:tcBorders>
              <w:top w:val="nil"/>
              <w:bottom w:val="single" w:sz="4" w:space="0" w:color="auto"/>
            </w:tcBorders>
            <w:vAlign w:val="center"/>
          </w:tcPr>
          <w:p w14:paraId="3E77333B" w14:textId="77777777" w:rsidR="006F1FB4" w:rsidRPr="00A20AE9" w:rsidRDefault="006F1FB4" w:rsidP="00731391">
            <w:pPr>
              <w:spacing w:beforeLines="40" w:before="96" w:afterLines="40" w:after="96"/>
              <w:rPr>
                <w:rFonts w:ascii="Calibri" w:hAnsi="Calibri" w:cs="Calibri"/>
              </w:rPr>
            </w:pPr>
            <w:r w:rsidRPr="00A20AE9">
              <w:rPr>
                <w:rFonts w:ascii="Calibri" w:hAnsi="Calibri" w:cs="Calibri"/>
              </w:rPr>
              <w:t>Horizontal (</w:t>
            </w:r>
            <w:proofErr w:type="spellStart"/>
            <w:proofErr w:type="gramStart"/>
            <w:r w:rsidRPr="00A20AE9">
              <w:rPr>
                <w:rFonts w:ascii="Calibri" w:hAnsi="Calibri" w:cs="Calibri"/>
              </w:rPr>
              <w:t>Up:Down</w:t>
            </w:r>
            <w:proofErr w:type="spellEnd"/>
            <w:proofErr w:type="gramEnd"/>
            <w:r w:rsidRPr="00A20AE9">
              <w:rPr>
                <w:rFonts w:ascii="Calibri" w:hAnsi="Calibri" w:cs="Calibri"/>
              </w:rPr>
              <w:t>)</w:t>
            </w:r>
          </w:p>
        </w:tc>
        <w:tc>
          <w:tcPr>
            <w:tcW w:w="540" w:type="pct"/>
            <w:tcBorders>
              <w:top w:val="nil"/>
              <w:bottom w:val="single" w:sz="4" w:space="0" w:color="auto"/>
            </w:tcBorders>
            <w:vAlign w:val="bottom"/>
          </w:tcPr>
          <w:p w14:paraId="7DF52277"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63</w:t>
            </w:r>
          </w:p>
        </w:tc>
        <w:tc>
          <w:tcPr>
            <w:tcW w:w="621" w:type="pct"/>
            <w:tcBorders>
              <w:top w:val="nil"/>
              <w:bottom w:val="single" w:sz="4" w:space="0" w:color="auto"/>
            </w:tcBorders>
            <w:vAlign w:val="bottom"/>
          </w:tcPr>
          <w:p w14:paraId="40382CBC"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-1.39</w:t>
            </w:r>
          </w:p>
        </w:tc>
        <w:tc>
          <w:tcPr>
            <w:tcW w:w="697" w:type="pct"/>
            <w:tcBorders>
              <w:top w:val="nil"/>
              <w:bottom w:val="single" w:sz="4" w:space="0" w:color="auto"/>
            </w:tcBorders>
            <w:vAlign w:val="bottom"/>
          </w:tcPr>
          <w:p w14:paraId="46190BBA" w14:textId="77777777" w:rsidR="006F1FB4" w:rsidRPr="00A20AE9" w:rsidRDefault="006F1FB4" w:rsidP="00731391">
            <w:pPr>
              <w:spacing w:beforeLines="40" w:before="96" w:afterLines="40" w:after="96"/>
              <w:jc w:val="center"/>
              <w:rPr>
                <w:rFonts w:ascii="Calibri" w:hAnsi="Calibri" w:cs="Calibri"/>
                <w:b/>
                <w:bCs/>
              </w:rPr>
            </w:pPr>
            <w:r w:rsidRPr="00A20AE9">
              <w:rPr>
                <w:rFonts w:ascii="Calibri" w:hAnsi="Calibri" w:cs="Calibri"/>
              </w:rPr>
              <w:t>.341</w:t>
            </w:r>
          </w:p>
        </w:tc>
        <w:tc>
          <w:tcPr>
            <w:tcW w:w="621" w:type="pct"/>
            <w:tcBorders>
              <w:top w:val="nil"/>
              <w:bottom w:val="single" w:sz="4" w:space="0" w:color="auto"/>
            </w:tcBorders>
            <w:vAlign w:val="bottom"/>
          </w:tcPr>
          <w:p w14:paraId="49E3B9D5"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0.23</w:t>
            </w:r>
          </w:p>
        </w:tc>
        <w:tc>
          <w:tcPr>
            <w:tcW w:w="757" w:type="pct"/>
            <w:tcBorders>
              <w:top w:val="nil"/>
              <w:bottom w:val="single" w:sz="4" w:space="0" w:color="auto"/>
            </w:tcBorders>
            <w:vAlign w:val="bottom"/>
          </w:tcPr>
          <w:p w14:paraId="405D035C" w14:textId="77777777" w:rsidR="006F1FB4" w:rsidRPr="00A20AE9" w:rsidRDefault="006F1FB4" w:rsidP="00731391">
            <w:pPr>
              <w:spacing w:beforeLines="40" w:before="96" w:afterLines="40" w:after="96"/>
              <w:jc w:val="center"/>
              <w:rPr>
                <w:rFonts w:ascii="Calibri" w:hAnsi="Calibri" w:cs="Calibri"/>
              </w:rPr>
            </w:pPr>
            <w:r w:rsidRPr="00A20AE9">
              <w:rPr>
                <w:rFonts w:ascii="Calibri" w:hAnsi="Calibri" w:cs="Calibri"/>
              </w:rPr>
              <w:t>0.340</w:t>
            </w:r>
          </w:p>
        </w:tc>
      </w:tr>
    </w:tbl>
    <w:p w14:paraId="58E6D181" w14:textId="77777777" w:rsidR="006F1FB4" w:rsidRPr="00A20AE9" w:rsidRDefault="006F1FB4" w:rsidP="006F1FB4">
      <w:pPr>
        <w:rPr>
          <w:rFonts w:ascii="Calibri" w:hAnsi="Calibri" w:cs="Calibri"/>
        </w:rPr>
      </w:pPr>
    </w:p>
    <w:p w14:paraId="2A00176F" w14:textId="77777777" w:rsidR="006F1FB4" w:rsidRPr="0088684C" w:rsidRDefault="006F1FB4" w:rsidP="006F1FB4">
      <w:pPr>
        <w:spacing w:line="240" w:lineRule="auto"/>
        <w:ind w:left="720" w:hanging="720"/>
      </w:pPr>
    </w:p>
    <w:p w14:paraId="0FEA461B" w14:textId="77777777" w:rsidR="006F1FB4" w:rsidRPr="00CE152E" w:rsidRDefault="006F1FB4" w:rsidP="009A0165"/>
    <w:sectPr w:rsidR="006F1FB4" w:rsidRPr="00CE152E" w:rsidSect="009A016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0E5D" w14:textId="77777777" w:rsidR="00DD49B9" w:rsidRPr="001825A3" w:rsidRDefault="00DD49B9" w:rsidP="009A0165">
      <w:r w:rsidRPr="001825A3">
        <w:separator/>
      </w:r>
    </w:p>
  </w:endnote>
  <w:endnote w:type="continuationSeparator" w:id="0">
    <w:p w14:paraId="6AFFAD93" w14:textId="77777777" w:rsidR="00DD49B9" w:rsidRPr="001825A3" w:rsidRDefault="00DD49B9" w:rsidP="009A0165">
      <w:r w:rsidRPr="00182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AR PL KaitiM GB">
    <w:altName w:val="Cambria"/>
    <w:panose1 w:val="020B0604020202020204"/>
    <w:charset w:val="00"/>
    <w:family w:val="roman"/>
    <w:pitch w:val="default"/>
  </w:font>
  <w:font w:name="FreeSans">
    <w:altName w:val="Cambria"/>
    <w:panose1 w:val="020B0604020202020204"/>
    <w:charset w:val="00"/>
    <w:family w:val="roman"/>
    <w:pitch w:val="default"/>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564461"/>
      <w:docPartObj>
        <w:docPartGallery w:val="Page Numbers (Bottom of Page)"/>
        <w:docPartUnique/>
      </w:docPartObj>
    </w:sdtPr>
    <w:sdtEndPr>
      <w:rPr>
        <w:noProof/>
      </w:rPr>
    </w:sdtEndPr>
    <w:sdtContent>
      <w:p w14:paraId="1665A166" w14:textId="470862DF" w:rsidR="003F3B4C" w:rsidRDefault="003F3B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2D5B64" w14:textId="77777777" w:rsidR="007F6E45" w:rsidRDefault="007F6E45" w:rsidP="009A0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142D" w14:textId="77777777" w:rsidR="00DD49B9" w:rsidRPr="001825A3" w:rsidRDefault="00DD49B9" w:rsidP="009A0165">
      <w:r w:rsidRPr="001825A3">
        <w:separator/>
      </w:r>
    </w:p>
  </w:footnote>
  <w:footnote w:type="continuationSeparator" w:id="0">
    <w:p w14:paraId="47DF92BF" w14:textId="77777777" w:rsidR="00DD49B9" w:rsidRPr="001825A3" w:rsidRDefault="00DD49B9" w:rsidP="009A0165">
      <w:r w:rsidRPr="001825A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E5A34"/>
    <w:multiLevelType w:val="hybridMultilevel"/>
    <w:tmpl w:val="7D36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CD1A0B"/>
    <w:multiLevelType w:val="hybridMultilevel"/>
    <w:tmpl w:val="94F61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7175841">
    <w:abstractNumId w:val="1"/>
  </w:num>
  <w:num w:numId="2" w16cid:durableId="92191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3C"/>
    <w:rsid w:val="00001C18"/>
    <w:rsid w:val="00003842"/>
    <w:rsid w:val="000077A8"/>
    <w:rsid w:val="00007D10"/>
    <w:rsid w:val="000112FC"/>
    <w:rsid w:val="00011792"/>
    <w:rsid w:val="000118CD"/>
    <w:rsid w:val="00011F19"/>
    <w:rsid w:val="00012C5D"/>
    <w:rsid w:val="00012D72"/>
    <w:rsid w:val="00014B59"/>
    <w:rsid w:val="00015ECD"/>
    <w:rsid w:val="00017496"/>
    <w:rsid w:val="00020253"/>
    <w:rsid w:val="00020281"/>
    <w:rsid w:val="00021563"/>
    <w:rsid w:val="00022544"/>
    <w:rsid w:val="00023DE7"/>
    <w:rsid w:val="00027793"/>
    <w:rsid w:val="00030934"/>
    <w:rsid w:val="00031ABC"/>
    <w:rsid w:val="00031F85"/>
    <w:rsid w:val="0003221B"/>
    <w:rsid w:val="0003544D"/>
    <w:rsid w:val="00041337"/>
    <w:rsid w:val="000443AF"/>
    <w:rsid w:val="00050A83"/>
    <w:rsid w:val="000520D3"/>
    <w:rsid w:val="00052D26"/>
    <w:rsid w:val="00053C35"/>
    <w:rsid w:val="00054358"/>
    <w:rsid w:val="00055897"/>
    <w:rsid w:val="00056A07"/>
    <w:rsid w:val="00063BB2"/>
    <w:rsid w:val="00065304"/>
    <w:rsid w:val="00066676"/>
    <w:rsid w:val="00066B4B"/>
    <w:rsid w:val="00070227"/>
    <w:rsid w:val="00070EE8"/>
    <w:rsid w:val="00071D0E"/>
    <w:rsid w:val="00071F17"/>
    <w:rsid w:val="00073D6D"/>
    <w:rsid w:val="00075353"/>
    <w:rsid w:val="000812BF"/>
    <w:rsid w:val="00081374"/>
    <w:rsid w:val="00082164"/>
    <w:rsid w:val="00082DCA"/>
    <w:rsid w:val="00085675"/>
    <w:rsid w:val="00085C6B"/>
    <w:rsid w:val="0008785A"/>
    <w:rsid w:val="000955E1"/>
    <w:rsid w:val="00097A0B"/>
    <w:rsid w:val="000A0A12"/>
    <w:rsid w:val="000A4134"/>
    <w:rsid w:val="000A74DF"/>
    <w:rsid w:val="000A7DE8"/>
    <w:rsid w:val="000B190B"/>
    <w:rsid w:val="000C0B6E"/>
    <w:rsid w:val="000C23CF"/>
    <w:rsid w:val="000C2631"/>
    <w:rsid w:val="000C36C6"/>
    <w:rsid w:val="000C42B8"/>
    <w:rsid w:val="000C4A5B"/>
    <w:rsid w:val="000C5449"/>
    <w:rsid w:val="000C7FBA"/>
    <w:rsid w:val="000D7D3C"/>
    <w:rsid w:val="000D7DEB"/>
    <w:rsid w:val="000E0C0C"/>
    <w:rsid w:val="000E185C"/>
    <w:rsid w:val="000E1991"/>
    <w:rsid w:val="000E21C1"/>
    <w:rsid w:val="000E3A28"/>
    <w:rsid w:val="000E65B1"/>
    <w:rsid w:val="000F2E1D"/>
    <w:rsid w:val="000F4C41"/>
    <w:rsid w:val="000F4F2D"/>
    <w:rsid w:val="000F67F6"/>
    <w:rsid w:val="001029AF"/>
    <w:rsid w:val="00103C3A"/>
    <w:rsid w:val="00104D11"/>
    <w:rsid w:val="00105219"/>
    <w:rsid w:val="00107A7C"/>
    <w:rsid w:val="0011488E"/>
    <w:rsid w:val="00120A2F"/>
    <w:rsid w:val="001215E6"/>
    <w:rsid w:val="001245C4"/>
    <w:rsid w:val="00125078"/>
    <w:rsid w:val="001307F7"/>
    <w:rsid w:val="0013471F"/>
    <w:rsid w:val="0013549C"/>
    <w:rsid w:val="00136160"/>
    <w:rsid w:val="00136E79"/>
    <w:rsid w:val="001400D6"/>
    <w:rsid w:val="0014108F"/>
    <w:rsid w:val="00143F40"/>
    <w:rsid w:val="00145AAF"/>
    <w:rsid w:val="001469CA"/>
    <w:rsid w:val="00146C9A"/>
    <w:rsid w:val="0015056E"/>
    <w:rsid w:val="001529B0"/>
    <w:rsid w:val="00152FE8"/>
    <w:rsid w:val="00154886"/>
    <w:rsid w:val="001631C6"/>
    <w:rsid w:val="0016714F"/>
    <w:rsid w:val="00170BD9"/>
    <w:rsid w:val="00174CC7"/>
    <w:rsid w:val="0017528B"/>
    <w:rsid w:val="00175E3C"/>
    <w:rsid w:val="00180A30"/>
    <w:rsid w:val="001810C3"/>
    <w:rsid w:val="001825A3"/>
    <w:rsid w:val="00184791"/>
    <w:rsid w:val="00184D24"/>
    <w:rsid w:val="00184DCD"/>
    <w:rsid w:val="001879B0"/>
    <w:rsid w:val="00187C6E"/>
    <w:rsid w:val="001902BE"/>
    <w:rsid w:val="001910E1"/>
    <w:rsid w:val="00195203"/>
    <w:rsid w:val="00195415"/>
    <w:rsid w:val="00195925"/>
    <w:rsid w:val="00195DF5"/>
    <w:rsid w:val="001964FB"/>
    <w:rsid w:val="00196E80"/>
    <w:rsid w:val="00197821"/>
    <w:rsid w:val="001A17E7"/>
    <w:rsid w:val="001A2549"/>
    <w:rsid w:val="001A371F"/>
    <w:rsid w:val="001A4FBE"/>
    <w:rsid w:val="001B047F"/>
    <w:rsid w:val="001B2267"/>
    <w:rsid w:val="001B2388"/>
    <w:rsid w:val="001B34F3"/>
    <w:rsid w:val="001B3D5D"/>
    <w:rsid w:val="001B40EE"/>
    <w:rsid w:val="001C3DC6"/>
    <w:rsid w:val="001D0B99"/>
    <w:rsid w:val="001D4FA5"/>
    <w:rsid w:val="001D791E"/>
    <w:rsid w:val="001E113F"/>
    <w:rsid w:val="001E239F"/>
    <w:rsid w:val="001E4CF4"/>
    <w:rsid w:val="001E72B2"/>
    <w:rsid w:val="001E73F3"/>
    <w:rsid w:val="001F0734"/>
    <w:rsid w:val="001F159B"/>
    <w:rsid w:val="001F42D4"/>
    <w:rsid w:val="001F795D"/>
    <w:rsid w:val="00200C0B"/>
    <w:rsid w:val="0020379A"/>
    <w:rsid w:val="00204BA8"/>
    <w:rsid w:val="00207D5A"/>
    <w:rsid w:val="00210677"/>
    <w:rsid w:val="00211D70"/>
    <w:rsid w:val="00211D80"/>
    <w:rsid w:val="00213FE9"/>
    <w:rsid w:val="002253CE"/>
    <w:rsid w:val="00230939"/>
    <w:rsid w:val="00232859"/>
    <w:rsid w:val="00240716"/>
    <w:rsid w:val="00241B95"/>
    <w:rsid w:val="0024255A"/>
    <w:rsid w:val="002448F0"/>
    <w:rsid w:val="00250537"/>
    <w:rsid w:val="00251DE8"/>
    <w:rsid w:val="00255236"/>
    <w:rsid w:val="00260D68"/>
    <w:rsid w:val="00265224"/>
    <w:rsid w:val="00271950"/>
    <w:rsid w:val="00272A24"/>
    <w:rsid w:val="00277F4B"/>
    <w:rsid w:val="0028604B"/>
    <w:rsid w:val="00290BB4"/>
    <w:rsid w:val="00291F5F"/>
    <w:rsid w:val="002928D2"/>
    <w:rsid w:val="00296DCC"/>
    <w:rsid w:val="00297713"/>
    <w:rsid w:val="002A071F"/>
    <w:rsid w:val="002A572D"/>
    <w:rsid w:val="002A7FB9"/>
    <w:rsid w:val="002B4A0C"/>
    <w:rsid w:val="002B5284"/>
    <w:rsid w:val="002C05D9"/>
    <w:rsid w:val="002C2400"/>
    <w:rsid w:val="002C3083"/>
    <w:rsid w:val="002C4455"/>
    <w:rsid w:val="002C5CD5"/>
    <w:rsid w:val="002C69EC"/>
    <w:rsid w:val="002C7A96"/>
    <w:rsid w:val="002D21FE"/>
    <w:rsid w:val="002D36BE"/>
    <w:rsid w:val="002D7602"/>
    <w:rsid w:val="002E3445"/>
    <w:rsid w:val="002E7798"/>
    <w:rsid w:val="002F1626"/>
    <w:rsid w:val="002F6D79"/>
    <w:rsid w:val="00300A84"/>
    <w:rsid w:val="00301143"/>
    <w:rsid w:val="00303286"/>
    <w:rsid w:val="003114C8"/>
    <w:rsid w:val="00312CB0"/>
    <w:rsid w:val="00314571"/>
    <w:rsid w:val="00314841"/>
    <w:rsid w:val="003154A2"/>
    <w:rsid w:val="00320E24"/>
    <w:rsid w:val="00326F2B"/>
    <w:rsid w:val="003274B9"/>
    <w:rsid w:val="00327BA8"/>
    <w:rsid w:val="003341C7"/>
    <w:rsid w:val="00334611"/>
    <w:rsid w:val="003413F9"/>
    <w:rsid w:val="00341C02"/>
    <w:rsid w:val="003432AE"/>
    <w:rsid w:val="003444F7"/>
    <w:rsid w:val="003472EE"/>
    <w:rsid w:val="00350921"/>
    <w:rsid w:val="00350AB5"/>
    <w:rsid w:val="003531C0"/>
    <w:rsid w:val="00355586"/>
    <w:rsid w:val="0035665E"/>
    <w:rsid w:val="003568C1"/>
    <w:rsid w:val="00361A41"/>
    <w:rsid w:val="00362109"/>
    <w:rsid w:val="00362F24"/>
    <w:rsid w:val="00363541"/>
    <w:rsid w:val="00373339"/>
    <w:rsid w:val="00375C63"/>
    <w:rsid w:val="00377024"/>
    <w:rsid w:val="00381007"/>
    <w:rsid w:val="00381AB0"/>
    <w:rsid w:val="00382709"/>
    <w:rsid w:val="00384FF6"/>
    <w:rsid w:val="003863FE"/>
    <w:rsid w:val="0038675E"/>
    <w:rsid w:val="00390D49"/>
    <w:rsid w:val="00391D29"/>
    <w:rsid w:val="003975FD"/>
    <w:rsid w:val="003A126D"/>
    <w:rsid w:val="003A1BBA"/>
    <w:rsid w:val="003A28D8"/>
    <w:rsid w:val="003A2DD1"/>
    <w:rsid w:val="003A2FC1"/>
    <w:rsid w:val="003A4040"/>
    <w:rsid w:val="003A4463"/>
    <w:rsid w:val="003A5EF8"/>
    <w:rsid w:val="003A6844"/>
    <w:rsid w:val="003A6A4C"/>
    <w:rsid w:val="003B1207"/>
    <w:rsid w:val="003B3500"/>
    <w:rsid w:val="003B68A4"/>
    <w:rsid w:val="003C7507"/>
    <w:rsid w:val="003D4A19"/>
    <w:rsid w:val="003D5FFF"/>
    <w:rsid w:val="003D6DF6"/>
    <w:rsid w:val="003E024B"/>
    <w:rsid w:val="003E0CB4"/>
    <w:rsid w:val="003E1704"/>
    <w:rsid w:val="003E33B2"/>
    <w:rsid w:val="003E7D3E"/>
    <w:rsid w:val="003F1B3B"/>
    <w:rsid w:val="003F1B6A"/>
    <w:rsid w:val="003F3131"/>
    <w:rsid w:val="003F3B4C"/>
    <w:rsid w:val="003F4416"/>
    <w:rsid w:val="003F44FC"/>
    <w:rsid w:val="00400091"/>
    <w:rsid w:val="00400464"/>
    <w:rsid w:val="00400DAF"/>
    <w:rsid w:val="0040516A"/>
    <w:rsid w:val="00410258"/>
    <w:rsid w:val="00410C4B"/>
    <w:rsid w:val="004155E0"/>
    <w:rsid w:val="00416594"/>
    <w:rsid w:val="00416703"/>
    <w:rsid w:val="00416711"/>
    <w:rsid w:val="004223CF"/>
    <w:rsid w:val="00424BDA"/>
    <w:rsid w:val="00425A2C"/>
    <w:rsid w:val="004264F1"/>
    <w:rsid w:val="00427B3D"/>
    <w:rsid w:val="00431F2D"/>
    <w:rsid w:val="0043244A"/>
    <w:rsid w:val="004343FD"/>
    <w:rsid w:val="00436E38"/>
    <w:rsid w:val="0044774A"/>
    <w:rsid w:val="00450812"/>
    <w:rsid w:val="00453B90"/>
    <w:rsid w:val="00456318"/>
    <w:rsid w:val="004573FD"/>
    <w:rsid w:val="00460711"/>
    <w:rsid w:val="00464135"/>
    <w:rsid w:val="00470970"/>
    <w:rsid w:val="00472BED"/>
    <w:rsid w:val="00475DF0"/>
    <w:rsid w:val="00482E61"/>
    <w:rsid w:val="00484986"/>
    <w:rsid w:val="00485613"/>
    <w:rsid w:val="00487173"/>
    <w:rsid w:val="0048740C"/>
    <w:rsid w:val="00491AEE"/>
    <w:rsid w:val="00492844"/>
    <w:rsid w:val="00492A07"/>
    <w:rsid w:val="00492FE2"/>
    <w:rsid w:val="004A2E88"/>
    <w:rsid w:val="004A49FF"/>
    <w:rsid w:val="004A6695"/>
    <w:rsid w:val="004B6CEE"/>
    <w:rsid w:val="004C0442"/>
    <w:rsid w:val="004C1D22"/>
    <w:rsid w:val="004C26B4"/>
    <w:rsid w:val="004C542F"/>
    <w:rsid w:val="004C567C"/>
    <w:rsid w:val="004C64BD"/>
    <w:rsid w:val="004C6B7D"/>
    <w:rsid w:val="004C6BCF"/>
    <w:rsid w:val="004D28C4"/>
    <w:rsid w:val="004D534B"/>
    <w:rsid w:val="004D717D"/>
    <w:rsid w:val="004D7A2B"/>
    <w:rsid w:val="004E1723"/>
    <w:rsid w:val="004E278D"/>
    <w:rsid w:val="004E4618"/>
    <w:rsid w:val="004E68C8"/>
    <w:rsid w:val="004F2470"/>
    <w:rsid w:val="004F2E2B"/>
    <w:rsid w:val="004F77AA"/>
    <w:rsid w:val="00502DCA"/>
    <w:rsid w:val="005049C3"/>
    <w:rsid w:val="00511D6F"/>
    <w:rsid w:val="00513622"/>
    <w:rsid w:val="00513747"/>
    <w:rsid w:val="0051422C"/>
    <w:rsid w:val="00514B56"/>
    <w:rsid w:val="0051500A"/>
    <w:rsid w:val="00517330"/>
    <w:rsid w:val="00517474"/>
    <w:rsid w:val="00524460"/>
    <w:rsid w:val="00525170"/>
    <w:rsid w:val="00525C56"/>
    <w:rsid w:val="00526F64"/>
    <w:rsid w:val="005312E7"/>
    <w:rsid w:val="0053160F"/>
    <w:rsid w:val="0054404D"/>
    <w:rsid w:val="0054421F"/>
    <w:rsid w:val="00544652"/>
    <w:rsid w:val="00551797"/>
    <w:rsid w:val="00552164"/>
    <w:rsid w:val="00552308"/>
    <w:rsid w:val="005569E0"/>
    <w:rsid w:val="00566FDD"/>
    <w:rsid w:val="00567998"/>
    <w:rsid w:val="00572117"/>
    <w:rsid w:val="00580F71"/>
    <w:rsid w:val="00582AD5"/>
    <w:rsid w:val="00582BE4"/>
    <w:rsid w:val="00587A10"/>
    <w:rsid w:val="005917CB"/>
    <w:rsid w:val="00591A14"/>
    <w:rsid w:val="00594BEE"/>
    <w:rsid w:val="00597D29"/>
    <w:rsid w:val="005A1317"/>
    <w:rsid w:val="005A257D"/>
    <w:rsid w:val="005A2591"/>
    <w:rsid w:val="005A2AE3"/>
    <w:rsid w:val="005B6305"/>
    <w:rsid w:val="005C4186"/>
    <w:rsid w:val="005C4350"/>
    <w:rsid w:val="005C4600"/>
    <w:rsid w:val="005C5818"/>
    <w:rsid w:val="005C5963"/>
    <w:rsid w:val="005D2215"/>
    <w:rsid w:val="005D3C98"/>
    <w:rsid w:val="005D499B"/>
    <w:rsid w:val="005D51D2"/>
    <w:rsid w:val="005D6466"/>
    <w:rsid w:val="005D7AB6"/>
    <w:rsid w:val="005E030A"/>
    <w:rsid w:val="005E2CCB"/>
    <w:rsid w:val="005E3FDB"/>
    <w:rsid w:val="005E7B92"/>
    <w:rsid w:val="005F163E"/>
    <w:rsid w:val="005F1A0F"/>
    <w:rsid w:val="005F43AD"/>
    <w:rsid w:val="005F600A"/>
    <w:rsid w:val="005F7C9C"/>
    <w:rsid w:val="00602935"/>
    <w:rsid w:val="006055AC"/>
    <w:rsid w:val="00606E35"/>
    <w:rsid w:val="00607D0E"/>
    <w:rsid w:val="00607F3F"/>
    <w:rsid w:val="00612A08"/>
    <w:rsid w:val="00620F19"/>
    <w:rsid w:val="006219DD"/>
    <w:rsid w:val="006259AC"/>
    <w:rsid w:val="006261B8"/>
    <w:rsid w:val="006278AC"/>
    <w:rsid w:val="00635357"/>
    <w:rsid w:val="006372C1"/>
    <w:rsid w:val="0063780E"/>
    <w:rsid w:val="00640C9D"/>
    <w:rsid w:val="00642748"/>
    <w:rsid w:val="006505FC"/>
    <w:rsid w:val="00651ACB"/>
    <w:rsid w:val="00657E5D"/>
    <w:rsid w:val="00660B95"/>
    <w:rsid w:val="006627E7"/>
    <w:rsid w:val="0066346C"/>
    <w:rsid w:val="00663E4E"/>
    <w:rsid w:val="00666BC4"/>
    <w:rsid w:val="0067037E"/>
    <w:rsid w:val="0068301A"/>
    <w:rsid w:val="00684447"/>
    <w:rsid w:val="00687181"/>
    <w:rsid w:val="006934C4"/>
    <w:rsid w:val="006A1459"/>
    <w:rsid w:val="006A2B67"/>
    <w:rsid w:val="006A41DF"/>
    <w:rsid w:val="006A4FDE"/>
    <w:rsid w:val="006A7B92"/>
    <w:rsid w:val="006B16FD"/>
    <w:rsid w:val="006B20D5"/>
    <w:rsid w:val="006B34EC"/>
    <w:rsid w:val="006B409E"/>
    <w:rsid w:val="006B50C7"/>
    <w:rsid w:val="006B5154"/>
    <w:rsid w:val="006B5930"/>
    <w:rsid w:val="006D0434"/>
    <w:rsid w:val="006D1CE5"/>
    <w:rsid w:val="006D3324"/>
    <w:rsid w:val="006D4E72"/>
    <w:rsid w:val="006E07C7"/>
    <w:rsid w:val="006E0978"/>
    <w:rsid w:val="006E3425"/>
    <w:rsid w:val="006E5553"/>
    <w:rsid w:val="006E6CD3"/>
    <w:rsid w:val="006F1FB4"/>
    <w:rsid w:val="006F4E6C"/>
    <w:rsid w:val="006F666E"/>
    <w:rsid w:val="007003FE"/>
    <w:rsid w:val="00700592"/>
    <w:rsid w:val="00701603"/>
    <w:rsid w:val="007017AD"/>
    <w:rsid w:val="007029AC"/>
    <w:rsid w:val="007033A6"/>
    <w:rsid w:val="007103E0"/>
    <w:rsid w:val="007118A0"/>
    <w:rsid w:val="00712FB9"/>
    <w:rsid w:val="007136B3"/>
    <w:rsid w:val="007148CA"/>
    <w:rsid w:val="00716BFD"/>
    <w:rsid w:val="00717191"/>
    <w:rsid w:val="00722420"/>
    <w:rsid w:val="00722678"/>
    <w:rsid w:val="00723A11"/>
    <w:rsid w:val="00723FFB"/>
    <w:rsid w:val="00734E16"/>
    <w:rsid w:val="00735160"/>
    <w:rsid w:val="007365C2"/>
    <w:rsid w:val="0074093D"/>
    <w:rsid w:val="00740E5B"/>
    <w:rsid w:val="00741F86"/>
    <w:rsid w:val="007425AA"/>
    <w:rsid w:val="00745B72"/>
    <w:rsid w:val="00751195"/>
    <w:rsid w:val="00760412"/>
    <w:rsid w:val="00761C94"/>
    <w:rsid w:val="007640C0"/>
    <w:rsid w:val="00770CB9"/>
    <w:rsid w:val="00772CC7"/>
    <w:rsid w:val="0077484E"/>
    <w:rsid w:val="00774BD1"/>
    <w:rsid w:val="00776B01"/>
    <w:rsid w:val="007810BD"/>
    <w:rsid w:val="00782857"/>
    <w:rsid w:val="007837BA"/>
    <w:rsid w:val="0078759B"/>
    <w:rsid w:val="007920DA"/>
    <w:rsid w:val="00792A29"/>
    <w:rsid w:val="00792B8E"/>
    <w:rsid w:val="00792C3B"/>
    <w:rsid w:val="00793D86"/>
    <w:rsid w:val="00797B41"/>
    <w:rsid w:val="007A358F"/>
    <w:rsid w:val="007A4586"/>
    <w:rsid w:val="007A5AB4"/>
    <w:rsid w:val="007A682C"/>
    <w:rsid w:val="007A75A4"/>
    <w:rsid w:val="007B200D"/>
    <w:rsid w:val="007B38A1"/>
    <w:rsid w:val="007B4B83"/>
    <w:rsid w:val="007B533D"/>
    <w:rsid w:val="007B6062"/>
    <w:rsid w:val="007B6FE7"/>
    <w:rsid w:val="007B716E"/>
    <w:rsid w:val="007B7A70"/>
    <w:rsid w:val="007C0345"/>
    <w:rsid w:val="007C0F34"/>
    <w:rsid w:val="007C14CF"/>
    <w:rsid w:val="007D23AC"/>
    <w:rsid w:val="007D2D6B"/>
    <w:rsid w:val="007D3E38"/>
    <w:rsid w:val="007D7A7C"/>
    <w:rsid w:val="007D7D84"/>
    <w:rsid w:val="007E0522"/>
    <w:rsid w:val="007E10D8"/>
    <w:rsid w:val="007E183A"/>
    <w:rsid w:val="007E1C00"/>
    <w:rsid w:val="007E2513"/>
    <w:rsid w:val="007E26B5"/>
    <w:rsid w:val="007E3357"/>
    <w:rsid w:val="007E7F7D"/>
    <w:rsid w:val="007F115C"/>
    <w:rsid w:val="007F1B08"/>
    <w:rsid w:val="007F34AF"/>
    <w:rsid w:val="007F3DD9"/>
    <w:rsid w:val="007F6E45"/>
    <w:rsid w:val="00801B66"/>
    <w:rsid w:val="00806E18"/>
    <w:rsid w:val="008113D9"/>
    <w:rsid w:val="008124C1"/>
    <w:rsid w:val="00812839"/>
    <w:rsid w:val="008136B6"/>
    <w:rsid w:val="00814FE1"/>
    <w:rsid w:val="008152D6"/>
    <w:rsid w:val="008152E2"/>
    <w:rsid w:val="0081576A"/>
    <w:rsid w:val="00821B74"/>
    <w:rsid w:val="00823A81"/>
    <w:rsid w:val="00824F50"/>
    <w:rsid w:val="00825A99"/>
    <w:rsid w:val="00826D25"/>
    <w:rsid w:val="00827D64"/>
    <w:rsid w:val="00834182"/>
    <w:rsid w:val="00834CEE"/>
    <w:rsid w:val="00835782"/>
    <w:rsid w:val="00835C91"/>
    <w:rsid w:val="0083615E"/>
    <w:rsid w:val="00842CCB"/>
    <w:rsid w:val="00842D29"/>
    <w:rsid w:val="00845F52"/>
    <w:rsid w:val="008517C9"/>
    <w:rsid w:val="00852817"/>
    <w:rsid w:val="00856CB3"/>
    <w:rsid w:val="00862706"/>
    <w:rsid w:val="0086357F"/>
    <w:rsid w:val="00864EB6"/>
    <w:rsid w:val="00865ABA"/>
    <w:rsid w:val="00865D38"/>
    <w:rsid w:val="00866350"/>
    <w:rsid w:val="00867DAE"/>
    <w:rsid w:val="00872F86"/>
    <w:rsid w:val="00873A2C"/>
    <w:rsid w:val="00873D2B"/>
    <w:rsid w:val="0087476A"/>
    <w:rsid w:val="00874F81"/>
    <w:rsid w:val="0088156E"/>
    <w:rsid w:val="00881669"/>
    <w:rsid w:val="0088305A"/>
    <w:rsid w:val="0088536C"/>
    <w:rsid w:val="0088684C"/>
    <w:rsid w:val="00891AE1"/>
    <w:rsid w:val="0089289E"/>
    <w:rsid w:val="00893B8A"/>
    <w:rsid w:val="00896312"/>
    <w:rsid w:val="008A0B3E"/>
    <w:rsid w:val="008A2C2C"/>
    <w:rsid w:val="008A45AA"/>
    <w:rsid w:val="008A58F9"/>
    <w:rsid w:val="008A61B0"/>
    <w:rsid w:val="008A6624"/>
    <w:rsid w:val="008A7142"/>
    <w:rsid w:val="008B0700"/>
    <w:rsid w:val="008B1F93"/>
    <w:rsid w:val="008B5B92"/>
    <w:rsid w:val="008B70CE"/>
    <w:rsid w:val="008C3BA4"/>
    <w:rsid w:val="008C7E85"/>
    <w:rsid w:val="008D2F98"/>
    <w:rsid w:val="008E0E5E"/>
    <w:rsid w:val="008E22BB"/>
    <w:rsid w:val="008E78F2"/>
    <w:rsid w:val="008E7AD6"/>
    <w:rsid w:val="008F04EF"/>
    <w:rsid w:val="008F32C5"/>
    <w:rsid w:val="008F3BB7"/>
    <w:rsid w:val="008F5C3A"/>
    <w:rsid w:val="00905CE1"/>
    <w:rsid w:val="00905FE4"/>
    <w:rsid w:val="009072E1"/>
    <w:rsid w:val="00907B33"/>
    <w:rsid w:val="009142E5"/>
    <w:rsid w:val="00915752"/>
    <w:rsid w:val="009174B8"/>
    <w:rsid w:val="00920C50"/>
    <w:rsid w:val="00922D69"/>
    <w:rsid w:val="00925679"/>
    <w:rsid w:val="00925C6F"/>
    <w:rsid w:val="009309E6"/>
    <w:rsid w:val="00940B19"/>
    <w:rsid w:val="00942ADF"/>
    <w:rsid w:val="00943C19"/>
    <w:rsid w:val="009445D2"/>
    <w:rsid w:val="009447B5"/>
    <w:rsid w:val="00945443"/>
    <w:rsid w:val="00951C64"/>
    <w:rsid w:val="009525E6"/>
    <w:rsid w:val="00952D19"/>
    <w:rsid w:val="00955F1F"/>
    <w:rsid w:val="0095748B"/>
    <w:rsid w:val="00961BE4"/>
    <w:rsid w:val="00963E7C"/>
    <w:rsid w:val="00964B43"/>
    <w:rsid w:val="0096565C"/>
    <w:rsid w:val="00971FEE"/>
    <w:rsid w:val="00972B39"/>
    <w:rsid w:val="009764C0"/>
    <w:rsid w:val="00984A55"/>
    <w:rsid w:val="00985696"/>
    <w:rsid w:val="00986A4E"/>
    <w:rsid w:val="00986E28"/>
    <w:rsid w:val="009910A0"/>
    <w:rsid w:val="009929FA"/>
    <w:rsid w:val="00993AAB"/>
    <w:rsid w:val="00996984"/>
    <w:rsid w:val="00997D5C"/>
    <w:rsid w:val="009A0165"/>
    <w:rsid w:val="009A104C"/>
    <w:rsid w:val="009A251D"/>
    <w:rsid w:val="009A2FCA"/>
    <w:rsid w:val="009A5C6D"/>
    <w:rsid w:val="009A5FE6"/>
    <w:rsid w:val="009A6D2F"/>
    <w:rsid w:val="009A6DA4"/>
    <w:rsid w:val="009A742F"/>
    <w:rsid w:val="009B19BE"/>
    <w:rsid w:val="009B4291"/>
    <w:rsid w:val="009C2912"/>
    <w:rsid w:val="009C32DA"/>
    <w:rsid w:val="009C412F"/>
    <w:rsid w:val="009C5806"/>
    <w:rsid w:val="009C75F7"/>
    <w:rsid w:val="009C7EB6"/>
    <w:rsid w:val="009D1D73"/>
    <w:rsid w:val="009D2073"/>
    <w:rsid w:val="009D2CAD"/>
    <w:rsid w:val="009D4388"/>
    <w:rsid w:val="009D4F21"/>
    <w:rsid w:val="009D561B"/>
    <w:rsid w:val="009D6847"/>
    <w:rsid w:val="009E15FC"/>
    <w:rsid w:val="009E2222"/>
    <w:rsid w:val="009E60DC"/>
    <w:rsid w:val="009E7256"/>
    <w:rsid w:val="009F3FA6"/>
    <w:rsid w:val="009F4601"/>
    <w:rsid w:val="00A06F72"/>
    <w:rsid w:val="00A07DD6"/>
    <w:rsid w:val="00A11C0B"/>
    <w:rsid w:val="00A127E0"/>
    <w:rsid w:val="00A20AE9"/>
    <w:rsid w:val="00A22D0C"/>
    <w:rsid w:val="00A24ECC"/>
    <w:rsid w:val="00A25CE4"/>
    <w:rsid w:val="00A26D33"/>
    <w:rsid w:val="00A27407"/>
    <w:rsid w:val="00A31208"/>
    <w:rsid w:val="00A31F78"/>
    <w:rsid w:val="00A37643"/>
    <w:rsid w:val="00A4132D"/>
    <w:rsid w:val="00A43309"/>
    <w:rsid w:val="00A43749"/>
    <w:rsid w:val="00A43ADB"/>
    <w:rsid w:val="00A43EC3"/>
    <w:rsid w:val="00A445BB"/>
    <w:rsid w:val="00A452FC"/>
    <w:rsid w:val="00A46DF1"/>
    <w:rsid w:val="00A53182"/>
    <w:rsid w:val="00A53AB3"/>
    <w:rsid w:val="00A557CF"/>
    <w:rsid w:val="00A5635C"/>
    <w:rsid w:val="00A57AB7"/>
    <w:rsid w:val="00A61D9B"/>
    <w:rsid w:val="00A6212D"/>
    <w:rsid w:val="00A660B5"/>
    <w:rsid w:val="00A66FE2"/>
    <w:rsid w:val="00A727E9"/>
    <w:rsid w:val="00A7399D"/>
    <w:rsid w:val="00A73E35"/>
    <w:rsid w:val="00A74FE0"/>
    <w:rsid w:val="00A760EE"/>
    <w:rsid w:val="00A830ED"/>
    <w:rsid w:val="00A83E99"/>
    <w:rsid w:val="00A844DF"/>
    <w:rsid w:val="00A8463B"/>
    <w:rsid w:val="00A8573A"/>
    <w:rsid w:val="00A86CE7"/>
    <w:rsid w:val="00A91115"/>
    <w:rsid w:val="00A914EA"/>
    <w:rsid w:val="00A92B81"/>
    <w:rsid w:val="00A968A3"/>
    <w:rsid w:val="00AA029B"/>
    <w:rsid w:val="00AA7167"/>
    <w:rsid w:val="00AA7A27"/>
    <w:rsid w:val="00AB1DA3"/>
    <w:rsid w:val="00AB21FB"/>
    <w:rsid w:val="00AB5915"/>
    <w:rsid w:val="00AB6CC3"/>
    <w:rsid w:val="00AB765B"/>
    <w:rsid w:val="00AC04F9"/>
    <w:rsid w:val="00AC2D82"/>
    <w:rsid w:val="00AC350E"/>
    <w:rsid w:val="00AC4D59"/>
    <w:rsid w:val="00AC6142"/>
    <w:rsid w:val="00AD1E05"/>
    <w:rsid w:val="00AD2E86"/>
    <w:rsid w:val="00AD329C"/>
    <w:rsid w:val="00AD3B44"/>
    <w:rsid w:val="00AD485C"/>
    <w:rsid w:val="00AD78DC"/>
    <w:rsid w:val="00AE0F1B"/>
    <w:rsid w:val="00AE19DD"/>
    <w:rsid w:val="00AE1E09"/>
    <w:rsid w:val="00AE4D17"/>
    <w:rsid w:val="00AE619D"/>
    <w:rsid w:val="00AE7588"/>
    <w:rsid w:val="00AF0693"/>
    <w:rsid w:val="00AF1D47"/>
    <w:rsid w:val="00AF57D2"/>
    <w:rsid w:val="00B02E11"/>
    <w:rsid w:val="00B0383A"/>
    <w:rsid w:val="00B0687C"/>
    <w:rsid w:val="00B06E00"/>
    <w:rsid w:val="00B11216"/>
    <w:rsid w:val="00B135CF"/>
    <w:rsid w:val="00B1451E"/>
    <w:rsid w:val="00B2153C"/>
    <w:rsid w:val="00B22444"/>
    <w:rsid w:val="00B25A24"/>
    <w:rsid w:val="00B26B3F"/>
    <w:rsid w:val="00B31FEA"/>
    <w:rsid w:val="00B324D1"/>
    <w:rsid w:val="00B32B3D"/>
    <w:rsid w:val="00B42A75"/>
    <w:rsid w:val="00B45294"/>
    <w:rsid w:val="00B45EC7"/>
    <w:rsid w:val="00B54970"/>
    <w:rsid w:val="00B56822"/>
    <w:rsid w:val="00B65247"/>
    <w:rsid w:val="00B65F78"/>
    <w:rsid w:val="00B6735B"/>
    <w:rsid w:val="00B67C38"/>
    <w:rsid w:val="00B740E9"/>
    <w:rsid w:val="00B74363"/>
    <w:rsid w:val="00B751C9"/>
    <w:rsid w:val="00B7572F"/>
    <w:rsid w:val="00B75997"/>
    <w:rsid w:val="00B81462"/>
    <w:rsid w:val="00B816D2"/>
    <w:rsid w:val="00B85341"/>
    <w:rsid w:val="00B86C72"/>
    <w:rsid w:val="00B87021"/>
    <w:rsid w:val="00B87D82"/>
    <w:rsid w:val="00B90011"/>
    <w:rsid w:val="00B90993"/>
    <w:rsid w:val="00B94D67"/>
    <w:rsid w:val="00B96BC0"/>
    <w:rsid w:val="00BA4A68"/>
    <w:rsid w:val="00BA57CD"/>
    <w:rsid w:val="00BA695D"/>
    <w:rsid w:val="00BB11BC"/>
    <w:rsid w:val="00BB1CB1"/>
    <w:rsid w:val="00BB2855"/>
    <w:rsid w:val="00BB366A"/>
    <w:rsid w:val="00BB6841"/>
    <w:rsid w:val="00BC0D59"/>
    <w:rsid w:val="00BC26AB"/>
    <w:rsid w:val="00BC40D0"/>
    <w:rsid w:val="00BC71E9"/>
    <w:rsid w:val="00BD0314"/>
    <w:rsid w:val="00BD2782"/>
    <w:rsid w:val="00BD4196"/>
    <w:rsid w:val="00BD48EF"/>
    <w:rsid w:val="00BD4ECF"/>
    <w:rsid w:val="00BD4EFF"/>
    <w:rsid w:val="00BD61CD"/>
    <w:rsid w:val="00BD7310"/>
    <w:rsid w:val="00BE3D71"/>
    <w:rsid w:val="00BE6ECF"/>
    <w:rsid w:val="00BE75E4"/>
    <w:rsid w:val="00BE7696"/>
    <w:rsid w:val="00BF7EC8"/>
    <w:rsid w:val="00C04F24"/>
    <w:rsid w:val="00C065D0"/>
    <w:rsid w:val="00C07E8C"/>
    <w:rsid w:val="00C07EC3"/>
    <w:rsid w:val="00C11A87"/>
    <w:rsid w:val="00C133B3"/>
    <w:rsid w:val="00C138F9"/>
    <w:rsid w:val="00C1576D"/>
    <w:rsid w:val="00C15DC1"/>
    <w:rsid w:val="00C16296"/>
    <w:rsid w:val="00C24FB7"/>
    <w:rsid w:val="00C30577"/>
    <w:rsid w:val="00C347A5"/>
    <w:rsid w:val="00C34FE2"/>
    <w:rsid w:val="00C362DD"/>
    <w:rsid w:val="00C365DC"/>
    <w:rsid w:val="00C41A13"/>
    <w:rsid w:val="00C4359E"/>
    <w:rsid w:val="00C43E7C"/>
    <w:rsid w:val="00C4552B"/>
    <w:rsid w:val="00C50BAE"/>
    <w:rsid w:val="00C52A01"/>
    <w:rsid w:val="00C57BF5"/>
    <w:rsid w:val="00C63540"/>
    <w:rsid w:val="00C645FB"/>
    <w:rsid w:val="00C67157"/>
    <w:rsid w:val="00C72D38"/>
    <w:rsid w:val="00C73CD9"/>
    <w:rsid w:val="00C74A19"/>
    <w:rsid w:val="00C758A5"/>
    <w:rsid w:val="00C76A1A"/>
    <w:rsid w:val="00C8152C"/>
    <w:rsid w:val="00C84A29"/>
    <w:rsid w:val="00C85087"/>
    <w:rsid w:val="00C87E9E"/>
    <w:rsid w:val="00C919D4"/>
    <w:rsid w:val="00C92F6F"/>
    <w:rsid w:val="00C93A14"/>
    <w:rsid w:val="00C944E5"/>
    <w:rsid w:val="00C95599"/>
    <w:rsid w:val="00C9565B"/>
    <w:rsid w:val="00C95876"/>
    <w:rsid w:val="00C969BE"/>
    <w:rsid w:val="00C96F4E"/>
    <w:rsid w:val="00C97761"/>
    <w:rsid w:val="00C979C3"/>
    <w:rsid w:val="00CA0BC5"/>
    <w:rsid w:val="00CA3046"/>
    <w:rsid w:val="00CA517E"/>
    <w:rsid w:val="00CA57FA"/>
    <w:rsid w:val="00CB2833"/>
    <w:rsid w:val="00CB31C6"/>
    <w:rsid w:val="00CB31D3"/>
    <w:rsid w:val="00CB4866"/>
    <w:rsid w:val="00CC5C3E"/>
    <w:rsid w:val="00CD2544"/>
    <w:rsid w:val="00CD688E"/>
    <w:rsid w:val="00CE028C"/>
    <w:rsid w:val="00CE0CA4"/>
    <w:rsid w:val="00CE152E"/>
    <w:rsid w:val="00CE164C"/>
    <w:rsid w:val="00CE2319"/>
    <w:rsid w:val="00CE38A0"/>
    <w:rsid w:val="00CE3B0D"/>
    <w:rsid w:val="00CE42D8"/>
    <w:rsid w:val="00CE4CAC"/>
    <w:rsid w:val="00CF07E2"/>
    <w:rsid w:val="00CF5464"/>
    <w:rsid w:val="00D0507C"/>
    <w:rsid w:val="00D05302"/>
    <w:rsid w:val="00D06C32"/>
    <w:rsid w:val="00D13969"/>
    <w:rsid w:val="00D15239"/>
    <w:rsid w:val="00D21249"/>
    <w:rsid w:val="00D26406"/>
    <w:rsid w:val="00D30D97"/>
    <w:rsid w:val="00D31C3F"/>
    <w:rsid w:val="00D32CDC"/>
    <w:rsid w:val="00D41C69"/>
    <w:rsid w:val="00D42C55"/>
    <w:rsid w:val="00D44877"/>
    <w:rsid w:val="00D45B32"/>
    <w:rsid w:val="00D507A5"/>
    <w:rsid w:val="00D51429"/>
    <w:rsid w:val="00D516F7"/>
    <w:rsid w:val="00D519F0"/>
    <w:rsid w:val="00D5281E"/>
    <w:rsid w:val="00D55778"/>
    <w:rsid w:val="00D57F6D"/>
    <w:rsid w:val="00D62B25"/>
    <w:rsid w:val="00D64908"/>
    <w:rsid w:val="00D65782"/>
    <w:rsid w:val="00D65E2D"/>
    <w:rsid w:val="00D65F87"/>
    <w:rsid w:val="00D714A9"/>
    <w:rsid w:val="00D729D9"/>
    <w:rsid w:val="00D73D20"/>
    <w:rsid w:val="00D7752C"/>
    <w:rsid w:val="00D803FD"/>
    <w:rsid w:val="00D84DFA"/>
    <w:rsid w:val="00D8525F"/>
    <w:rsid w:val="00D857EC"/>
    <w:rsid w:val="00D865AB"/>
    <w:rsid w:val="00D86962"/>
    <w:rsid w:val="00D903A9"/>
    <w:rsid w:val="00D91818"/>
    <w:rsid w:val="00D91AC2"/>
    <w:rsid w:val="00D93935"/>
    <w:rsid w:val="00D958DE"/>
    <w:rsid w:val="00D95D46"/>
    <w:rsid w:val="00D97593"/>
    <w:rsid w:val="00DA0C3A"/>
    <w:rsid w:val="00DA2176"/>
    <w:rsid w:val="00DA2A3C"/>
    <w:rsid w:val="00DA2BAD"/>
    <w:rsid w:val="00DA774D"/>
    <w:rsid w:val="00DA7DC9"/>
    <w:rsid w:val="00DB0F84"/>
    <w:rsid w:val="00DB1F5A"/>
    <w:rsid w:val="00DB3CC1"/>
    <w:rsid w:val="00DB61CE"/>
    <w:rsid w:val="00DB6803"/>
    <w:rsid w:val="00DC099E"/>
    <w:rsid w:val="00DC2B3D"/>
    <w:rsid w:val="00DC615F"/>
    <w:rsid w:val="00DC6555"/>
    <w:rsid w:val="00DD1178"/>
    <w:rsid w:val="00DD1C52"/>
    <w:rsid w:val="00DD49B9"/>
    <w:rsid w:val="00DE131E"/>
    <w:rsid w:val="00DE384A"/>
    <w:rsid w:val="00DF2B75"/>
    <w:rsid w:val="00DF669E"/>
    <w:rsid w:val="00DF74DE"/>
    <w:rsid w:val="00E01D6F"/>
    <w:rsid w:val="00E0213F"/>
    <w:rsid w:val="00E02519"/>
    <w:rsid w:val="00E03589"/>
    <w:rsid w:val="00E03C13"/>
    <w:rsid w:val="00E049D1"/>
    <w:rsid w:val="00E11F79"/>
    <w:rsid w:val="00E1292D"/>
    <w:rsid w:val="00E12F26"/>
    <w:rsid w:val="00E141CC"/>
    <w:rsid w:val="00E15C86"/>
    <w:rsid w:val="00E16ED4"/>
    <w:rsid w:val="00E23068"/>
    <w:rsid w:val="00E23AF9"/>
    <w:rsid w:val="00E25856"/>
    <w:rsid w:val="00E26D46"/>
    <w:rsid w:val="00E34AE2"/>
    <w:rsid w:val="00E40426"/>
    <w:rsid w:val="00E40F8B"/>
    <w:rsid w:val="00E41413"/>
    <w:rsid w:val="00E4150D"/>
    <w:rsid w:val="00E4533B"/>
    <w:rsid w:val="00E511F4"/>
    <w:rsid w:val="00E53E8C"/>
    <w:rsid w:val="00E54CC6"/>
    <w:rsid w:val="00E6113D"/>
    <w:rsid w:val="00E614FD"/>
    <w:rsid w:val="00E66C91"/>
    <w:rsid w:val="00E66F61"/>
    <w:rsid w:val="00E67D5A"/>
    <w:rsid w:val="00E728BB"/>
    <w:rsid w:val="00E73692"/>
    <w:rsid w:val="00E7378C"/>
    <w:rsid w:val="00E75227"/>
    <w:rsid w:val="00E80A2B"/>
    <w:rsid w:val="00E8131F"/>
    <w:rsid w:val="00E857AF"/>
    <w:rsid w:val="00E86567"/>
    <w:rsid w:val="00E874B2"/>
    <w:rsid w:val="00E90890"/>
    <w:rsid w:val="00E90DE0"/>
    <w:rsid w:val="00E91707"/>
    <w:rsid w:val="00E91E42"/>
    <w:rsid w:val="00E93A34"/>
    <w:rsid w:val="00E94741"/>
    <w:rsid w:val="00E95D4B"/>
    <w:rsid w:val="00EA0C15"/>
    <w:rsid w:val="00EA207E"/>
    <w:rsid w:val="00EA2B6D"/>
    <w:rsid w:val="00EA2D70"/>
    <w:rsid w:val="00EA3D17"/>
    <w:rsid w:val="00EA48D6"/>
    <w:rsid w:val="00EA5A47"/>
    <w:rsid w:val="00EA6FCB"/>
    <w:rsid w:val="00EB033E"/>
    <w:rsid w:val="00EB0E11"/>
    <w:rsid w:val="00EB183D"/>
    <w:rsid w:val="00EB3A63"/>
    <w:rsid w:val="00EB3ACB"/>
    <w:rsid w:val="00EB5047"/>
    <w:rsid w:val="00EB5A51"/>
    <w:rsid w:val="00EC15C8"/>
    <w:rsid w:val="00EC166F"/>
    <w:rsid w:val="00EC1CC9"/>
    <w:rsid w:val="00EC4FA1"/>
    <w:rsid w:val="00ED24DD"/>
    <w:rsid w:val="00ED3017"/>
    <w:rsid w:val="00ED31DD"/>
    <w:rsid w:val="00ED6739"/>
    <w:rsid w:val="00ED72C9"/>
    <w:rsid w:val="00ED79B1"/>
    <w:rsid w:val="00EE1608"/>
    <w:rsid w:val="00EE2A4F"/>
    <w:rsid w:val="00EE331A"/>
    <w:rsid w:val="00EE3CD3"/>
    <w:rsid w:val="00EE4206"/>
    <w:rsid w:val="00EE55B5"/>
    <w:rsid w:val="00EE5C0A"/>
    <w:rsid w:val="00EE5EF1"/>
    <w:rsid w:val="00EE62F1"/>
    <w:rsid w:val="00EF035E"/>
    <w:rsid w:val="00EF0EF5"/>
    <w:rsid w:val="00EF29AA"/>
    <w:rsid w:val="00EF3418"/>
    <w:rsid w:val="00EF3CEF"/>
    <w:rsid w:val="00EF55C7"/>
    <w:rsid w:val="00F00C54"/>
    <w:rsid w:val="00F01590"/>
    <w:rsid w:val="00F016F6"/>
    <w:rsid w:val="00F048DA"/>
    <w:rsid w:val="00F0797D"/>
    <w:rsid w:val="00F10899"/>
    <w:rsid w:val="00F10B9A"/>
    <w:rsid w:val="00F11CE7"/>
    <w:rsid w:val="00F14F73"/>
    <w:rsid w:val="00F15BAD"/>
    <w:rsid w:val="00F16C3D"/>
    <w:rsid w:val="00F23F60"/>
    <w:rsid w:val="00F265B3"/>
    <w:rsid w:val="00F27DC2"/>
    <w:rsid w:val="00F301BD"/>
    <w:rsid w:val="00F31CA9"/>
    <w:rsid w:val="00F3298D"/>
    <w:rsid w:val="00F354CB"/>
    <w:rsid w:val="00F35E2B"/>
    <w:rsid w:val="00F3631B"/>
    <w:rsid w:val="00F376B0"/>
    <w:rsid w:val="00F4456C"/>
    <w:rsid w:val="00F47662"/>
    <w:rsid w:val="00F528BB"/>
    <w:rsid w:val="00F5435B"/>
    <w:rsid w:val="00F54449"/>
    <w:rsid w:val="00F54829"/>
    <w:rsid w:val="00F57A05"/>
    <w:rsid w:val="00F57BA4"/>
    <w:rsid w:val="00F57F42"/>
    <w:rsid w:val="00F62A8B"/>
    <w:rsid w:val="00F632F2"/>
    <w:rsid w:val="00F64999"/>
    <w:rsid w:val="00F662E6"/>
    <w:rsid w:val="00F705B7"/>
    <w:rsid w:val="00F71303"/>
    <w:rsid w:val="00F71615"/>
    <w:rsid w:val="00F717A6"/>
    <w:rsid w:val="00F757E2"/>
    <w:rsid w:val="00F83936"/>
    <w:rsid w:val="00F8603C"/>
    <w:rsid w:val="00F921A3"/>
    <w:rsid w:val="00F94615"/>
    <w:rsid w:val="00F94D93"/>
    <w:rsid w:val="00F96189"/>
    <w:rsid w:val="00F9674F"/>
    <w:rsid w:val="00F969DF"/>
    <w:rsid w:val="00FA31A9"/>
    <w:rsid w:val="00FA4562"/>
    <w:rsid w:val="00FB0ACD"/>
    <w:rsid w:val="00FB42DB"/>
    <w:rsid w:val="00FB517B"/>
    <w:rsid w:val="00FC3C3C"/>
    <w:rsid w:val="00FC472E"/>
    <w:rsid w:val="00FD66DA"/>
    <w:rsid w:val="00FD6EE4"/>
    <w:rsid w:val="00FE2AAF"/>
    <w:rsid w:val="00FE3B9B"/>
    <w:rsid w:val="00FE6AE6"/>
    <w:rsid w:val="00FF0017"/>
    <w:rsid w:val="00FF07F4"/>
    <w:rsid w:val="00FF1231"/>
    <w:rsid w:val="00FF21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64F1"/>
  <w15:chartTrackingRefBased/>
  <w15:docId w15:val="{8B9F0FDA-35DD-4A84-86B0-036C7150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9A0165"/>
    <w:pPr>
      <w:spacing w:line="360" w:lineRule="auto"/>
      <w:jc w:val="both"/>
    </w:pPr>
    <w:rPr>
      <w:rFonts w:cstheme="minorHAnsi"/>
      <w:lang w:eastAsia="en-GB"/>
    </w:rPr>
  </w:style>
  <w:style w:type="paragraph" w:styleId="Heading1">
    <w:name w:val="heading 1"/>
    <w:basedOn w:val="Normal"/>
    <w:next w:val="Normal"/>
    <w:link w:val="Heading1Char"/>
    <w:uiPriority w:val="9"/>
    <w:qFormat/>
    <w:rsid w:val="009A0165"/>
    <w:pPr>
      <w:spacing w:before="400"/>
      <w:outlineLvl w:val="0"/>
    </w:pPr>
    <w:rPr>
      <w:b/>
      <w:bCs/>
      <w:caps/>
      <w:lang w:val="en-US"/>
    </w:rPr>
  </w:style>
  <w:style w:type="paragraph" w:styleId="Heading2">
    <w:name w:val="heading 2"/>
    <w:basedOn w:val="Normal"/>
    <w:next w:val="Normal"/>
    <w:link w:val="Heading2Char"/>
    <w:uiPriority w:val="9"/>
    <w:unhideWhenUsed/>
    <w:qFormat/>
    <w:rsid w:val="009A0165"/>
    <w:pPr>
      <w:spacing w:before="400" w:line="480" w:lineRule="auto"/>
      <w:outlineLvl w:val="1"/>
    </w:pPr>
    <w:rPr>
      <w:b/>
      <w:bCs/>
      <w:i/>
      <w:iCs/>
      <w:lang w:val="en-US"/>
    </w:rPr>
  </w:style>
  <w:style w:type="paragraph" w:styleId="Heading3">
    <w:name w:val="heading 3"/>
    <w:basedOn w:val="Normal"/>
    <w:next w:val="Normal"/>
    <w:link w:val="Heading3Char"/>
    <w:uiPriority w:val="9"/>
    <w:unhideWhenUsed/>
    <w:qFormat/>
    <w:rsid w:val="009A0165"/>
    <w:pPr>
      <w:keepNext/>
      <w:keepLines/>
      <w:spacing w:before="400" w:line="480" w:lineRule="auto"/>
      <w:outlineLvl w:val="2"/>
    </w:pPr>
    <w:rPr>
      <w:rFonts w:eastAsiaTheme="majorEastAsia"/>
      <w:i/>
      <w:iCs/>
      <w:lang w:val="en-US"/>
    </w:rPr>
  </w:style>
  <w:style w:type="paragraph" w:styleId="Heading4">
    <w:name w:val="heading 4"/>
    <w:basedOn w:val="Normal"/>
    <w:next w:val="Normal"/>
    <w:link w:val="Heading4Char"/>
    <w:uiPriority w:val="9"/>
    <w:unhideWhenUsed/>
    <w:qFormat/>
    <w:rsid w:val="00EF29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29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2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67F6"/>
    <w:rPr>
      <w:color w:val="0563C1" w:themeColor="hyperlink"/>
      <w:u w:val="single"/>
    </w:rPr>
  </w:style>
  <w:style w:type="character" w:customStyle="1" w:styleId="TitlePage01AHChar">
    <w:name w:val="TitlePage01_AH Char"/>
    <w:basedOn w:val="DefaultParagraphFont"/>
    <w:link w:val="TitlePage01AH"/>
    <w:qFormat/>
    <w:rsid w:val="000F67F6"/>
    <w:rPr>
      <w:rFonts w:asciiTheme="majorHAnsi" w:eastAsia="Arial" w:hAnsiTheme="majorHAnsi" w:cs="Arial"/>
      <w:sz w:val="24"/>
      <w:szCs w:val="24"/>
      <w:lang w:eastAsia="en-GB"/>
    </w:rPr>
  </w:style>
  <w:style w:type="character" w:customStyle="1" w:styleId="TitlePage02AHChar">
    <w:name w:val="TitlePage02_AH Char"/>
    <w:basedOn w:val="DefaultParagraphFont"/>
    <w:link w:val="TitlePage02AH"/>
    <w:qFormat/>
    <w:rsid w:val="000F67F6"/>
    <w:rPr>
      <w:rFonts w:asciiTheme="majorHAnsi" w:eastAsia="Arial" w:hAnsiTheme="majorHAnsi" w:cs="Arial"/>
      <w:color w:val="434343"/>
      <w:sz w:val="24"/>
      <w:szCs w:val="24"/>
      <w:lang w:eastAsia="en-GB"/>
    </w:rPr>
  </w:style>
  <w:style w:type="paragraph" w:customStyle="1" w:styleId="TitlePage01AH">
    <w:name w:val="TitlePage01_AH"/>
    <w:link w:val="TitlePage01AHChar"/>
    <w:qFormat/>
    <w:rsid w:val="000F67F6"/>
    <w:pPr>
      <w:spacing w:after="480" w:line="276" w:lineRule="auto"/>
      <w:jc w:val="center"/>
    </w:pPr>
    <w:rPr>
      <w:rFonts w:asciiTheme="majorHAnsi" w:eastAsia="Arial" w:hAnsiTheme="majorHAnsi" w:cs="Arial"/>
      <w:sz w:val="24"/>
      <w:szCs w:val="24"/>
      <w:lang w:eastAsia="en-GB"/>
    </w:rPr>
  </w:style>
  <w:style w:type="paragraph" w:customStyle="1" w:styleId="TitlePage02AH">
    <w:name w:val="TitlePage02_AH"/>
    <w:link w:val="TitlePage02AHChar"/>
    <w:qFormat/>
    <w:rsid w:val="000F67F6"/>
    <w:pPr>
      <w:spacing w:after="360" w:line="276" w:lineRule="auto"/>
      <w:ind w:left="1435" w:hanging="868"/>
      <w:contextualSpacing/>
    </w:pPr>
    <w:rPr>
      <w:rFonts w:asciiTheme="majorHAnsi" w:eastAsia="Arial" w:hAnsiTheme="majorHAnsi" w:cs="Arial"/>
      <w:color w:val="434343"/>
      <w:sz w:val="24"/>
      <w:szCs w:val="24"/>
      <w:lang w:eastAsia="en-GB"/>
    </w:rPr>
  </w:style>
  <w:style w:type="character" w:styleId="Hyperlink">
    <w:name w:val="Hyperlink"/>
    <w:basedOn w:val="DefaultParagraphFont"/>
    <w:uiPriority w:val="99"/>
    <w:unhideWhenUsed/>
    <w:rsid w:val="00814FE1"/>
    <w:rPr>
      <w:color w:val="0563C1" w:themeColor="hyperlink"/>
      <w:u w:val="single"/>
    </w:rPr>
  </w:style>
  <w:style w:type="character" w:styleId="UnresolvedMention">
    <w:name w:val="Unresolved Mention"/>
    <w:basedOn w:val="DefaultParagraphFont"/>
    <w:uiPriority w:val="99"/>
    <w:semiHidden/>
    <w:unhideWhenUsed/>
    <w:qFormat/>
    <w:rsid w:val="00814FE1"/>
    <w:rPr>
      <w:color w:val="605E5C"/>
      <w:shd w:val="clear" w:color="auto" w:fill="E1DFDD"/>
    </w:rPr>
  </w:style>
  <w:style w:type="character" w:customStyle="1" w:styleId="Heading1Char">
    <w:name w:val="Heading 1 Char"/>
    <w:basedOn w:val="DefaultParagraphFont"/>
    <w:link w:val="Heading1"/>
    <w:uiPriority w:val="9"/>
    <w:rsid w:val="009A0165"/>
    <w:rPr>
      <w:rFonts w:cstheme="minorHAnsi"/>
      <w:b/>
      <w:bCs/>
      <w:caps/>
      <w:lang w:val="en-US" w:eastAsia="en-GB"/>
    </w:rPr>
  </w:style>
  <w:style w:type="character" w:customStyle="1" w:styleId="Heading2Char">
    <w:name w:val="Heading 2 Char"/>
    <w:basedOn w:val="DefaultParagraphFont"/>
    <w:link w:val="Heading2"/>
    <w:uiPriority w:val="9"/>
    <w:rsid w:val="009A0165"/>
    <w:rPr>
      <w:rFonts w:cstheme="minorHAnsi"/>
      <w:b/>
      <w:bCs/>
      <w:i/>
      <w:iCs/>
      <w:lang w:val="en-US" w:eastAsia="en-GB"/>
    </w:rPr>
  </w:style>
  <w:style w:type="character" w:customStyle="1" w:styleId="Heading3Char">
    <w:name w:val="Heading 3 Char"/>
    <w:basedOn w:val="DefaultParagraphFont"/>
    <w:link w:val="Heading3"/>
    <w:uiPriority w:val="9"/>
    <w:rsid w:val="009A0165"/>
    <w:rPr>
      <w:rFonts w:eastAsiaTheme="majorEastAsia" w:cstheme="minorHAnsi"/>
      <w:i/>
      <w:iCs/>
      <w:lang w:val="en-US" w:eastAsia="en-GB"/>
    </w:rPr>
  </w:style>
  <w:style w:type="character" w:customStyle="1" w:styleId="hgkelc">
    <w:name w:val="hgkelc"/>
    <w:basedOn w:val="DefaultParagraphFont"/>
    <w:rsid w:val="00E53E8C"/>
  </w:style>
  <w:style w:type="table" w:styleId="TableGrid">
    <w:name w:val="Table Grid"/>
    <w:basedOn w:val="TableNormal"/>
    <w:uiPriority w:val="39"/>
    <w:rsid w:val="00E5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sid w:val="00E53E8C"/>
    <w:rPr>
      <w:sz w:val="16"/>
      <w:szCs w:val="16"/>
    </w:rPr>
  </w:style>
  <w:style w:type="paragraph" w:styleId="CommentText">
    <w:name w:val="annotation text"/>
    <w:basedOn w:val="Normal"/>
    <w:link w:val="CommentTextChar"/>
    <w:uiPriority w:val="99"/>
    <w:unhideWhenUsed/>
    <w:qFormat/>
    <w:rsid w:val="00E53E8C"/>
    <w:pPr>
      <w:spacing w:line="240" w:lineRule="auto"/>
    </w:pPr>
    <w:rPr>
      <w:sz w:val="20"/>
      <w:szCs w:val="20"/>
    </w:rPr>
  </w:style>
  <w:style w:type="character" w:customStyle="1" w:styleId="CommentTextChar">
    <w:name w:val="Comment Text Char"/>
    <w:basedOn w:val="DefaultParagraphFont"/>
    <w:link w:val="CommentText"/>
    <w:uiPriority w:val="99"/>
    <w:qFormat/>
    <w:rsid w:val="00E53E8C"/>
    <w:rPr>
      <w:sz w:val="20"/>
      <w:szCs w:val="20"/>
    </w:rPr>
  </w:style>
  <w:style w:type="paragraph" w:styleId="BalloonText">
    <w:name w:val="Balloon Text"/>
    <w:basedOn w:val="Normal"/>
    <w:link w:val="BalloonTextChar"/>
    <w:uiPriority w:val="99"/>
    <w:semiHidden/>
    <w:unhideWhenUsed/>
    <w:rsid w:val="00E81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31F"/>
    <w:rPr>
      <w:rFonts w:ascii="Segoe UI" w:hAnsi="Segoe UI" w:cs="Segoe UI"/>
      <w:sz w:val="18"/>
      <w:szCs w:val="18"/>
    </w:rPr>
  </w:style>
  <w:style w:type="character" w:customStyle="1" w:styleId="ref-lnk">
    <w:name w:val="ref-lnk"/>
    <w:basedOn w:val="DefaultParagraphFont"/>
    <w:rsid w:val="00F3631B"/>
  </w:style>
  <w:style w:type="character" w:customStyle="1" w:styleId="off-screen">
    <w:name w:val="off-screen"/>
    <w:basedOn w:val="DefaultParagraphFont"/>
    <w:rsid w:val="00F3631B"/>
  </w:style>
  <w:style w:type="paragraph" w:styleId="CommentSubject">
    <w:name w:val="annotation subject"/>
    <w:basedOn w:val="CommentText"/>
    <w:next w:val="CommentText"/>
    <w:link w:val="CommentSubjectChar"/>
    <w:uiPriority w:val="99"/>
    <w:semiHidden/>
    <w:unhideWhenUsed/>
    <w:qFormat/>
    <w:rsid w:val="00572117"/>
    <w:rPr>
      <w:b/>
      <w:bCs/>
    </w:rPr>
  </w:style>
  <w:style w:type="character" w:customStyle="1" w:styleId="CommentSubjectChar">
    <w:name w:val="Comment Subject Char"/>
    <w:basedOn w:val="CommentTextChar"/>
    <w:link w:val="CommentSubject"/>
    <w:uiPriority w:val="99"/>
    <w:semiHidden/>
    <w:qFormat/>
    <w:rsid w:val="00572117"/>
    <w:rPr>
      <w:b/>
      <w:bCs/>
      <w:sz w:val="20"/>
      <w:szCs w:val="20"/>
    </w:rPr>
  </w:style>
  <w:style w:type="paragraph" w:styleId="Revision">
    <w:name w:val="Revision"/>
    <w:hidden/>
    <w:uiPriority w:val="99"/>
    <w:semiHidden/>
    <w:qFormat/>
    <w:rsid w:val="00EC166F"/>
    <w:pPr>
      <w:spacing w:after="0" w:line="240" w:lineRule="auto"/>
    </w:pPr>
  </w:style>
  <w:style w:type="paragraph" w:styleId="Header">
    <w:name w:val="header"/>
    <w:basedOn w:val="Normal"/>
    <w:link w:val="HeaderChar"/>
    <w:uiPriority w:val="99"/>
    <w:unhideWhenUsed/>
    <w:rsid w:val="00E16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ED4"/>
  </w:style>
  <w:style w:type="paragraph" w:styleId="Footer">
    <w:name w:val="footer"/>
    <w:basedOn w:val="Normal"/>
    <w:link w:val="FooterChar"/>
    <w:uiPriority w:val="99"/>
    <w:unhideWhenUsed/>
    <w:rsid w:val="00E16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ED4"/>
  </w:style>
  <w:style w:type="character" w:styleId="Emphasis">
    <w:name w:val="Emphasis"/>
    <w:basedOn w:val="DefaultParagraphFont"/>
    <w:uiPriority w:val="20"/>
    <w:qFormat/>
    <w:rsid w:val="00EF035E"/>
    <w:rPr>
      <w:i/>
      <w:iCs/>
    </w:rPr>
  </w:style>
  <w:style w:type="paragraph" w:styleId="ListParagraph">
    <w:name w:val="List Paragraph"/>
    <w:basedOn w:val="Normal"/>
    <w:uiPriority w:val="34"/>
    <w:qFormat/>
    <w:rsid w:val="00E857AF"/>
    <w:pPr>
      <w:ind w:left="720"/>
      <w:contextualSpacing/>
    </w:pPr>
  </w:style>
  <w:style w:type="paragraph" w:styleId="NormalWeb">
    <w:name w:val="Normal (Web)"/>
    <w:basedOn w:val="Normal"/>
    <w:uiPriority w:val="99"/>
    <w:unhideWhenUsed/>
    <w:rsid w:val="001978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qFormat/>
    <w:rsid w:val="00197821"/>
    <w:rPr>
      <w:color w:val="954F72" w:themeColor="followedHyperlink"/>
      <w:u w:val="single"/>
    </w:rPr>
  </w:style>
  <w:style w:type="character" w:styleId="LineNumber">
    <w:name w:val="line number"/>
    <w:basedOn w:val="DefaultParagraphFont"/>
    <w:uiPriority w:val="99"/>
    <w:unhideWhenUsed/>
    <w:rsid w:val="00793D86"/>
    <w:rPr>
      <w:color w:val="808080" w:themeColor="background1" w:themeShade="80"/>
      <w:sz w:val="16"/>
    </w:rPr>
  </w:style>
  <w:style w:type="character" w:customStyle="1" w:styleId="Heading4Char">
    <w:name w:val="Heading 4 Char"/>
    <w:basedOn w:val="DefaultParagraphFont"/>
    <w:link w:val="Heading4"/>
    <w:uiPriority w:val="9"/>
    <w:rsid w:val="00EF29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29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2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9AA"/>
    <w:rPr>
      <w:rFonts w:eastAsiaTheme="majorEastAsia" w:cstheme="majorBidi"/>
      <w:color w:val="272727" w:themeColor="text1" w:themeTint="D8"/>
    </w:rPr>
  </w:style>
  <w:style w:type="paragraph" w:styleId="Title">
    <w:name w:val="Title"/>
    <w:basedOn w:val="Normal"/>
    <w:next w:val="Normal"/>
    <w:link w:val="TitleChar"/>
    <w:uiPriority w:val="10"/>
    <w:qFormat/>
    <w:rsid w:val="00EF2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9AA"/>
    <w:pPr>
      <w:spacing w:before="160"/>
      <w:jc w:val="center"/>
    </w:pPr>
    <w:rPr>
      <w:i/>
      <w:iCs/>
      <w:color w:val="404040" w:themeColor="text1" w:themeTint="BF"/>
    </w:rPr>
  </w:style>
  <w:style w:type="character" w:customStyle="1" w:styleId="QuoteChar">
    <w:name w:val="Quote Char"/>
    <w:basedOn w:val="DefaultParagraphFont"/>
    <w:link w:val="Quote"/>
    <w:uiPriority w:val="29"/>
    <w:rsid w:val="00EF29AA"/>
    <w:rPr>
      <w:i/>
      <w:iCs/>
      <w:color w:val="404040" w:themeColor="text1" w:themeTint="BF"/>
    </w:rPr>
  </w:style>
  <w:style w:type="character" w:styleId="IntenseEmphasis">
    <w:name w:val="Intense Emphasis"/>
    <w:basedOn w:val="DefaultParagraphFont"/>
    <w:uiPriority w:val="21"/>
    <w:qFormat/>
    <w:rsid w:val="00EF29AA"/>
    <w:rPr>
      <w:i/>
      <w:iCs/>
      <w:color w:val="2F5496" w:themeColor="accent1" w:themeShade="BF"/>
    </w:rPr>
  </w:style>
  <w:style w:type="paragraph" w:styleId="IntenseQuote">
    <w:name w:val="Intense Quote"/>
    <w:basedOn w:val="Normal"/>
    <w:next w:val="Normal"/>
    <w:link w:val="IntenseQuoteChar"/>
    <w:uiPriority w:val="30"/>
    <w:qFormat/>
    <w:rsid w:val="00EF2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9AA"/>
    <w:rPr>
      <w:i/>
      <w:iCs/>
      <w:color w:val="2F5496" w:themeColor="accent1" w:themeShade="BF"/>
    </w:rPr>
  </w:style>
  <w:style w:type="character" w:styleId="IntenseReference">
    <w:name w:val="Intense Reference"/>
    <w:basedOn w:val="DefaultParagraphFont"/>
    <w:uiPriority w:val="32"/>
    <w:qFormat/>
    <w:rsid w:val="00EF29AA"/>
    <w:rPr>
      <w:b/>
      <w:bCs/>
      <w:smallCaps/>
      <w:color w:val="2F5496" w:themeColor="accent1" w:themeShade="BF"/>
      <w:spacing w:val="5"/>
    </w:rPr>
  </w:style>
  <w:style w:type="paragraph" w:styleId="TOC1">
    <w:name w:val="toc 1"/>
    <w:basedOn w:val="Normal"/>
    <w:next w:val="Normal"/>
    <w:autoRedefine/>
    <w:uiPriority w:val="39"/>
    <w:unhideWhenUsed/>
    <w:rsid w:val="009A0165"/>
    <w:pPr>
      <w:spacing w:after="100"/>
    </w:pPr>
    <w:rPr>
      <w:rFonts w:ascii="Calibri" w:eastAsiaTheme="minorEastAsia" w:hAnsi="Calibri" w:cs="Calibri"/>
      <w:lang w:eastAsia="zh-CN"/>
    </w:rPr>
  </w:style>
  <w:style w:type="paragraph" w:customStyle="1" w:styleId="Figure">
    <w:name w:val="Figure"/>
    <w:basedOn w:val="Normal"/>
    <w:link w:val="FigureChar"/>
    <w:qFormat/>
    <w:rsid w:val="009A0165"/>
    <w:pPr>
      <w:spacing w:before="160" w:after="400" w:line="276" w:lineRule="auto"/>
    </w:pPr>
    <w:rPr>
      <w:rFonts w:ascii="Calibri" w:eastAsiaTheme="minorEastAsia" w:hAnsi="Calibri" w:cs="Calibri"/>
      <w:i/>
      <w:iCs/>
      <w:lang w:eastAsia="zh-CN"/>
    </w:rPr>
  </w:style>
  <w:style w:type="character" w:customStyle="1" w:styleId="FigureChar">
    <w:name w:val="Figure Char"/>
    <w:basedOn w:val="DefaultParagraphFont"/>
    <w:link w:val="Figure"/>
    <w:rsid w:val="009A0165"/>
    <w:rPr>
      <w:rFonts w:ascii="Calibri" w:eastAsiaTheme="minorEastAsia" w:hAnsi="Calibri" w:cs="Calibri"/>
      <w:i/>
      <w:iCs/>
      <w:lang w:eastAsia="zh-CN"/>
    </w:rPr>
  </w:style>
  <w:style w:type="paragraph" w:customStyle="1" w:styleId="Figure1">
    <w:name w:val="Figure 1"/>
    <w:basedOn w:val="Normal"/>
    <w:link w:val="Figure1Char"/>
    <w:rsid w:val="009A0165"/>
    <w:pPr>
      <w:jc w:val="center"/>
    </w:pPr>
    <w:rPr>
      <w:rFonts w:ascii="Calibri" w:eastAsiaTheme="minorEastAsia" w:hAnsi="Calibri" w:cs="Calibri"/>
      <w:noProof/>
      <w:lang w:eastAsia="zh-CN"/>
    </w:rPr>
  </w:style>
  <w:style w:type="character" w:customStyle="1" w:styleId="Figure1Char">
    <w:name w:val="Figure 1 Char"/>
    <w:basedOn w:val="DefaultParagraphFont"/>
    <w:link w:val="Figure1"/>
    <w:rsid w:val="009A0165"/>
    <w:rPr>
      <w:rFonts w:ascii="Calibri" w:eastAsiaTheme="minorEastAsia" w:hAnsi="Calibri" w:cs="Calibri"/>
      <w:noProof/>
      <w:lang w:eastAsia="zh-CN"/>
    </w:rPr>
  </w:style>
  <w:style w:type="paragraph" w:customStyle="1" w:styleId="Table">
    <w:name w:val="Table"/>
    <w:basedOn w:val="Normal"/>
    <w:link w:val="TableChar"/>
    <w:qFormat/>
    <w:rsid w:val="009A0165"/>
    <w:pPr>
      <w:spacing w:before="400" w:after="200" w:line="276" w:lineRule="auto"/>
    </w:pPr>
    <w:rPr>
      <w:rFonts w:ascii="Calibri" w:eastAsiaTheme="minorEastAsia" w:hAnsi="Calibri" w:cs="Calibri"/>
      <w:i/>
      <w:iCs/>
      <w:lang w:eastAsia="zh-CN"/>
    </w:rPr>
  </w:style>
  <w:style w:type="character" w:customStyle="1" w:styleId="TableChar">
    <w:name w:val="Table Char"/>
    <w:basedOn w:val="DefaultParagraphFont"/>
    <w:link w:val="Table"/>
    <w:rsid w:val="009A0165"/>
    <w:rPr>
      <w:rFonts w:ascii="Calibri" w:eastAsiaTheme="minorEastAsia" w:hAnsi="Calibri" w:cs="Calibri"/>
      <w:i/>
      <w:iCs/>
      <w:lang w:eastAsia="zh-CN"/>
    </w:rPr>
  </w:style>
  <w:style w:type="paragraph" w:styleId="TOC2">
    <w:name w:val="toc 2"/>
    <w:basedOn w:val="Normal"/>
    <w:next w:val="Normal"/>
    <w:autoRedefine/>
    <w:uiPriority w:val="39"/>
    <w:unhideWhenUsed/>
    <w:rsid w:val="009A0165"/>
    <w:pPr>
      <w:spacing w:after="100"/>
      <w:ind w:left="220"/>
    </w:pPr>
    <w:rPr>
      <w:rFonts w:ascii="Calibri" w:eastAsiaTheme="minorEastAsia" w:hAnsi="Calibri" w:cs="Calibri"/>
      <w:lang w:eastAsia="zh-CN"/>
    </w:rPr>
  </w:style>
  <w:style w:type="paragraph" w:styleId="TOC3">
    <w:name w:val="toc 3"/>
    <w:basedOn w:val="Normal"/>
    <w:next w:val="Normal"/>
    <w:autoRedefine/>
    <w:uiPriority w:val="39"/>
    <w:unhideWhenUsed/>
    <w:rsid w:val="009A0165"/>
    <w:pPr>
      <w:spacing w:after="100"/>
      <w:ind w:left="440"/>
    </w:pPr>
    <w:rPr>
      <w:rFonts w:ascii="Calibri" w:eastAsiaTheme="minorEastAsia" w:hAnsi="Calibri" w:cs="Calibri"/>
      <w:lang w:eastAsia="zh-CN"/>
    </w:rPr>
  </w:style>
  <w:style w:type="paragraph" w:styleId="TOC4">
    <w:name w:val="toc 4"/>
    <w:basedOn w:val="Normal"/>
    <w:next w:val="Normal"/>
    <w:autoRedefine/>
    <w:uiPriority w:val="39"/>
    <w:unhideWhenUsed/>
    <w:rsid w:val="009A0165"/>
    <w:pPr>
      <w:spacing w:after="100"/>
      <w:ind w:left="660"/>
    </w:pPr>
    <w:rPr>
      <w:rFonts w:ascii="Calibri" w:eastAsiaTheme="minorEastAsia" w:hAnsi="Calibri" w:cs="Calibri"/>
      <w:lang w:eastAsia="zh-CN"/>
    </w:rPr>
  </w:style>
  <w:style w:type="paragraph" w:styleId="HTMLPreformatted">
    <w:name w:val="HTML Preformatted"/>
    <w:basedOn w:val="Normal"/>
    <w:link w:val="HTMLPreformattedChar"/>
    <w:uiPriority w:val="99"/>
    <w:semiHidden/>
    <w:unhideWhenUsed/>
    <w:rsid w:val="009A0165"/>
    <w:pPr>
      <w:spacing w:after="0" w:line="240" w:lineRule="auto"/>
    </w:pPr>
    <w:rPr>
      <w:rFonts w:ascii="Consolas" w:eastAsiaTheme="minorEastAsia" w:hAnsi="Consolas" w:cs="Calibri"/>
      <w:sz w:val="20"/>
      <w:szCs w:val="20"/>
      <w:lang w:eastAsia="zh-CN"/>
    </w:rPr>
  </w:style>
  <w:style w:type="character" w:customStyle="1" w:styleId="HTMLPreformattedChar">
    <w:name w:val="HTML Preformatted Char"/>
    <w:basedOn w:val="DefaultParagraphFont"/>
    <w:link w:val="HTMLPreformatted"/>
    <w:uiPriority w:val="99"/>
    <w:semiHidden/>
    <w:rsid w:val="009A0165"/>
    <w:rPr>
      <w:rFonts w:ascii="Consolas" w:eastAsiaTheme="minorEastAsia" w:hAnsi="Consolas" w:cs="Calibri"/>
      <w:sz w:val="20"/>
      <w:szCs w:val="20"/>
      <w:lang w:eastAsia="zh-CN"/>
    </w:rPr>
  </w:style>
  <w:style w:type="character" w:customStyle="1" w:styleId="TitleAHChar">
    <w:name w:val="Title_AH Char"/>
    <w:basedOn w:val="DefaultParagraphFont"/>
    <w:link w:val="TitleAH"/>
    <w:qFormat/>
    <w:rsid w:val="009A0165"/>
    <w:rPr>
      <w:rFonts w:asciiTheme="majorHAnsi" w:eastAsia="Arial" w:hAnsiTheme="majorHAnsi" w:cs="Arial"/>
      <w:sz w:val="28"/>
      <w:szCs w:val="40"/>
      <w:lang w:eastAsia="en-GB"/>
    </w:rPr>
  </w:style>
  <w:style w:type="character" w:customStyle="1" w:styleId="ListLabel1">
    <w:name w:val="ListLabel 1"/>
    <w:qFormat/>
    <w:rsid w:val="009A0165"/>
    <w:rPr>
      <w:rFonts w:asciiTheme="minorHAnsi" w:hAnsiTheme="minorHAnsi" w:cstheme="minorHAnsi"/>
      <w:color w:val="000000" w:themeColor="text1"/>
      <w:u w:val="none"/>
    </w:rPr>
  </w:style>
  <w:style w:type="character" w:customStyle="1" w:styleId="ListLabel2">
    <w:name w:val="ListLabel 2"/>
    <w:qFormat/>
    <w:rsid w:val="009A0165"/>
    <w:rPr>
      <w:rFonts w:asciiTheme="minorHAnsi" w:hAnsiTheme="minorHAnsi" w:cstheme="minorHAnsi"/>
      <w:color w:val="000000" w:themeColor="text1"/>
    </w:rPr>
  </w:style>
  <w:style w:type="character" w:customStyle="1" w:styleId="ListLabel3">
    <w:name w:val="ListLabel 3"/>
    <w:qFormat/>
    <w:rsid w:val="009A0165"/>
    <w:rPr>
      <w:rFonts w:asciiTheme="minorHAnsi" w:hAnsiTheme="minorHAnsi" w:cstheme="minorHAnsi"/>
      <w:sz w:val="22"/>
      <w:szCs w:val="22"/>
    </w:rPr>
  </w:style>
  <w:style w:type="paragraph" w:customStyle="1" w:styleId="Heading">
    <w:name w:val="Heading"/>
    <w:basedOn w:val="Normal"/>
    <w:next w:val="BodyText"/>
    <w:qFormat/>
    <w:rsid w:val="009A0165"/>
    <w:pPr>
      <w:keepNext/>
      <w:spacing w:before="240" w:after="120" w:line="240" w:lineRule="auto"/>
    </w:pPr>
    <w:rPr>
      <w:rFonts w:ascii="Arial" w:eastAsia="AR PL KaitiM GB" w:hAnsi="Arial" w:cs="FreeSans"/>
      <w:sz w:val="28"/>
      <w:szCs w:val="28"/>
      <w:lang w:eastAsia="zh-CN" w:bidi="hi-IN"/>
      <w14:ligatures w14:val="none"/>
    </w:rPr>
  </w:style>
  <w:style w:type="paragraph" w:styleId="BodyText">
    <w:name w:val="Body Text"/>
    <w:basedOn w:val="Normal"/>
    <w:link w:val="BodyTextChar"/>
    <w:rsid w:val="009A0165"/>
    <w:pPr>
      <w:spacing w:after="140" w:line="276" w:lineRule="auto"/>
    </w:pPr>
    <w:rPr>
      <w:rFonts w:ascii="Times New Roman" w:eastAsia="AR PL KaitiM GB" w:hAnsi="Times New Roman" w:cs="FreeSans"/>
      <w:sz w:val="24"/>
      <w:szCs w:val="24"/>
      <w:lang w:eastAsia="zh-CN" w:bidi="hi-IN"/>
      <w14:ligatures w14:val="none"/>
    </w:rPr>
  </w:style>
  <w:style w:type="character" w:customStyle="1" w:styleId="BodyTextChar">
    <w:name w:val="Body Text Char"/>
    <w:basedOn w:val="DefaultParagraphFont"/>
    <w:link w:val="BodyText"/>
    <w:rsid w:val="009A0165"/>
    <w:rPr>
      <w:rFonts w:ascii="Times New Roman" w:eastAsia="AR PL KaitiM GB" w:hAnsi="Times New Roman" w:cs="FreeSans"/>
      <w:sz w:val="24"/>
      <w:szCs w:val="24"/>
      <w:lang w:eastAsia="zh-CN" w:bidi="hi-IN"/>
      <w14:ligatures w14:val="none"/>
    </w:rPr>
  </w:style>
  <w:style w:type="paragraph" w:styleId="List">
    <w:name w:val="List"/>
    <w:basedOn w:val="BodyText"/>
    <w:rsid w:val="009A0165"/>
  </w:style>
  <w:style w:type="paragraph" w:styleId="Caption">
    <w:name w:val="caption"/>
    <w:basedOn w:val="Normal"/>
    <w:qFormat/>
    <w:rsid w:val="009A0165"/>
    <w:pPr>
      <w:suppressLineNumbers/>
      <w:spacing w:before="120" w:after="120" w:line="240" w:lineRule="auto"/>
    </w:pPr>
    <w:rPr>
      <w:rFonts w:ascii="Times New Roman" w:eastAsia="AR PL KaitiM GB" w:hAnsi="Times New Roman" w:cs="FreeSans"/>
      <w:i/>
      <w:iCs/>
      <w:sz w:val="24"/>
      <w:szCs w:val="24"/>
      <w:lang w:eastAsia="zh-CN" w:bidi="hi-IN"/>
      <w14:ligatures w14:val="none"/>
    </w:rPr>
  </w:style>
  <w:style w:type="paragraph" w:customStyle="1" w:styleId="Index">
    <w:name w:val="Index"/>
    <w:basedOn w:val="Normal"/>
    <w:qFormat/>
    <w:rsid w:val="009A0165"/>
    <w:pPr>
      <w:suppressLineNumbers/>
      <w:spacing w:after="0" w:line="240" w:lineRule="auto"/>
    </w:pPr>
    <w:rPr>
      <w:rFonts w:ascii="Times New Roman" w:eastAsia="AR PL KaitiM GB" w:hAnsi="Times New Roman" w:cs="FreeSans"/>
      <w:sz w:val="24"/>
      <w:szCs w:val="24"/>
      <w:lang w:eastAsia="zh-CN" w:bidi="hi-IN"/>
      <w14:ligatures w14:val="none"/>
    </w:rPr>
  </w:style>
  <w:style w:type="paragraph" w:customStyle="1" w:styleId="TitleAH">
    <w:name w:val="Title_AH"/>
    <w:basedOn w:val="Normal"/>
    <w:link w:val="TitleAHChar"/>
    <w:qFormat/>
    <w:rsid w:val="009A0165"/>
    <w:pPr>
      <w:keepNext/>
      <w:keepLines/>
      <w:spacing w:before="120" w:after="720" w:line="240" w:lineRule="auto"/>
      <w:jc w:val="center"/>
      <w:outlineLvl w:val="0"/>
    </w:pPr>
    <w:rPr>
      <w:rFonts w:asciiTheme="majorHAnsi" w:eastAsia="Arial" w:hAnsiTheme="majorHAnsi" w:cs="Arial"/>
      <w:sz w:val="28"/>
      <w:szCs w:val="40"/>
    </w:rPr>
  </w:style>
  <w:style w:type="character" w:customStyle="1" w:styleId="m-2194559642096681610defaultfonthxmailstyle">
    <w:name w:val="m_-2194559642096681610defaultfonthxmailstyle"/>
    <w:basedOn w:val="DefaultParagraphFont"/>
    <w:rsid w:val="009A0165"/>
  </w:style>
  <w:style w:type="character" w:customStyle="1" w:styleId="CommentTextChar1">
    <w:name w:val="Comment Text Char1"/>
    <w:basedOn w:val="DefaultParagraphFont"/>
    <w:uiPriority w:val="99"/>
    <w:semiHidden/>
    <w:rsid w:val="009A0165"/>
    <w:rPr>
      <w:rFonts w:ascii="Times New Roman" w:eastAsia="AR PL KaitiM GB" w:hAnsi="Times New Roman" w:cs="Mangal"/>
      <w:sz w:val="20"/>
      <w:szCs w:val="18"/>
      <w:lang w:eastAsia="zh-CN" w:bidi="hi-IN"/>
      <w14:ligatures w14:val="none"/>
    </w:rPr>
  </w:style>
  <w:style w:type="character" w:customStyle="1" w:styleId="CommentSubjectChar1">
    <w:name w:val="Comment Subject Char1"/>
    <w:basedOn w:val="CommentTextChar1"/>
    <w:uiPriority w:val="99"/>
    <w:semiHidden/>
    <w:rsid w:val="009A0165"/>
    <w:rPr>
      <w:rFonts w:ascii="Times New Roman" w:eastAsia="AR PL KaitiM GB" w:hAnsi="Times New Roman" w:cs="Mangal"/>
      <w:b/>
      <w:bCs/>
      <w:sz w:val="20"/>
      <w:szCs w:val="18"/>
      <w:lang w:eastAsia="zh-CN" w:bidi="hi-IN"/>
      <w14:ligatures w14:val="none"/>
    </w:rPr>
  </w:style>
  <w:style w:type="paragraph" w:styleId="TOCHeading">
    <w:name w:val="TOC Heading"/>
    <w:basedOn w:val="Heading1"/>
    <w:next w:val="Normal"/>
    <w:uiPriority w:val="39"/>
    <w:unhideWhenUsed/>
    <w:qFormat/>
    <w:rsid w:val="009A0165"/>
    <w:pPr>
      <w:keepNext/>
      <w:keepLines/>
      <w:spacing w:before="240" w:after="240" w:line="259" w:lineRule="auto"/>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NoSpacing">
    <w:name w:val="No Spacing"/>
    <w:uiPriority w:val="1"/>
    <w:qFormat/>
    <w:rsid w:val="009A0165"/>
    <w:pPr>
      <w:spacing w:after="0" w:line="240" w:lineRule="auto"/>
    </w:pPr>
    <w:rPr>
      <w:rFonts w:ascii="Times New Roman" w:eastAsia="AR PL KaitiM GB" w:hAnsi="Times New Roman" w:cs="Mangal"/>
      <w:sz w:val="24"/>
      <w:szCs w:val="21"/>
      <w:lang w:eastAsia="zh-CN" w:bidi="hi-IN"/>
      <w14:ligatures w14:val="none"/>
    </w:rPr>
  </w:style>
  <w:style w:type="paragraph" w:styleId="TOC5">
    <w:name w:val="toc 5"/>
    <w:basedOn w:val="Normal"/>
    <w:next w:val="Normal"/>
    <w:autoRedefine/>
    <w:uiPriority w:val="39"/>
    <w:unhideWhenUsed/>
    <w:rsid w:val="009A0165"/>
    <w:pPr>
      <w:spacing w:after="100" w:line="278" w:lineRule="auto"/>
      <w:ind w:left="960"/>
    </w:pPr>
    <w:rPr>
      <w:rFonts w:eastAsiaTheme="minorEastAsia"/>
      <w:sz w:val="24"/>
      <w:szCs w:val="24"/>
      <w:lang w:eastAsia="zh-CN"/>
    </w:rPr>
  </w:style>
  <w:style w:type="paragraph" w:styleId="TOC6">
    <w:name w:val="toc 6"/>
    <w:basedOn w:val="Normal"/>
    <w:next w:val="Normal"/>
    <w:autoRedefine/>
    <w:uiPriority w:val="39"/>
    <w:unhideWhenUsed/>
    <w:rsid w:val="009A0165"/>
    <w:pPr>
      <w:spacing w:after="100" w:line="278" w:lineRule="auto"/>
      <w:ind w:left="1200"/>
    </w:pPr>
    <w:rPr>
      <w:rFonts w:eastAsiaTheme="minorEastAsia"/>
      <w:sz w:val="24"/>
      <w:szCs w:val="24"/>
      <w:lang w:eastAsia="zh-CN"/>
    </w:rPr>
  </w:style>
  <w:style w:type="paragraph" w:styleId="TOC7">
    <w:name w:val="toc 7"/>
    <w:basedOn w:val="Normal"/>
    <w:next w:val="Normal"/>
    <w:autoRedefine/>
    <w:uiPriority w:val="39"/>
    <w:unhideWhenUsed/>
    <w:rsid w:val="009A0165"/>
    <w:pPr>
      <w:spacing w:after="100" w:line="278" w:lineRule="auto"/>
      <w:ind w:left="1440"/>
    </w:pPr>
    <w:rPr>
      <w:rFonts w:eastAsiaTheme="minorEastAsia"/>
      <w:sz w:val="24"/>
      <w:szCs w:val="24"/>
      <w:lang w:eastAsia="zh-CN"/>
    </w:rPr>
  </w:style>
  <w:style w:type="paragraph" w:styleId="TOC8">
    <w:name w:val="toc 8"/>
    <w:basedOn w:val="Normal"/>
    <w:next w:val="Normal"/>
    <w:autoRedefine/>
    <w:uiPriority w:val="39"/>
    <w:unhideWhenUsed/>
    <w:rsid w:val="009A0165"/>
    <w:pPr>
      <w:spacing w:after="100" w:line="278" w:lineRule="auto"/>
      <w:ind w:left="1680"/>
    </w:pPr>
    <w:rPr>
      <w:rFonts w:eastAsiaTheme="minorEastAsia"/>
      <w:sz w:val="24"/>
      <w:szCs w:val="24"/>
      <w:lang w:eastAsia="zh-CN"/>
    </w:rPr>
  </w:style>
  <w:style w:type="paragraph" w:styleId="TOC9">
    <w:name w:val="toc 9"/>
    <w:basedOn w:val="Normal"/>
    <w:next w:val="Normal"/>
    <w:autoRedefine/>
    <w:uiPriority w:val="39"/>
    <w:unhideWhenUsed/>
    <w:rsid w:val="009A0165"/>
    <w:pPr>
      <w:spacing w:after="100" w:line="278" w:lineRule="auto"/>
      <w:ind w:left="1920"/>
    </w:pPr>
    <w:rPr>
      <w:rFonts w:eastAsiaTheme="minorEastAsia"/>
      <w:sz w:val="24"/>
      <w:szCs w:val="24"/>
      <w:lang w:eastAsia="zh-CN"/>
    </w:rPr>
  </w:style>
  <w:style w:type="paragraph" w:customStyle="1" w:styleId="SHeading2">
    <w:name w:val="S Heading 2"/>
    <w:basedOn w:val="Heading3"/>
    <w:link w:val="SHeading2Char"/>
    <w:qFormat/>
    <w:rsid w:val="009A0165"/>
    <w:pPr>
      <w:spacing w:line="360" w:lineRule="auto"/>
    </w:pPr>
    <w:rPr>
      <w:rFonts w:ascii="Calibri" w:hAnsi="Calibri" w:cstheme="majorBidi"/>
      <w:b/>
      <w:bCs/>
      <w:lang w:eastAsia="zh-CN"/>
    </w:rPr>
  </w:style>
  <w:style w:type="character" w:customStyle="1" w:styleId="SHeading2Char">
    <w:name w:val="S Heading 2 Char"/>
    <w:basedOn w:val="Heading3Char"/>
    <w:link w:val="SHeading2"/>
    <w:rsid w:val="009A0165"/>
    <w:rPr>
      <w:rFonts w:ascii="Calibri" w:eastAsiaTheme="majorEastAsia" w:hAnsi="Calibri" w:cstheme="majorBidi"/>
      <w:b/>
      <w:bCs/>
      <w:i/>
      <w:iCs/>
      <w:lang w:val="en-US" w:eastAsia="zh-CN"/>
    </w:rPr>
  </w:style>
  <w:style w:type="paragraph" w:customStyle="1" w:styleId="SupplHeading2">
    <w:name w:val="Suppl. Heading 2"/>
    <w:basedOn w:val="SHeading2"/>
    <w:link w:val="SupplHeading2Char"/>
    <w:qFormat/>
    <w:rsid w:val="009A0165"/>
  </w:style>
  <w:style w:type="character" w:customStyle="1" w:styleId="SupplHeading2Char">
    <w:name w:val="Suppl. Heading 2 Char"/>
    <w:basedOn w:val="SHeading2Char"/>
    <w:link w:val="SupplHeading2"/>
    <w:rsid w:val="009A0165"/>
    <w:rPr>
      <w:rFonts w:ascii="Calibri" w:eastAsiaTheme="majorEastAsia" w:hAnsi="Calibri" w:cstheme="majorBidi"/>
      <w:b/>
      <w:bCs/>
      <w:i/>
      <w:iCs/>
      <w:lang w:val="en-US" w:eastAsia="zh-CN"/>
    </w:rPr>
  </w:style>
  <w:style w:type="paragraph" w:customStyle="1" w:styleId="SupplTable">
    <w:name w:val="Suppl Table"/>
    <w:basedOn w:val="Table"/>
    <w:link w:val="SupplTableChar"/>
    <w:qFormat/>
    <w:rsid w:val="009A0165"/>
  </w:style>
  <w:style w:type="character" w:customStyle="1" w:styleId="SupplTableChar">
    <w:name w:val="Suppl Table Char"/>
    <w:basedOn w:val="TableChar"/>
    <w:link w:val="SupplTable"/>
    <w:rsid w:val="009A0165"/>
    <w:rPr>
      <w:rFonts w:ascii="Calibri" w:eastAsiaTheme="minorEastAsia" w:hAnsi="Calibri" w:cs="Calibri"/>
      <w:i/>
      <w:iCs/>
      <w:lang w:eastAsia="zh-CN"/>
    </w:rPr>
  </w:style>
  <w:style w:type="paragraph" w:customStyle="1" w:styleId="SupplHeading3">
    <w:name w:val="Suppl. Heading 3"/>
    <w:basedOn w:val="Heading4"/>
    <w:link w:val="SupplHeading3Char"/>
    <w:qFormat/>
    <w:rsid w:val="009A0165"/>
    <w:pPr>
      <w:spacing w:before="400" w:after="160"/>
    </w:pPr>
    <w:rPr>
      <w:rFonts w:ascii="Calibri" w:hAnsi="Calibri"/>
      <w:lang w:eastAsia="zh-CN"/>
    </w:rPr>
  </w:style>
  <w:style w:type="character" w:customStyle="1" w:styleId="SupplHeading3Char">
    <w:name w:val="Suppl. Heading 3 Char"/>
    <w:basedOn w:val="Heading4Char"/>
    <w:link w:val="SupplHeading3"/>
    <w:rsid w:val="009A0165"/>
    <w:rPr>
      <w:rFonts w:ascii="Calibri" w:eastAsiaTheme="majorEastAsia" w:hAnsi="Calibri" w:cstheme="majorBidi"/>
      <w:i/>
      <w:iCs/>
      <w:color w:val="2F5496" w:themeColor="accent1" w:themeShade="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8710">
      <w:bodyDiv w:val="1"/>
      <w:marLeft w:val="0"/>
      <w:marRight w:val="0"/>
      <w:marTop w:val="0"/>
      <w:marBottom w:val="0"/>
      <w:divBdr>
        <w:top w:val="none" w:sz="0" w:space="0" w:color="auto"/>
        <w:left w:val="none" w:sz="0" w:space="0" w:color="auto"/>
        <w:bottom w:val="none" w:sz="0" w:space="0" w:color="auto"/>
        <w:right w:val="none" w:sz="0" w:space="0" w:color="auto"/>
      </w:divBdr>
      <w:divsChild>
        <w:div w:id="1607884617">
          <w:marLeft w:val="0"/>
          <w:marRight w:val="0"/>
          <w:marTop w:val="0"/>
          <w:marBottom w:val="0"/>
          <w:divBdr>
            <w:top w:val="none" w:sz="0" w:space="0" w:color="auto"/>
            <w:left w:val="none" w:sz="0" w:space="0" w:color="auto"/>
            <w:bottom w:val="none" w:sz="0" w:space="0" w:color="auto"/>
            <w:right w:val="none" w:sz="0" w:space="0" w:color="auto"/>
          </w:divBdr>
        </w:div>
      </w:divsChild>
    </w:div>
    <w:div w:id="171800241">
      <w:bodyDiv w:val="1"/>
      <w:marLeft w:val="0"/>
      <w:marRight w:val="0"/>
      <w:marTop w:val="0"/>
      <w:marBottom w:val="0"/>
      <w:divBdr>
        <w:top w:val="none" w:sz="0" w:space="0" w:color="auto"/>
        <w:left w:val="none" w:sz="0" w:space="0" w:color="auto"/>
        <w:bottom w:val="none" w:sz="0" w:space="0" w:color="auto"/>
        <w:right w:val="none" w:sz="0" w:space="0" w:color="auto"/>
      </w:divBdr>
      <w:divsChild>
        <w:div w:id="1330450627">
          <w:marLeft w:val="0"/>
          <w:marRight w:val="0"/>
          <w:marTop w:val="0"/>
          <w:marBottom w:val="0"/>
          <w:divBdr>
            <w:top w:val="none" w:sz="0" w:space="0" w:color="auto"/>
            <w:left w:val="none" w:sz="0" w:space="0" w:color="auto"/>
            <w:bottom w:val="none" w:sz="0" w:space="0" w:color="auto"/>
            <w:right w:val="none" w:sz="0" w:space="0" w:color="auto"/>
          </w:divBdr>
        </w:div>
      </w:divsChild>
    </w:div>
    <w:div w:id="203293043">
      <w:bodyDiv w:val="1"/>
      <w:marLeft w:val="0"/>
      <w:marRight w:val="0"/>
      <w:marTop w:val="0"/>
      <w:marBottom w:val="0"/>
      <w:divBdr>
        <w:top w:val="none" w:sz="0" w:space="0" w:color="auto"/>
        <w:left w:val="none" w:sz="0" w:space="0" w:color="auto"/>
        <w:bottom w:val="none" w:sz="0" w:space="0" w:color="auto"/>
        <w:right w:val="none" w:sz="0" w:space="0" w:color="auto"/>
      </w:divBdr>
      <w:divsChild>
        <w:div w:id="330525143">
          <w:marLeft w:val="0"/>
          <w:marRight w:val="0"/>
          <w:marTop w:val="0"/>
          <w:marBottom w:val="0"/>
          <w:divBdr>
            <w:top w:val="none" w:sz="0" w:space="0" w:color="auto"/>
            <w:left w:val="none" w:sz="0" w:space="0" w:color="auto"/>
            <w:bottom w:val="none" w:sz="0" w:space="0" w:color="auto"/>
            <w:right w:val="none" w:sz="0" w:space="0" w:color="auto"/>
          </w:divBdr>
        </w:div>
      </w:divsChild>
    </w:div>
    <w:div w:id="480124912">
      <w:bodyDiv w:val="1"/>
      <w:marLeft w:val="0"/>
      <w:marRight w:val="0"/>
      <w:marTop w:val="0"/>
      <w:marBottom w:val="0"/>
      <w:divBdr>
        <w:top w:val="none" w:sz="0" w:space="0" w:color="auto"/>
        <w:left w:val="none" w:sz="0" w:space="0" w:color="auto"/>
        <w:bottom w:val="none" w:sz="0" w:space="0" w:color="auto"/>
        <w:right w:val="none" w:sz="0" w:space="0" w:color="auto"/>
      </w:divBdr>
      <w:divsChild>
        <w:div w:id="333073230">
          <w:marLeft w:val="0"/>
          <w:marRight w:val="0"/>
          <w:marTop w:val="0"/>
          <w:marBottom w:val="0"/>
          <w:divBdr>
            <w:top w:val="none" w:sz="0" w:space="0" w:color="auto"/>
            <w:left w:val="none" w:sz="0" w:space="0" w:color="auto"/>
            <w:bottom w:val="none" w:sz="0" w:space="0" w:color="auto"/>
            <w:right w:val="none" w:sz="0" w:space="0" w:color="auto"/>
          </w:divBdr>
        </w:div>
      </w:divsChild>
    </w:div>
    <w:div w:id="622005363">
      <w:bodyDiv w:val="1"/>
      <w:marLeft w:val="0"/>
      <w:marRight w:val="0"/>
      <w:marTop w:val="0"/>
      <w:marBottom w:val="0"/>
      <w:divBdr>
        <w:top w:val="none" w:sz="0" w:space="0" w:color="auto"/>
        <w:left w:val="none" w:sz="0" w:space="0" w:color="auto"/>
        <w:bottom w:val="none" w:sz="0" w:space="0" w:color="auto"/>
        <w:right w:val="none" w:sz="0" w:space="0" w:color="auto"/>
      </w:divBdr>
      <w:divsChild>
        <w:div w:id="55125679">
          <w:marLeft w:val="0"/>
          <w:marRight w:val="0"/>
          <w:marTop w:val="0"/>
          <w:marBottom w:val="0"/>
          <w:divBdr>
            <w:top w:val="none" w:sz="0" w:space="0" w:color="auto"/>
            <w:left w:val="none" w:sz="0" w:space="0" w:color="auto"/>
            <w:bottom w:val="none" w:sz="0" w:space="0" w:color="auto"/>
            <w:right w:val="none" w:sz="0" w:space="0" w:color="auto"/>
          </w:divBdr>
        </w:div>
      </w:divsChild>
    </w:div>
    <w:div w:id="865754719">
      <w:bodyDiv w:val="1"/>
      <w:marLeft w:val="0"/>
      <w:marRight w:val="0"/>
      <w:marTop w:val="0"/>
      <w:marBottom w:val="0"/>
      <w:divBdr>
        <w:top w:val="none" w:sz="0" w:space="0" w:color="auto"/>
        <w:left w:val="none" w:sz="0" w:space="0" w:color="auto"/>
        <w:bottom w:val="none" w:sz="0" w:space="0" w:color="auto"/>
        <w:right w:val="none" w:sz="0" w:space="0" w:color="auto"/>
      </w:divBdr>
      <w:divsChild>
        <w:div w:id="1403018051">
          <w:marLeft w:val="0"/>
          <w:marRight w:val="0"/>
          <w:marTop w:val="0"/>
          <w:marBottom w:val="0"/>
          <w:divBdr>
            <w:top w:val="none" w:sz="0" w:space="0" w:color="auto"/>
            <w:left w:val="none" w:sz="0" w:space="0" w:color="auto"/>
            <w:bottom w:val="none" w:sz="0" w:space="0" w:color="auto"/>
            <w:right w:val="none" w:sz="0" w:space="0" w:color="auto"/>
          </w:divBdr>
        </w:div>
      </w:divsChild>
    </w:div>
    <w:div w:id="887105734">
      <w:bodyDiv w:val="1"/>
      <w:marLeft w:val="0"/>
      <w:marRight w:val="0"/>
      <w:marTop w:val="0"/>
      <w:marBottom w:val="0"/>
      <w:divBdr>
        <w:top w:val="none" w:sz="0" w:space="0" w:color="auto"/>
        <w:left w:val="none" w:sz="0" w:space="0" w:color="auto"/>
        <w:bottom w:val="none" w:sz="0" w:space="0" w:color="auto"/>
        <w:right w:val="none" w:sz="0" w:space="0" w:color="auto"/>
      </w:divBdr>
      <w:divsChild>
        <w:div w:id="1424254561">
          <w:marLeft w:val="0"/>
          <w:marRight w:val="0"/>
          <w:marTop w:val="0"/>
          <w:marBottom w:val="0"/>
          <w:divBdr>
            <w:top w:val="none" w:sz="0" w:space="0" w:color="auto"/>
            <w:left w:val="none" w:sz="0" w:space="0" w:color="auto"/>
            <w:bottom w:val="none" w:sz="0" w:space="0" w:color="auto"/>
            <w:right w:val="none" w:sz="0" w:space="0" w:color="auto"/>
          </w:divBdr>
        </w:div>
      </w:divsChild>
    </w:div>
    <w:div w:id="943070632">
      <w:bodyDiv w:val="1"/>
      <w:marLeft w:val="0"/>
      <w:marRight w:val="0"/>
      <w:marTop w:val="0"/>
      <w:marBottom w:val="0"/>
      <w:divBdr>
        <w:top w:val="none" w:sz="0" w:space="0" w:color="auto"/>
        <w:left w:val="none" w:sz="0" w:space="0" w:color="auto"/>
        <w:bottom w:val="none" w:sz="0" w:space="0" w:color="auto"/>
        <w:right w:val="none" w:sz="0" w:space="0" w:color="auto"/>
      </w:divBdr>
      <w:divsChild>
        <w:div w:id="1151560596">
          <w:marLeft w:val="0"/>
          <w:marRight w:val="0"/>
          <w:marTop w:val="0"/>
          <w:marBottom w:val="0"/>
          <w:divBdr>
            <w:top w:val="none" w:sz="0" w:space="0" w:color="auto"/>
            <w:left w:val="none" w:sz="0" w:space="0" w:color="auto"/>
            <w:bottom w:val="none" w:sz="0" w:space="0" w:color="auto"/>
            <w:right w:val="none" w:sz="0" w:space="0" w:color="auto"/>
          </w:divBdr>
        </w:div>
      </w:divsChild>
    </w:div>
    <w:div w:id="946734584">
      <w:bodyDiv w:val="1"/>
      <w:marLeft w:val="0"/>
      <w:marRight w:val="0"/>
      <w:marTop w:val="0"/>
      <w:marBottom w:val="0"/>
      <w:divBdr>
        <w:top w:val="none" w:sz="0" w:space="0" w:color="auto"/>
        <w:left w:val="none" w:sz="0" w:space="0" w:color="auto"/>
        <w:bottom w:val="none" w:sz="0" w:space="0" w:color="auto"/>
        <w:right w:val="none" w:sz="0" w:space="0" w:color="auto"/>
      </w:divBdr>
      <w:divsChild>
        <w:div w:id="570627649">
          <w:marLeft w:val="0"/>
          <w:marRight w:val="0"/>
          <w:marTop w:val="0"/>
          <w:marBottom w:val="0"/>
          <w:divBdr>
            <w:top w:val="none" w:sz="0" w:space="0" w:color="auto"/>
            <w:left w:val="none" w:sz="0" w:space="0" w:color="auto"/>
            <w:bottom w:val="none" w:sz="0" w:space="0" w:color="auto"/>
            <w:right w:val="none" w:sz="0" w:space="0" w:color="auto"/>
          </w:divBdr>
        </w:div>
      </w:divsChild>
    </w:div>
    <w:div w:id="1008413136">
      <w:bodyDiv w:val="1"/>
      <w:marLeft w:val="0"/>
      <w:marRight w:val="0"/>
      <w:marTop w:val="0"/>
      <w:marBottom w:val="0"/>
      <w:divBdr>
        <w:top w:val="none" w:sz="0" w:space="0" w:color="auto"/>
        <w:left w:val="none" w:sz="0" w:space="0" w:color="auto"/>
        <w:bottom w:val="none" w:sz="0" w:space="0" w:color="auto"/>
        <w:right w:val="none" w:sz="0" w:space="0" w:color="auto"/>
      </w:divBdr>
      <w:divsChild>
        <w:div w:id="1287541721">
          <w:marLeft w:val="0"/>
          <w:marRight w:val="0"/>
          <w:marTop w:val="0"/>
          <w:marBottom w:val="0"/>
          <w:divBdr>
            <w:top w:val="none" w:sz="0" w:space="0" w:color="auto"/>
            <w:left w:val="none" w:sz="0" w:space="0" w:color="auto"/>
            <w:bottom w:val="none" w:sz="0" w:space="0" w:color="auto"/>
            <w:right w:val="none" w:sz="0" w:space="0" w:color="auto"/>
          </w:divBdr>
        </w:div>
      </w:divsChild>
    </w:div>
    <w:div w:id="1011295142">
      <w:bodyDiv w:val="1"/>
      <w:marLeft w:val="0"/>
      <w:marRight w:val="0"/>
      <w:marTop w:val="0"/>
      <w:marBottom w:val="0"/>
      <w:divBdr>
        <w:top w:val="none" w:sz="0" w:space="0" w:color="auto"/>
        <w:left w:val="none" w:sz="0" w:space="0" w:color="auto"/>
        <w:bottom w:val="none" w:sz="0" w:space="0" w:color="auto"/>
        <w:right w:val="none" w:sz="0" w:space="0" w:color="auto"/>
      </w:divBdr>
    </w:div>
    <w:div w:id="1020425917">
      <w:bodyDiv w:val="1"/>
      <w:marLeft w:val="0"/>
      <w:marRight w:val="0"/>
      <w:marTop w:val="0"/>
      <w:marBottom w:val="0"/>
      <w:divBdr>
        <w:top w:val="none" w:sz="0" w:space="0" w:color="auto"/>
        <w:left w:val="none" w:sz="0" w:space="0" w:color="auto"/>
        <w:bottom w:val="none" w:sz="0" w:space="0" w:color="auto"/>
        <w:right w:val="none" w:sz="0" w:space="0" w:color="auto"/>
      </w:divBdr>
      <w:divsChild>
        <w:div w:id="993215474">
          <w:marLeft w:val="0"/>
          <w:marRight w:val="0"/>
          <w:marTop w:val="0"/>
          <w:marBottom w:val="0"/>
          <w:divBdr>
            <w:top w:val="none" w:sz="0" w:space="0" w:color="auto"/>
            <w:left w:val="none" w:sz="0" w:space="0" w:color="auto"/>
            <w:bottom w:val="none" w:sz="0" w:space="0" w:color="auto"/>
            <w:right w:val="none" w:sz="0" w:space="0" w:color="auto"/>
          </w:divBdr>
        </w:div>
      </w:divsChild>
    </w:div>
    <w:div w:id="1038773221">
      <w:bodyDiv w:val="1"/>
      <w:marLeft w:val="0"/>
      <w:marRight w:val="0"/>
      <w:marTop w:val="0"/>
      <w:marBottom w:val="0"/>
      <w:divBdr>
        <w:top w:val="none" w:sz="0" w:space="0" w:color="auto"/>
        <w:left w:val="none" w:sz="0" w:space="0" w:color="auto"/>
        <w:bottom w:val="none" w:sz="0" w:space="0" w:color="auto"/>
        <w:right w:val="none" w:sz="0" w:space="0" w:color="auto"/>
      </w:divBdr>
      <w:divsChild>
        <w:div w:id="1136145376">
          <w:marLeft w:val="0"/>
          <w:marRight w:val="0"/>
          <w:marTop w:val="0"/>
          <w:marBottom w:val="0"/>
          <w:divBdr>
            <w:top w:val="none" w:sz="0" w:space="0" w:color="auto"/>
            <w:left w:val="none" w:sz="0" w:space="0" w:color="auto"/>
            <w:bottom w:val="none" w:sz="0" w:space="0" w:color="auto"/>
            <w:right w:val="none" w:sz="0" w:space="0" w:color="auto"/>
          </w:divBdr>
        </w:div>
      </w:divsChild>
    </w:div>
    <w:div w:id="1155419334">
      <w:bodyDiv w:val="1"/>
      <w:marLeft w:val="0"/>
      <w:marRight w:val="0"/>
      <w:marTop w:val="0"/>
      <w:marBottom w:val="0"/>
      <w:divBdr>
        <w:top w:val="none" w:sz="0" w:space="0" w:color="auto"/>
        <w:left w:val="none" w:sz="0" w:space="0" w:color="auto"/>
        <w:bottom w:val="none" w:sz="0" w:space="0" w:color="auto"/>
        <w:right w:val="none" w:sz="0" w:space="0" w:color="auto"/>
      </w:divBdr>
      <w:divsChild>
        <w:div w:id="1870990986">
          <w:marLeft w:val="0"/>
          <w:marRight w:val="0"/>
          <w:marTop w:val="0"/>
          <w:marBottom w:val="0"/>
          <w:divBdr>
            <w:top w:val="none" w:sz="0" w:space="0" w:color="auto"/>
            <w:left w:val="none" w:sz="0" w:space="0" w:color="auto"/>
            <w:bottom w:val="none" w:sz="0" w:space="0" w:color="auto"/>
            <w:right w:val="none" w:sz="0" w:space="0" w:color="auto"/>
          </w:divBdr>
        </w:div>
      </w:divsChild>
    </w:div>
    <w:div w:id="1256481920">
      <w:bodyDiv w:val="1"/>
      <w:marLeft w:val="0"/>
      <w:marRight w:val="0"/>
      <w:marTop w:val="0"/>
      <w:marBottom w:val="0"/>
      <w:divBdr>
        <w:top w:val="none" w:sz="0" w:space="0" w:color="auto"/>
        <w:left w:val="none" w:sz="0" w:space="0" w:color="auto"/>
        <w:bottom w:val="none" w:sz="0" w:space="0" w:color="auto"/>
        <w:right w:val="none" w:sz="0" w:space="0" w:color="auto"/>
      </w:divBdr>
      <w:divsChild>
        <w:div w:id="1180511891">
          <w:marLeft w:val="0"/>
          <w:marRight w:val="0"/>
          <w:marTop w:val="0"/>
          <w:marBottom w:val="0"/>
          <w:divBdr>
            <w:top w:val="none" w:sz="0" w:space="0" w:color="auto"/>
            <w:left w:val="none" w:sz="0" w:space="0" w:color="auto"/>
            <w:bottom w:val="none" w:sz="0" w:space="0" w:color="auto"/>
            <w:right w:val="none" w:sz="0" w:space="0" w:color="auto"/>
          </w:divBdr>
        </w:div>
      </w:divsChild>
    </w:div>
    <w:div w:id="1393041708">
      <w:bodyDiv w:val="1"/>
      <w:marLeft w:val="0"/>
      <w:marRight w:val="0"/>
      <w:marTop w:val="0"/>
      <w:marBottom w:val="0"/>
      <w:divBdr>
        <w:top w:val="none" w:sz="0" w:space="0" w:color="auto"/>
        <w:left w:val="none" w:sz="0" w:space="0" w:color="auto"/>
        <w:bottom w:val="none" w:sz="0" w:space="0" w:color="auto"/>
        <w:right w:val="none" w:sz="0" w:space="0" w:color="auto"/>
      </w:divBdr>
    </w:div>
    <w:div w:id="1657029078">
      <w:bodyDiv w:val="1"/>
      <w:marLeft w:val="0"/>
      <w:marRight w:val="0"/>
      <w:marTop w:val="0"/>
      <w:marBottom w:val="0"/>
      <w:divBdr>
        <w:top w:val="none" w:sz="0" w:space="0" w:color="auto"/>
        <w:left w:val="none" w:sz="0" w:space="0" w:color="auto"/>
        <w:bottom w:val="none" w:sz="0" w:space="0" w:color="auto"/>
        <w:right w:val="none" w:sz="0" w:space="0" w:color="auto"/>
      </w:divBdr>
      <w:divsChild>
        <w:div w:id="1861426821">
          <w:marLeft w:val="0"/>
          <w:marRight w:val="0"/>
          <w:marTop w:val="0"/>
          <w:marBottom w:val="0"/>
          <w:divBdr>
            <w:top w:val="none" w:sz="0" w:space="0" w:color="auto"/>
            <w:left w:val="none" w:sz="0" w:space="0" w:color="auto"/>
            <w:bottom w:val="none" w:sz="0" w:space="0" w:color="auto"/>
            <w:right w:val="none" w:sz="0" w:space="0" w:color="auto"/>
          </w:divBdr>
        </w:div>
      </w:divsChild>
    </w:div>
    <w:div w:id="1755054843">
      <w:bodyDiv w:val="1"/>
      <w:marLeft w:val="0"/>
      <w:marRight w:val="0"/>
      <w:marTop w:val="0"/>
      <w:marBottom w:val="0"/>
      <w:divBdr>
        <w:top w:val="none" w:sz="0" w:space="0" w:color="auto"/>
        <w:left w:val="none" w:sz="0" w:space="0" w:color="auto"/>
        <w:bottom w:val="none" w:sz="0" w:space="0" w:color="auto"/>
        <w:right w:val="none" w:sz="0" w:space="0" w:color="auto"/>
      </w:divBdr>
      <w:divsChild>
        <w:div w:id="500657119">
          <w:marLeft w:val="0"/>
          <w:marRight w:val="0"/>
          <w:marTop w:val="0"/>
          <w:marBottom w:val="0"/>
          <w:divBdr>
            <w:top w:val="none" w:sz="0" w:space="0" w:color="auto"/>
            <w:left w:val="none" w:sz="0" w:space="0" w:color="auto"/>
            <w:bottom w:val="none" w:sz="0" w:space="0" w:color="auto"/>
            <w:right w:val="none" w:sz="0" w:space="0" w:color="auto"/>
          </w:divBdr>
        </w:div>
      </w:divsChild>
    </w:div>
    <w:div w:id="1786578542">
      <w:bodyDiv w:val="1"/>
      <w:marLeft w:val="0"/>
      <w:marRight w:val="0"/>
      <w:marTop w:val="0"/>
      <w:marBottom w:val="0"/>
      <w:divBdr>
        <w:top w:val="none" w:sz="0" w:space="0" w:color="auto"/>
        <w:left w:val="none" w:sz="0" w:space="0" w:color="auto"/>
        <w:bottom w:val="none" w:sz="0" w:space="0" w:color="auto"/>
        <w:right w:val="none" w:sz="0" w:space="0" w:color="auto"/>
      </w:divBdr>
      <w:divsChild>
        <w:div w:id="70008836">
          <w:marLeft w:val="0"/>
          <w:marRight w:val="0"/>
          <w:marTop w:val="0"/>
          <w:marBottom w:val="0"/>
          <w:divBdr>
            <w:top w:val="none" w:sz="0" w:space="0" w:color="auto"/>
            <w:left w:val="none" w:sz="0" w:space="0" w:color="auto"/>
            <w:bottom w:val="none" w:sz="0" w:space="0" w:color="auto"/>
            <w:right w:val="none" w:sz="0" w:space="0" w:color="auto"/>
          </w:divBdr>
        </w:div>
      </w:divsChild>
    </w:div>
    <w:div w:id="1875919735">
      <w:bodyDiv w:val="1"/>
      <w:marLeft w:val="0"/>
      <w:marRight w:val="0"/>
      <w:marTop w:val="0"/>
      <w:marBottom w:val="0"/>
      <w:divBdr>
        <w:top w:val="none" w:sz="0" w:space="0" w:color="auto"/>
        <w:left w:val="none" w:sz="0" w:space="0" w:color="auto"/>
        <w:bottom w:val="none" w:sz="0" w:space="0" w:color="auto"/>
        <w:right w:val="none" w:sz="0" w:space="0" w:color="auto"/>
      </w:divBdr>
      <w:divsChild>
        <w:div w:id="1089890861">
          <w:marLeft w:val="0"/>
          <w:marRight w:val="0"/>
          <w:marTop w:val="0"/>
          <w:marBottom w:val="0"/>
          <w:divBdr>
            <w:top w:val="none" w:sz="0" w:space="0" w:color="auto"/>
            <w:left w:val="none" w:sz="0" w:space="0" w:color="auto"/>
            <w:bottom w:val="none" w:sz="0" w:space="0" w:color="auto"/>
            <w:right w:val="none" w:sz="0" w:space="0" w:color="auto"/>
          </w:divBdr>
        </w:div>
      </w:divsChild>
    </w:div>
    <w:div w:id="1951425470">
      <w:bodyDiv w:val="1"/>
      <w:marLeft w:val="0"/>
      <w:marRight w:val="0"/>
      <w:marTop w:val="0"/>
      <w:marBottom w:val="0"/>
      <w:divBdr>
        <w:top w:val="none" w:sz="0" w:space="0" w:color="auto"/>
        <w:left w:val="none" w:sz="0" w:space="0" w:color="auto"/>
        <w:bottom w:val="none" w:sz="0" w:space="0" w:color="auto"/>
        <w:right w:val="none" w:sz="0" w:space="0" w:color="auto"/>
      </w:divBdr>
      <w:divsChild>
        <w:div w:id="1476220817">
          <w:marLeft w:val="0"/>
          <w:marRight w:val="0"/>
          <w:marTop w:val="0"/>
          <w:marBottom w:val="0"/>
          <w:divBdr>
            <w:top w:val="none" w:sz="0" w:space="0" w:color="auto"/>
            <w:left w:val="none" w:sz="0" w:space="0" w:color="auto"/>
            <w:bottom w:val="none" w:sz="0" w:space="0" w:color="auto"/>
            <w:right w:val="none" w:sz="0" w:space="0" w:color="auto"/>
          </w:divBdr>
        </w:div>
      </w:divsChild>
    </w:div>
    <w:div w:id="2038698920">
      <w:bodyDiv w:val="1"/>
      <w:marLeft w:val="0"/>
      <w:marRight w:val="0"/>
      <w:marTop w:val="0"/>
      <w:marBottom w:val="0"/>
      <w:divBdr>
        <w:top w:val="none" w:sz="0" w:space="0" w:color="auto"/>
        <w:left w:val="none" w:sz="0" w:space="0" w:color="auto"/>
        <w:bottom w:val="none" w:sz="0" w:space="0" w:color="auto"/>
        <w:right w:val="none" w:sz="0" w:space="0" w:color="auto"/>
      </w:divBdr>
      <w:divsChild>
        <w:div w:id="1999770044">
          <w:marLeft w:val="0"/>
          <w:marRight w:val="0"/>
          <w:marTop w:val="0"/>
          <w:marBottom w:val="0"/>
          <w:divBdr>
            <w:top w:val="none" w:sz="0" w:space="0" w:color="auto"/>
            <w:left w:val="none" w:sz="0" w:space="0" w:color="auto"/>
            <w:bottom w:val="none" w:sz="0" w:space="0" w:color="auto"/>
            <w:right w:val="none" w:sz="0" w:space="0" w:color="auto"/>
          </w:divBdr>
        </w:div>
      </w:divsChild>
    </w:div>
    <w:div w:id="2077043252">
      <w:bodyDiv w:val="1"/>
      <w:marLeft w:val="0"/>
      <w:marRight w:val="0"/>
      <w:marTop w:val="0"/>
      <w:marBottom w:val="0"/>
      <w:divBdr>
        <w:top w:val="none" w:sz="0" w:space="0" w:color="auto"/>
        <w:left w:val="none" w:sz="0" w:space="0" w:color="auto"/>
        <w:bottom w:val="none" w:sz="0" w:space="0" w:color="auto"/>
        <w:right w:val="none" w:sz="0" w:space="0" w:color="auto"/>
      </w:divBdr>
      <w:divsChild>
        <w:div w:id="2092044162">
          <w:marLeft w:val="0"/>
          <w:marRight w:val="0"/>
          <w:marTop w:val="0"/>
          <w:marBottom w:val="0"/>
          <w:divBdr>
            <w:top w:val="none" w:sz="0" w:space="0" w:color="auto"/>
            <w:left w:val="none" w:sz="0" w:space="0" w:color="auto"/>
            <w:bottom w:val="none" w:sz="0" w:space="0" w:color="auto"/>
            <w:right w:val="none" w:sz="0" w:space="0" w:color="auto"/>
          </w:divBdr>
        </w:div>
      </w:divsChild>
    </w:div>
    <w:div w:id="2143304086">
      <w:bodyDiv w:val="1"/>
      <w:marLeft w:val="0"/>
      <w:marRight w:val="0"/>
      <w:marTop w:val="0"/>
      <w:marBottom w:val="0"/>
      <w:divBdr>
        <w:top w:val="none" w:sz="0" w:space="0" w:color="auto"/>
        <w:left w:val="none" w:sz="0" w:space="0" w:color="auto"/>
        <w:bottom w:val="none" w:sz="0" w:space="0" w:color="auto"/>
        <w:right w:val="none" w:sz="0" w:space="0" w:color="auto"/>
      </w:divBdr>
      <w:divsChild>
        <w:div w:id="1178468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andrews@york.ac.uk"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orcid.org/0000-0001-8255-9120"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D6941-6A83-4BEC-BCC4-C70B1CCA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13541</Words>
  <Characters>77187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dc:creator>
  <cp:keywords/>
  <dc:description/>
  <cp:lastModifiedBy>Tim Andrews</cp:lastModifiedBy>
  <cp:revision>2</cp:revision>
  <dcterms:created xsi:type="dcterms:W3CDTF">2025-06-23T10:14:00Z</dcterms:created>
  <dcterms:modified xsi:type="dcterms:W3CDTF">2025-06-23T10:14:00Z</dcterms:modified>
</cp:coreProperties>
</file>