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467CA" w:rsidRDefault="006F2E25">
      <w:pPr>
        <w:spacing w:after="480"/>
        <w:jc w:val="center"/>
        <w:rPr>
          <w:rFonts w:ascii="Libre Baskerville" w:eastAsia="Libre Baskerville" w:hAnsi="Libre Baskerville" w:cs="Libre Baskerville"/>
          <w:b/>
          <w:sz w:val="24"/>
          <w:szCs w:val="24"/>
        </w:rPr>
      </w:pPr>
      <w:r>
        <w:rPr>
          <w:rFonts w:ascii="Libre Baskerville" w:eastAsia="Libre Baskerville" w:hAnsi="Libre Baskerville" w:cs="Libre Baskerville"/>
          <w:b/>
          <w:sz w:val="24"/>
          <w:szCs w:val="24"/>
        </w:rPr>
        <w:t>“Subject only to the Empire of time”: Gibbon and posterity</w:t>
      </w:r>
    </w:p>
    <w:p w14:paraId="12B8D41F" w14:textId="50651D3F" w:rsidR="00B35B79" w:rsidRPr="00B35B79" w:rsidRDefault="00B35B79">
      <w:pPr>
        <w:spacing w:after="480"/>
        <w:jc w:val="center"/>
        <w:rPr>
          <w:rFonts w:ascii="Libre Baskerville" w:eastAsia="Libre Baskerville" w:hAnsi="Libre Baskerville" w:cs="Libre Baskerville"/>
          <w:bCs/>
          <w:sz w:val="24"/>
          <w:szCs w:val="24"/>
        </w:rPr>
      </w:pPr>
      <w:r>
        <w:rPr>
          <w:rFonts w:ascii="Libre Baskerville" w:eastAsia="Libre Baskerville" w:hAnsi="Libre Baskerville" w:cs="Libre Baskerville"/>
          <w:bCs/>
          <w:sz w:val="24"/>
          <w:szCs w:val="24"/>
        </w:rPr>
        <w:t>Tim Stuart-Buttle</w:t>
      </w:r>
      <w:r>
        <w:rPr>
          <w:rFonts w:ascii="Libre Baskerville" w:eastAsia="Libre Baskerville" w:hAnsi="Libre Baskerville" w:cs="Libre Baskerville"/>
          <w:sz w:val="24"/>
          <w:szCs w:val="24"/>
          <w:vertAlign w:val="superscript"/>
        </w:rPr>
        <w:footnoteReference w:id="1"/>
      </w:r>
    </w:p>
    <w:p w14:paraId="00000002" w14:textId="0D748CC9" w:rsidR="00D467CA" w:rsidRDefault="006F2E25">
      <w:pPr>
        <w:spacing w:after="360" w:line="276" w:lineRule="auto"/>
        <w:ind w:left="1304" w:hanging="1304"/>
        <w:jc w:val="both"/>
        <w:rPr>
          <w:rFonts w:ascii="Libre Baskerville" w:eastAsia="Libre Baskerville" w:hAnsi="Libre Baskerville" w:cs="Libre Baskerville"/>
          <w:sz w:val="24"/>
          <w:szCs w:val="24"/>
        </w:rPr>
      </w:pPr>
      <w:r>
        <w:rPr>
          <w:rFonts w:ascii="Libre Baskerville" w:eastAsia="Libre Baskerville" w:hAnsi="Libre Baskerville" w:cs="Libre Baskerville"/>
          <w:b/>
          <w:sz w:val="24"/>
          <w:szCs w:val="24"/>
        </w:rPr>
        <w:t>Abstract:</w:t>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ab/>
      </w:r>
      <w:r w:rsidR="00234C7F">
        <w:rPr>
          <w:rFonts w:ascii="Libre Baskerville" w:eastAsia="Libre Baskerville" w:hAnsi="Libre Baskerville" w:cs="Libre Baskerville"/>
        </w:rPr>
        <w:t>A</w:t>
      </w:r>
      <w:r>
        <w:rPr>
          <w:rFonts w:ascii="Libre Baskerville" w:eastAsia="Libre Baskerville" w:hAnsi="Libre Baskerville" w:cs="Libre Baskerville"/>
        </w:rPr>
        <w:t>s numerous commentators</w:t>
      </w:r>
      <w:r w:rsidR="00234C7F">
        <w:rPr>
          <w:rFonts w:ascii="Libre Baskerville" w:eastAsia="Libre Baskerville" w:hAnsi="Libre Baskerville" w:cs="Libre Baskerville"/>
        </w:rPr>
        <w:t xml:space="preserve"> have</w:t>
      </w:r>
      <w:r>
        <w:rPr>
          <w:rFonts w:ascii="Libre Baskerville" w:eastAsia="Libre Baskerville" w:hAnsi="Libre Baskerville" w:cs="Libre Baskerville"/>
        </w:rPr>
        <w:t xml:space="preserve"> observe</w:t>
      </w:r>
      <w:r w:rsidR="00234C7F">
        <w:rPr>
          <w:rFonts w:ascii="Libre Baskerville" w:eastAsia="Libre Baskerville" w:hAnsi="Libre Baskerville" w:cs="Libre Baskerville"/>
        </w:rPr>
        <w:t>d</w:t>
      </w:r>
      <w:r>
        <w:rPr>
          <w:rFonts w:ascii="Libre Baskerville" w:eastAsia="Libre Baskerville" w:hAnsi="Libre Baskerville" w:cs="Libre Baskerville"/>
        </w:rPr>
        <w:t xml:space="preserve">, </w:t>
      </w:r>
      <w:r w:rsidR="00234C7F">
        <w:rPr>
          <w:rFonts w:ascii="Libre Baskerville" w:eastAsia="Libre Baskerville" w:hAnsi="Libre Baskerville" w:cs="Libre Baskerville"/>
        </w:rPr>
        <w:t xml:space="preserve">Gibbon’s unfinished </w:t>
      </w:r>
      <w:r w:rsidR="00234C7F">
        <w:rPr>
          <w:rFonts w:ascii="Libre Baskerville" w:eastAsia="Libre Baskerville" w:hAnsi="Libre Baskerville" w:cs="Libre Baskerville"/>
          <w:i/>
        </w:rPr>
        <w:t>Memoirs</w:t>
      </w:r>
      <w:r w:rsidR="00234C7F">
        <w:rPr>
          <w:rFonts w:ascii="Libre Baskerville" w:eastAsia="Libre Baskerville" w:hAnsi="Libre Baskerville" w:cs="Libre Baskerville"/>
        </w:rPr>
        <w:t xml:space="preserve"> </w:t>
      </w:r>
      <w:r>
        <w:rPr>
          <w:rFonts w:ascii="Libre Baskerville" w:eastAsia="Libre Baskerville" w:hAnsi="Libre Baskerville" w:cs="Libre Baskerville"/>
        </w:rPr>
        <w:t xml:space="preserve">give a </w:t>
      </w:r>
      <w:r w:rsidR="00234C7F">
        <w:rPr>
          <w:rFonts w:ascii="Libre Baskerville" w:eastAsia="Libre Baskerville" w:hAnsi="Libre Baskerville" w:cs="Libre Baskerville"/>
        </w:rPr>
        <w:t>speciously</w:t>
      </w:r>
      <w:r>
        <w:rPr>
          <w:rFonts w:ascii="Libre Baskerville" w:eastAsia="Libre Baskerville" w:hAnsi="Libre Baskerville" w:cs="Libre Baskerville"/>
        </w:rPr>
        <w:t xml:space="preserve"> linear account of his intellectual development. They imply that Gibbon was always destined to become the historian of the decline and fall of the Roman empire, underplaying the fact that, for years, he remained anxiously undecided about his subject. But the </w:t>
      </w:r>
      <w:r>
        <w:rPr>
          <w:rFonts w:ascii="Libre Baskerville" w:eastAsia="Libre Baskerville" w:hAnsi="Libre Baskerville" w:cs="Libre Baskerville"/>
          <w:i/>
        </w:rPr>
        <w:t>Memoirs</w:t>
      </w:r>
      <w:r>
        <w:rPr>
          <w:rFonts w:ascii="Libre Baskerville" w:eastAsia="Libre Baskerville" w:hAnsi="Libre Baskerville" w:cs="Libre Baskerville"/>
        </w:rPr>
        <w:t xml:space="preserve"> are more reliable in attesting to a key consideration that weighed heavily on Gibbon in </w:t>
      </w:r>
      <w:r>
        <w:rPr>
          <w:rFonts w:ascii="Libre Baskerville" w:eastAsia="Libre Baskerville" w:hAnsi="Libre Baskerville" w:cs="Libre Baskerville"/>
          <w:i/>
        </w:rPr>
        <w:t>seeking</w:t>
      </w:r>
      <w:r>
        <w:rPr>
          <w:rFonts w:ascii="Libre Baskerville" w:eastAsia="Libre Baskerville" w:hAnsi="Libre Baskerville" w:cs="Libre Baskerville"/>
        </w:rPr>
        <w:t xml:space="preserve"> a subject: namely, his determination to write a work that would </w:t>
      </w:r>
      <w:r w:rsidR="00234C7F">
        <w:rPr>
          <w:rFonts w:ascii="Libre Baskerville" w:eastAsia="Libre Baskerville" w:hAnsi="Libre Baskerville" w:cs="Libre Baskerville"/>
        </w:rPr>
        <w:t>command</w:t>
      </w:r>
      <w:r>
        <w:rPr>
          <w:rFonts w:ascii="Libre Baskerville" w:eastAsia="Libre Baskerville" w:hAnsi="Libre Baskerville" w:cs="Libre Baskerville"/>
        </w:rPr>
        <w:t xml:space="preserve"> the attention of posterity. From his earliest published work, the </w:t>
      </w:r>
      <w:r>
        <w:rPr>
          <w:rFonts w:ascii="Libre Baskerville" w:eastAsia="Libre Baskerville" w:hAnsi="Libre Baskerville" w:cs="Libre Baskerville"/>
          <w:i/>
        </w:rPr>
        <w:t xml:space="preserve">Essai sur </w:t>
      </w:r>
      <w:proofErr w:type="spellStart"/>
      <w:r>
        <w:rPr>
          <w:rFonts w:ascii="Libre Baskerville" w:eastAsia="Libre Baskerville" w:hAnsi="Libre Baskerville" w:cs="Libre Baskerville"/>
          <w:i/>
        </w:rPr>
        <w:t>l’étude</w:t>
      </w:r>
      <w:proofErr w:type="spellEnd"/>
      <w:r>
        <w:rPr>
          <w:rFonts w:ascii="Libre Baskerville" w:eastAsia="Libre Baskerville" w:hAnsi="Libre Baskerville" w:cs="Libre Baskerville"/>
          <w:i/>
        </w:rPr>
        <w:t xml:space="preserve"> de la </w:t>
      </w:r>
      <w:proofErr w:type="spellStart"/>
      <w:r>
        <w:rPr>
          <w:rFonts w:ascii="Libre Baskerville" w:eastAsia="Libre Baskerville" w:hAnsi="Libre Baskerville" w:cs="Libre Baskerville"/>
          <w:i/>
        </w:rPr>
        <w:t>littérature</w:t>
      </w:r>
      <w:proofErr w:type="spellEnd"/>
      <w:r>
        <w:rPr>
          <w:rFonts w:ascii="Libre Baskerville" w:eastAsia="Libre Baskerville" w:hAnsi="Libre Baskerville" w:cs="Libre Baskerville"/>
        </w:rPr>
        <w:t xml:space="preserve"> (1761) onward, Gibbon gave concerted attention to the question of the qualities that mark such “immortal” works. He concluded that their success lay in bequeathing to </w:t>
      </w:r>
      <w:r w:rsidR="00234C7F">
        <w:rPr>
          <w:rFonts w:ascii="Libre Baskerville" w:eastAsia="Libre Baskerville" w:hAnsi="Libre Baskerville" w:cs="Libre Baskerville"/>
        </w:rPr>
        <w:t>the future</w:t>
      </w:r>
      <w:r>
        <w:rPr>
          <w:rFonts w:ascii="Libre Baskerville" w:eastAsia="Libre Baskerville" w:hAnsi="Libre Baskerville" w:cs="Libre Baskerville"/>
        </w:rPr>
        <w:t xml:space="preserve"> an image of a mind of a particular kind: characterized above all by the qualities of elasticity, </w:t>
      </w:r>
      <w:proofErr w:type="spellStart"/>
      <w:r>
        <w:rPr>
          <w:rFonts w:ascii="Libre Baskerville" w:eastAsia="Libre Baskerville" w:hAnsi="Libre Baskerville" w:cs="Libre Baskerville"/>
        </w:rPr>
        <w:t>vigour</w:t>
      </w:r>
      <w:proofErr w:type="spellEnd"/>
      <w:r>
        <w:rPr>
          <w:rFonts w:ascii="Libre Baskerville" w:eastAsia="Libre Baskerville" w:hAnsi="Libre Baskerville" w:cs="Libre Baskerville"/>
        </w:rPr>
        <w:t>, good judgment, and freedom. Such qualities could only be cultivated by the study – initially as a disciple, subsequently as an equal and intimate friend – of other such minds, both living and (especially) dead. No other eighteenth-century historian was as determined to write for posterity; and perhaps this explains why only Gibbon succeeded in doing so. This essay turns to Gibbon himself for an explanation of how, and why, he did it.</w:t>
      </w:r>
    </w:p>
    <w:p w14:paraId="00000003" w14:textId="614CAC73"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What is it about Edward Gibbon’s </w:t>
      </w:r>
      <w:r>
        <w:rPr>
          <w:rFonts w:ascii="Libre Baskerville" w:eastAsia="Libre Baskerville" w:hAnsi="Libre Baskerville" w:cs="Libre Baskerville"/>
          <w:i/>
          <w:sz w:val="24"/>
          <w:szCs w:val="24"/>
        </w:rPr>
        <w:t>History of the Decline and Fall of the Roman Empire</w:t>
      </w:r>
      <w:r>
        <w:rPr>
          <w:rFonts w:ascii="Libre Baskerville" w:eastAsia="Libre Baskerville" w:hAnsi="Libre Baskerville" w:cs="Libre Baskerville"/>
          <w:sz w:val="24"/>
          <w:szCs w:val="24"/>
        </w:rPr>
        <w:t>? Published in six, forbiddingly hefty volumes between 1776 and 1788, it has, unlike other Enlightenment histories, never fallen out of print, even as it has occasionally been abbreviated – or even ‘bowdlerized’ – to suit the sensibilities (or to protect the innocence) of the reading public.</w:t>
      </w:r>
      <w:r>
        <w:rPr>
          <w:rFonts w:ascii="Libre Baskerville" w:eastAsia="Libre Baskerville" w:hAnsi="Libre Baskerville" w:cs="Libre Baskerville"/>
          <w:sz w:val="24"/>
          <w:szCs w:val="24"/>
          <w:vertAlign w:val="superscript"/>
        </w:rPr>
        <w:footnoteReference w:id="2"/>
      </w:r>
      <w:r>
        <w:rPr>
          <w:rFonts w:ascii="Libre Baskerville" w:eastAsia="Libre Baskerville" w:hAnsi="Libre Baskerville" w:cs="Libre Baskerville"/>
          <w:sz w:val="24"/>
          <w:szCs w:val="24"/>
        </w:rPr>
        <w:t xml:space="preserve"> It is likely that Walter Bagehot’s teasing challenge still speaks to many lay readers with broad intellectual interests, whose shelves </w:t>
      </w:r>
      <w:r w:rsidR="00234C7F">
        <w:rPr>
          <w:rFonts w:ascii="Libre Baskerville" w:eastAsia="Libre Baskerville" w:hAnsi="Libre Baskerville" w:cs="Libre Baskerville"/>
          <w:sz w:val="24"/>
          <w:szCs w:val="24"/>
        </w:rPr>
        <w:t>bow under the weight</w:t>
      </w:r>
      <w:r>
        <w:rPr>
          <w:rFonts w:ascii="Libre Baskerville" w:eastAsia="Libre Baskerville" w:hAnsi="Libre Baskerville" w:cs="Libre Baskerville"/>
          <w:sz w:val="24"/>
          <w:szCs w:val="24"/>
        </w:rPr>
        <w:t xml:space="preserve"> of the work: “You will </w:t>
      </w:r>
      <w:r>
        <w:rPr>
          <w:rFonts w:ascii="Libre Baskerville" w:eastAsia="Libre Baskerville" w:hAnsi="Libre Baskerville" w:cs="Libre Baskerville"/>
          <w:sz w:val="24"/>
          <w:szCs w:val="24"/>
        </w:rPr>
        <w:lastRenderedPageBreak/>
        <w:t>not like to take the book down; but you will think how much you could be delighted if you would.”</w:t>
      </w:r>
      <w:r>
        <w:rPr>
          <w:rFonts w:ascii="Libre Baskerville" w:eastAsia="Libre Baskerville" w:hAnsi="Libre Baskerville" w:cs="Libre Baskerville"/>
          <w:sz w:val="24"/>
          <w:szCs w:val="24"/>
          <w:vertAlign w:val="superscript"/>
        </w:rPr>
        <w:footnoteReference w:id="3"/>
      </w:r>
      <w:r>
        <w:rPr>
          <w:rFonts w:ascii="Libre Baskerville" w:eastAsia="Libre Baskerville" w:hAnsi="Libre Baskerville" w:cs="Libre Baskerville"/>
          <w:sz w:val="24"/>
          <w:szCs w:val="24"/>
        </w:rPr>
        <w:t xml:space="preserve"> Were they to do so, such readers might find, with Thomas Carlyle, that “the perusal of his work forms an epoch in the history of one’s mind.”</w:t>
      </w:r>
      <w:r>
        <w:rPr>
          <w:rFonts w:ascii="Libre Baskerville" w:eastAsia="Libre Baskerville" w:hAnsi="Libre Baskerville" w:cs="Libre Baskerville"/>
          <w:sz w:val="24"/>
          <w:szCs w:val="24"/>
          <w:vertAlign w:val="superscript"/>
        </w:rPr>
        <w:footnoteReference w:id="4"/>
      </w:r>
      <w:r>
        <w:rPr>
          <w:rFonts w:ascii="Libre Baskerville" w:eastAsia="Libre Baskerville" w:hAnsi="Libre Baskerville" w:cs="Libre Baskerville"/>
          <w:sz w:val="24"/>
          <w:szCs w:val="24"/>
        </w:rPr>
        <w:t xml:space="preserve"> They might even agree, with Gibbon, that his “prolixity has never been blamed by any reader of taste and curiosity.”</w:t>
      </w:r>
      <w:r>
        <w:rPr>
          <w:rFonts w:ascii="Libre Baskerville" w:eastAsia="Libre Baskerville" w:hAnsi="Libre Baskerville" w:cs="Libre Baskerville"/>
          <w:sz w:val="24"/>
          <w:szCs w:val="24"/>
          <w:vertAlign w:val="superscript"/>
        </w:rPr>
        <w:footnoteReference w:id="5"/>
      </w:r>
      <w:r>
        <w:rPr>
          <w:rFonts w:ascii="Libre Baskerville" w:eastAsia="Libre Baskerville" w:hAnsi="Libre Baskerville" w:cs="Libre Baskerville"/>
          <w:sz w:val="24"/>
          <w:szCs w:val="24"/>
        </w:rPr>
        <w:t xml:space="preserve"> What explains the continued allure of the </w:t>
      </w:r>
      <w:r>
        <w:rPr>
          <w:rFonts w:ascii="Libre Baskerville" w:eastAsia="Libre Baskerville" w:hAnsi="Libre Baskerville" w:cs="Libre Baskerville"/>
          <w:i/>
          <w:sz w:val="24"/>
          <w:szCs w:val="24"/>
        </w:rPr>
        <w:t xml:space="preserve">Decline and Fall </w:t>
      </w:r>
      <w:r>
        <w:rPr>
          <w:rFonts w:ascii="Libre Baskerville" w:eastAsia="Libre Baskerville" w:hAnsi="Libre Baskerville" w:cs="Libre Baskerville"/>
          <w:sz w:val="24"/>
          <w:szCs w:val="24"/>
        </w:rPr>
        <w:t xml:space="preserve">to a non-specialist readership? What accounts for its power to enlarge the minds of those intrepid enough (and with sufficient </w:t>
      </w:r>
      <w:r w:rsidR="00234C7F">
        <w:rPr>
          <w:rFonts w:ascii="Libre Baskerville" w:eastAsia="Libre Baskerville" w:hAnsi="Libre Baskerville" w:cs="Libre Baskerville"/>
          <w:sz w:val="24"/>
          <w:szCs w:val="24"/>
        </w:rPr>
        <w:t>leisure</w:t>
      </w:r>
      <w:r>
        <w:rPr>
          <w:rFonts w:ascii="Libre Baskerville" w:eastAsia="Libre Baskerville" w:hAnsi="Libre Baskerville" w:cs="Libre Baskerville"/>
          <w:sz w:val="24"/>
          <w:szCs w:val="24"/>
        </w:rPr>
        <w:t>) to read it through?</w:t>
      </w:r>
    </w:p>
    <w:p w14:paraId="00000004" w14:textId="495070C2"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first answer for which Gibbon’s critics reached – whether they came to praise or to bury the work and its author – was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’s distinctive, inimitable style. “We seem,” as Virginia Woolf exclaimed, “for hours on end, mounted on a celestial rocking-horse which, as it gently sways up and down, remains rooted to a single spot.” The mind </w:t>
      </w:r>
      <w:r w:rsidR="00234C7F">
        <w:rPr>
          <w:rFonts w:ascii="Libre Baskerville" w:eastAsia="Libre Baskerville" w:hAnsi="Libre Baskerville" w:cs="Libre Baskerville"/>
          <w:sz w:val="24"/>
          <w:szCs w:val="24"/>
        </w:rPr>
        <w:t>is lulled. In the doldrums of “soporific idleness” we rue the absence of</w:t>
      </w:r>
      <w:r>
        <w:rPr>
          <w:rFonts w:ascii="Libre Baskerville" w:eastAsia="Libre Baskerville" w:hAnsi="Libre Baskerville" w:cs="Libre Baskerville"/>
          <w:sz w:val="24"/>
          <w:szCs w:val="24"/>
        </w:rPr>
        <w:t xml:space="preserve"> “the vivid partisanship of Macaulay,” or “the fitful and violent poetry of Carlyle;” and yet, as our attention returns to the book, “to our amazement we find that the rocking-horse has left the ground; we are mounted on a winged steed; we are sweeping in wide circles through the air and below us Europe unfolds; the ages change and pass; a miracle has taken place.”</w:t>
      </w:r>
      <w:r>
        <w:rPr>
          <w:rFonts w:ascii="Libre Baskerville" w:eastAsia="Libre Baskerville" w:hAnsi="Libre Baskerville" w:cs="Libre Baskerville"/>
          <w:sz w:val="24"/>
          <w:szCs w:val="24"/>
          <w:vertAlign w:val="superscript"/>
        </w:rPr>
        <w:footnoteReference w:id="6"/>
      </w:r>
      <w:r>
        <w:rPr>
          <w:rFonts w:ascii="Libre Baskerville" w:eastAsia="Libre Baskerville" w:hAnsi="Libre Baskerville" w:cs="Libre Baskerville"/>
          <w:sz w:val="24"/>
          <w:szCs w:val="24"/>
        </w:rPr>
        <w:t xml:space="preserve"> Bagehot reached for a rather less elevated simile to capture much the same experience: Gibbon’s narrative never “pulls up” or loses rhythm despite the chaotic events it describes; it instead “goes with a steady pace, like a Roman legion through a troubled century – </w:t>
      </w:r>
      <w:proofErr w:type="spellStart"/>
      <w:r>
        <w:rPr>
          <w:rFonts w:ascii="Libre Baskerville" w:eastAsia="Libre Baskerville" w:hAnsi="Libre Baskerville" w:cs="Libre Baskerville"/>
          <w:i/>
          <w:sz w:val="24"/>
          <w:szCs w:val="24"/>
        </w:rPr>
        <w:t>hoeret</w:t>
      </w:r>
      <w:proofErr w:type="spellEnd"/>
      <w:r>
        <w:rPr>
          <w:rFonts w:ascii="Libre Baskerville" w:eastAsia="Libre Baskerville" w:hAnsi="Libre Baskerville" w:cs="Libre Baskerville"/>
          <w:i/>
          <w:sz w:val="24"/>
          <w:szCs w:val="24"/>
        </w:rPr>
        <w:t xml:space="preserve"> </w:t>
      </w:r>
      <w:proofErr w:type="spellStart"/>
      <w:r>
        <w:rPr>
          <w:rFonts w:ascii="Libre Baskerville" w:eastAsia="Libre Baskerville" w:hAnsi="Libre Baskerville" w:cs="Libre Baskerville"/>
          <w:i/>
          <w:sz w:val="24"/>
          <w:szCs w:val="24"/>
        </w:rPr>
        <w:t>pede</w:t>
      </w:r>
      <w:proofErr w:type="spellEnd"/>
      <w:r>
        <w:rPr>
          <w:rFonts w:ascii="Libre Baskerville" w:eastAsia="Libre Baskerville" w:hAnsi="Libre Baskerville" w:cs="Libre Baskerville"/>
          <w:i/>
          <w:sz w:val="24"/>
          <w:szCs w:val="24"/>
        </w:rPr>
        <w:t xml:space="preserve"> pes</w:t>
      </w:r>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up hill</w:t>
      </w:r>
      <w:proofErr w:type="spellEnd"/>
      <w:r>
        <w:rPr>
          <w:rFonts w:ascii="Libre Baskerville" w:eastAsia="Libre Baskerville" w:hAnsi="Libre Baskerville" w:cs="Libre Baskerville"/>
          <w:sz w:val="24"/>
          <w:szCs w:val="24"/>
        </w:rPr>
        <w:t xml:space="preserve"> and </w:t>
      </w:r>
      <w:proofErr w:type="spellStart"/>
      <w:r>
        <w:rPr>
          <w:rFonts w:ascii="Libre Baskerville" w:eastAsia="Libre Baskerville" w:hAnsi="Libre Baskerville" w:cs="Libre Baskerville"/>
          <w:sz w:val="24"/>
          <w:szCs w:val="24"/>
        </w:rPr>
        <w:t>down hill</w:t>
      </w:r>
      <w:proofErr w:type="spellEnd"/>
      <w:r>
        <w:rPr>
          <w:rFonts w:ascii="Libre Baskerville" w:eastAsia="Libre Baskerville" w:hAnsi="Libre Baskerville" w:cs="Libre Baskerville"/>
          <w:sz w:val="24"/>
          <w:szCs w:val="24"/>
        </w:rPr>
        <w:t xml:space="preserve">, through marsh and thicket, through Goth or Parthian – the firm, defined array </w:t>
      </w:r>
      <w:r>
        <w:rPr>
          <w:rFonts w:ascii="Libre Baskerville" w:eastAsia="Libre Baskerville" w:hAnsi="Libre Baskerville" w:cs="Libre Baskerville"/>
          <w:sz w:val="24"/>
          <w:szCs w:val="24"/>
        </w:rPr>
        <w:lastRenderedPageBreak/>
        <w:t xml:space="preserve">passes forward – a type of order, and an emblem of </w:t>
      </w:r>
      <w:proofErr w:type="spellStart"/>
      <w:r>
        <w:rPr>
          <w:rFonts w:ascii="Libre Baskerville" w:eastAsia="Libre Baskerville" w:hAnsi="Libre Baskerville" w:cs="Libre Baskerville"/>
          <w:sz w:val="24"/>
          <w:szCs w:val="24"/>
        </w:rPr>
        <w:t>civilisation</w:t>
      </w:r>
      <w:proofErr w:type="spellEnd"/>
      <w:r>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vertAlign w:val="superscript"/>
        </w:rPr>
        <w:footnoteReference w:id="7"/>
      </w:r>
      <w:r>
        <w:rPr>
          <w:rFonts w:ascii="Libre Baskerville" w:eastAsia="Libre Baskerville" w:hAnsi="Libre Baskerville" w:cs="Libre Baskerville"/>
          <w:sz w:val="24"/>
          <w:szCs w:val="24"/>
        </w:rPr>
        <w:t xml:space="preserve"> Even Carlyle, who (as Woolf observed) was temperamentally disinclined to admire </w:t>
      </w:r>
      <w:r w:rsidR="00CB5880">
        <w:rPr>
          <w:rFonts w:ascii="Libre Baskerville" w:eastAsia="Libre Baskerville" w:hAnsi="Libre Baskerville" w:cs="Libre Baskerville"/>
          <w:sz w:val="24"/>
          <w:szCs w:val="24"/>
        </w:rPr>
        <w:t>its</w:t>
      </w:r>
      <w:r>
        <w:rPr>
          <w:rFonts w:ascii="Libre Baskerville" w:eastAsia="Libre Baskerville" w:hAnsi="Libre Baskerville" w:cs="Libre Baskerville"/>
          <w:sz w:val="24"/>
          <w:szCs w:val="24"/>
        </w:rPr>
        <w:t xml:space="preserve"> cool, detached style, was compelled to acknowledge “how gorgeously” Gibbon’s narrative “swing[s] across the gloomy and tumultuous chasm of those barbarous centuries” which connect “the antique with the modern ages.”</w:t>
      </w:r>
      <w:r>
        <w:rPr>
          <w:rFonts w:ascii="Libre Baskerville" w:eastAsia="Libre Baskerville" w:hAnsi="Libre Baskerville" w:cs="Libre Baskerville"/>
          <w:sz w:val="24"/>
          <w:szCs w:val="24"/>
          <w:vertAlign w:val="superscript"/>
        </w:rPr>
        <w:footnoteReference w:id="8"/>
      </w:r>
      <w:r>
        <w:rPr>
          <w:rFonts w:ascii="Libre Baskerville" w:eastAsia="Libre Baskerville" w:hAnsi="Libre Baskerville" w:cs="Libre Baskerville"/>
          <w:sz w:val="24"/>
          <w:szCs w:val="24"/>
        </w:rPr>
        <w:t xml:space="preserve"> If Gibbon’s early clerical critics were persuaded that beneath its rhetorical veneer “a poisonous snake […] lurks concealed in the grass” –</w:t>
      </w:r>
      <w:r w:rsidR="00CB5880">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Gibbon’s supposedly unhistorical animus towards Christianity – they nonetheless shared the view that his style had the power to allure and seduce the unwary reader.</w:t>
      </w:r>
      <w:r>
        <w:rPr>
          <w:rFonts w:ascii="Libre Baskerville" w:eastAsia="Libre Baskerville" w:hAnsi="Libre Baskerville" w:cs="Libre Baskerville"/>
          <w:sz w:val="24"/>
          <w:szCs w:val="24"/>
          <w:vertAlign w:val="superscript"/>
        </w:rPr>
        <w:footnoteReference w:id="9"/>
      </w:r>
      <w:r>
        <w:rPr>
          <w:rFonts w:ascii="Libre Baskerville" w:eastAsia="Libre Baskerville" w:hAnsi="Libre Baskerville" w:cs="Libre Baskerville"/>
          <w:sz w:val="24"/>
          <w:szCs w:val="24"/>
        </w:rPr>
        <w:t xml:space="preserve"> Whether extolled or excoriated, then, Gibbon’s inimitable style was the most, perhaps the only, truly distinctive feature of the work; and, as Lytton Strachey opined, “the style once fixed, everything else followed.”</w:t>
      </w:r>
      <w:r>
        <w:rPr>
          <w:rFonts w:ascii="Libre Baskerville" w:eastAsia="Libre Baskerville" w:hAnsi="Libre Baskerville" w:cs="Libre Baskerville"/>
          <w:sz w:val="24"/>
          <w:szCs w:val="24"/>
          <w:vertAlign w:val="superscript"/>
        </w:rPr>
        <w:footnoteReference w:id="10"/>
      </w:r>
    </w:p>
    <w:p w14:paraId="00000005" w14:textId="06DE1BDB"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Yet Gibbon’s style did </w:t>
      </w:r>
      <w:r>
        <w:rPr>
          <w:rFonts w:ascii="Libre Baskerville" w:eastAsia="Libre Baskerville" w:hAnsi="Libre Baskerville" w:cs="Libre Baskerville"/>
          <w:i/>
          <w:sz w:val="24"/>
          <w:szCs w:val="24"/>
        </w:rPr>
        <w:t>not</w:t>
      </w:r>
      <w:r>
        <w:rPr>
          <w:rFonts w:ascii="Libre Baskerville" w:eastAsia="Libre Baskerville" w:hAnsi="Libre Baskerville" w:cs="Libre Baskerville"/>
          <w:sz w:val="24"/>
          <w:szCs w:val="24"/>
        </w:rPr>
        <w:t xml:space="preserve"> come first. As Peter Ghosh notes, surprising though it may seem, historical narration on a grand scale did not come naturally to Gibbon.</w:t>
      </w:r>
      <w:r>
        <w:rPr>
          <w:rFonts w:ascii="Libre Baskerville" w:eastAsia="Libre Baskerville" w:hAnsi="Libre Baskerville" w:cs="Libre Baskerville"/>
          <w:sz w:val="24"/>
          <w:szCs w:val="24"/>
          <w:vertAlign w:val="superscript"/>
        </w:rPr>
        <w:footnoteReference w:id="11"/>
      </w:r>
      <w:r>
        <w:rPr>
          <w:rFonts w:ascii="Libre Baskerville" w:eastAsia="Libre Baskerville" w:hAnsi="Libre Baskerville" w:cs="Libre Baskerville"/>
          <w:sz w:val="24"/>
          <w:szCs w:val="24"/>
        </w:rPr>
        <w:t xml:space="preserve"> By his own confession, Gibbon had to work on it, to fix his “idiom to the proper tone, the peculiar mode of historical eloquence.”</w:t>
      </w:r>
      <w:r>
        <w:rPr>
          <w:rFonts w:ascii="Libre Baskerville" w:eastAsia="Libre Baskerville" w:hAnsi="Libre Baskerville" w:cs="Libre Baskerville"/>
          <w:sz w:val="24"/>
          <w:szCs w:val="24"/>
          <w:vertAlign w:val="superscript"/>
        </w:rPr>
        <w:footnoteReference w:id="12"/>
      </w:r>
      <w:r>
        <w:rPr>
          <w:rFonts w:ascii="Libre Baskerville" w:eastAsia="Libre Baskerville" w:hAnsi="Libre Baskerville" w:cs="Libre Baskerville"/>
          <w:sz w:val="24"/>
          <w:szCs w:val="24"/>
        </w:rPr>
        <w:t xml:space="preserve"> His second and third volumes, </w:t>
      </w:r>
      <w:r w:rsidR="00CB5880">
        <w:rPr>
          <w:rFonts w:ascii="Libre Baskerville" w:eastAsia="Libre Baskerville" w:hAnsi="Libre Baskerville" w:cs="Libre Baskerville"/>
          <w:sz w:val="24"/>
          <w:szCs w:val="24"/>
        </w:rPr>
        <w:t>he reflected</w:t>
      </w:r>
      <w:r>
        <w:rPr>
          <w:rFonts w:ascii="Libre Baskerville" w:eastAsia="Libre Baskerville" w:hAnsi="Libre Baskerville" w:cs="Libre Baskerville"/>
          <w:sz w:val="24"/>
          <w:szCs w:val="24"/>
        </w:rPr>
        <w:t xml:space="preserve"> in 1781, revealed an “improvement of the style, [and] nor is it very surprising that my long practice should make a workman more </w:t>
      </w:r>
      <w:r>
        <w:rPr>
          <w:rFonts w:ascii="Libre Baskerville" w:eastAsia="Libre Baskerville" w:hAnsi="Libre Baskerville" w:cs="Libre Baskerville"/>
          <w:sz w:val="24"/>
          <w:szCs w:val="24"/>
        </w:rPr>
        <w:lastRenderedPageBreak/>
        <w:t>expert and ready at his trade.”</w:t>
      </w:r>
      <w:r>
        <w:rPr>
          <w:rFonts w:ascii="Libre Baskerville" w:eastAsia="Libre Baskerville" w:hAnsi="Libre Baskerville" w:cs="Libre Baskerville"/>
          <w:sz w:val="24"/>
          <w:szCs w:val="24"/>
          <w:vertAlign w:val="superscript"/>
        </w:rPr>
        <w:footnoteReference w:id="13"/>
      </w:r>
      <w:r>
        <w:rPr>
          <w:rFonts w:ascii="Libre Baskerville" w:eastAsia="Libre Baskerville" w:hAnsi="Libre Baskerville" w:cs="Libre Baskerville"/>
          <w:sz w:val="24"/>
          <w:szCs w:val="24"/>
        </w:rPr>
        <w:t xml:space="preserve"> Yet even then, the style was not finally “fixed.” In his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Gibbon again opines that the “somewhat crude and elaborate” style of the first volume had, in the second and third, “ripened into ease, correctness, and numbers; but,” he continues, “in the last three I may have been seduced by the facility of my pen, and the constant habit of speaking one language and writing another may have infused some mixture of Gallic idioms.”</w:t>
      </w:r>
      <w:r>
        <w:rPr>
          <w:rFonts w:ascii="Libre Baskerville" w:eastAsia="Libre Baskerville" w:hAnsi="Libre Baskerville" w:cs="Libre Baskerville"/>
          <w:sz w:val="24"/>
          <w:szCs w:val="24"/>
          <w:vertAlign w:val="superscript"/>
        </w:rPr>
        <w:footnoteReference w:id="14"/>
      </w:r>
      <w:r>
        <w:rPr>
          <w:rFonts w:ascii="Libre Baskerville" w:eastAsia="Libre Baskerville" w:hAnsi="Libre Baskerville" w:cs="Libre Baskerville"/>
          <w:i/>
          <w:sz w:val="24"/>
          <w:szCs w:val="24"/>
        </w:rPr>
        <w:t xml:space="preserve"> </w:t>
      </w:r>
      <w:r>
        <w:rPr>
          <w:rFonts w:ascii="Libre Baskerville" w:eastAsia="Libre Baskerville" w:hAnsi="Libre Baskerville" w:cs="Libre Baskerville"/>
          <w:sz w:val="24"/>
          <w:szCs w:val="24"/>
        </w:rPr>
        <w:t xml:space="preserve">In any event, as T. S. Eliot pointed out,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“would be of inferior literary value if it were insignificant as history;” it has “had a </w:t>
      </w:r>
      <w:r>
        <w:rPr>
          <w:rFonts w:ascii="Libre Baskerville" w:eastAsia="Libre Baskerville" w:hAnsi="Libre Baskerville" w:cs="Libre Baskerville"/>
          <w:i/>
          <w:sz w:val="24"/>
          <w:szCs w:val="24"/>
        </w:rPr>
        <w:t>literary</w:t>
      </w:r>
      <w:r>
        <w:rPr>
          <w:rFonts w:ascii="Libre Baskerville" w:eastAsia="Libre Baskerville" w:hAnsi="Libre Baskerville" w:cs="Libre Baskerville"/>
          <w:sz w:val="24"/>
          <w:szCs w:val="24"/>
        </w:rPr>
        <w:t xml:space="preserve"> influence upon English literature </w:t>
      </w:r>
      <w:r>
        <w:rPr>
          <w:rFonts w:ascii="Libre Baskerville" w:eastAsia="Libre Baskerville" w:hAnsi="Libre Baskerville" w:cs="Libre Baskerville"/>
          <w:i/>
          <w:sz w:val="24"/>
          <w:szCs w:val="24"/>
        </w:rPr>
        <w:t>not</w:t>
      </w:r>
      <w:r>
        <w:rPr>
          <w:rFonts w:ascii="Libre Baskerville" w:eastAsia="Libre Baskerville" w:hAnsi="Libre Baskerville" w:cs="Libre Baskerville"/>
          <w:sz w:val="24"/>
          <w:szCs w:val="24"/>
        </w:rPr>
        <w:t xml:space="preserve"> because it has been considered as literature,” but rather because it </w:t>
      </w:r>
      <w:r w:rsidR="00CB5880">
        <w:rPr>
          <w:rFonts w:ascii="Libre Baskerville" w:eastAsia="Libre Baskerville" w:hAnsi="Libre Baskerville" w:cs="Libre Baskerville"/>
          <w:sz w:val="24"/>
          <w:szCs w:val="24"/>
        </w:rPr>
        <w:t>is felt</w:t>
      </w:r>
      <w:r>
        <w:rPr>
          <w:rFonts w:ascii="Libre Baskerville" w:eastAsia="Libre Baskerville" w:hAnsi="Libre Baskerville" w:cs="Libre Baskerville"/>
          <w:sz w:val="24"/>
          <w:szCs w:val="24"/>
        </w:rPr>
        <w:t xml:space="preserve"> to say something significant, and significantly true, about the history of which it treats.</w:t>
      </w:r>
      <w:r>
        <w:rPr>
          <w:rFonts w:ascii="Libre Baskerville" w:eastAsia="Libre Baskerville" w:hAnsi="Libre Baskerville" w:cs="Libre Baskerville"/>
          <w:sz w:val="24"/>
          <w:szCs w:val="24"/>
          <w:vertAlign w:val="superscript"/>
        </w:rPr>
        <w:footnoteReference w:id="15"/>
      </w:r>
      <w:r>
        <w:rPr>
          <w:rFonts w:ascii="Libre Baskerville" w:eastAsia="Libre Baskerville" w:hAnsi="Libre Baskerville" w:cs="Libre Baskerville"/>
          <w:sz w:val="24"/>
          <w:szCs w:val="24"/>
        </w:rPr>
        <w:t xml:space="preserve"> Gibbon concurred. Responding in his </w:t>
      </w:r>
      <w:r>
        <w:rPr>
          <w:rFonts w:ascii="Libre Baskerville" w:eastAsia="Libre Baskerville" w:hAnsi="Libre Baskerville" w:cs="Libre Baskerville"/>
          <w:i/>
          <w:sz w:val="24"/>
          <w:szCs w:val="24"/>
        </w:rPr>
        <w:t>Vindication</w:t>
      </w:r>
      <w:r>
        <w:rPr>
          <w:rFonts w:ascii="Libre Baskerville" w:eastAsia="Libre Baskerville" w:hAnsi="Libre Baskerville" w:cs="Libre Baskerville"/>
          <w:sz w:val="24"/>
          <w:szCs w:val="24"/>
        </w:rPr>
        <w:t xml:space="preserve"> (1779) to critics of his first volume, and particularly of its two concluding chapters on the rise of Christianity, he observed that it was not sufficient for his work to be considered as “</w:t>
      </w:r>
      <w:r>
        <w:rPr>
          <w:rFonts w:ascii="Libre Baskerville" w:eastAsia="Libre Baskerville" w:hAnsi="Libre Baskerville" w:cs="Libre Baskerville"/>
          <w:i/>
          <w:sz w:val="24"/>
          <w:szCs w:val="24"/>
        </w:rPr>
        <w:t>a tale amusing enough</w:t>
      </w:r>
      <w:r>
        <w:rPr>
          <w:rFonts w:ascii="Libre Baskerville" w:eastAsia="Libre Baskerville" w:hAnsi="Libre Baskerville" w:cs="Libre Baskerville"/>
          <w:sz w:val="24"/>
          <w:szCs w:val="24"/>
        </w:rPr>
        <w:t>.” It would stand or fall according to whether it was judged “a fair and authentic history.”</w:t>
      </w:r>
      <w:r>
        <w:rPr>
          <w:rFonts w:ascii="Libre Baskerville" w:eastAsia="Libre Baskerville" w:hAnsi="Libre Baskerville" w:cs="Libre Baskerville"/>
          <w:sz w:val="24"/>
          <w:szCs w:val="24"/>
          <w:vertAlign w:val="superscript"/>
        </w:rPr>
        <w:footnoteReference w:id="16"/>
      </w:r>
      <w:r>
        <w:rPr>
          <w:rFonts w:ascii="Libre Baskerville" w:eastAsia="Libre Baskerville" w:hAnsi="Libre Baskerville" w:cs="Libre Baskerville"/>
          <w:sz w:val="24"/>
          <w:szCs w:val="24"/>
        </w:rPr>
        <w:t xml:space="preserve"> As Eliot </w:t>
      </w:r>
      <w:r w:rsidR="00CB5880">
        <w:rPr>
          <w:rFonts w:ascii="Libre Baskerville" w:eastAsia="Libre Baskerville" w:hAnsi="Libre Baskerville" w:cs="Libre Baskerville"/>
          <w:sz w:val="24"/>
          <w:szCs w:val="24"/>
        </w:rPr>
        <w:t>recognized</w:t>
      </w:r>
      <w:r>
        <w:rPr>
          <w:rFonts w:ascii="Libre Baskerville" w:eastAsia="Libre Baskerville" w:hAnsi="Libre Baskerville" w:cs="Libre Baskerville"/>
          <w:sz w:val="24"/>
          <w:szCs w:val="24"/>
        </w:rPr>
        <w:t xml:space="preserve">, a work that exercises such literary influence must speak of things that are themselves considered significant to readers – both at </w:t>
      </w:r>
      <w:r w:rsidR="00CB5880">
        <w:rPr>
          <w:rFonts w:ascii="Libre Baskerville" w:eastAsia="Libre Baskerville" w:hAnsi="Libre Baskerville" w:cs="Libre Baskerville"/>
          <w:sz w:val="24"/>
          <w:szCs w:val="24"/>
        </w:rPr>
        <w:t>the</w:t>
      </w:r>
      <w:r>
        <w:rPr>
          <w:rFonts w:ascii="Libre Baskerville" w:eastAsia="Libre Baskerville" w:hAnsi="Libre Baskerville" w:cs="Libre Baskerville"/>
          <w:sz w:val="24"/>
          <w:szCs w:val="24"/>
        </w:rPr>
        <w:t xml:space="preserve"> time of publication, and (for truly great works) for all time.</w:t>
      </w:r>
    </w:p>
    <w:p w14:paraId="67108052" w14:textId="77777777" w:rsidR="00CB5880"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Gibbon was acutely aware of the need to select his subject with care. Pre-empting Woolf’s image of a winged steed ascending to a celestial orbit but placing the author, rather than reader</w:t>
      </w:r>
      <w:r w:rsidR="00CB5880">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in the saddle, one of the contemporaries whom Gibbon most admired offered the following caution to budding authors: “One must always choose a good subject. The brainpower,” Montesquieu </w:t>
      </w:r>
      <w:r>
        <w:rPr>
          <w:rFonts w:ascii="Libre Baskerville" w:eastAsia="Libre Baskerville" w:hAnsi="Libre Baskerville" w:cs="Libre Baskerville"/>
          <w:sz w:val="24"/>
          <w:szCs w:val="24"/>
        </w:rPr>
        <w:lastRenderedPageBreak/>
        <w:t>continued, “you invest in a bad subject is like the gold you might put on a beggar’s outfit, whereas a good subject seems to lift you onto its wings.”</w:t>
      </w:r>
      <w:r>
        <w:rPr>
          <w:rFonts w:ascii="Libre Baskerville" w:eastAsia="Libre Baskerville" w:hAnsi="Libre Baskerville" w:cs="Libre Baskerville"/>
          <w:sz w:val="24"/>
          <w:szCs w:val="24"/>
          <w:vertAlign w:val="superscript"/>
        </w:rPr>
        <w:footnoteReference w:id="17"/>
      </w:r>
      <w:r>
        <w:rPr>
          <w:rFonts w:ascii="Libre Baskerville" w:eastAsia="Libre Baskerville" w:hAnsi="Libre Baskerville" w:cs="Libre Baskerville"/>
          <w:sz w:val="24"/>
          <w:szCs w:val="24"/>
        </w:rPr>
        <w:t xml:space="preserve"> </w:t>
      </w:r>
      <w:r w:rsidR="00CB5880">
        <w:rPr>
          <w:rFonts w:ascii="Libre Baskerville" w:eastAsia="Libre Baskerville" w:hAnsi="Libre Baskerville" w:cs="Libre Baskerville"/>
          <w:sz w:val="24"/>
          <w:szCs w:val="24"/>
        </w:rPr>
        <w:t>Gibbon’s</w:t>
      </w:r>
      <w:r>
        <w:rPr>
          <w:rFonts w:ascii="Libre Baskerville" w:eastAsia="Libre Baskerville" w:hAnsi="Libre Baskerville" w:cs="Libre Baskerville"/>
          <w:sz w:val="24"/>
          <w:szCs w:val="24"/>
        </w:rPr>
        <w:t xml:space="preserve"> eventual choice of subject had the significant advantage that many of his eighteenth-century European readers’ imaginations were already fertilized by an “acquaintance with the Romans,” which they had received from their classical education.</w:t>
      </w:r>
      <w:r>
        <w:rPr>
          <w:rFonts w:ascii="Libre Baskerville" w:eastAsia="Libre Baskerville" w:hAnsi="Libre Baskerville" w:cs="Libre Baskerville"/>
          <w:sz w:val="24"/>
          <w:szCs w:val="24"/>
          <w:vertAlign w:val="superscript"/>
        </w:rPr>
        <w:footnoteReference w:id="18"/>
      </w:r>
      <w:r>
        <w:rPr>
          <w:rFonts w:ascii="Libre Baskerville" w:eastAsia="Libre Baskerville" w:hAnsi="Libre Baskerville" w:cs="Libre Baskerville"/>
          <w:sz w:val="24"/>
          <w:szCs w:val="24"/>
        </w:rPr>
        <w:t xml:space="preserve"> “In the study of past events,” Gibbon observed, “our curiosity is stimulated by the immediate or indirect reference to ourselves;” and he was convinced that his contemporary audience was inclined – too inclined, perhaps – to draw direct parallels between ancient Rome and the world they inhabited.</w:t>
      </w:r>
      <w:r>
        <w:rPr>
          <w:rFonts w:ascii="Libre Baskerville" w:eastAsia="Libre Baskerville" w:hAnsi="Libre Baskerville" w:cs="Libre Baskerville"/>
          <w:sz w:val="24"/>
          <w:szCs w:val="24"/>
          <w:vertAlign w:val="superscript"/>
        </w:rPr>
        <w:footnoteReference w:id="19"/>
      </w:r>
      <w:r>
        <w:rPr>
          <w:rFonts w:ascii="Libre Baskerville" w:eastAsia="Libre Baskerville" w:hAnsi="Libre Baskerville" w:cs="Libre Baskerville"/>
          <w:sz w:val="24"/>
          <w:szCs w:val="24"/>
        </w:rPr>
        <w:t xml:space="preserve"> Prepared by the “ideas books may have given us of the greatness of that people,” they would identify with Gibbon’s own experience on his grand tour. To be “transported” to the ruins of Rome was to find oneself “almost in a dream,” populated by the ghosts of Romulus, Cicero, and Caesar.</w:t>
      </w:r>
      <w:r>
        <w:rPr>
          <w:rFonts w:ascii="Libre Baskerville" w:eastAsia="Libre Baskerville" w:hAnsi="Libre Baskerville" w:cs="Libre Baskerville"/>
          <w:sz w:val="24"/>
          <w:szCs w:val="24"/>
          <w:vertAlign w:val="superscript"/>
        </w:rPr>
        <w:footnoteReference w:id="20"/>
      </w:r>
      <w:r>
        <w:rPr>
          <w:rFonts w:ascii="Libre Baskerville" w:eastAsia="Libre Baskerville" w:hAnsi="Libre Baskerville" w:cs="Libre Baskerville"/>
          <w:sz w:val="24"/>
          <w:szCs w:val="24"/>
        </w:rPr>
        <w:t xml:space="preserve"> Images of Rome, both classical and Christian, informed the self-image of Gibbon’s age; and the works of Tacitus, Virgil, and Cicero sat alongside modern productions on early modern bookshelves, their authors waiting to be engaged with as contemporaries.</w:t>
      </w:r>
      <w:r>
        <w:rPr>
          <w:rFonts w:ascii="Libre Baskerville" w:eastAsia="Libre Baskerville" w:hAnsi="Libre Baskerville" w:cs="Libre Baskerville"/>
          <w:sz w:val="24"/>
          <w:szCs w:val="24"/>
          <w:vertAlign w:val="superscript"/>
        </w:rPr>
        <w:footnoteReference w:id="21"/>
      </w:r>
      <w:r>
        <w:rPr>
          <w:rFonts w:ascii="Libre Baskerville" w:eastAsia="Libre Baskerville" w:hAnsi="Libre Baskerville" w:cs="Libre Baskerville"/>
          <w:sz w:val="24"/>
          <w:szCs w:val="24"/>
        </w:rPr>
        <w:t xml:space="preserve"> </w:t>
      </w:r>
    </w:p>
    <w:p w14:paraId="036190F1" w14:textId="390A9C07" w:rsidR="00524D5B"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Few of Gibbon’s European readers would have questioned his judgment, in the opening chapter of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that the “revolution” of which he treated “will ever be remembered, and is still felt by the nations of the earth.”</w:t>
      </w:r>
      <w:r>
        <w:rPr>
          <w:rFonts w:ascii="Libre Baskerville" w:eastAsia="Libre Baskerville" w:hAnsi="Libre Baskerville" w:cs="Libre Baskerville"/>
          <w:sz w:val="24"/>
          <w:szCs w:val="24"/>
          <w:vertAlign w:val="superscript"/>
        </w:rPr>
        <w:footnoteReference w:id="22"/>
      </w:r>
      <w:r>
        <w:rPr>
          <w:rFonts w:ascii="Libre Baskerville" w:eastAsia="Libre Baskerville" w:hAnsi="Libre Baskerville" w:cs="Libre Baskerville"/>
          <w:sz w:val="24"/>
          <w:szCs w:val="24"/>
        </w:rPr>
        <w:t xml:space="preserve"> In </w:t>
      </w:r>
      <w:r>
        <w:rPr>
          <w:rFonts w:ascii="Libre Baskerville" w:eastAsia="Libre Baskerville" w:hAnsi="Libre Baskerville" w:cs="Libre Baskerville"/>
          <w:sz w:val="24"/>
          <w:szCs w:val="24"/>
        </w:rPr>
        <w:lastRenderedPageBreak/>
        <w:t>presenting them with “all that European civilization knew of her ancient past,”</w:t>
      </w:r>
      <w:r>
        <w:rPr>
          <w:rFonts w:ascii="Libre Baskerville" w:eastAsia="Libre Baskerville" w:hAnsi="Libre Baskerville" w:cs="Libre Baskerville"/>
          <w:sz w:val="24"/>
          <w:szCs w:val="24"/>
          <w:vertAlign w:val="superscript"/>
        </w:rPr>
        <w:footnoteReference w:id="23"/>
      </w:r>
      <w:r>
        <w:rPr>
          <w:rFonts w:ascii="Libre Baskerville" w:eastAsia="Libre Baskerville" w:hAnsi="Libre Baskerville" w:cs="Libre Baskerville"/>
          <w:sz w:val="24"/>
          <w:szCs w:val="24"/>
        </w:rPr>
        <w:t xml:space="preserve"> Gibbon thus addressed his readers as pre-existing members of “an interpretative community engaged in a rhetorical arbitration of their own history.”</w:t>
      </w:r>
      <w:r>
        <w:rPr>
          <w:rFonts w:ascii="Libre Baskerville" w:eastAsia="Libre Baskerville" w:hAnsi="Libre Baskerville" w:cs="Libre Baskerville"/>
          <w:sz w:val="24"/>
          <w:szCs w:val="24"/>
          <w:vertAlign w:val="superscript"/>
        </w:rPr>
        <w:footnoteReference w:id="24"/>
      </w:r>
      <w:r>
        <w:rPr>
          <w:rFonts w:ascii="Libre Baskerville" w:eastAsia="Libre Baskerville" w:hAnsi="Libre Baskerville" w:cs="Libre Baskerville"/>
          <w:sz w:val="24"/>
          <w:szCs w:val="24"/>
        </w:rPr>
        <w:t xml:space="preserve"> If Gibbon’s history indulged the “dream” of Rome that already lived in the imaginations of his contemporary readers, it did so with critical intent: to return the reader, as Gibbon returned from his own “pilgrimage” to the Eternal City in the mid-1760s, with an “enlarged view” that “reconciled” them to their own time and place by alerting them to its comparative advantages.</w:t>
      </w:r>
      <w:r>
        <w:rPr>
          <w:rFonts w:ascii="Libre Baskerville" w:eastAsia="Libre Baskerville" w:hAnsi="Libre Baskerville" w:cs="Libre Baskerville"/>
          <w:sz w:val="24"/>
          <w:szCs w:val="24"/>
          <w:vertAlign w:val="superscript"/>
        </w:rPr>
        <w:footnoteReference w:id="25"/>
      </w:r>
      <w:r>
        <w:rPr>
          <w:rFonts w:ascii="Libre Baskerville" w:eastAsia="Libre Baskerville" w:hAnsi="Libre Baskerville" w:cs="Libre Baskerville"/>
          <w:sz w:val="24"/>
          <w:szCs w:val="24"/>
        </w:rPr>
        <w:t xml:space="preserve">     </w:t>
      </w:r>
    </w:p>
    <w:p w14:paraId="00000007" w14:textId="11DF5FCD" w:rsidR="00D467CA" w:rsidRDefault="00524D5B">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It was suggested above that T</w:t>
      </w:r>
      <w:r w:rsidR="006F2E25">
        <w:rPr>
          <w:rFonts w:ascii="Libre Baskerville" w:eastAsia="Libre Baskerville" w:hAnsi="Libre Baskerville" w:cs="Libre Baskerville"/>
          <w:sz w:val="24"/>
          <w:szCs w:val="24"/>
        </w:rPr>
        <w:t xml:space="preserve">. S. Eliot appears to cede, on first appearances at least, the burden of explaining the success (in Gibbon’s lifetime, and subsequently) of the </w:t>
      </w:r>
      <w:r w:rsidR="006F2E25">
        <w:rPr>
          <w:rFonts w:ascii="Libre Baskerville" w:eastAsia="Libre Baskerville" w:hAnsi="Libre Baskerville" w:cs="Libre Baskerville"/>
          <w:i/>
          <w:sz w:val="24"/>
          <w:szCs w:val="24"/>
        </w:rPr>
        <w:t>Decline and Fall</w:t>
      </w:r>
      <w:r w:rsidR="006F2E25">
        <w:rPr>
          <w:rFonts w:ascii="Libre Baskerville" w:eastAsia="Libre Baskerville" w:hAnsi="Libre Baskerville" w:cs="Libre Baskerville"/>
          <w:sz w:val="24"/>
          <w:szCs w:val="24"/>
        </w:rPr>
        <w:t xml:space="preserve"> from the literary critic to the historian: to those few equipped to judge it on its historical merits. Gibbon certainly expressed a desire to be judged by his equals; but he was concerned, not unreasonably, that “it is very difficult to find” even one such individual, because few had the “leisure, </w:t>
      </w:r>
      <w:proofErr w:type="spellStart"/>
      <w:r w:rsidR="006F2E25">
        <w:rPr>
          <w:rFonts w:ascii="Libre Baskerville" w:eastAsia="Libre Baskerville" w:hAnsi="Libre Baskerville" w:cs="Libre Baskerville"/>
          <w:sz w:val="24"/>
          <w:szCs w:val="24"/>
        </w:rPr>
        <w:t>candour</w:t>
      </w:r>
      <w:proofErr w:type="spellEnd"/>
      <w:r w:rsidR="006F2E25">
        <w:rPr>
          <w:rFonts w:ascii="Libre Baskerville" w:eastAsia="Libre Baskerville" w:hAnsi="Libre Baskerville" w:cs="Libre Baskerville"/>
          <w:sz w:val="24"/>
          <w:szCs w:val="24"/>
        </w:rPr>
        <w:t xml:space="preserve">, freedom, </w:t>
      </w:r>
      <w:r w:rsidR="006F2E25">
        <w:rPr>
          <w:rFonts w:ascii="Libre Baskerville" w:eastAsia="Libre Baskerville" w:hAnsi="Libre Baskerville" w:cs="Libre Baskerville"/>
          <w:i/>
          <w:sz w:val="24"/>
          <w:szCs w:val="24"/>
        </w:rPr>
        <w:t>and knowledge</w:t>
      </w:r>
      <w:r w:rsidR="006F2E25">
        <w:rPr>
          <w:rFonts w:ascii="Libre Baskerville" w:eastAsia="Libre Baskerville" w:hAnsi="Libre Baskerville" w:cs="Libre Baskerville"/>
          <w:sz w:val="24"/>
          <w:szCs w:val="24"/>
        </w:rPr>
        <w:t xml:space="preserve"> sufficient” to act in this capacity.</w:t>
      </w:r>
      <w:r w:rsidR="006F2E25">
        <w:rPr>
          <w:rFonts w:ascii="Libre Baskerville" w:eastAsia="Libre Baskerville" w:hAnsi="Libre Baskerville" w:cs="Libre Baskerville"/>
          <w:sz w:val="24"/>
          <w:szCs w:val="24"/>
          <w:vertAlign w:val="superscript"/>
        </w:rPr>
        <w:footnoteReference w:id="26"/>
      </w:r>
      <w:r w:rsidR="006F2E25">
        <w:rPr>
          <w:rFonts w:ascii="Libre Baskerville" w:eastAsia="Libre Baskerville" w:hAnsi="Libre Baskerville" w:cs="Libre Baskerville"/>
          <w:sz w:val="24"/>
          <w:szCs w:val="24"/>
        </w:rPr>
        <w:t xml:space="preserve"> As the academic field of history has become increasingly specialized, so there has been an inevitable division of </w:t>
      </w:r>
      <w:proofErr w:type="spellStart"/>
      <w:r w:rsidR="006F2E25">
        <w:rPr>
          <w:rFonts w:ascii="Libre Baskerville" w:eastAsia="Libre Baskerville" w:hAnsi="Libre Baskerville" w:cs="Libre Baskerville"/>
          <w:sz w:val="24"/>
          <w:szCs w:val="24"/>
        </w:rPr>
        <w:t>labour</w:t>
      </w:r>
      <w:proofErr w:type="spellEnd"/>
      <w:r w:rsidR="006F2E25">
        <w:rPr>
          <w:rFonts w:ascii="Libre Baskerville" w:eastAsia="Libre Baskerville" w:hAnsi="Libre Baskerville" w:cs="Libre Baskerville"/>
          <w:sz w:val="24"/>
          <w:szCs w:val="24"/>
        </w:rPr>
        <w:t>. Opinions vary among scholars as to whether Gibbon’s interpretation</w:t>
      </w:r>
      <w:r w:rsidR="00CB5880">
        <w:rPr>
          <w:rFonts w:ascii="Libre Baskerville" w:eastAsia="Libre Baskerville" w:hAnsi="Libre Baskerville" w:cs="Libre Baskerville"/>
          <w:sz w:val="24"/>
          <w:szCs w:val="24"/>
        </w:rPr>
        <w:t>s</w:t>
      </w:r>
      <w:r w:rsidR="006F2E25">
        <w:rPr>
          <w:rFonts w:ascii="Libre Baskerville" w:eastAsia="Libre Baskerville" w:hAnsi="Libre Baskerville" w:cs="Libre Baskerville"/>
          <w:sz w:val="24"/>
          <w:szCs w:val="24"/>
        </w:rPr>
        <w:t xml:space="preserve"> of Rome’s fall, or Byzantium, or the rise to power of Islam and Christianity into the medieval period, have stood the test of time. Relatively few specialists in these fields, one suspects, still consider it necessary or worthwhile to engage with Gibbon “as a contemporary and equal who may be paid the compliment of criticism.”</w:t>
      </w:r>
      <w:r w:rsidR="006F2E25">
        <w:rPr>
          <w:rFonts w:ascii="Libre Baskerville" w:eastAsia="Libre Baskerville" w:hAnsi="Libre Baskerville" w:cs="Libre Baskerville"/>
          <w:sz w:val="24"/>
          <w:szCs w:val="24"/>
          <w:vertAlign w:val="superscript"/>
        </w:rPr>
        <w:footnoteReference w:id="27"/>
      </w:r>
      <w:r w:rsidR="006F2E25">
        <w:rPr>
          <w:rFonts w:ascii="Libre Baskerville" w:eastAsia="Libre Baskerville" w:hAnsi="Libre Baskerville" w:cs="Libre Baskerville"/>
          <w:sz w:val="24"/>
          <w:szCs w:val="24"/>
        </w:rPr>
        <w:t xml:space="preserve"> </w:t>
      </w:r>
      <w:r w:rsidR="008D3E99">
        <w:rPr>
          <w:rFonts w:ascii="Libre Baskerville" w:eastAsia="Libre Baskerville" w:hAnsi="Libre Baskerville" w:cs="Libre Baskerville"/>
          <w:sz w:val="24"/>
          <w:szCs w:val="24"/>
        </w:rPr>
        <w:t>However, i</w:t>
      </w:r>
      <w:r w:rsidR="006F2E25">
        <w:rPr>
          <w:rFonts w:ascii="Libre Baskerville" w:eastAsia="Libre Baskerville" w:hAnsi="Libre Baskerville" w:cs="Libre Baskerville"/>
          <w:sz w:val="24"/>
          <w:szCs w:val="24"/>
        </w:rPr>
        <w:t>nsofar as they are interested in the history of their sub-discipline</w:t>
      </w:r>
      <w:r w:rsidR="008D3E99">
        <w:rPr>
          <w:rFonts w:ascii="Libre Baskerville" w:eastAsia="Libre Baskerville" w:hAnsi="Libre Baskerville" w:cs="Libre Baskerville"/>
          <w:sz w:val="24"/>
          <w:szCs w:val="24"/>
        </w:rPr>
        <w:t xml:space="preserve"> </w:t>
      </w:r>
      <w:r w:rsidR="006F2E25">
        <w:rPr>
          <w:rFonts w:ascii="Libre Baskerville" w:eastAsia="Libre Baskerville" w:hAnsi="Libre Baskerville" w:cs="Libre Baskerville"/>
          <w:sz w:val="24"/>
          <w:szCs w:val="24"/>
        </w:rPr>
        <w:t xml:space="preserve">– something that </w:t>
      </w:r>
      <w:r w:rsidR="006F2E25">
        <w:rPr>
          <w:rFonts w:ascii="Libre Baskerville" w:eastAsia="Libre Baskerville" w:hAnsi="Libre Baskerville" w:cs="Libre Baskerville"/>
          <w:sz w:val="24"/>
          <w:szCs w:val="24"/>
        </w:rPr>
        <w:lastRenderedPageBreak/>
        <w:t xml:space="preserve">cannot be gainsaid – such scholars will surely find that Gibbon remains (and always </w:t>
      </w:r>
      <w:r w:rsidR="00CB5880">
        <w:rPr>
          <w:rFonts w:ascii="Libre Baskerville" w:eastAsia="Libre Baskerville" w:hAnsi="Libre Baskerville" w:cs="Libre Baskerville"/>
          <w:sz w:val="24"/>
          <w:szCs w:val="24"/>
        </w:rPr>
        <w:t xml:space="preserve">will </w:t>
      </w:r>
      <w:r w:rsidR="006F2E25">
        <w:rPr>
          <w:rFonts w:ascii="Libre Baskerville" w:eastAsia="Libre Baskerville" w:hAnsi="Libre Baskerville" w:cs="Libre Baskerville"/>
          <w:sz w:val="24"/>
          <w:szCs w:val="24"/>
        </w:rPr>
        <w:t>remain) essential reading.</w:t>
      </w:r>
      <w:r w:rsidR="006F2E25">
        <w:rPr>
          <w:rFonts w:ascii="Libre Baskerville" w:eastAsia="Libre Baskerville" w:hAnsi="Libre Baskerville" w:cs="Libre Baskerville"/>
          <w:sz w:val="24"/>
          <w:szCs w:val="24"/>
          <w:vertAlign w:val="superscript"/>
        </w:rPr>
        <w:footnoteReference w:id="28"/>
      </w:r>
      <w:r w:rsidR="006F2E25">
        <w:rPr>
          <w:rFonts w:ascii="Libre Baskerville" w:eastAsia="Libre Baskerville" w:hAnsi="Libre Baskerville" w:cs="Libre Baskerville"/>
          <w:sz w:val="24"/>
          <w:szCs w:val="24"/>
        </w:rPr>
        <w:t xml:space="preserve"> </w:t>
      </w:r>
    </w:p>
    <w:p w14:paraId="0C341620" w14:textId="77777777" w:rsidR="00CB5880"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Scholars of the eighteenth century have fewer doubts about the lasting value of Gibbon’s work as “an artefact of its age and culture,” and as a contribution to “European culture in the eighteenth century.”</w:t>
      </w:r>
      <w:r>
        <w:rPr>
          <w:rFonts w:ascii="Libre Baskerville" w:eastAsia="Libre Baskerville" w:hAnsi="Libre Baskerville" w:cs="Libre Baskerville"/>
          <w:sz w:val="24"/>
          <w:szCs w:val="24"/>
          <w:vertAlign w:val="superscript"/>
        </w:rPr>
        <w:footnoteReference w:id="29"/>
      </w:r>
      <w:r>
        <w:rPr>
          <w:rFonts w:ascii="Libre Baskerville" w:eastAsia="Libre Baskerville" w:hAnsi="Libre Baskerville" w:cs="Libre Baskerville"/>
          <w:sz w:val="24"/>
          <w:szCs w:val="24"/>
        </w:rPr>
        <w:t xml:space="preserve"> From their hands has issued a rich “stream of recent work bringing out the complexity of [Gibbon’s] intellectual vision and his relation to eighteenth-century thought.”</w:t>
      </w:r>
      <w:r>
        <w:rPr>
          <w:rFonts w:ascii="Libre Baskerville" w:eastAsia="Libre Baskerville" w:hAnsi="Libre Baskerville" w:cs="Libre Baskerville"/>
          <w:sz w:val="24"/>
          <w:szCs w:val="24"/>
          <w:vertAlign w:val="superscript"/>
        </w:rPr>
        <w:footnoteReference w:id="30"/>
      </w:r>
      <w:r>
        <w:rPr>
          <w:rFonts w:ascii="Libre Baskerville" w:eastAsia="Libre Baskerville" w:hAnsi="Libre Baskerville" w:cs="Libre Baskerville"/>
          <w:sz w:val="24"/>
          <w:szCs w:val="24"/>
        </w:rPr>
        <w:t xml:space="preserve">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provides a window into its age and culture because it collates and displays its achievements and ideals along with its limitations and prejudices. This is true in the field of source criticism: Gibbon, it is widely agreed, cannot be credited with developing a </w:t>
      </w:r>
      <w:sdt>
        <w:sdtPr>
          <w:tag w:val="goog_rdk_2"/>
          <w:id w:val="51358840"/>
        </w:sdtPr>
        <w:sdtEndPr/>
        <w:sdtContent/>
      </w:sdt>
      <w:r>
        <w:rPr>
          <w:rFonts w:ascii="Libre Baskerville" w:eastAsia="Libre Baskerville" w:hAnsi="Libre Baskerville" w:cs="Libre Baskerville"/>
          <w:sz w:val="24"/>
          <w:szCs w:val="24"/>
        </w:rPr>
        <w:t>more critical approach to his sources</w:t>
      </w:r>
      <w:r w:rsidR="00524D5B">
        <w:rPr>
          <w:rFonts w:ascii="Libre Baskerville" w:eastAsia="Libre Baskerville" w:hAnsi="Libre Baskerville" w:cs="Libre Baskerville"/>
          <w:sz w:val="24"/>
          <w:szCs w:val="24"/>
        </w:rPr>
        <w:t xml:space="preserve"> than was common at his time</w:t>
      </w:r>
      <w:r>
        <w:rPr>
          <w:rFonts w:ascii="Libre Baskerville" w:eastAsia="Libre Baskerville" w:hAnsi="Libre Baskerville" w:cs="Libre Baskerville"/>
          <w:sz w:val="24"/>
          <w:szCs w:val="24"/>
        </w:rPr>
        <w:t>, and his lack of German prevented him from appreciating the contemporary advances that were underway in this field.</w:t>
      </w:r>
      <w:r>
        <w:rPr>
          <w:rFonts w:ascii="Libre Baskerville" w:eastAsia="Libre Baskerville" w:hAnsi="Libre Baskerville" w:cs="Libre Baskerville"/>
          <w:sz w:val="24"/>
          <w:szCs w:val="24"/>
          <w:vertAlign w:val="superscript"/>
        </w:rPr>
        <w:footnoteReference w:id="31"/>
      </w:r>
      <w:r>
        <w:rPr>
          <w:rFonts w:ascii="Libre Baskerville" w:eastAsia="Libre Baskerville" w:hAnsi="Libre Baskerville" w:cs="Libre Baskerville"/>
          <w:sz w:val="24"/>
          <w:szCs w:val="24"/>
        </w:rPr>
        <w:t xml:space="preserve"> Gibbon was no archival sleuth; he worked primarily from printed materials. He relied upon the herculean </w:t>
      </w:r>
      <w:proofErr w:type="spellStart"/>
      <w:r>
        <w:rPr>
          <w:rFonts w:ascii="Libre Baskerville" w:eastAsia="Libre Baskerville" w:hAnsi="Libre Baskerville" w:cs="Libre Baskerville"/>
          <w:sz w:val="24"/>
          <w:szCs w:val="24"/>
        </w:rPr>
        <w:t>labours</w:t>
      </w:r>
      <w:proofErr w:type="spellEnd"/>
      <w:r>
        <w:rPr>
          <w:rFonts w:ascii="Libre Baskerville" w:eastAsia="Libre Baskerville" w:hAnsi="Libre Baskerville" w:cs="Libre Baskerville"/>
          <w:sz w:val="24"/>
          <w:szCs w:val="24"/>
        </w:rPr>
        <w:t xml:space="preserve"> of scholars who, often driven by confessional zeal, </w:t>
      </w:r>
      <w:r>
        <w:rPr>
          <w:rFonts w:ascii="Libre Baskerville" w:eastAsia="Libre Baskerville" w:hAnsi="Libre Baskerville" w:cs="Libre Baskerville"/>
          <w:i/>
          <w:sz w:val="24"/>
          <w:szCs w:val="24"/>
        </w:rPr>
        <w:t>had</w:t>
      </w:r>
      <w:r>
        <w:rPr>
          <w:rFonts w:ascii="Libre Baskerville" w:eastAsia="Libre Baskerville" w:hAnsi="Libre Baskerville" w:cs="Libre Baskerville"/>
          <w:sz w:val="24"/>
          <w:szCs w:val="24"/>
        </w:rPr>
        <w:t xml:space="preserve"> quarried archival sources and worked their way through the voluminous writings of the ecclesiastical historians: not least “the great Benedictine works” of Mabillon and Montfaucon on ancient Italy, and “the immense compilations” of the Jansenist, </w:t>
      </w:r>
      <w:proofErr w:type="spellStart"/>
      <w:r>
        <w:rPr>
          <w:rFonts w:ascii="Libre Baskerville" w:eastAsia="Libre Baskerville" w:hAnsi="Libre Baskerville" w:cs="Libre Baskerville"/>
          <w:sz w:val="24"/>
          <w:szCs w:val="24"/>
        </w:rPr>
        <w:t>Tillemont</w:t>
      </w:r>
      <w:proofErr w:type="spellEnd"/>
      <w:r>
        <w:rPr>
          <w:rFonts w:ascii="Libre Baskerville" w:eastAsia="Libre Baskerville" w:hAnsi="Libre Baskerville" w:cs="Libre Baskerville"/>
          <w:sz w:val="24"/>
          <w:szCs w:val="24"/>
        </w:rPr>
        <w:t>, “whose inimitable accuracy almost assumes the character of Genius.”</w:t>
      </w:r>
      <w:r>
        <w:rPr>
          <w:rFonts w:ascii="Libre Baskerville" w:eastAsia="Libre Baskerville" w:hAnsi="Libre Baskerville" w:cs="Libre Baskerville"/>
          <w:sz w:val="24"/>
          <w:szCs w:val="24"/>
          <w:vertAlign w:val="superscript"/>
        </w:rPr>
        <w:footnoteReference w:id="32"/>
      </w:r>
      <w:r>
        <w:rPr>
          <w:rFonts w:ascii="Libre Baskerville" w:eastAsia="Libre Baskerville" w:hAnsi="Libre Baskerville" w:cs="Libre Baskerville"/>
          <w:sz w:val="24"/>
          <w:szCs w:val="24"/>
        </w:rPr>
        <w:t xml:space="preserve"> </w:t>
      </w:r>
    </w:p>
    <w:p w14:paraId="00000008" w14:textId="24BDF0A1"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So, too, in the field of philosophy: “Gibbon cannot and certainly would not claim any originality in the realm of philosophic ideas,” as any reader of the </w:t>
      </w:r>
      <w:r>
        <w:rPr>
          <w:rFonts w:ascii="Libre Baskerville" w:eastAsia="Libre Baskerville" w:hAnsi="Libre Baskerville" w:cs="Libre Baskerville"/>
          <w:i/>
          <w:sz w:val="24"/>
          <w:szCs w:val="24"/>
        </w:rPr>
        <w:t xml:space="preserve">Decline and Fall </w:t>
      </w:r>
      <w:r>
        <w:rPr>
          <w:rFonts w:ascii="Libre Baskerville" w:eastAsia="Libre Baskerville" w:hAnsi="Libre Baskerville" w:cs="Libre Baskerville"/>
          <w:sz w:val="24"/>
          <w:szCs w:val="24"/>
        </w:rPr>
        <w:t>who is familiar with (among others) Montesquieu, Hume, and Voltaire will attest.</w:t>
      </w:r>
      <w:r>
        <w:rPr>
          <w:rFonts w:ascii="Libre Baskerville" w:eastAsia="Libre Baskerville" w:hAnsi="Libre Baskerville" w:cs="Libre Baskerville"/>
          <w:sz w:val="24"/>
          <w:szCs w:val="24"/>
          <w:vertAlign w:val="superscript"/>
        </w:rPr>
        <w:footnoteReference w:id="33"/>
      </w:r>
      <w:r>
        <w:rPr>
          <w:rFonts w:ascii="Libre Baskerville" w:eastAsia="Libre Baskerville" w:hAnsi="Libre Baskerville" w:cs="Libre Baskerville"/>
          <w:sz w:val="24"/>
          <w:szCs w:val="24"/>
        </w:rPr>
        <w:t xml:space="preserve"> Gibbon paid generous tribute to these predecessors and contemporaries (with Voltaire as a partial exception), rather than claiming their achievements as his own.</w:t>
      </w:r>
      <w:r>
        <w:rPr>
          <w:rFonts w:ascii="Libre Baskerville" w:eastAsia="Libre Baskerville" w:hAnsi="Libre Baskerville" w:cs="Libre Baskerville"/>
          <w:sz w:val="24"/>
          <w:szCs w:val="24"/>
          <w:vertAlign w:val="superscript"/>
        </w:rPr>
        <w:footnoteReference w:id="34"/>
      </w:r>
      <w:r>
        <w:rPr>
          <w:rFonts w:ascii="Libre Baskerville" w:eastAsia="Libre Baskerville" w:hAnsi="Libre Baskerville" w:cs="Libre Baskerville"/>
          <w:sz w:val="24"/>
          <w:szCs w:val="24"/>
        </w:rPr>
        <w:t xml:space="preserve"> Yet what would now strike scholars as Gibbon’s limitations were the necessary conditions for his achievement. Had he whiled away countless years in </w:t>
      </w:r>
      <w:r w:rsidR="00CB5880">
        <w:rPr>
          <w:rFonts w:ascii="Libre Baskerville" w:eastAsia="Libre Baskerville" w:hAnsi="Libre Baskerville" w:cs="Libre Baskerville"/>
          <w:sz w:val="24"/>
          <w:szCs w:val="24"/>
        </w:rPr>
        <w:t xml:space="preserve">the </w:t>
      </w:r>
      <w:r>
        <w:rPr>
          <w:rFonts w:ascii="Libre Baskerville" w:eastAsia="Libre Baskerville" w:hAnsi="Libre Baskerville" w:cs="Libre Baskerville"/>
          <w:sz w:val="24"/>
          <w:szCs w:val="24"/>
        </w:rPr>
        <w:t>archives, or</w:t>
      </w:r>
      <w:r w:rsidR="00CB5880">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 xml:space="preserve">set himself to </w:t>
      </w:r>
      <w:r w:rsidR="00CB5880">
        <w:rPr>
          <w:rFonts w:ascii="Libre Baskerville" w:eastAsia="Libre Baskerville" w:hAnsi="Libre Baskerville" w:cs="Libre Baskerville"/>
          <w:sz w:val="24"/>
          <w:szCs w:val="24"/>
        </w:rPr>
        <w:t>conquer</w:t>
      </w:r>
      <w:r>
        <w:rPr>
          <w:rFonts w:ascii="Libre Baskerville" w:eastAsia="Libre Baskerville" w:hAnsi="Libre Baskerville" w:cs="Libre Baskerville"/>
          <w:sz w:val="24"/>
          <w:szCs w:val="24"/>
        </w:rPr>
        <w:t xml:space="preserve"> the philosophical problems that preoccupied his contemporaries, he would assuredly not have had the </w:t>
      </w:r>
      <w:r w:rsidR="00CB5880">
        <w:rPr>
          <w:rFonts w:ascii="Libre Baskerville" w:eastAsia="Libre Baskerville" w:hAnsi="Libre Baskerville" w:cs="Libre Baskerville"/>
          <w:sz w:val="24"/>
          <w:szCs w:val="24"/>
        </w:rPr>
        <w:t>energy</w:t>
      </w:r>
      <w:r>
        <w:rPr>
          <w:rFonts w:ascii="Libre Baskerville" w:eastAsia="Libre Baskerville" w:hAnsi="Libre Baskerville" w:cs="Libre Baskerville"/>
          <w:sz w:val="24"/>
          <w:szCs w:val="24"/>
        </w:rPr>
        <w:t xml:space="preserve"> (or temerity) to take on a subject as expansive as he did, nor to treat it with such imaginative brio.</w:t>
      </w:r>
      <w:r>
        <w:rPr>
          <w:rFonts w:ascii="Libre Baskerville" w:eastAsia="Libre Baskerville" w:hAnsi="Libre Baskerville" w:cs="Libre Baskerville"/>
          <w:sz w:val="24"/>
          <w:szCs w:val="24"/>
          <w:vertAlign w:val="superscript"/>
        </w:rPr>
        <w:footnoteReference w:id="35"/>
      </w:r>
      <w:r>
        <w:rPr>
          <w:rFonts w:ascii="Libre Baskerville" w:eastAsia="Libre Baskerville" w:hAnsi="Libre Baskerville" w:cs="Libre Baskerville"/>
          <w:sz w:val="24"/>
          <w:szCs w:val="24"/>
        </w:rPr>
        <w:t xml:space="preserve"> Gibbon’s own, very considerable achievement was, historians concur, to attain a masterful synthesis </w:t>
      </w:r>
      <w:r w:rsidR="008D3E99">
        <w:rPr>
          <w:rFonts w:ascii="Libre Baskerville" w:eastAsia="Libre Baskerville" w:hAnsi="Libre Baskerville" w:cs="Libre Baskerville"/>
          <w:sz w:val="24"/>
          <w:szCs w:val="24"/>
        </w:rPr>
        <w:t xml:space="preserve">of </w:t>
      </w:r>
      <w:r>
        <w:rPr>
          <w:rFonts w:ascii="Libre Baskerville" w:eastAsia="Libre Baskerville" w:hAnsi="Libre Baskerville" w:cs="Libre Baskerville"/>
          <w:sz w:val="24"/>
          <w:szCs w:val="24"/>
        </w:rPr>
        <w:t xml:space="preserve">the erudition of the seventeenth century and the philosophy of the eighteenth, and to express the insights </w:t>
      </w:r>
      <w:r w:rsidR="00CB5880">
        <w:rPr>
          <w:rFonts w:ascii="Libre Baskerville" w:eastAsia="Libre Baskerville" w:hAnsi="Libre Baskerville" w:cs="Libre Baskerville"/>
          <w:sz w:val="24"/>
          <w:szCs w:val="24"/>
        </w:rPr>
        <w:t>duly</w:t>
      </w:r>
      <w:r>
        <w:rPr>
          <w:rFonts w:ascii="Libre Baskerville" w:eastAsia="Libre Baskerville" w:hAnsi="Libre Baskerville" w:cs="Libre Baskerville"/>
          <w:sz w:val="24"/>
          <w:szCs w:val="24"/>
        </w:rPr>
        <w:t xml:space="preserve"> generated in a narrative of historical development </w:t>
      </w:r>
      <w:r w:rsidR="008D3E99">
        <w:rPr>
          <w:rFonts w:ascii="Libre Baskerville" w:eastAsia="Libre Baskerville" w:hAnsi="Libre Baskerville" w:cs="Libre Baskerville"/>
          <w:sz w:val="24"/>
          <w:szCs w:val="24"/>
        </w:rPr>
        <w:t xml:space="preserve">which </w:t>
      </w:r>
      <w:r>
        <w:rPr>
          <w:rFonts w:ascii="Libre Baskerville" w:eastAsia="Libre Baskerville" w:hAnsi="Libre Baskerville" w:cs="Libre Baskerville"/>
          <w:sz w:val="24"/>
          <w:szCs w:val="24"/>
        </w:rPr>
        <w:t>was recognizably neo-classical in form.</w:t>
      </w:r>
      <w:r>
        <w:rPr>
          <w:rFonts w:ascii="Libre Baskerville" w:eastAsia="Libre Baskerville" w:hAnsi="Libre Baskerville" w:cs="Libre Baskerville"/>
          <w:sz w:val="24"/>
          <w:szCs w:val="24"/>
          <w:vertAlign w:val="superscript"/>
        </w:rPr>
        <w:footnoteReference w:id="36"/>
      </w:r>
      <w:r>
        <w:rPr>
          <w:rFonts w:ascii="Libre Baskerville" w:eastAsia="Libre Baskerville" w:hAnsi="Libre Baskerville" w:cs="Libre Baskerville"/>
          <w:sz w:val="24"/>
          <w:szCs w:val="24"/>
        </w:rPr>
        <w:t xml:space="preserve"> </w:t>
      </w:r>
    </w:p>
    <w:p w14:paraId="15E4C1FC" w14:textId="77777777" w:rsidR="00CB5880"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recent work of historians has, then, enabled us to take a measure of Gibbon’s achievement, by allowing for “the reconstruction of the wider settings </w:t>
      </w:r>
      <w:r>
        <w:rPr>
          <w:rFonts w:ascii="Libre Baskerville" w:eastAsia="Libre Baskerville" w:hAnsi="Libre Baskerville" w:cs="Libre Baskerville"/>
          <w:sz w:val="24"/>
          <w:szCs w:val="24"/>
        </w:rPr>
        <w:lastRenderedPageBreak/>
        <w:t>in which his work gained its purpose and originality.”</w:t>
      </w:r>
      <w:r>
        <w:rPr>
          <w:rFonts w:ascii="Libre Baskerville" w:eastAsia="Libre Baskerville" w:hAnsi="Libre Baskerville" w:cs="Libre Baskerville"/>
          <w:sz w:val="24"/>
          <w:szCs w:val="24"/>
          <w:vertAlign w:val="superscript"/>
        </w:rPr>
        <w:footnoteReference w:id="37"/>
      </w:r>
      <w:r>
        <w:rPr>
          <w:rFonts w:ascii="Libre Baskerville" w:eastAsia="Libre Baskerville" w:hAnsi="Libre Baskerville" w:cs="Libre Baskerville"/>
          <w:sz w:val="24"/>
          <w:szCs w:val="24"/>
        </w:rPr>
        <w:t xml:space="preserve"> </w:t>
      </w:r>
      <w:r w:rsidR="008D3E99">
        <w:rPr>
          <w:rFonts w:ascii="Libre Baskerville" w:eastAsia="Libre Baskerville" w:hAnsi="Libre Baskerville" w:cs="Libre Baskerville"/>
          <w:sz w:val="24"/>
          <w:szCs w:val="24"/>
        </w:rPr>
        <w:t>By</w:t>
      </w:r>
      <w:r>
        <w:rPr>
          <w:rFonts w:ascii="Libre Baskerville" w:eastAsia="Libre Baskerville" w:hAnsi="Libre Baskerville" w:cs="Libre Baskerville"/>
          <w:sz w:val="24"/>
          <w:szCs w:val="24"/>
        </w:rPr>
        <w:t xml:space="preserve"> this measure, even Gibbon’s dismissive characterization of Byzantium as a millennium of “permanent repose” might be excused,</w:t>
      </w:r>
      <w:r>
        <w:rPr>
          <w:rFonts w:ascii="Libre Baskerville" w:eastAsia="Libre Baskerville" w:hAnsi="Libre Baskerville" w:cs="Libre Baskerville"/>
          <w:sz w:val="24"/>
          <w:szCs w:val="24"/>
          <w:vertAlign w:val="superscript"/>
        </w:rPr>
        <w:footnoteReference w:id="38"/>
      </w:r>
      <w:r>
        <w:rPr>
          <w:rFonts w:ascii="Libre Baskerville" w:eastAsia="Libre Baskerville" w:hAnsi="Libre Baskerville" w:cs="Libre Baskerville"/>
          <w:sz w:val="24"/>
          <w:szCs w:val="24"/>
        </w:rPr>
        <w:t xml:space="preserve"> given the perception of a very well-read contemporary that, in place of “a Byzantine history,” all that previously existed was “a collection of so many volumes in-folio of detestable authors” on that subject.</w:t>
      </w:r>
      <w:r>
        <w:rPr>
          <w:rFonts w:ascii="Libre Baskerville" w:eastAsia="Libre Baskerville" w:hAnsi="Libre Baskerville" w:cs="Libre Baskerville"/>
          <w:sz w:val="24"/>
          <w:szCs w:val="24"/>
          <w:vertAlign w:val="superscript"/>
        </w:rPr>
        <w:footnoteReference w:id="39"/>
      </w:r>
      <w:r>
        <w:rPr>
          <w:rFonts w:ascii="Libre Baskerville" w:eastAsia="Libre Baskerville" w:hAnsi="Libre Baskerville" w:cs="Libre Baskerville"/>
          <w:sz w:val="24"/>
          <w:szCs w:val="24"/>
        </w:rPr>
        <w:t xml:space="preserve"> This historical work, especially by eighteenth-century specialists, establishes why (rather than simply declaring that)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represents a landmark in the history of historiography, and why the “age and culture” of the time was propitious for the writing (and success) of such a remarkable work. </w:t>
      </w:r>
    </w:p>
    <w:p w14:paraId="00000009" w14:textId="62212DDB"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In his</w:t>
      </w:r>
      <w:r w:rsidR="00CB5880">
        <w:rPr>
          <w:rFonts w:ascii="Libre Baskerville" w:eastAsia="Libre Baskerville" w:hAnsi="Libre Baskerville" w:cs="Libre Baskerville"/>
          <w:sz w:val="24"/>
          <w:szCs w:val="24"/>
        </w:rPr>
        <w:t xml:space="preserve"> own</w:t>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Gibbon reflected with pleasure on “the bounty of Nature, which cast my birth in a free and civilized country, in an age of science and Philosophy.” Had he been born “a slave, a savage, or a peasant” in a less enlightened period or place or, alternatively, as the scion of a wealthy and distinguished family, he </w:t>
      </w:r>
      <w:r w:rsidR="00CB5880">
        <w:rPr>
          <w:rFonts w:ascii="Libre Baskerville" w:eastAsia="Libre Baskerville" w:hAnsi="Libre Baskerville" w:cs="Libre Baskerville"/>
          <w:sz w:val="24"/>
          <w:szCs w:val="24"/>
        </w:rPr>
        <w:t>might well</w:t>
      </w:r>
      <w:r>
        <w:rPr>
          <w:rFonts w:ascii="Libre Baskerville" w:eastAsia="Libre Baskerville" w:hAnsi="Libre Baskerville" w:cs="Libre Baskerville"/>
          <w:sz w:val="24"/>
          <w:szCs w:val="24"/>
        </w:rPr>
        <w:t xml:space="preserve"> have lacked (what David Hume identified as) “the Motive of Ambition to push him on in his Attainments” that was the preserve of the middling class in a modern commercial nation, and thereby “never have accomplished the task, or acquired the fame, of an historian.”</w:t>
      </w:r>
      <w:r>
        <w:rPr>
          <w:rFonts w:ascii="Libre Baskerville" w:eastAsia="Libre Baskerville" w:hAnsi="Libre Baskerville" w:cs="Libre Baskerville"/>
          <w:sz w:val="24"/>
          <w:szCs w:val="24"/>
          <w:vertAlign w:val="superscript"/>
        </w:rPr>
        <w:footnoteReference w:id="40"/>
      </w:r>
      <w:r>
        <w:rPr>
          <w:rFonts w:ascii="Libre Baskerville" w:eastAsia="Libre Baskerville" w:hAnsi="Libre Baskerville" w:cs="Libre Baskerville"/>
          <w:sz w:val="24"/>
          <w:szCs w:val="24"/>
        </w:rPr>
        <w:t xml:space="preserve"> The </w:t>
      </w:r>
      <w:r>
        <w:rPr>
          <w:rFonts w:ascii="Libre Baskerville" w:eastAsia="Libre Baskerville" w:hAnsi="Libre Baskerville" w:cs="Libre Baskerville"/>
          <w:i/>
          <w:sz w:val="24"/>
          <w:szCs w:val="24"/>
        </w:rPr>
        <w:t xml:space="preserve">Memoirs </w:t>
      </w:r>
      <w:r>
        <w:rPr>
          <w:rFonts w:ascii="Libre Baskerville" w:eastAsia="Libre Baskerville" w:hAnsi="Libre Baskerville" w:cs="Libre Baskerville"/>
          <w:sz w:val="24"/>
          <w:szCs w:val="24"/>
        </w:rPr>
        <w:t xml:space="preserve">similarly strike a </w:t>
      </w:r>
      <w:proofErr w:type="spellStart"/>
      <w:r>
        <w:rPr>
          <w:rFonts w:ascii="Libre Baskerville" w:eastAsia="Libre Baskerville" w:hAnsi="Libre Baskerville" w:cs="Libre Baskerville"/>
          <w:sz w:val="24"/>
          <w:szCs w:val="24"/>
        </w:rPr>
        <w:t>Humean</w:t>
      </w:r>
      <w:proofErr w:type="spellEnd"/>
      <w:r>
        <w:rPr>
          <w:rFonts w:ascii="Libre Baskerville" w:eastAsia="Libre Baskerville" w:hAnsi="Libre Baskerville" w:cs="Libre Baskerville"/>
          <w:sz w:val="24"/>
          <w:szCs w:val="24"/>
        </w:rPr>
        <w:t xml:space="preserve"> chord in celebrating Gibbon’s </w:t>
      </w:r>
      <w:r w:rsidR="00CB5880">
        <w:rPr>
          <w:rFonts w:ascii="Libre Baskerville" w:eastAsia="Libre Baskerville" w:hAnsi="Libre Baskerville" w:cs="Libre Baskerville"/>
          <w:sz w:val="24"/>
          <w:szCs w:val="24"/>
        </w:rPr>
        <w:t xml:space="preserve">good </w:t>
      </w:r>
      <w:r>
        <w:rPr>
          <w:rFonts w:ascii="Libre Baskerville" w:eastAsia="Libre Baskerville" w:hAnsi="Libre Baskerville" w:cs="Libre Baskerville"/>
          <w:sz w:val="24"/>
          <w:szCs w:val="24"/>
        </w:rPr>
        <w:t xml:space="preserve">fortune </w:t>
      </w:r>
      <w:r w:rsidR="00CB5880">
        <w:rPr>
          <w:rFonts w:ascii="Libre Baskerville" w:eastAsia="Libre Baskerville" w:hAnsi="Libre Baskerville" w:cs="Libre Baskerville"/>
          <w:sz w:val="24"/>
          <w:szCs w:val="24"/>
        </w:rPr>
        <w:t>to be</w:t>
      </w:r>
      <w:r>
        <w:rPr>
          <w:rFonts w:ascii="Libre Baskerville" w:eastAsia="Libre Baskerville" w:hAnsi="Libre Baskerville" w:cs="Libre Baskerville"/>
          <w:sz w:val="24"/>
          <w:szCs w:val="24"/>
        </w:rPr>
        <w:t xml:space="preserve"> living in “a historical Age”:</w:t>
      </w:r>
      <w:r>
        <w:rPr>
          <w:rFonts w:ascii="Libre Baskerville" w:eastAsia="Libre Baskerville" w:hAnsi="Libre Baskerville" w:cs="Libre Baskerville"/>
          <w:sz w:val="24"/>
          <w:szCs w:val="24"/>
          <w:vertAlign w:val="superscript"/>
        </w:rPr>
        <w:footnoteReference w:id="41"/>
      </w:r>
      <w:r>
        <w:rPr>
          <w:rFonts w:ascii="Libre Baskerville" w:eastAsia="Libre Baskerville" w:hAnsi="Libre Baskerville" w:cs="Libre Baskerville"/>
          <w:sz w:val="24"/>
          <w:szCs w:val="24"/>
        </w:rPr>
        <w:t xml:space="preserve"> one in which histories attracted a wide readership, </w:t>
      </w:r>
      <w:r w:rsidR="00CB5880">
        <w:rPr>
          <w:rFonts w:ascii="Libre Baskerville" w:eastAsia="Libre Baskerville" w:hAnsi="Libre Baskerville" w:cs="Libre Baskerville"/>
          <w:sz w:val="24"/>
          <w:szCs w:val="24"/>
        </w:rPr>
        <w:t>when</w:t>
      </w:r>
      <w:r>
        <w:rPr>
          <w:rFonts w:ascii="Libre Baskerville" w:eastAsia="Libre Baskerville" w:hAnsi="Libre Baskerville" w:cs="Libre Baskerville"/>
          <w:sz w:val="24"/>
          <w:szCs w:val="24"/>
        </w:rPr>
        <w:t xml:space="preserve"> history itself was increasingly recognized, contrary to the assumptions of Samuel Johnson, to exercise all the faculties of mind, and </w:t>
      </w:r>
      <w:sdt>
        <w:sdtPr>
          <w:tag w:val="goog_rdk_4"/>
          <w:id w:val="-1314174189"/>
        </w:sdtPr>
        <w:sdtEndPr/>
        <w:sdtContent>
          <w:r>
            <w:rPr>
              <w:rFonts w:ascii="Libre Baskerville" w:eastAsia="Libre Baskerville" w:hAnsi="Libre Baskerville" w:cs="Libre Baskerville"/>
              <w:sz w:val="24"/>
              <w:szCs w:val="24"/>
            </w:rPr>
            <w:t xml:space="preserve">was </w:t>
          </w:r>
        </w:sdtContent>
      </w:sdt>
      <w:r>
        <w:rPr>
          <w:rFonts w:ascii="Libre Baskerville" w:eastAsia="Libre Baskerville" w:hAnsi="Libre Baskerville" w:cs="Libre Baskerville"/>
          <w:sz w:val="24"/>
          <w:szCs w:val="24"/>
        </w:rPr>
        <w:t>expected to contain “some tincture of philosophy and criticism.”</w:t>
      </w:r>
      <w:r>
        <w:rPr>
          <w:rFonts w:ascii="Libre Baskerville" w:eastAsia="Libre Baskerville" w:hAnsi="Libre Baskerville" w:cs="Libre Baskerville"/>
          <w:sz w:val="24"/>
          <w:szCs w:val="24"/>
          <w:vertAlign w:val="superscript"/>
        </w:rPr>
        <w:footnoteReference w:id="42"/>
      </w:r>
      <w:r>
        <w:rPr>
          <w:rFonts w:ascii="Libre Baskerville" w:eastAsia="Libre Baskerville" w:hAnsi="Libre Baskerville" w:cs="Libre Baskerville"/>
          <w:sz w:val="24"/>
          <w:szCs w:val="24"/>
        </w:rPr>
        <w:t xml:space="preserve"> </w:t>
      </w:r>
    </w:p>
    <w:p w14:paraId="0000000A" w14:textId="416AFAA3"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Historians, </w:t>
      </w:r>
      <w:r w:rsidR="00CB5880">
        <w:rPr>
          <w:rFonts w:ascii="Libre Baskerville" w:eastAsia="Libre Baskerville" w:hAnsi="Libre Baskerville" w:cs="Libre Baskerville"/>
          <w:sz w:val="24"/>
          <w:szCs w:val="24"/>
        </w:rPr>
        <w:t>then</w:t>
      </w:r>
      <w:r>
        <w:rPr>
          <w:rFonts w:ascii="Libre Baskerville" w:eastAsia="Libre Baskerville" w:hAnsi="Libre Baskerville" w:cs="Libre Baskerville"/>
          <w:sz w:val="24"/>
          <w:szCs w:val="24"/>
        </w:rPr>
        <w:t xml:space="preserve">, </w:t>
      </w:r>
      <w:r w:rsidR="00CB5880">
        <w:rPr>
          <w:rFonts w:ascii="Libre Baskerville" w:eastAsia="Libre Baskerville" w:hAnsi="Libre Baskerville" w:cs="Libre Baskerville"/>
          <w:sz w:val="24"/>
          <w:szCs w:val="24"/>
        </w:rPr>
        <w:t xml:space="preserve">have </w:t>
      </w:r>
      <w:r>
        <w:rPr>
          <w:rFonts w:ascii="Libre Baskerville" w:eastAsia="Libre Baskerville" w:hAnsi="Libre Baskerville" w:cs="Libre Baskerville"/>
          <w:sz w:val="24"/>
          <w:szCs w:val="24"/>
        </w:rPr>
        <w:t xml:space="preserve">illuminated our understanding of why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immediately “struck a root both at home and abroad” in its author’s lifetime</w:t>
      </w:r>
      <w:sdt>
        <w:sdtPr>
          <w:tag w:val="goog_rdk_5"/>
          <w:id w:val="31844755"/>
        </w:sdtPr>
        <w:sdtEndPr/>
        <w:sdtContent>
          <w:r w:rsidR="00524D5B">
            <w:rPr>
              <w:rFonts w:ascii="Libre Baskerville" w:eastAsia="Libre Baskerville" w:hAnsi="Libre Baskerville" w:cs="Libre Baskerville"/>
              <w:sz w:val="24"/>
              <w:szCs w:val="24"/>
            </w:rPr>
            <w:t xml:space="preserve">, </w:t>
          </w:r>
        </w:sdtContent>
      </w:sdt>
      <w:r>
        <w:rPr>
          <w:rFonts w:ascii="Libre Baskerville" w:eastAsia="Libre Baskerville" w:hAnsi="Libre Baskerville" w:cs="Libre Baskerville"/>
          <w:sz w:val="24"/>
          <w:szCs w:val="24"/>
        </w:rPr>
        <w:t>without simply pointing to the stylistic qualities that so captivated early critics.</w:t>
      </w:r>
      <w:r>
        <w:rPr>
          <w:rFonts w:ascii="Libre Baskerville" w:eastAsia="Libre Baskerville" w:hAnsi="Libre Baskerville" w:cs="Libre Baskerville"/>
          <w:sz w:val="24"/>
          <w:szCs w:val="24"/>
          <w:vertAlign w:val="superscript"/>
        </w:rPr>
        <w:footnoteReference w:id="43"/>
      </w:r>
      <w:r>
        <w:rPr>
          <w:rFonts w:ascii="Libre Baskerville" w:eastAsia="Libre Baskerville" w:hAnsi="Libre Baskerville" w:cs="Libre Baskerville"/>
          <w:sz w:val="24"/>
          <w:szCs w:val="24"/>
        </w:rPr>
        <w:t xml:space="preserve"> They have, in this sense, embraced Eliot’s challenge of explaining why Gibbon’s history, </w:t>
      </w:r>
      <w:r>
        <w:rPr>
          <w:rFonts w:ascii="Libre Baskerville" w:eastAsia="Libre Baskerville" w:hAnsi="Libre Baskerville" w:cs="Libre Baskerville"/>
          <w:i/>
          <w:sz w:val="24"/>
          <w:szCs w:val="24"/>
        </w:rPr>
        <w:t xml:space="preserve">as </w:t>
      </w:r>
      <w:r>
        <w:rPr>
          <w:rFonts w:ascii="Libre Baskerville" w:eastAsia="Libre Baskerville" w:hAnsi="Libre Baskerville" w:cs="Libre Baskerville"/>
          <w:sz w:val="24"/>
          <w:szCs w:val="24"/>
        </w:rPr>
        <w:t>history, spoke so powerfully and alluringly to his contemporary European readers</w:t>
      </w:r>
      <w:r w:rsidR="00524D5B">
        <w:rPr>
          <w:rFonts w:ascii="Libre Baskerville" w:eastAsia="Libre Baskerville" w:hAnsi="Libre Baskerville" w:cs="Libre Baskerville"/>
          <w:sz w:val="24"/>
          <w:szCs w:val="24"/>
        </w:rPr>
        <w:t>. I</w:t>
      </w:r>
      <w:r>
        <w:rPr>
          <w:rFonts w:ascii="Libre Baskerville" w:eastAsia="Libre Baskerville" w:hAnsi="Libre Baskerville" w:cs="Libre Baskerville"/>
          <w:sz w:val="24"/>
          <w:szCs w:val="24"/>
        </w:rPr>
        <w:t xml:space="preserve">t was a European, rather than an Anglophone audience </w:t>
      </w:r>
      <w:r w:rsidR="00CB5880">
        <w:rPr>
          <w:rFonts w:ascii="Libre Baskerville" w:eastAsia="Libre Baskerville" w:hAnsi="Libre Baskerville" w:cs="Libre Baskerville"/>
          <w:sz w:val="24"/>
          <w:szCs w:val="24"/>
        </w:rPr>
        <w:t xml:space="preserve">alone, </w:t>
      </w:r>
      <w:r>
        <w:rPr>
          <w:rFonts w:ascii="Libre Baskerville" w:eastAsia="Libre Baskerville" w:hAnsi="Libre Baskerville" w:cs="Libre Baskerville"/>
          <w:sz w:val="24"/>
          <w:szCs w:val="24"/>
        </w:rPr>
        <w:t>that Gibbon – born in England, but created “[such] as I am, in Genius or learning or manners” in Lausanne</w:t>
      </w:r>
      <w:r>
        <w:rPr>
          <w:rFonts w:ascii="Libre Baskerville" w:eastAsia="Libre Baskerville" w:hAnsi="Libre Baskerville" w:cs="Libre Baskerville"/>
          <w:sz w:val="24"/>
          <w:szCs w:val="24"/>
          <w:vertAlign w:val="superscript"/>
        </w:rPr>
        <w:footnoteReference w:id="44"/>
      </w:r>
      <w:r>
        <w:rPr>
          <w:rFonts w:ascii="Libre Baskerville" w:eastAsia="Libre Baskerville" w:hAnsi="Libre Baskerville" w:cs="Libre Baskerville"/>
          <w:sz w:val="24"/>
          <w:szCs w:val="24"/>
        </w:rPr>
        <w:t xml:space="preserve"> – sought from the very first.</w:t>
      </w:r>
      <w:r>
        <w:rPr>
          <w:rFonts w:ascii="Libre Baskerville" w:eastAsia="Libre Baskerville" w:hAnsi="Libre Baskerville" w:cs="Libre Baskerville"/>
          <w:sz w:val="24"/>
          <w:szCs w:val="24"/>
          <w:vertAlign w:val="superscript"/>
        </w:rPr>
        <w:footnoteReference w:id="45"/>
      </w:r>
      <w:r>
        <w:rPr>
          <w:rFonts w:ascii="Libre Baskerville" w:eastAsia="Libre Baskerville" w:hAnsi="Libre Baskerville" w:cs="Libre Baskerville"/>
          <w:sz w:val="24"/>
          <w:szCs w:val="24"/>
        </w:rPr>
        <w:t xml:space="preserve"> </w:t>
      </w:r>
    </w:p>
    <w:p w14:paraId="7F66C157" w14:textId="77777777" w:rsidR="00CB5880" w:rsidRDefault="008D3E99">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Even so</w:t>
      </w:r>
      <w:r w:rsidR="006F2E25">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 xml:space="preserve">and </w:t>
      </w:r>
      <w:r w:rsidR="006F2E25">
        <w:rPr>
          <w:rFonts w:ascii="Libre Baskerville" w:eastAsia="Libre Baskerville" w:hAnsi="Libre Baskerville" w:cs="Libre Baskerville"/>
          <w:sz w:val="24"/>
          <w:szCs w:val="24"/>
        </w:rPr>
        <w:t xml:space="preserve">as G. W. Bowersock observes, for all the achievements of historians in placing the </w:t>
      </w:r>
      <w:r w:rsidR="006F2E25">
        <w:rPr>
          <w:rFonts w:ascii="Libre Baskerville" w:eastAsia="Libre Baskerville" w:hAnsi="Libre Baskerville" w:cs="Libre Baskerville"/>
          <w:i/>
          <w:sz w:val="24"/>
          <w:szCs w:val="24"/>
        </w:rPr>
        <w:t>Decline and Fall</w:t>
      </w:r>
      <w:r w:rsidR="006F2E25">
        <w:rPr>
          <w:rFonts w:ascii="Libre Baskerville" w:eastAsia="Libre Baskerville" w:hAnsi="Libre Baskerville" w:cs="Libre Baskerville"/>
          <w:sz w:val="24"/>
          <w:szCs w:val="24"/>
        </w:rPr>
        <w:t xml:space="preserve"> in its </w:t>
      </w:r>
      <w:r w:rsidR="006F2E25">
        <w:rPr>
          <w:rFonts w:ascii="Libre Baskerville" w:eastAsia="Libre Baskerville" w:hAnsi="Libre Baskerville" w:cs="Libre Baskerville"/>
          <w:i/>
          <w:sz w:val="24"/>
          <w:szCs w:val="24"/>
        </w:rPr>
        <w:t>eighteenth-century</w:t>
      </w:r>
      <w:r w:rsidR="006F2E25">
        <w:rPr>
          <w:rFonts w:ascii="Libre Baskerville" w:eastAsia="Libre Baskerville" w:hAnsi="Libre Baskerville" w:cs="Libre Baskerville"/>
          <w:sz w:val="24"/>
          <w:szCs w:val="24"/>
        </w:rPr>
        <w:t xml:space="preserve"> context and explaining its </w:t>
      </w:r>
      <w:r w:rsidR="006F2E25">
        <w:rPr>
          <w:rFonts w:ascii="Libre Baskerville" w:eastAsia="Libre Baskerville" w:hAnsi="Libre Baskerville" w:cs="Libre Baskerville"/>
          <w:i/>
          <w:sz w:val="24"/>
          <w:szCs w:val="24"/>
        </w:rPr>
        <w:t>contemporary</w:t>
      </w:r>
      <w:r w:rsidR="006F2E25">
        <w:rPr>
          <w:rFonts w:ascii="Libre Baskerville" w:eastAsia="Libre Baskerville" w:hAnsi="Libre Baskerville" w:cs="Libre Baskerville"/>
          <w:sz w:val="24"/>
          <w:szCs w:val="24"/>
        </w:rPr>
        <w:t xml:space="preserve"> success, we remain at something of a loss to explain why Gibbon’s reputation “is even more secure </w:t>
      </w:r>
      <w:r w:rsidR="006F2E25">
        <w:rPr>
          <w:rFonts w:ascii="Libre Baskerville" w:eastAsia="Libre Baskerville" w:hAnsi="Libre Baskerville" w:cs="Libre Baskerville"/>
          <w:i/>
          <w:sz w:val="24"/>
          <w:szCs w:val="24"/>
        </w:rPr>
        <w:t>now</w:t>
      </w:r>
      <w:r w:rsidR="006F2E25">
        <w:rPr>
          <w:rFonts w:ascii="Libre Baskerville" w:eastAsia="Libre Baskerville" w:hAnsi="Libre Baskerville" w:cs="Libre Baskerville"/>
          <w:sz w:val="24"/>
          <w:szCs w:val="24"/>
        </w:rPr>
        <w:t xml:space="preserve"> than when he died.” Perhaps the burden of explaining the work’s appeal to posterity – an appeal incomparably greater than that of any other work of enlightenment history – must be returned to literary critics such as Eliot after all. This is because, in the final analysis, “Gibbon’s work was not scholarship but something that surpassed scholarship: literature of genius” – a work for all time.</w:t>
      </w:r>
      <w:r w:rsidR="006F2E25">
        <w:rPr>
          <w:rFonts w:ascii="Libre Baskerville" w:eastAsia="Libre Baskerville" w:hAnsi="Libre Baskerville" w:cs="Libre Baskerville"/>
          <w:sz w:val="24"/>
          <w:szCs w:val="24"/>
          <w:vertAlign w:val="superscript"/>
        </w:rPr>
        <w:footnoteReference w:id="46"/>
      </w:r>
      <w:r w:rsidR="006F2E25">
        <w:rPr>
          <w:rFonts w:ascii="Libre Baskerville" w:eastAsia="Libre Baskerville" w:hAnsi="Libre Baskerville" w:cs="Libre Baskerville"/>
          <w:sz w:val="24"/>
          <w:szCs w:val="24"/>
        </w:rPr>
        <w:t xml:space="preserve"> </w:t>
      </w:r>
    </w:p>
    <w:p w14:paraId="0000000B" w14:textId="34B9C5A0"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Great literature of this kind, as Lewis Hyde observes, “offers us images by which to imagine our lives”:</w:t>
      </w:r>
      <w:r>
        <w:rPr>
          <w:rFonts w:ascii="Libre Baskerville" w:eastAsia="Libre Baskerville" w:hAnsi="Libre Baskerville" w:cs="Libre Baskerville"/>
          <w:sz w:val="24"/>
          <w:szCs w:val="24"/>
          <w:vertAlign w:val="superscript"/>
        </w:rPr>
        <w:footnoteReference w:id="47"/>
      </w:r>
      <w:r>
        <w:rPr>
          <w:rFonts w:ascii="Libre Baskerville" w:eastAsia="Libre Baskerville" w:hAnsi="Libre Baskerville" w:cs="Libre Baskerville"/>
          <w:sz w:val="24"/>
          <w:szCs w:val="24"/>
        </w:rPr>
        <w:t xml:space="preserve"> images which absorb and express, </w:t>
      </w:r>
      <w:r w:rsidR="00CB5880">
        <w:rPr>
          <w:rFonts w:ascii="Libre Baskerville" w:eastAsia="Libre Baskerville" w:hAnsi="Libre Baskerville" w:cs="Libre Baskerville"/>
          <w:sz w:val="24"/>
          <w:szCs w:val="24"/>
        </w:rPr>
        <w:t>in</w:t>
      </w:r>
      <w:r>
        <w:rPr>
          <w:rFonts w:ascii="Libre Baskerville" w:eastAsia="Libre Baskerville" w:hAnsi="Libre Baskerville" w:cs="Libre Baskerville"/>
          <w:sz w:val="24"/>
          <w:szCs w:val="24"/>
        </w:rPr>
        <w:t xml:space="preserve"> Whitman</w:t>
      </w:r>
      <w:r w:rsidR="00CB5880">
        <w:rPr>
          <w:rFonts w:ascii="Libre Baskerville" w:eastAsia="Libre Baskerville" w:hAnsi="Libre Baskerville" w:cs="Libre Baskerville"/>
          <w:sz w:val="24"/>
          <w:szCs w:val="24"/>
        </w:rPr>
        <w:t>’s words</w:t>
      </w:r>
      <w:r>
        <w:rPr>
          <w:rFonts w:ascii="Libre Baskerville" w:eastAsia="Libre Baskerville" w:hAnsi="Libre Baskerville" w:cs="Libre Baskerville"/>
          <w:sz w:val="24"/>
          <w:szCs w:val="24"/>
        </w:rPr>
        <w:t>, the “central spirit and idiosyncrasies,” as well as the highest ideals, of one’s community.</w:t>
      </w:r>
      <w:r>
        <w:rPr>
          <w:rFonts w:ascii="Libre Baskerville" w:eastAsia="Libre Baskerville" w:hAnsi="Libre Baskerville" w:cs="Libre Baskerville"/>
          <w:sz w:val="24"/>
          <w:szCs w:val="24"/>
          <w:vertAlign w:val="superscript"/>
        </w:rPr>
        <w:footnoteReference w:id="48"/>
      </w:r>
      <w:r>
        <w:rPr>
          <w:rFonts w:ascii="Libre Baskerville" w:eastAsia="Libre Baskerville" w:hAnsi="Libre Baskerville" w:cs="Libre Baskerville"/>
          <w:sz w:val="24"/>
          <w:szCs w:val="24"/>
        </w:rPr>
        <w:t xml:space="preserve"> The experience of reading such works is “transformative,” because by awakening our imagination, they make it “procreative.”</w:t>
      </w:r>
      <w:r>
        <w:rPr>
          <w:rFonts w:ascii="Libre Baskerville" w:eastAsia="Libre Baskerville" w:hAnsi="Libre Baskerville" w:cs="Libre Baskerville"/>
          <w:sz w:val="24"/>
          <w:szCs w:val="24"/>
          <w:vertAlign w:val="superscript"/>
        </w:rPr>
        <w:footnoteReference w:id="49"/>
      </w:r>
      <w:r>
        <w:rPr>
          <w:rFonts w:ascii="Libre Baskerville" w:eastAsia="Libre Baskerville" w:hAnsi="Libre Baskerville" w:cs="Libre Baskerville"/>
          <w:sz w:val="24"/>
          <w:szCs w:val="24"/>
        </w:rPr>
        <w:t xml:space="preserve"> Yet </w:t>
      </w:r>
      <w:r w:rsidR="00CB5880">
        <w:rPr>
          <w:rFonts w:ascii="Libre Baskerville" w:eastAsia="Libre Baskerville" w:hAnsi="Libre Baskerville" w:cs="Libre Baskerville"/>
          <w:sz w:val="24"/>
          <w:szCs w:val="24"/>
        </w:rPr>
        <w:t>every</w:t>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lastRenderedPageBreak/>
        <w:t>work</w:t>
      </w:r>
      <w:r w:rsidR="00CB5880">
        <w:rPr>
          <w:rFonts w:ascii="Libre Baskerville" w:eastAsia="Libre Baskerville" w:hAnsi="Libre Baskerville" w:cs="Libre Baskerville"/>
          <w:sz w:val="24"/>
          <w:szCs w:val="24"/>
        </w:rPr>
        <w:t>, presumably,</w:t>
      </w:r>
      <w:r>
        <w:rPr>
          <w:rFonts w:ascii="Libre Baskerville" w:eastAsia="Libre Baskerville" w:hAnsi="Libre Baskerville" w:cs="Libre Baskerville"/>
          <w:sz w:val="24"/>
          <w:szCs w:val="24"/>
        </w:rPr>
        <w:t xml:space="preserve"> encapsulate</w:t>
      </w:r>
      <w:r w:rsidR="00CB5880">
        <w:rPr>
          <w:rFonts w:ascii="Libre Baskerville" w:eastAsia="Libre Baskerville" w:hAnsi="Libre Baskerville" w:cs="Libre Baskerville"/>
          <w:sz w:val="24"/>
          <w:szCs w:val="24"/>
        </w:rPr>
        <w:t>s something of</w:t>
      </w:r>
      <w:r>
        <w:rPr>
          <w:rFonts w:ascii="Libre Baskerville" w:eastAsia="Libre Baskerville" w:hAnsi="Libre Baskerville" w:cs="Libre Baskerville"/>
          <w:sz w:val="24"/>
          <w:szCs w:val="24"/>
        </w:rPr>
        <w:t xml:space="preserve"> the ideals of </w:t>
      </w:r>
      <w:r w:rsidR="00CB5880">
        <w:rPr>
          <w:rFonts w:ascii="Libre Baskerville" w:eastAsia="Libre Baskerville" w:hAnsi="Libre Baskerville" w:cs="Libre Baskerville"/>
          <w:sz w:val="24"/>
          <w:szCs w:val="24"/>
        </w:rPr>
        <w:t>its own particular</w:t>
      </w:r>
      <w:r>
        <w:rPr>
          <w:rFonts w:ascii="Libre Baskerville" w:eastAsia="Libre Baskerville" w:hAnsi="Libre Baskerville" w:cs="Libre Baskerville"/>
          <w:sz w:val="24"/>
          <w:szCs w:val="24"/>
        </w:rPr>
        <w:t xml:space="preserve"> community – in Gibbon’s case,</w:t>
      </w:r>
      <w:sdt>
        <w:sdtPr>
          <w:tag w:val="goog_rdk_11"/>
          <w:id w:val="433335600"/>
        </w:sdtPr>
        <w:sdtEndPr/>
        <w:sdtContent>
          <w:r w:rsidR="008D3E99">
            <w:t xml:space="preserve"> </w:t>
          </w:r>
        </w:sdtContent>
      </w:sdt>
      <w:r>
        <w:rPr>
          <w:rFonts w:ascii="Libre Baskerville" w:eastAsia="Libre Baskerville" w:hAnsi="Libre Baskerville" w:cs="Libre Baskerville"/>
          <w:sz w:val="24"/>
          <w:szCs w:val="24"/>
        </w:rPr>
        <w:t>eighteenth-century Europe, rather than merely England or Britain</w:t>
      </w:r>
      <w:sdt>
        <w:sdtPr>
          <w:tag w:val="goog_rdk_12"/>
          <w:id w:val="-722366645"/>
        </w:sdtPr>
        <w:sdtEndPr/>
        <w:sdtContent>
          <w:r>
            <w:rPr>
              <w:rFonts w:ascii="Libre Baskerville" w:eastAsia="Libre Baskerville" w:hAnsi="Libre Baskerville" w:cs="Libre Baskerville"/>
              <w:sz w:val="24"/>
              <w:szCs w:val="24"/>
            </w:rPr>
            <w:t xml:space="preserve"> –</w:t>
          </w:r>
        </w:sdtContent>
      </w:sdt>
      <w:r w:rsidR="00524D5B">
        <w:t xml:space="preserve"> </w:t>
      </w:r>
      <w:r w:rsidR="008D3E99">
        <w:rPr>
          <w:rFonts w:ascii="Libre Baskerville" w:eastAsia="Libre Baskerville" w:hAnsi="Libre Baskerville" w:cs="Libre Baskerville"/>
          <w:sz w:val="24"/>
          <w:szCs w:val="24"/>
        </w:rPr>
        <w:t>w</w:t>
      </w:r>
      <w:r w:rsidR="00CB5880">
        <w:rPr>
          <w:rFonts w:ascii="Libre Baskerville" w:eastAsia="Libre Baskerville" w:hAnsi="Libre Baskerville" w:cs="Libre Baskerville"/>
          <w:sz w:val="24"/>
          <w:szCs w:val="24"/>
        </w:rPr>
        <w:t xml:space="preserve">ithout achieving any such effect. The decisive question is </w:t>
      </w:r>
      <w:r>
        <w:rPr>
          <w:rFonts w:ascii="Libre Baskerville" w:eastAsia="Libre Baskerville" w:hAnsi="Libre Baskerville" w:cs="Libre Baskerville"/>
          <w:sz w:val="24"/>
          <w:szCs w:val="24"/>
        </w:rPr>
        <w:t xml:space="preserve">why </w:t>
      </w:r>
      <w:r>
        <w:rPr>
          <w:rFonts w:ascii="Libre Baskerville" w:eastAsia="Libre Baskerville" w:hAnsi="Libre Baskerville" w:cs="Libre Baskerville"/>
          <w:i/>
          <w:sz w:val="24"/>
          <w:szCs w:val="24"/>
        </w:rPr>
        <w:t>those</w:t>
      </w:r>
      <w:r>
        <w:rPr>
          <w:rFonts w:ascii="Libre Baskerville" w:eastAsia="Libre Baskerville" w:hAnsi="Libre Baskerville" w:cs="Libre Baskerville"/>
          <w:sz w:val="24"/>
          <w:szCs w:val="24"/>
        </w:rPr>
        <w:t xml:space="preserve"> ideals – particular to a specific time and place – should lay </w:t>
      </w:r>
      <w:r w:rsidR="00CB5880">
        <w:rPr>
          <w:rFonts w:ascii="Libre Baskerville" w:eastAsia="Libre Baskerville" w:hAnsi="Libre Baskerville" w:cs="Libre Baskerville"/>
          <w:sz w:val="24"/>
          <w:szCs w:val="24"/>
        </w:rPr>
        <w:t xml:space="preserve">some </w:t>
      </w:r>
      <w:r>
        <w:rPr>
          <w:rFonts w:ascii="Libre Baskerville" w:eastAsia="Libre Baskerville" w:hAnsi="Libre Baskerville" w:cs="Libre Baskerville"/>
          <w:sz w:val="24"/>
          <w:szCs w:val="24"/>
        </w:rPr>
        <w:t>claim to universality. If Gibbon’s work continues to awaken the imagination and to enlarge the mind</w:t>
      </w:r>
      <w:r w:rsidR="00CB5880">
        <w:rPr>
          <w:rFonts w:ascii="Libre Baskerville" w:eastAsia="Libre Baskerville" w:hAnsi="Libre Baskerville" w:cs="Libre Baskerville"/>
          <w:sz w:val="24"/>
          <w:szCs w:val="24"/>
        </w:rPr>
        <w:t>s</w:t>
      </w:r>
      <w:r>
        <w:rPr>
          <w:rFonts w:ascii="Libre Baskerville" w:eastAsia="Libre Baskerville" w:hAnsi="Libre Baskerville" w:cs="Libre Baskerville"/>
          <w:sz w:val="24"/>
          <w:szCs w:val="24"/>
        </w:rPr>
        <w:t xml:space="preserve"> of readers far beyond the confines of eighteenth-century Europe </w:t>
      </w:r>
      <w:r w:rsidR="00601716">
        <w:rPr>
          <w:rFonts w:ascii="Libre Baskerville" w:eastAsia="Libre Baskerville" w:hAnsi="Libre Baskerville" w:cs="Libre Baskerville"/>
          <w:sz w:val="24"/>
          <w:szCs w:val="24"/>
        </w:rPr>
        <w:t xml:space="preserve">– or, at least, to have the potential to do so – </w:t>
      </w:r>
      <w:r>
        <w:rPr>
          <w:rFonts w:ascii="Libre Baskerville" w:eastAsia="Libre Baskerville" w:hAnsi="Libre Baskerville" w:cs="Libre Baskerville"/>
          <w:sz w:val="24"/>
          <w:szCs w:val="24"/>
        </w:rPr>
        <w:t>how is this to be explained?</w:t>
      </w:r>
    </w:p>
    <w:p w14:paraId="0000000C" w14:textId="1C8BC7D6"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confronted this very question; and he turned to the example of Aristotle’s writings to make his point: </w:t>
      </w:r>
    </w:p>
    <w:p w14:paraId="0000000D" w14:textId="77777777" w:rsidR="00D467CA" w:rsidRDefault="006F2E25">
      <w:pPr>
        <w:spacing w:line="360" w:lineRule="auto"/>
        <w:ind w:left="56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permanent value of such treatises as Aristotle’s </w:t>
      </w:r>
      <w:r>
        <w:rPr>
          <w:rFonts w:ascii="Libre Baskerville" w:eastAsia="Libre Baskerville" w:hAnsi="Libre Baskerville" w:cs="Libre Baskerville"/>
          <w:i/>
          <w:sz w:val="24"/>
          <w:szCs w:val="24"/>
        </w:rPr>
        <w:t xml:space="preserve">Politics </w:t>
      </w:r>
      <w:r>
        <w:rPr>
          <w:rFonts w:ascii="Libre Baskerville" w:eastAsia="Libre Baskerville" w:hAnsi="Libre Baskerville" w:cs="Libre Baskerville"/>
          <w:sz w:val="24"/>
          <w:szCs w:val="24"/>
        </w:rPr>
        <w:t xml:space="preserve">and </w:t>
      </w:r>
      <w:r>
        <w:rPr>
          <w:rFonts w:ascii="Libre Baskerville" w:eastAsia="Libre Baskerville" w:hAnsi="Libre Baskerville" w:cs="Libre Baskerville"/>
          <w:i/>
          <w:sz w:val="24"/>
          <w:szCs w:val="24"/>
        </w:rPr>
        <w:t xml:space="preserve">Poetics </w:t>
      </w:r>
      <w:r>
        <w:rPr>
          <w:rFonts w:ascii="Libre Baskerville" w:eastAsia="Libre Baskerville" w:hAnsi="Libre Baskerville" w:cs="Libre Baskerville"/>
          <w:sz w:val="24"/>
          <w:szCs w:val="24"/>
        </w:rPr>
        <w:t xml:space="preserve">is found at the opposite extreme to anything that we can call </w:t>
      </w:r>
      <w:r>
        <w:rPr>
          <w:rFonts w:ascii="Libre Baskerville" w:eastAsia="Libre Baskerville" w:hAnsi="Libre Baskerville" w:cs="Libre Baskerville"/>
          <w:i/>
          <w:sz w:val="24"/>
          <w:szCs w:val="24"/>
        </w:rPr>
        <w:t>doctrinaire</w:t>
      </w:r>
      <w:r>
        <w:rPr>
          <w:rFonts w:ascii="Libre Baskerville" w:eastAsia="Libre Baskerville" w:hAnsi="Libre Baskerville" w:cs="Libre Baskerville"/>
          <w:sz w:val="24"/>
          <w:szCs w:val="24"/>
        </w:rPr>
        <w:t>. Just as his views on dramatic poetry were derived from a study of the existing works of Attic drama, so his</w:t>
      </w:r>
      <w:r>
        <w:rPr>
          <w:rFonts w:ascii="Libre Baskerville" w:eastAsia="Libre Baskerville" w:hAnsi="Libre Baskerville" w:cs="Libre Baskerville"/>
          <w:i/>
          <w:sz w:val="24"/>
          <w:szCs w:val="24"/>
        </w:rPr>
        <w:t xml:space="preserve"> </w:t>
      </w:r>
      <w:r>
        <w:rPr>
          <w:rFonts w:ascii="Libre Baskerville" w:eastAsia="Libre Baskerville" w:hAnsi="Libre Baskerville" w:cs="Libre Baskerville"/>
          <w:sz w:val="24"/>
          <w:szCs w:val="24"/>
        </w:rPr>
        <w:t>political theory was founded on a perception of the unconscious aims implicit in Athenian democracy at its best. His limitations are the condition of his universality; and instead of ingenious theories spun out of his head, he wrote studies full of universal wisdom.</w:t>
      </w:r>
      <w:r>
        <w:rPr>
          <w:rFonts w:ascii="Libre Baskerville" w:eastAsia="Libre Baskerville" w:hAnsi="Libre Baskerville" w:cs="Libre Baskerville"/>
          <w:sz w:val="24"/>
          <w:szCs w:val="24"/>
          <w:vertAlign w:val="superscript"/>
        </w:rPr>
        <w:footnoteReference w:id="50"/>
      </w:r>
    </w:p>
    <w:p w14:paraId="20032F1F" w14:textId="77777777" w:rsidR="00CB5880"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genius of Aristotle and other such authors, whose work both encapsulates the highest ideals of </w:t>
      </w:r>
      <w:r w:rsidR="00CB5880">
        <w:rPr>
          <w:rFonts w:ascii="Libre Baskerville" w:eastAsia="Libre Baskerville" w:hAnsi="Libre Baskerville" w:cs="Libre Baskerville"/>
          <w:sz w:val="24"/>
          <w:szCs w:val="24"/>
        </w:rPr>
        <w:t>its</w:t>
      </w:r>
      <w:r>
        <w:rPr>
          <w:rFonts w:ascii="Libre Baskerville" w:eastAsia="Libre Baskerville" w:hAnsi="Libre Baskerville" w:cs="Libre Baskerville"/>
          <w:sz w:val="24"/>
          <w:szCs w:val="24"/>
        </w:rPr>
        <w:t xml:space="preserve"> place and time and yet transcends them to become work for all time, also owes much to what Eliot called their “historical sense.” This “involves a perception, not only of the pastness of the past, but of its presence; the historical sense compels a man to write not merely with his own generation in his bones, but with a feeling that the whole of the literature of Europe from Homer and within it the whole of the literature of his own country has a simultaneous existence and composes a simultaneous order.” To begin to discern and inhabit this “ideal order,” Eliot continues, requires of the literary artist “a continual self-sacrifice, a continual extinction of personality,” surrendering oneself to great minds working in earlier epochs and attempting </w:t>
      </w:r>
      <w:r>
        <w:rPr>
          <w:rFonts w:ascii="Libre Baskerville" w:eastAsia="Libre Baskerville" w:hAnsi="Libre Baskerville" w:cs="Libre Baskerville"/>
          <w:sz w:val="24"/>
          <w:szCs w:val="24"/>
        </w:rPr>
        <w:lastRenderedPageBreak/>
        <w:t>to see the world through their eyes.</w:t>
      </w:r>
      <w:r>
        <w:rPr>
          <w:rFonts w:ascii="Libre Baskerville" w:eastAsia="Libre Baskerville" w:hAnsi="Libre Baskerville" w:cs="Libre Baskerville"/>
          <w:sz w:val="24"/>
          <w:szCs w:val="24"/>
          <w:vertAlign w:val="superscript"/>
        </w:rPr>
        <w:footnoteReference w:id="51"/>
      </w:r>
      <w:r>
        <w:rPr>
          <w:rFonts w:ascii="Libre Baskerville" w:eastAsia="Libre Baskerville" w:hAnsi="Libre Baskerville" w:cs="Libre Baskerville"/>
          <w:sz w:val="24"/>
          <w:szCs w:val="24"/>
        </w:rPr>
        <w:t xml:space="preserve"> This self-abnegation is far from easy: it is the work of a lifetime. But it is essential if one is truly to appreciate, and to inhabit, great works from the past: “such study is vain unless we have first made the conscious attempt, as difficult and hard as rebirth, to pass through the </w:t>
      </w:r>
      <w:proofErr w:type="gramStart"/>
      <w:r>
        <w:rPr>
          <w:rFonts w:ascii="Libre Baskerville" w:eastAsia="Libre Baskerville" w:hAnsi="Libre Baskerville" w:cs="Libre Baskerville"/>
          <w:sz w:val="24"/>
          <w:szCs w:val="24"/>
        </w:rPr>
        <w:t>looking-glass</w:t>
      </w:r>
      <w:proofErr w:type="gramEnd"/>
      <w:r>
        <w:rPr>
          <w:rFonts w:ascii="Libre Baskerville" w:eastAsia="Libre Baskerville" w:hAnsi="Libre Baskerville" w:cs="Libre Baskerville"/>
          <w:sz w:val="24"/>
          <w:szCs w:val="24"/>
        </w:rPr>
        <w:t xml:space="preserve"> into a world which is just as reasonable as our own. When we have done that, we begin to wonder whether the world of [the past authors we study] is not both larger and more solid than our own.”</w:t>
      </w:r>
      <w:r>
        <w:rPr>
          <w:rFonts w:ascii="Libre Baskerville" w:eastAsia="Libre Baskerville" w:hAnsi="Libre Baskerville" w:cs="Libre Baskerville"/>
          <w:sz w:val="24"/>
          <w:szCs w:val="24"/>
          <w:vertAlign w:val="superscript"/>
        </w:rPr>
        <w:footnoteReference w:id="52"/>
      </w:r>
      <w:r>
        <w:rPr>
          <w:rFonts w:ascii="Libre Baskerville" w:eastAsia="Libre Baskerville" w:hAnsi="Libre Baskerville" w:cs="Libre Baskerville"/>
          <w:sz w:val="24"/>
          <w:szCs w:val="24"/>
        </w:rPr>
        <w:t xml:space="preserve"> </w:t>
      </w:r>
    </w:p>
    <w:p w14:paraId="0000000E" w14:textId="7333A9BA"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It is also the necessary condition for the production of genuinely “new” and “original” works of art, because the artist who can inhabit the mental universe of the great writers of the past is alone able to perceive the discontinuities between present and past, and to add something to the “ideal order” passed down from Homer to the present by making it speak to a different age. “Whoever,” Eliot observes, “has approved this idea of order, of the form of European […] literature will not find it preposterous that the past should be altered by the present as much as the present is directed by the past.” This sense that one’s work, by altering the “ideal order” as a whole, alters both the present </w:t>
      </w:r>
      <w:r>
        <w:rPr>
          <w:rFonts w:ascii="Libre Baskerville" w:eastAsia="Libre Baskerville" w:hAnsi="Libre Baskerville" w:cs="Libre Baskerville"/>
          <w:i/>
          <w:sz w:val="24"/>
          <w:szCs w:val="24"/>
        </w:rPr>
        <w:t>and</w:t>
      </w:r>
      <w:r>
        <w:rPr>
          <w:rFonts w:ascii="Libre Baskerville" w:eastAsia="Libre Baskerville" w:hAnsi="Libre Baskerville" w:cs="Libre Baskerville"/>
          <w:sz w:val="24"/>
          <w:szCs w:val="24"/>
        </w:rPr>
        <w:t xml:space="preserve"> the past, is accompanied by an awareness “of great difficulties and responsibilities.” The artist, in short, whose work is universal </w:t>
      </w:r>
      <w:r>
        <w:rPr>
          <w:rFonts w:ascii="Libre Baskerville" w:eastAsia="Libre Baskerville" w:hAnsi="Libre Baskerville" w:cs="Libre Baskerville"/>
          <w:i/>
          <w:sz w:val="24"/>
          <w:szCs w:val="24"/>
        </w:rPr>
        <w:t>because</w:t>
      </w:r>
      <w:r>
        <w:rPr>
          <w:rFonts w:ascii="Libre Baskerville" w:eastAsia="Libre Baskerville" w:hAnsi="Libre Baskerville" w:cs="Libre Baskerville"/>
          <w:sz w:val="24"/>
          <w:szCs w:val="24"/>
        </w:rPr>
        <w:t xml:space="preserve"> it is particular “is not likely to know what is to be done unless he lives in what is not merely the present, but the present moment of the past, unless he is conscious, not of what is dead, but of what is already living.”</w:t>
      </w:r>
      <w:r>
        <w:rPr>
          <w:rFonts w:ascii="Libre Baskerville" w:eastAsia="Libre Baskerville" w:hAnsi="Libre Baskerville" w:cs="Libre Baskerville"/>
          <w:sz w:val="24"/>
          <w:szCs w:val="24"/>
          <w:vertAlign w:val="superscript"/>
        </w:rPr>
        <w:footnoteReference w:id="53"/>
      </w:r>
      <w:r>
        <w:rPr>
          <w:rFonts w:ascii="Libre Baskerville" w:eastAsia="Libre Baskerville" w:hAnsi="Libre Baskerville" w:cs="Libre Baskerville"/>
          <w:sz w:val="24"/>
          <w:szCs w:val="24"/>
        </w:rPr>
        <w:t xml:space="preserve"> </w:t>
      </w:r>
    </w:p>
    <w:p w14:paraId="0000000F" w14:textId="361825A5"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also offers guidance on how the artist might come to inhabit this living tradition, </w:t>
      </w:r>
      <w:proofErr w:type="gramStart"/>
      <w:r>
        <w:rPr>
          <w:rFonts w:ascii="Libre Baskerville" w:eastAsia="Libre Baskerville" w:hAnsi="Libre Baskerville" w:cs="Libre Baskerville"/>
          <w:sz w:val="24"/>
          <w:szCs w:val="24"/>
        </w:rPr>
        <w:t>so as to</w:t>
      </w:r>
      <w:proofErr w:type="gramEnd"/>
      <w:r>
        <w:rPr>
          <w:rFonts w:ascii="Libre Baskerville" w:eastAsia="Libre Baskerville" w:hAnsi="Libre Baskerville" w:cs="Libre Baskerville"/>
          <w:sz w:val="24"/>
          <w:szCs w:val="24"/>
        </w:rPr>
        <w:t xml:space="preserve"> be able to contribute something genuinely “new” to it. Eliot is chary of the concept of individual “genius,” which he identifies with the Romantics who, in turn, associate it with untrammeled self-expression and are </w:t>
      </w:r>
      <w:r w:rsidR="00CB5880">
        <w:rPr>
          <w:rFonts w:ascii="Libre Baskerville" w:eastAsia="Libre Baskerville" w:hAnsi="Libre Baskerville" w:cs="Libre Baskerville"/>
          <w:sz w:val="24"/>
          <w:szCs w:val="24"/>
        </w:rPr>
        <w:t>incorrigibly</w:t>
      </w:r>
      <w:r>
        <w:rPr>
          <w:rFonts w:ascii="Libre Baskerville" w:eastAsia="Libre Baskerville" w:hAnsi="Libre Baskerville" w:cs="Libre Baskerville"/>
          <w:sz w:val="24"/>
          <w:szCs w:val="24"/>
        </w:rPr>
        <w:t xml:space="preserve"> suspicious of those “who depend upon tradition and the accumulated wisdom of time.” Eliot nonetheless concedes that the true artist is </w:t>
      </w:r>
      <w:r>
        <w:rPr>
          <w:rFonts w:ascii="Libre Baskerville" w:eastAsia="Libre Baskerville" w:hAnsi="Libre Baskerville" w:cs="Libre Baskerville"/>
          <w:sz w:val="24"/>
          <w:szCs w:val="24"/>
        </w:rPr>
        <w:lastRenderedPageBreak/>
        <w:t>born, even as he</w:t>
      </w:r>
      <w:r>
        <w:rPr>
          <w:rFonts w:ascii="Libre Baskerville" w:eastAsia="Libre Baskerville" w:hAnsi="Libre Baskerville" w:cs="Libre Baskerville"/>
          <w:sz w:val="24"/>
          <w:szCs w:val="24"/>
          <w:vertAlign w:val="superscript"/>
        </w:rPr>
        <w:footnoteReference w:id="54"/>
      </w:r>
      <w:r>
        <w:rPr>
          <w:rFonts w:ascii="Libre Baskerville" w:eastAsia="Libre Baskerville" w:hAnsi="Libre Baskerville" w:cs="Libre Baskerville"/>
          <w:sz w:val="24"/>
          <w:szCs w:val="24"/>
        </w:rPr>
        <w:t xml:space="preserve"> must cultivate his gift; he is possessed of (or by) a keen sense that there is something outside of himself “to which he owes allegiance, a devotion to which he must surrender and sacrifice himself in order to earn and obtain his unique position.” Such artists are united, “consciously or unconsciously,” by “a common inheritance and a common cause,” a shared “devotion.”</w:t>
      </w:r>
      <w:r>
        <w:rPr>
          <w:rFonts w:ascii="Libre Baskerville" w:eastAsia="Libre Baskerville" w:hAnsi="Libre Baskerville" w:cs="Libre Baskerville"/>
          <w:sz w:val="24"/>
          <w:szCs w:val="24"/>
          <w:vertAlign w:val="superscript"/>
        </w:rPr>
        <w:footnoteReference w:id="55"/>
      </w:r>
      <w:r>
        <w:rPr>
          <w:rFonts w:ascii="Libre Baskerville" w:eastAsia="Libre Baskerville" w:hAnsi="Libre Baskerville" w:cs="Libre Baskerville"/>
          <w:sz w:val="24"/>
          <w:szCs w:val="24"/>
        </w:rPr>
        <w:t xml:space="preserve"> But the character they seek to cultivate is that of the true “critic,” and here, all follow a similar path. Such a critic engages initially in wide and rather indiscriminate reading; but his energies, over time, acquire greater focus and purpose. The </w:t>
      </w:r>
      <w:r w:rsidR="00503A4D">
        <w:rPr>
          <w:rFonts w:ascii="Libre Baskerville" w:eastAsia="Libre Baskerville" w:hAnsi="Libre Baskerville" w:cs="Libre Baskerville"/>
          <w:sz w:val="24"/>
          <w:szCs w:val="24"/>
        </w:rPr>
        <w:t>novice</w:t>
      </w:r>
      <w:r>
        <w:rPr>
          <w:rFonts w:ascii="Libre Baskerville" w:eastAsia="Libre Baskerville" w:hAnsi="Libre Baskerville" w:cs="Libre Baskerville"/>
          <w:sz w:val="24"/>
          <w:szCs w:val="24"/>
        </w:rPr>
        <w:t xml:space="preserve"> begins as the </w:t>
      </w:r>
      <w:r w:rsidR="00503A4D">
        <w:rPr>
          <w:rFonts w:ascii="Libre Baskerville" w:eastAsia="Libre Baskerville" w:hAnsi="Libre Baskerville" w:cs="Libre Baskerville"/>
          <w:sz w:val="24"/>
          <w:szCs w:val="24"/>
        </w:rPr>
        <w:t>apprentice</w:t>
      </w:r>
      <w:r>
        <w:rPr>
          <w:rFonts w:ascii="Libre Baskerville" w:eastAsia="Libre Baskerville" w:hAnsi="Libre Baskerville" w:cs="Libre Baskerville"/>
          <w:sz w:val="24"/>
          <w:szCs w:val="24"/>
        </w:rPr>
        <w:t xml:space="preserve">, by turns, of </w:t>
      </w:r>
      <w:proofErr w:type="gramStart"/>
      <w:r>
        <w:rPr>
          <w:rFonts w:ascii="Libre Baskerville" w:eastAsia="Libre Baskerville" w:hAnsi="Libre Baskerville" w:cs="Libre Baskerville"/>
          <w:sz w:val="24"/>
          <w:szCs w:val="24"/>
        </w:rPr>
        <w:t>each and every</w:t>
      </w:r>
      <w:proofErr w:type="gramEnd"/>
      <w:r>
        <w:rPr>
          <w:rFonts w:ascii="Libre Baskerville" w:eastAsia="Libre Baskerville" w:hAnsi="Libre Baskerville" w:cs="Libre Baskerville"/>
          <w:sz w:val="24"/>
          <w:szCs w:val="24"/>
        </w:rPr>
        <w:t xml:space="preserve"> powerful mind he encounters; eventually, however, he acquires a critical perspective on the relative merits of each author, and a keener sense of the relation between them. With this increasing facility for discrimination and judgment, the critic and artist meet as one: he engages with the great authors of the past as an equal, not as a disciple; as one who is now desirous – and perhaps capable – of “emulating,” and not merely “imitating” their achievements. Emulation is vital: it brings the highest ideals encountered in the minds of the past to life in the present</w:t>
      </w:r>
      <w:r w:rsidR="00527515">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w:t>
      </w:r>
      <w:r w:rsidR="00527515">
        <w:rPr>
          <w:rFonts w:ascii="Libre Baskerville" w:eastAsia="Libre Baskerville" w:hAnsi="Libre Baskerville" w:cs="Libre Baskerville"/>
          <w:sz w:val="24"/>
          <w:szCs w:val="24"/>
        </w:rPr>
        <w:t>I</w:t>
      </w:r>
      <w:r>
        <w:rPr>
          <w:rFonts w:ascii="Libre Baskerville" w:eastAsia="Libre Baskerville" w:hAnsi="Libre Baskerville" w:cs="Libre Baskerville"/>
          <w:sz w:val="24"/>
          <w:szCs w:val="24"/>
        </w:rPr>
        <w:t xml:space="preserve">mitation, conversely, is lifeless, resulting only in an insipid copy that lacks the vitality of the original: </w:t>
      </w:r>
    </w:p>
    <w:p w14:paraId="00000010" w14:textId="77777777" w:rsidR="00D467CA" w:rsidRDefault="006F2E25">
      <w:pPr>
        <w:spacing w:line="360" w:lineRule="auto"/>
        <w:ind w:left="56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author of a work of imagination is trying to affect us wholly, as human beings, whether he knows it or not; and we are affected by it, as human beings, whether we intend to be or not. […] One author takes complete possession of us for a time; then another; and </w:t>
      </w:r>
      <w:proofErr w:type="gramStart"/>
      <w:r>
        <w:rPr>
          <w:rFonts w:ascii="Libre Baskerville" w:eastAsia="Libre Baskerville" w:hAnsi="Libre Baskerville" w:cs="Libre Baskerville"/>
          <w:sz w:val="24"/>
          <w:szCs w:val="24"/>
        </w:rPr>
        <w:t>finally</w:t>
      </w:r>
      <w:proofErr w:type="gramEnd"/>
      <w:r>
        <w:rPr>
          <w:rFonts w:ascii="Libre Baskerville" w:eastAsia="Libre Baskerville" w:hAnsi="Libre Baskerville" w:cs="Libre Baskerville"/>
          <w:sz w:val="24"/>
          <w:szCs w:val="24"/>
        </w:rPr>
        <w:t xml:space="preserve"> they begin to affect each other in our mind. We weigh one against another; we see that each has qualities absent from others, and qualities incompatible with the qualities of others: we begin to be, in fact, critical; and it is our growing critical power which protects us from excessive possession by any one literary personality. The good critic […] is the man who, to a keen and abiding sensibility, joins wide and increasingly discriminating reading. </w:t>
      </w:r>
      <w:r>
        <w:rPr>
          <w:rFonts w:ascii="Libre Baskerville" w:eastAsia="Libre Baskerville" w:hAnsi="Libre Baskerville" w:cs="Libre Baskerville"/>
          <w:sz w:val="24"/>
          <w:szCs w:val="24"/>
        </w:rPr>
        <w:lastRenderedPageBreak/>
        <w:t xml:space="preserve">Wide reading is not valuable as a kind of hoarding, an accumulation of knowledge, or what sometimes is meant by the term “a well-stocked mind.” It is valuable because in the process of being affected by one powerful personality after another, we cease to be dominated by </w:t>
      </w:r>
      <w:proofErr w:type="gramStart"/>
      <w:r>
        <w:rPr>
          <w:rFonts w:ascii="Libre Baskerville" w:eastAsia="Libre Baskerville" w:hAnsi="Libre Baskerville" w:cs="Libre Baskerville"/>
          <w:sz w:val="24"/>
          <w:szCs w:val="24"/>
        </w:rPr>
        <w:t>any one</w:t>
      </w:r>
      <w:proofErr w:type="gramEnd"/>
      <w:r>
        <w:rPr>
          <w:rFonts w:ascii="Libre Baskerville" w:eastAsia="Libre Baskerville" w:hAnsi="Libre Baskerville" w:cs="Libre Baskerville"/>
          <w:sz w:val="24"/>
          <w:szCs w:val="24"/>
        </w:rPr>
        <w:t xml:space="preserve">, or by any small number. The very different views of life, cohabiting in our minds, affect each other, and our own personality asserts itself and gives each a place in some arrangement particular to </w:t>
      </w:r>
      <w:proofErr w:type="gramStart"/>
      <w:r>
        <w:rPr>
          <w:rFonts w:ascii="Libre Baskerville" w:eastAsia="Libre Baskerville" w:hAnsi="Libre Baskerville" w:cs="Libre Baskerville"/>
          <w:sz w:val="24"/>
          <w:szCs w:val="24"/>
        </w:rPr>
        <w:t>ourself</w:t>
      </w:r>
      <w:proofErr w:type="gramEnd"/>
      <w:r>
        <w:rPr>
          <w:rFonts w:ascii="Libre Baskerville" w:eastAsia="Libre Baskerville" w:hAnsi="Libre Baskerville" w:cs="Libre Baskerville"/>
          <w:sz w:val="24"/>
          <w:szCs w:val="24"/>
        </w:rPr>
        <w:t>.</w:t>
      </w:r>
    </w:p>
    <w:p w14:paraId="00000011" w14:textId="6F332B38"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“We are learning,” El</w:t>
      </w:r>
      <w:r w:rsidR="009D1AD4">
        <w:rPr>
          <w:rFonts w:ascii="Libre Baskerville" w:eastAsia="Libre Baskerville" w:hAnsi="Libre Baskerville" w:cs="Libre Baskerville"/>
          <w:sz w:val="24"/>
          <w:szCs w:val="24"/>
        </w:rPr>
        <w:t>i</w:t>
      </w:r>
      <w:r>
        <w:rPr>
          <w:rFonts w:ascii="Libre Baskerville" w:eastAsia="Libre Baskerville" w:hAnsi="Libre Baskerville" w:cs="Libre Baskerville"/>
          <w:sz w:val="24"/>
          <w:szCs w:val="24"/>
        </w:rPr>
        <w:t xml:space="preserve">ot concludes in the essay which began by considering the “literary value” of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w:t>
      </w:r>
      <w:r>
        <w:rPr>
          <w:rFonts w:ascii="Libre Baskerville" w:eastAsia="Libre Baskerville" w:hAnsi="Libre Baskerville" w:cs="Libre Baskerville"/>
          <w:i/>
          <w:sz w:val="24"/>
          <w:szCs w:val="24"/>
        </w:rPr>
        <w:t>something</w:t>
      </w:r>
      <w:r>
        <w:rPr>
          <w:rFonts w:ascii="Libre Baskerville" w:eastAsia="Libre Baskerville" w:hAnsi="Libre Baskerville" w:cs="Libre Baskerville"/>
          <w:sz w:val="24"/>
          <w:szCs w:val="24"/>
        </w:rPr>
        <w:t xml:space="preserve"> about life from these authors direct, just as we learn something from the reading of history direct; but these authors are only really helping us when we can see, and allow for, their differences from ourselves.”</w:t>
      </w:r>
      <w:r>
        <w:rPr>
          <w:rFonts w:ascii="Libre Baskerville" w:eastAsia="Libre Baskerville" w:hAnsi="Libre Baskerville" w:cs="Libre Baskerville"/>
          <w:sz w:val="24"/>
          <w:szCs w:val="24"/>
          <w:vertAlign w:val="superscript"/>
        </w:rPr>
        <w:footnoteReference w:id="56"/>
      </w:r>
    </w:p>
    <w:p w14:paraId="00000012" w14:textId="401E1DC6"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What, though, of Gibbon? I want to suggest that practically all of Eliot’s claims about great literature find clear expression in his writings, from his first published work, the </w:t>
      </w:r>
      <w:r>
        <w:rPr>
          <w:rFonts w:ascii="Libre Baskerville" w:eastAsia="Libre Baskerville" w:hAnsi="Libre Baskerville" w:cs="Libre Baskerville"/>
          <w:i/>
          <w:sz w:val="24"/>
          <w:szCs w:val="24"/>
        </w:rPr>
        <w:t xml:space="preserve">Essai sur </w:t>
      </w:r>
      <w:proofErr w:type="spellStart"/>
      <w:r>
        <w:rPr>
          <w:rFonts w:ascii="Libre Baskerville" w:eastAsia="Libre Baskerville" w:hAnsi="Libre Baskerville" w:cs="Libre Baskerville"/>
          <w:i/>
          <w:sz w:val="24"/>
          <w:szCs w:val="24"/>
        </w:rPr>
        <w:t>l’étude</w:t>
      </w:r>
      <w:proofErr w:type="spellEnd"/>
      <w:r>
        <w:rPr>
          <w:rFonts w:ascii="Libre Baskerville" w:eastAsia="Libre Baskerville" w:hAnsi="Libre Baskerville" w:cs="Libre Baskerville"/>
          <w:i/>
          <w:sz w:val="24"/>
          <w:szCs w:val="24"/>
        </w:rPr>
        <w:t xml:space="preserve"> de la </w:t>
      </w:r>
      <w:proofErr w:type="spellStart"/>
      <w:r>
        <w:rPr>
          <w:rFonts w:ascii="Libre Baskerville" w:eastAsia="Libre Baskerville" w:hAnsi="Libre Baskerville" w:cs="Libre Baskerville"/>
          <w:i/>
          <w:sz w:val="24"/>
          <w:szCs w:val="24"/>
        </w:rPr>
        <w:t>littérature</w:t>
      </w:r>
      <w:proofErr w:type="spellEnd"/>
      <w:r>
        <w:rPr>
          <w:rFonts w:ascii="Libre Baskerville" w:eastAsia="Libre Baskerville" w:hAnsi="Libre Baskerville" w:cs="Libre Baskerville"/>
          <w:sz w:val="24"/>
          <w:szCs w:val="24"/>
        </w:rPr>
        <w:t xml:space="preserve"> – published in French in 1761, and in a defective English translation three years later – to the unfinished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he was composing in his final years. This is not to say that </w:t>
      </w:r>
      <w:r w:rsidR="00524D5B">
        <w:rPr>
          <w:rFonts w:ascii="Libre Baskerville" w:eastAsia="Libre Baskerville" w:hAnsi="Libre Baskerville" w:cs="Libre Baskerville"/>
          <w:sz w:val="24"/>
          <w:szCs w:val="24"/>
        </w:rPr>
        <w:t>E</w:t>
      </w:r>
      <w:r>
        <w:rPr>
          <w:rFonts w:ascii="Libre Baskerville" w:eastAsia="Libre Baskerville" w:hAnsi="Libre Baskerville" w:cs="Libre Baskerville"/>
          <w:sz w:val="24"/>
          <w:szCs w:val="24"/>
        </w:rPr>
        <w:t>liot “consciously” borrowed from Gibbon; after all, Eliot himself observed that “the union” between artists is “mostly unconscious.”</w:t>
      </w:r>
      <w:r>
        <w:rPr>
          <w:rFonts w:ascii="Libre Baskerville" w:eastAsia="Libre Baskerville" w:hAnsi="Libre Baskerville" w:cs="Libre Baskerville"/>
          <w:sz w:val="24"/>
          <w:szCs w:val="24"/>
          <w:vertAlign w:val="superscript"/>
        </w:rPr>
        <w:footnoteReference w:id="57"/>
      </w:r>
      <w:r>
        <w:rPr>
          <w:rFonts w:ascii="Libre Baskerville" w:eastAsia="Libre Baskerville" w:hAnsi="Libre Baskerville" w:cs="Libre Baskerville"/>
          <w:sz w:val="24"/>
          <w:szCs w:val="24"/>
        </w:rPr>
        <w:t xml:space="preserve"> But he clearly considered Gibbon to have made a significant, or “new,” contribution to the “tradition” both inhabited. A true artist recognizes another when</w:t>
      </w:r>
      <w:r w:rsidR="004F723E">
        <w:rPr>
          <w:rFonts w:ascii="Libre Baskerville" w:eastAsia="Libre Baskerville" w:hAnsi="Libre Baskerville" w:cs="Libre Baskerville"/>
          <w:sz w:val="24"/>
          <w:szCs w:val="24"/>
        </w:rPr>
        <w:t xml:space="preserve"> they </w:t>
      </w:r>
      <w:r>
        <w:rPr>
          <w:rFonts w:ascii="Libre Baskerville" w:eastAsia="Libre Baskerville" w:hAnsi="Libre Baskerville" w:cs="Libre Baskerville"/>
          <w:sz w:val="24"/>
          <w:szCs w:val="24"/>
        </w:rPr>
        <w:t>meet</w:t>
      </w:r>
      <w:r w:rsidR="00527515">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 xml:space="preserve">– </w:t>
      </w:r>
      <w:r w:rsidR="00527515">
        <w:rPr>
          <w:rFonts w:ascii="Libre Baskerville" w:eastAsia="Libre Baskerville" w:hAnsi="Libre Baskerville" w:cs="Libre Baskerville"/>
          <w:sz w:val="24"/>
          <w:szCs w:val="24"/>
        </w:rPr>
        <w:t>as when</w:t>
      </w:r>
      <w:r>
        <w:rPr>
          <w:rFonts w:ascii="Libre Baskerville" w:eastAsia="Libre Baskerville" w:hAnsi="Libre Baskerville" w:cs="Libre Baskerville"/>
          <w:sz w:val="24"/>
          <w:szCs w:val="24"/>
        </w:rPr>
        <w:t xml:space="preserve"> reader</w:t>
      </w:r>
      <w:r w:rsidR="00527515">
        <w:rPr>
          <w:rFonts w:ascii="Libre Baskerville" w:eastAsia="Libre Baskerville" w:hAnsi="Libre Baskerville" w:cs="Libre Baskerville"/>
          <w:sz w:val="24"/>
          <w:szCs w:val="24"/>
        </w:rPr>
        <w:t xml:space="preserve"> meets author</w:t>
      </w:r>
      <w:r>
        <w:rPr>
          <w:rFonts w:ascii="Libre Baskerville" w:eastAsia="Libre Baskerville" w:hAnsi="Libre Baskerville" w:cs="Libre Baskerville"/>
          <w:sz w:val="24"/>
          <w:szCs w:val="24"/>
        </w:rPr>
        <w:t>. Gibbon shared this view</w:t>
      </w:r>
      <w:r w:rsidR="004F723E">
        <w:rPr>
          <w:rFonts w:ascii="Libre Baskerville" w:eastAsia="Libre Baskerville" w:hAnsi="Libre Baskerville" w:cs="Libre Baskerville"/>
          <w:sz w:val="24"/>
          <w:szCs w:val="24"/>
        </w:rPr>
        <w:t xml:space="preserve">. It </w:t>
      </w:r>
      <w:r>
        <w:rPr>
          <w:rFonts w:ascii="Libre Baskerville" w:eastAsia="Libre Baskerville" w:hAnsi="Libre Baskerville" w:cs="Libre Baskerville"/>
          <w:sz w:val="24"/>
          <w:szCs w:val="24"/>
        </w:rPr>
        <w:t xml:space="preserve">was true, he observed in an essay on the ancient Persian empire of the Medes dating from c.1758–63, not least for those historians who are also artists – that is, those who exercise all the faculties of the mind in the writing of history: </w:t>
      </w:r>
    </w:p>
    <w:p w14:paraId="00000013" w14:textId="77777777" w:rsidR="00D467CA" w:rsidRPr="004F723E" w:rsidRDefault="006F2E25">
      <w:pPr>
        <w:spacing w:line="360" w:lineRule="auto"/>
        <w:ind w:left="567"/>
        <w:jc w:val="both"/>
        <w:rPr>
          <w:rFonts w:ascii="Libre Baskerville" w:eastAsia="Libre Baskerville" w:hAnsi="Libre Baskerville" w:cs="Libre Baskerville"/>
          <w:sz w:val="24"/>
          <w:szCs w:val="24"/>
          <w:lang w:val="sv-SE"/>
        </w:rPr>
      </w:pPr>
      <w:r>
        <w:rPr>
          <w:rFonts w:ascii="Libre Baskerville" w:eastAsia="Libre Baskerville" w:hAnsi="Libre Baskerville" w:cs="Libre Baskerville"/>
          <w:sz w:val="24"/>
          <w:szCs w:val="24"/>
        </w:rPr>
        <w:t xml:space="preserve">Tout homme de génie qui </w:t>
      </w:r>
      <w:proofErr w:type="spellStart"/>
      <w:r>
        <w:rPr>
          <w:rFonts w:ascii="Libre Baskerville" w:eastAsia="Libre Baskerville" w:hAnsi="Libre Baskerville" w:cs="Libre Baskerville"/>
          <w:sz w:val="24"/>
          <w:szCs w:val="24"/>
        </w:rPr>
        <w:t>écrit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l'histoire</w:t>
      </w:r>
      <w:proofErr w:type="spellEnd"/>
      <w:r>
        <w:rPr>
          <w:rFonts w:ascii="Libre Baskerville" w:eastAsia="Libre Baskerville" w:hAnsi="Libre Baskerville" w:cs="Libre Baskerville"/>
          <w:sz w:val="24"/>
          <w:szCs w:val="24"/>
        </w:rPr>
        <w:t xml:space="preserve">, y </w:t>
      </w:r>
      <w:proofErr w:type="spellStart"/>
      <w:r>
        <w:rPr>
          <w:rFonts w:ascii="Libre Baskerville" w:eastAsia="Libre Baskerville" w:hAnsi="Libre Baskerville" w:cs="Libre Baskerville"/>
          <w:sz w:val="24"/>
          <w:szCs w:val="24"/>
        </w:rPr>
        <w:t>répand</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peut-être</w:t>
      </w:r>
      <w:proofErr w:type="spellEnd"/>
      <w:r>
        <w:rPr>
          <w:rFonts w:ascii="Libre Baskerville" w:eastAsia="Libre Baskerville" w:hAnsi="Libre Baskerville" w:cs="Libre Baskerville"/>
          <w:sz w:val="24"/>
          <w:szCs w:val="24"/>
        </w:rPr>
        <w:t xml:space="preserve"> sans </w:t>
      </w:r>
      <w:proofErr w:type="spellStart"/>
      <w:r>
        <w:rPr>
          <w:rFonts w:ascii="Libre Baskerville" w:eastAsia="Libre Baskerville" w:hAnsi="Libre Baskerville" w:cs="Libre Baskerville"/>
          <w:sz w:val="24"/>
          <w:szCs w:val="24"/>
        </w:rPr>
        <w:t>s'en</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appercevoir</w:t>
      </w:r>
      <w:proofErr w:type="spellEnd"/>
      <w:r>
        <w:rPr>
          <w:rFonts w:ascii="Libre Baskerville" w:eastAsia="Libre Baskerville" w:hAnsi="Libre Baskerville" w:cs="Libre Baskerville"/>
          <w:sz w:val="24"/>
          <w:szCs w:val="24"/>
        </w:rPr>
        <w:t xml:space="preserve">, le </w:t>
      </w:r>
      <w:proofErr w:type="spellStart"/>
      <w:r>
        <w:rPr>
          <w:rFonts w:ascii="Libre Baskerville" w:eastAsia="Libre Baskerville" w:hAnsi="Libre Baskerville" w:cs="Libre Baskerville"/>
          <w:sz w:val="24"/>
          <w:szCs w:val="24"/>
        </w:rPr>
        <w:t>caractère</w:t>
      </w:r>
      <w:proofErr w:type="spellEnd"/>
      <w:r>
        <w:rPr>
          <w:rFonts w:ascii="Libre Baskerville" w:eastAsia="Libre Baskerville" w:hAnsi="Libre Baskerville" w:cs="Libre Baskerville"/>
          <w:sz w:val="24"/>
          <w:szCs w:val="24"/>
        </w:rPr>
        <w:t xml:space="preserve"> de son esprit. </w:t>
      </w:r>
      <w:r w:rsidRPr="004F723E">
        <w:rPr>
          <w:rFonts w:ascii="Libre Baskerville" w:eastAsia="Libre Baskerville" w:hAnsi="Libre Baskerville" w:cs="Libre Baskerville"/>
          <w:sz w:val="24"/>
          <w:szCs w:val="24"/>
          <w:lang w:val="sv-SE"/>
        </w:rPr>
        <w:t xml:space="preserve">A travers leur variété infinie de </w:t>
      </w:r>
      <w:r w:rsidRPr="004F723E">
        <w:rPr>
          <w:rFonts w:ascii="Libre Baskerville" w:eastAsia="Libre Baskerville" w:hAnsi="Libre Baskerville" w:cs="Libre Baskerville"/>
          <w:sz w:val="24"/>
          <w:szCs w:val="24"/>
          <w:lang w:val="sv-SE"/>
        </w:rPr>
        <w:lastRenderedPageBreak/>
        <w:t>passion et de situation, ses personnages semblent n'avoir qu'une façon de penser et de sentir; et cette façon est celle de l'auteur.</w:t>
      </w:r>
      <w:r>
        <w:rPr>
          <w:rFonts w:ascii="Libre Baskerville" w:eastAsia="Libre Baskerville" w:hAnsi="Libre Baskerville" w:cs="Libre Baskerville"/>
          <w:sz w:val="24"/>
          <w:szCs w:val="24"/>
          <w:vertAlign w:val="superscript"/>
        </w:rPr>
        <w:footnoteReference w:id="58"/>
      </w:r>
      <w:r w:rsidRPr="004F723E">
        <w:rPr>
          <w:rFonts w:ascii="Libre Baskerville" w:eastAsia="Libre Baskerville" w:hAnsi="Libre Baskerville" w:cs="Libre Baskerville"/>
          <w:sz w:val="24"/>
          <w:szCs w:val="24"/>
          <w:lang w:val="sv-SE"/>
        </w:rPr>
        <w:t xml:space="preserve"> </w:t>
      </w:r>
    </w:p>
    <w:p w14:paraId="00000014" w14:textId="4EAA31F1" w:rsidR="00D467CA" w:rsidRDefault="006F2E25">
      <w:pPr>
        <w:spacing w:line="360" w:lineRule="auto"/>
        <w:ind w:left="56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[Every man of genius who writes history, perhaps without realizing it, infuses it with the character of his mind. Through their infinite variety of passions and situations, </w:t>
      </w:r>
      <w:sdt>
        <w:sdtPr>
          <w:tag w:val="goog_rdk_20"/>
          <w:id w:val="55594844"/>
        </w:sdtPr>
        <w:sdtEndPr/>
        <w:sdtContent/>
      </w:sdt>
      <w:r>
        <w:rPr>
          <w:rFonts w:ascii="Libre Baskerville" w:eastAsia="Libre Baskerville" w:hAnsi="Libre Baskerville" w:cs="Libre Baskerville"/>
          <w:sz w:val="24"/>
          <w:szCs w:val="24"/>
        </w:rPr>
        <w:t xml:space="preserve">his characters seem </w:t>
      </w:r>
      <w:r w:rsidR="004F723E">
        <w:rPr>
          <w:rFonts w:ascii="Libre Baskerville" w:eastAsia="Libre Baskerville" w:hAnsi="Libre Baskerville" w:cs="Libre Baskerville"/>
          <w:sz w:val="24"/>
          <w:szCs w:val="24"/>
        </w:rPr>
        <w:t xml:space="preserve">only </w:t>
      </w:r>
      <w:r>
        <w:rPr>
          <w:rFonts w:ascii="Libre Baskerville" w:eastAsia="Libre Baskerville" w:hAnsi="Libre Baskerville" w:cs="Libre Baskerville"/>
          <w:sz w:val="24"/>
          <w:szCs w:val="24"/>
        </w:rPr>
        <w:t>to have one way of thinking and feeling; and this way is that of the author.]</w:t>
      </w:r>
      <w:r>
        <w:rPr>
          <w:rFonts w:ascii="Libre Baskerville" w:eastAsia="Libre Baskerville" w:hAnsi="Libre Baskerville" w:cs="Libre Baskerville"/>
          <w:sz w:val="24"/>
          <w:szCs w:val="24"/>
          <w:vertAlign w:val="superscript"/>
        </w:rPr>
        <w:footnoteReference w:id="59"/>
      </w:r>
    </w:p>
    <w:p w14:paraId="00000015" w14:textId="1C24F86F"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As “style is the image of character,” and as every writer of genius has a character all their own, so by their “inimitable” style one artist may know another.</w:t>
      </w:r>
      <w:r>
        <w:rPr>
          <w:rFonts w:ascii="Libre Baskerville" w:eastAsia="Libre Baskerville" w:hAnsi="Libre Baskerville" w:cs="Libre Baskerville"/>
          <w:sz w:val="24"/>
          <w:szCs w:val="24"/>
          <w:vertAlign w:val="superscript"/>
        </w:rPr>
        <w:footnoteReference w:id="60"/>
      </w:r>
      <w:r>
        <w:rPr>
          <w:rFonts w:ascii="Libre Baskerville" w:eastAsia="Libre Baskerville" w:hAnsi="Libre Baskerville" w:cs="Libre Baskerville"/>
          <w:sz w:val="24"/>
          <w:szCs w:val="24"/>
        </w:rPr>
        <w:t xml:space="preserve"> Gibbon distinguished between two kinds of writer: those (the vast majority) who write only for contemporary fame and reward, and a much rarer breed “who presume the immortality of their name and writings” – that is, those who (also) write for posterity.</w:t>
      </w:r>
      <w:r>
        <w:rPr>
          <w:rFonts w:ascii="Libre Baskerville" w:eastAsia="Libre Baskerville" w:hAnsi="Libre Baskerville" w:cs="Libre Baskerville"/>
          <w:sz w:val="24"/>
          <w:szCs w:val="24"/>
          <w:vertAlign w:val="superscript"/>
        </w:rPr>
        <w:footnoteReference w:id="61"/>
      </w:r>
      <w:r>
        <w:rPr>
          <w:rFonts w:ascii="Libre Baskerville" w:eastAsia="Libre Baskerville" w:hAnsi="Libre Baskerville" w:cs="Libre Baskerville"/>
          <w:sz w:val="24"/>
          <w:szCs w:val="24"/>
        </w:rPr>
        <w:t xml:space="preserve"> Once more, it is by their style that one may</w:t>
      </w:r>
      <w:r w:rsidR="004F723E">
        <w:rPr>
          <w:rFonts w:ascii="Libre Baskerville" w:eastAsia="Libre Baskerville" w:hAnsi="Libre Baskerville" w:cs="Libre Baskerville"/>
          <w:sz w:val="24"/>
          <w:szCs w:val="24"/>
        </w:rPr>
        <w:t xml:space="preserve"> distinguish</w:t>
      </w:r>
      <w:r>
        <w:rPr>
          <w:rFonts w:ascii="Libre Baskerville" w:eastAsia="Libre Baskerville" w:hAnsi="Libre Baskerville" w:cs="Libre Baskerville"/>
          <w:sz w:val="24"/>
          <w:szCs w:val="24"/>
        </w:rPr>
        <w:t xml:space="preserve"> them. “Writers who possess any freedom of mind,” Gibbon declares, “may be known from each other by the peculiar character of their style and sentiments; but the champions who are </w:t>
      </w:r>
      <w:proofErr w:type="spellStart"/>
      <w:r>
        <w:rPr>
          <w:rFonts w:ascii="Libre Baskerville" w:eastAsia="Libre Baskerville" w:hAnsi="Libre Baskerville" w:cs="Libre Baskerville"/>
          <w:sz w:val="24"/>
          <w:szCs w:val="24"/>
        </w:rPr>
        <w:t>inlisted</w:t>
      </w:r>
      <w:proofErr w:type="spellEnd"/>
      <w:r>
        <w:rPr>
          <w:rFonts w:ascii="Libre Baskerville" w:eastAsia="Libre Baskerville" w:hAnsi="Libre Baskerville" w:cs="Libre Baskerville"/>
          <w:sz w:val="24"/>
          <w:szCs w:val="24"/>
        </w:rPr>
        <w:t xml:space="preserve"> in the service of Authority, commonly wear the uniform of the regiment.”</w:t>
      </w:r>
      <w:r>
        <w:rPr>
          <w:rFonts w:ascii="Libre Baskerville" w:eastAsia="Libre Baskerville" w:hAnsi="Libre Baskerville" w:cs="Libre Baskerville"/>
          <w:sz w:val="24"/>
          <w:szCs w:val="24"/>
          <w:vertAlign w:val="superscript"/>
        </w:rPr>
        <w:footnoteReference w:id="62"/>
      </w:r>
    </w:p>
    <w:p w14:paraId="00000016" w14:textId="3FDB5056"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Before turning to compare Gibbon’s account of how the qualities of “mind” of this superior breed of artist are cultivated with Eliot’s, it is important to note that Gibbon’s intended audience was not restricted to an eighteenth-century European readership. </w:t>
      </w:r>
      <w:r w:rsidR="00527515">
        <w:rPr>
          <w:rFonts w:ascii="Libre Baskerville" w:eastAsia="Libre Baskerville" w:hAnsi="Libre Baskerville" w:cs="Libre Baskerville"/>
          <w:sz w:val="24"/>
          <w:szCs w:val="24"/>
        </w:rPr>
        <w:t xml:space="preserve">It went beyond the regimented ranks of conventional opinion. </w:t>
      </w:r>
      <w:r>
        <w:rPr>
          <w:rFonts w:ascii="Libre Baskerville" w:eastAsia="Libre Baskerville" w:hAnsi="Libre Baskerville" w:cs="Libre Baskerville"/>
          <w:sz w:val="24"/>
          <w:szCs w:val="24"/>
        </w:rPr>
        <w:t xml:space="preserve">From the first, Gibbon set his sights far higher. Writers of the superior kind are invariably accused of “vanity” by their inferior brethren, as he observed in his youthful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xml:space="preserve">, because they entertain the fond, and </w:t>
      </w:r>
      <w:r>
        <w:rPr>
          <w:rFonts w:ascii="Libre Baskerville" w:eastAsia="Libre Baskerville" w:hAnsi="Libre Baskerville" w:cs="Libre Baskerville"/>
          <w:i/>
          <w:sz w:val="24"/>
          <w:szCs w:val="24"/>
        </w:rPr>
        <w:t>perhaps</w:t>
      </w:r>
      <w:r>
        <w:rPr>
          <w:rFonts w:ascii="Libre Baskerville" w:eastAsia="Libre Baskerville" w:hAnsi="Libre Baskerville" w:cs="Libre Baskerville"/>
          <w:sz w:val="24"/>
          <w:szCs w:val="24"/>
        </w:rPr>
        <w:t xml:space="preserve"> vain, hope of still being read one thousand years after they had shuffled off this mortal coil, and not merely by their fellow countrymen. They are, rather, transported by the vision that “</w:t>
      </w:r>
      <w:proofErr w:type="spellStart"/>
      <w:r>
        <w:rPr>
          <w:rFonts w:ascii="Libre Baskerville" w:eastAsia="Libre Baskerville" w:hAnsi="Libre Baskerville" w:cs="Libre Baskerville"/>
          <w:sz w:val="24"/>
          <w:szCs w:val="24"/>
        </w:rPr>
        <w:t>l’Indien</w:t>
      </w:r>
      <w:proofErr w:type="spellEnd"/>
      <w:r>
        <w:rPr>
          <w:rFonts w:ascii="Libre Baskerville" w:eastAsia="Libre Baskerville" w:hAnsi="Libre Baskerville" w:cs="Libre Baskerville"/>
          <w:sz w:val="24"/>
          <w:szCs w:val="24"/>
        </w:rPr>
        <w:t xml:space="preserve"> des bords du Ganges et le </w:t>
      </w:r>
      <w:proofErr w:type="spellStart"/>
      <w:r>
        <w:rPr>
          <w:rFonts w:ascii="Libre Baskerville" w:eastAsia="Libre Baskerville" w:hAnsi="Libre Baskerville" w:cs="Libre Baskerville"/>
          <w:sz w:val="24"/>
          <w:szCs w:val="24"/>
        </w:rPr>
        <w:t>Laponois</w:t>
      </w:r>
      <w:proofErr w:type="spellEnd"/>
      <w:r>
        <w:rPr>
          <w:rFonts w:ascii="Libre Baskerville" w:eastAsia="Libre Baskerville" w:hAnsi="Libre Baskerville" w:cs="Libre Baskerville"/>
          <w:sz w:val="24"/>
          <w:szCs w:val="24"/>
        </w:rPr>
        <w:t xml:space="preserve"> au </w:t>
      </w:r>
      <w:r>
        <w:rPr>
          <w:rFonts w:ascii="Libre Baskerville" w:eastAsia="Libre Baskerville" w:hAnsi="Libre Baskerville" w:cs="Libre Baskerville"/>
          <w:sz w:val="24"/>
          <w:szCs w:val="24"/>
        </w:rPr>
        <w:lastRenderedPageBreak/>
        <w:t xml:space="preserve">milieu de </w:t>
      </w:r>
      <w:proofErr w:type="spellStart"/>
      <w:r>
        <w:rPr>
          <w:rFonts w:ascii="Libre Baskerville" w:eastAsia="Libre Baskerville" w:hAnsi="Libre Baskerville" w:cs="Libre Baskerville"/>
          <w:sz w:val="24"/>
          <w:szCs w:val="24"/>
        </w:rPr>
        <w:t>ses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glaces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liront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ses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ouvrages</w:t>
      </w:r>
      <w:proofErr w:type="spellEnd"/>
      <w:r>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vertAlign w:val="superscript"/>
        </w:rPr>
        <w:footnoteReference w:id="63"/>
      </w:r>
      <w:r>
        <w:rPr>
          <w:rFonts w:ascii="Libre Baskerville" w:eastAsia="Libre Baskerville" w:hAnsi="Libre Baskerville" w:cs="Libre Baskerville"/>
          <w:sz w:val="24"/>
          <w:szCs w:val="24"/>
        </w:rPr>
        <w:t xml:space="preserve"> Gibbon’s protracted search for a subject was, it seems clear, informed by a concern to find “a safer and more extensive theme” than a study of Sir Walter Raleigh, a history of the rise of liberty in the Swiss republic, or its decline in the Florentine under the Medici could provide.</w:t>
      </w:r>
      <w:r>
        <w:rPr>
          <w:rFonts w:ascii="Libre Baskerville" w:eastAsia="Libre Baskerville" w:hAnsi="Libre Baskerville" w:cs="Libre Baskerville"/>
          <w:sz w:val="24"/>
          <w:szCs w:val="24"/>
          <w:vertAlign w:val="superscript"/>
        </w:rPr>
        <w:footnoteReference w:id="64"/>
      </w:r>
      <w:r>
        <w:rPr>
          <w:rFonts w:ascii="Libre Baskerville" w:eastAsia="Libre Baskerville" w:hAnsi="Libre Baskerville" w:cs="Libre Baskerville"/>
          <w:sz w:val="24"/>
          <w:szCs w:val="24"/>
        </w:rPr>
        <w:t xml:space="preserve"> The theme, in short, had to speak not only to the living, but to those yet to be born; it had to allow its author to take his place in a living tradition, and thereby to converse with minds past, present, and future. </w:t>
      </w:r>
    </w:p>
    <w:p w14:paraId="00000017" w14:textId="21907383"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This, as Gibbon </w:t>
      </w:r>
      <w:r w:rsidR="00527515">
        <w:rPr>
          <w:rFonts w:ascii="Libre Baskerville" w:eastAsia="Libre Baskerville" w:hAnsi="Libre Baskerville" w:cs="Libre Baskerville"/>
          <w:sz w:val="24"/>
          <w:szCs w:val="24"/>
        </w:rPr>
        <w:t>plumed himself</w:t>
      </w:r>
      <w:r>
        <w:rPr>
          <w:rFonts w:ascii="Libre Baskerville" w:eastAsia="Libre Baskerville" w:hAnsi="Libre Baskerville" w:cs="Libre Baskerville"/>
          <w:sz w:val="24"/>
          <w:szCs w:val="24"/>
        </w:rPr>
        <w:t xml:space="preserve"> in the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had provided. I</w:t>
      </w:r>
      <w:r w:rsidR="004F723E">
        <w:rPr>
          <w:rFonts w:ascii="Libre Baskerville" w:eastAsia="Libre Baskerville" w:hAnsi="Libre Baskerville" w:cs="Libre Baskerville"/>
          <w:sz w:val="24"/>
          <w:szCs w:val="24"/>
        </w:rPr>
        <w:t>n</w:t>
      </w:r>
      <w:r>
        <w:rPr>
          <w:rFonts w:ascii="Libre Baskerville" w:eastAsia="Libre Baskerville" w:hAnsi="Libre Baskerville" w:cs="Libre Baskerville"/>
          <w:sz w:val="24"/>
          <w:szCs w:val="24"/>
        </w:rPr>
        <w:t xml:space="preserve">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Gibbon expressed admiration for those authors who sought immortality</w:t>
      </w:r>
      <w:r w:rsidR="004F723E">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w:t>
      </w:r>
      <w:r w:rsidR="004F723E">
        <w:rPr>
          <w:rFonts w:ascii="Libre Baskerville" w:eastAsia="Libre Baskerville" w:hAnsi="Libre Baskerville" w:cs="Libre Baskerville"/>
          <w:sz w:val="24"/>
          <w:szCs w:val="24"/>
        </w:rPr>
        <w:t>I</w:t>
      </w:r>
      <w:r>
        <w:rPr>
          <w:rFonts w:ascii="Libre Baskerville" w:eastAsia="Libre Baskerville" w:hAnsi="Libre Baskerville" w:cs="Libre Baskerville"/>
          <w:sz w:val="24"/>
          <w:szCs w:val="24"/>
        </w:rPr>
        <w:t xml:space="preserve">n the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he claimed his title to</w:t>
      </w:r>
      <w:sdt>
        <w:sdtPr>
          <w:tag w:val="goog_rdk_22"/>
          <w:id w:val="342746299"/>
        </w:sdtPr>
        <w:sdtEndPr/>
        <w:sdtContent>
          <w:r>
            <w:rPr>
              <w:rFonts w:ascii="Libre Baskerville" w:eastAsia="Libre Baskerville" w:hAnsi="Libre Baskerville" w:cs="Libre Baskerville"/>
              <w:sz w:val="24"/>
              <w:szCs w:val="24"/>
            </w:rPr>
            <w:t xml:space="preserve"> pursue</w:t>
          </w:r>
        </w:sdtContent>
      </w:sdt>
      <w:r>
        <w:rPr>
          <w:rFonts w:ascii="Libre Baskerville" w:eastAsia="Libre Baskerville" w:hAnsi="Libre Baskerville" w:cs="Libre Baskerville"/>
          <w:sz w:val="24"/>
          <w:szCs w:val="24"/>
        </w:rPr>
        <w:t xml:space="preserve"> it</w:t>
      </w:r>
      <w:sdt>
        <w:sdtPr>
          <w:tag w:val="goog_rdk_23"/>
          <w:id w:val="1112017859"/>
        </w:sdtPr>
        <w:sdtEndPr/>
        <w:sdtContent>
          <w:r>
            <w:rPr>
              <w:rFonts w:ascii="Libre Baskerville" w:eastAsia="Libre Baskerville" w:hAnsi="Libre Baskerville" w:cs="Libre Baskerville"/>
              <w:sz w:val="24"/>
              <w:szCs w:val="24"/>
            </w:rPr>
            <w:t xml:space="preserve"> himself</w:t>
          </w:r>
        </w:sdtContent>
      </w:sdt>
      <w:r>
        <w:rPr>
          <w:rFonts w:ascii="Libre Baskerville" w:eastAsia="Libre Baskerville" w:hAnsi="Libre Baskerville" w:cs="Libre Baskerville"/>
          <w:sz w:val="24"/>
          <w:szCs w:val="24"/>
        </w:rPr>
        <w:t xml:space="preserve">, even as the temporal and geographical dimensions of posthumous fame have acquired slightly more modest proportions. Gibbon entertains the thought that the </w:t>
      </w:r>
      <w:r>
        <w:rPr>
          <w:rFonts w:ascii="Libre Baskerville" w:eastAsia="Libre Baskerville" w:hAnsi="Libre Baskerville" w:cs="Libre Baskerville"/>
          <w:i/>
          <w:sz w:val="24"/>
          <w:szCs w:val="24"/>
        </w:rPr>
        <w:t xml:space="preserve">Decline and Fall </w:t>
      </w:r>
      <w:r>
        <w:rPr>
          <w:rFonts w:ascii="Libre Baskerville" w:eastAsia="Libre Baskerville" w:hAnsi="Libre Baskerville" w:cs="Libre Baskerville"/>
          <w:sz w:val="24"/>
          <w:szCs w:val="24"/>
        </w:rPr>
        <w:t>will continue to be admired or abused a hundred years hence. “Even [its author’s] social sympathy,” Gibbon continues, “may be gratified by the idea that, now in the present hour, he is imparting some degree of amusement or knowledge to his friends in a distant land; that one day his mind will be familiar to the grandchildren of those who are yet unborn.” Gibbon considers this hope to express a “rational pride,” even as he allows that posterity might come to see it differently (</w:t>
      </w:r>
      <w:r w:rsidRPr="00527515">
        <w:rPr>
          <w:rFonts w:ascii="Libre Baskerville" w:eastAsia="Libre Baskerville" w:hAnsi="Libre Baskerville" w:cs="Libre Baskerville"/>
          <w:i/>
          <w:iCs/>
          <w:sz w:val="24"/>
          <w:szCs w:val="24"/>
        </w:rPr>
        <w:t>as</w:t>
      </w:r>
      <w:r>
        <w:rPr>
          <w:rFonts w:ascii="Libre Baskerville" w:eastAsia="Libre Baskerville" w:hAnsi="Libre Baskerville" w:cs="Libre Baskerville"/>
          <w:sz w:val="24"/>
          <w:szCs w:val="24"/>
        </w:rPr>
        <w:t xml:space="preserve"> “vanity”). Such a hope was burnished by the fact that “the conquests of our language and </w:t>
      </w:r>
      <w:proofErr w:type="spellStart"/>
      <w:r>
        <w:rPr>
          <w:rFonts w:ascii="Libre Baskerville" w:eastAsia="Libre Baskerville" w:hAnsi="Libre Baskerville" w:cs="Libre Baskerville"/>
          <w:sz w:val="24"/>
          <w:szCs w:val="24"/>
        </w:rPr>
        <w:t>litterature</w:t>
      </w:r>
      <w:proofErr w:type="spellEnd"/>
      <w:r>
        <w:rPr>
          <w:rFonts w:ascii="Libre Baskerville" w:eastAsia="Libre Baskerville" w:hAnsi="Libre Baskerville" w:cs="Libre Baskerville"/>
          <w:sz w:val="24"/>
          <w:szCs w:val="24"/>
        </w:rPr>
        <w:t xml:space="preserve"> are not confined to Europe alone;” and whilst they may not extend to Lapland (or not yet), “the writer who succeeds in London is speedily read on the banks of the Delaware and the Ganges.”</w:t>
      </w:r>
      <w:r>
        <w:rPr>
          <w:rFonts w:ascii="Libre Baskerville" w:eastAsia="Libre Baskerville" w:hAnsi="Libre Baskerville" w:cs="Libre Baskerville"/>
          <w:sz w:val="24"/>
          <w:szCs w:val="24"/>
          <w:vertAlign w:val="superscript"/>
        </w:rPr>
        <w:footnoteReference w:id="65"/>
      </w:r>
      <w:r>
        <w:rPr>
          <w:rFonts w:ascii="Libre Baskerville" w:eastAsia="Libre Baskerville" w:hAnsi="Libre Baskerville" w:cs="Libre Baskerville"/>
          <w:sz w:val="24"/>
          <w:szCs w:val="24"/>
        </w:rPr>
        <w:t xml:space="preserve"> No other historian of the enlightenment period, so far as the present author is aware, expressed such a remarkable (imperial?) </w:t>
      </w:r>
      <w:r w:rsidR="00527515">
        <w:rPr>
          <w:rFonts w:ascii="Libre Baskerville" w:eastAsia="Libre Baskerville" w:hAnsi="Libre Baskerville" w:cs="Libre Baskerville"/>
          <w:sz w:val="24"/>
          <w:szCs w:val="24"/>
        </w:rPr>
        <w:t>ambition to</w:t>
      </w:r>
      <w:r>
        <w:rPr>
          <w:rFonts w:ascii="Libre Baskerville" w:eastAsia="Libre Baskerville" w:hAnsi="Libre Baskerville" w:cs="Libre Baskerville"/>
          <w:sz w:val="24"/>
          <w:szCs w:val="24"/>
        </w:rPr>
        <w:t xml:space="preserve"> conquer both space and time.</w:t>
      </w:r>
      <w:r>
        <w:rPr>
          <w:rFonts w:ascii="Libre Baskerville" w:eastAsia="Libre Baskerville" w:hAnsi="Libre Baskerville" w:cs="Libre Baskerville"/>
          <w:sz w:val="24"/>
          <w:szCs w:val="24"/>
          <w:vertAlign w:val="superscript"/>
        </w:rPr>
        <w:footnoteReference w:id="66"/>
      </w:r>
    </w:p>
    <w:p w14:paraId="6F6C1855" w14:textId="77777777" w:rsidR="00527515"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Here we recall that the loquacious author who acquired “a name, a rank, a character, in the World” by “destroy[</w:t>
      </w:r>
      <w:proofErr w:type="spellStart"/>
      <w:r>
        <w:rPr>
          <w:rFonts w:ascii="Libre Baskerville" w:eastAsia="Libre Baskerville" w:hAnsi="Libre Baskerville" w:cs="Libre Baskerville"/>
          <w:sz w:val="24"/>
          <w:szCs w:val="24"/>
        </w:rPr>
        <w:t>ing</w:t>
      </w:r>
      <w:proofErr w:type="spellEnd"/>
      <w:r>
        <w:rPr>
          <w:rFonts w:ascii="Libre Baskerville" w:eastAsia="Libre Baskerville" w:hAnsi="Libre Baskerville" w:cs="Libre Baskerville"/>
          <w:sz w:val="24"/>
          <w:szCs w:val="24"/>
        </w:rPr>
        <w:t>] the Roman Empire” had, as an awkwardly mute Member of Parliament, “supported the British” in their imperial enterprises.</w:t>
      </w:r>
      <w:r>
        <w:rPr>
          <w:rFonts w:ascii="Libre Baskerville" w:eastAsia="Libre Baskerville" w:hAnsi="Libre Baskerville" w:cs="Libre Baskerville"/>
          <w:sz w:val="24"/>
          <w:szCs w:val="24"/>
          <w:vertAlign w:val="superscript"/>
        </w:rPr>
        <w:footnoteReference w:id="67"/>
      </w:r>
      <w:r>
        <w:rPr>
          <w:rFonts w:ascii="Libre Baskerville" w:eastAsia="Libre Baskerville" w:hAnsi="Libre Baskerville" w:cs="Libre Baskerville"/>
          <w:sz w:val="24"/>
          <w:szCs w:val="24"/>
        </w:rPr>
        <w:t xml:space="preserve"> On a cursory reading, the opening lines of Gibbon’s youthful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xml:space="preserve"> highlight, as if proleptically, the tension between these two commitments: “</w:t>
      </w:r>
      <w:proofErr w:type="spellStart"/>
      <w:r>
        <w:rPr>
          <w:rFonts w:ascii="Libre Baskerville" w:eastAsia="Libre Baskerville" w:hAnsi="Libre Baskerville" w:cs="Libre Baskerville"/>
          <w:sz w:val="24"/>
          <w:szCs w:val="24"/>
        </w:rPr>
        <w:t>L’histoire</w:t>
      </w:r>
      <w:proofErr w:type="spellEnd"/>
      <w:r>
        <w:rPr>
          <w:rFonts w:ascii="Libre Baskerville" w:eastAsia="Libre Baskerville" w:hAnsi="Libre Baskerville" w:cs="Libre Baskerville"/>
          <w:sz w:val="24"/>
          <w:szCs w:val="24"/>
        </w:rPr>
        <w:t xml:space="preserve"> des empires </w:t>
      </w:r>
      <w:proofErr w:type="spellStart"/>
      <w:r>
        <w:rPr>
          <w:rFonts w:ascii="Libre Baskerville" w:eastAsia="Libre Baskerville" w:hAnsi="Libre Baskerville" w:cs="Libre Baskerville"/>
          <w:sz w:val="24"/>
          <w:szCs w:val="24"/>
        </w:rPr>
        <w:t>est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celle</w:t>
      </w:r>
      <w:proofErr w:type="spellEnd"/>
      <w:r>
        <w:rPr>
          <w:rFonts w:ascii="Libre Baskerville" w:eastAsia="Libre Baskerville" w:hAnsi="Libre Baskerville" w:cs="Libre Baskerville"/>
          <w:sz w:val="24"/>
          <w:szCs w:val="24"/>
        </w:rPr>
        <w:t xml:space="preserve"> de la misère des hommes. </w:t>
      </w:r>
      <w:proofErr w:type="spellStart"/>
      <w:r>
        <w:rPr>
          <w:rFonts w:ascii="Libre Baskerville" w:eastAsia="Libre Baskerville" w:hAnsi="Libre Baskerville" w:cs="Libre Baskerville"/>
          <w:sz w:val="24"/>
          <w:szCs w:val="24"/>
        </w:rPr>
        <w:t>L’histoire</w:t>
      </w:r>
      <w:proofErr w:type="spellEnd"/>
      <w:r>
        <w:rPr>
          <w:rFonts w:ascii="Libre Baskerville" w:eastAsia="Libre Baskerville" w:hAnsi="Libre Baskerville" w:cs="Libre Baskerville"/>
          <w:sz w:val="24"/>
          <w:szCs w:val="24"/>
        </w:rPr>
        <w:t xml:space="preserve"> des Sciences </w:t>
      </w:r>
      <w:proofErr w:type="spellStart"/>
      <w:r>
        <w:rPr>
          <w:rFonts w:ascii="Libre Baskerville" w:eastAsia="Libre Baskerville" w:hAnsi="Libre Baskerville" w:cs="Libre Baskerville"/>
          <w:sz w:val="24"/>
          <w:szCs w:val="24"/>
        </w:rPr>
        <w:t>est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celle</w:t>
      </w:r>
      <w:proofErr w:type="spellEnd"/>
      <w:r>
        <w:rPr>
          <w:rFonts w:ascii="Libre Baskerville" w:eastAsia="Libre Baskerville" w:hAnsi="Libre Baskerville" w:cs="Libre Baskerville"/>
          <w:sz w:val="24"/>
          <w:szCs w:val="24"/>
        </w:rPr>
        <w:t xml:space="preserve"> de </w:t>
      </w:r>
      <w:proofErr w:type="spellStart"/>
      <w:r>
        <w:rPr>
          <w:rFonts w:ascii="Libre Baskerville" w:eastAsia="Libre Baskerville" w:hAnsi="Libre Baskerville" w:cs="Libre Baskerville"/>
          <w:sz w:val="24"/>
          <w:szCs w:val="24"/>
        </w:rPr>
        <w:t>leur</w:t>
      </w:r>
      <w:proofErr w:type="spellEnd"/>
      <w:r>
        <w:rPr>
          <w:rFonts w:ascii="Libre Baskerville" w:eastAsia="Libre Baskerville" w:hAnsi="Libre Baskerville" w:cs="Libre Baskerville"/>
          <w:sz w:val="24"/>
          <w:szCs w:val="24"/>
        </w:rPr>
        <w:t xml:space="preserve"> grandeur et de </w:t>
      </w:r>
      <w:proofErr w:type="spellStart"/>
      <w:r>
        <w:rPr>
          <w:rFonts w:ascii="Libre Baskerville" w:eastAsia="Libre Baskerville" w:hAnsi="Libre Baskerville" w:cs="Libre Baskerville"/>
          <w:sz w:val="24"/>
          <w:szCs w:val="24"/>
        </w:rPr>
        <w:t>leur</w:t>
      </w:r>
      <w:proofErr w:type="spellEnd"/>
      <w:r>
        <w:rPr>
          <w:rFonts w:ascii="Libre Baskerville" w:eastAsia="Libre Baskerville" w:hAnsi="Libre Baskerville" w:cs="Libre Baskerville"/>
          <w:sz w:val="24"/>
          <w:szCs w:val="24"/>
        </w:rPr>
        <w:t xml:space="preserve"> bonheur.”</w:t>
      </w:r>
      <w:r>
        <w:rPr>
          <w:rFonts w:ascii="Libre Baskerville" w:eastAsia="Libre Baskerville" w:hAnsi="Libre Baskerville" w:cs="Libre Baskerville"/>
          <w:sz w:val="24"/>
          <w:szCs w:val="24"/>
          <w:vertAlign w:val="superscript"/>
        </w:rPr>
        <w:footnoteReference w:id="68"/>
      </w:r>
      <w:r>
        <w:rPr>
          <w:rFonts w:ascii="Libre Baskerville" w:eastAsia="Libre Baskerville" w:hAnsi="Libre Baskerville" w:cs="Libre Baskerville"/>
          <w:sz w:val="24"/>
          <w:szCs w:val="24"/>
        </w:rPr>
        <w:t xml:space="preserve"> Yet Gibbon considered empire on the Roman model to be unparallelled, and fortunately </w:t>
      </w:r>
      <w:sdt>
        <w:sdtPr>
          <w:tag w:val="goog_rdk_25"/>
          <w:id w:val="-1750254861"/>
        </w:sdtPr>
        <w:sdtEndPr/>
        <w:sdtContent>
          <w:r>
            <w:rPr>
              <w:rFonts w:ascii="Libre Baskerville" w:eastAsia="Libre Baskerville" w:hAnsi="Libre Baskerville" w:cs="Libre Baskerville"/>
              <w:sz w:val="24"/>
              <w:szCs w:val="24"/>
            </w:rPr>
            <w:t>impossible to imitate</w:t>
          </w:r>
        </w:sdtContent>
      </w:sdt>
      <w:r w:rsidR="004F723E">
        <w:t xml:space="preserve"> </w:t>
      </w:r>
      <w:r>
        <w:rPr>
          <w:rFonts w:ascii="Libre Baskerville" w:eastAsia="Libre Baskerville" w:hAnsi="Libre Baskerville" w:cs="Libre Baskerville"/>
          <w:sz w:val="24"/>
          <w:szCs w:val="24"/>
        </w:rPr>
        <w:t>by modern European states. Gibbon shared Montesquieu’s – and, indeed, Tacitus’s – view that the Roman empire was “the longest conspiracy against the world ever made,” which declared “war constantly for eight hundred years, successively with the world’s peoples” and “destroyed the institutions of virtually all the earth’s peoples, in order to establish their own.”</w:t>
      </w:r>
      <w:r>
        <w:rPr>
          <w:rFonts w:ascii="Libre Baskerville" w:eastAsia="Libre Baskerville" w:hAnsi="Libre Baskerville" w:cs="Libre Baskerville"/>
          <w:sz w:val="24"/>
          <w:szCs w:val="24"/>
          <w:vertAlign w:val="superscript"/>
        </w:rPr>
        <w:footnoteReference w:id="69"/>
      </w:r>
      <w:r>
        <w:rPr>
          <w:rFonts w:ascii="Libre Baskerville" w:eastAsia="Libre Baskerville" w:hAnsi="Libre Baskerville" w:cs="Libre Baskerville"/>
          <w:sz w:val="24"/>
          <w:szCs w:val="24"/>
        </w:rPr>
        <w:t xml:space="preserve"> </w:t>
      </w:r>
    </w:p>
    <w:p w14:paraId="00000018" w14:textId="49F0E0F4"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From the first, Gibbon was determined to critique the fanciful and jejune comparisons </w:t>
      </w:r>
      <w:r w:rsidR="0095333A">
        <w:rPr>
          <w:rFonts w:ascii="Libre Baskerville" w:eastAsia="Libre Baskerville" w:hAnsi="Libre Baskerville" w:cs="Libre Baskerville"/>
          <w:sz w:val="24"/>
          <w:szCs w:val="24"/>
        </w:rPr>
        <w:t xml:space="preserve">which </w:t>
      </w:r>
      <w:r>
        <w:rPr>
          <w:rFonts w:ascii="Libre Baskerville" w:eastAsia="Libre Baskerville" w:hAnsi="Libre Baskerville" w:cs="Libre Baskerville"/>
          <w:sz w:val="24"/>
          <w:szCs w:val="24"/>
        </w:rPr>
        <w:t>contemporaries were apt to draw between the flattering “ideas books may have given us” of ancient Rome – “I am convinced there never existed such a nation, and I hope for the happiness of mankind there never will again” – and contemporary European nations.</w:t>
      </w:r>
      <w:r>
        <w:rPr>
          <w:rFonts w:ascii="Libre Baskerville" w:eastAsia="Libre Baskerville" w:hAnsi="Libre Baskerville" w:cs="Libre Baskerville"/>
          <w:sz w:val="24"/>
          <w:szCs w:val="24"/>
          <w:vertAlign w:val="superscript"/>
        </w:rPr>
        <w:footnoteReference w:id="70"/>
      </w:r>
      <w:r>
        <w:rPr>
          <w:rFonts w:ascii="Libre Baskerville" w:eastAsia="Libre Baskerville" w:hAnsi="Libre Baskerville" w:cs="Libre Baskerville"/>
          <w:sz w:val="24"/>
          <w:szCs w:val="24"/>
        </w:rPr>
        <w:t xml:space="preserve"> Yet even empire on the Roman model had not been as uniformly destructive of the arts and sciences as Whiggish authors such as the third earl of Shaftesbury supposed.</w:t>
      </w:r>
      <w:r>
        <w:rPr>
          <w:rFonts w:ascii="Libre Baskerville" w:eastAsia="Libre Baskerville" w:hAnsi="Libre Baskerville" w:cs="Libre Baskerville"/>
          <w:sz w:val="24"/>
          <w:szCs w:val="24"/>
          <w:vertAlign w:val="superscript"/>
        </w:rPr>
        <w:footnoteReference w:id="71"/>
      </w:r>
      <w:r>
        <w:rPr>
          <w:rFonts w:ascii="Libre Baskerville" w:eastAsia="Libre Baskerville" w:hAnsi="Libre Baskerville" w:cs="Libre Baskerville"/>
          <w:sz w:val="24"/>
          <w:szCs w:val="24"/>
        </w:rPr>
        <w:t xml:space="preserve"> Were it not for Rome’s universal empire, in both its pagan and its Christian incarnations, the highest ideals to which human nature is capable of aspiring might never have been disseminated so widely, </w:t>
      </w:r>
      <w:sdt>
        <w:sdtPr>
          <w:tag w:val="goog_rdk_27"/>
          <w:id w:val="-263230112"/>
        </w:sdtPr>
        <w:sdtEndPr/>
        <w:sdtContent>
          <w:r>
            <w:rPr>
              <w:rFonts w:ascii="Libre Baskerville" w:eastAsia="Libre Baskerville" w:hAnsi="Libre Baskerville" w:cs="Libre Baskerville"/>
              <w:sz w:val="24"/>
              <w:szCs w:val="24"/>
            </w:rPr>
            <w:t>n</w:t>
          </w:r>
        </w:sdtContent>
      </w:sdt>
      <w:r>
        <w:rPr>
          <w:rFonts w:ascii="Libre Baskerville" w:eastAsia="Libre Baskerville" w:hAnsi="Libre Baskerville" w:cs="Libre Baskerville"/>
          <w:sz w:val="24"/>
          <w:szCs w:val="24"/>
        </w:rPr>
        <w:t xml:space="preserve">or preserved for posterity. These ideals were first, and best, expressed in the poetry and philosophy of the </w:t>
      </w:r>
      <w:r>
        <w:rPr>
          <w:rFonts w:ascii="Libre Baskerville" w:eastAsia="Libre Baskerville" w:hAnsi="Libre Baskerville" w:cs="Libre Baskerville"/>
          <w:sz w:val="24"/>
          <w:szCs w:val="24"/>
        </w:rPr>
        <w:lastRenderedPageBreak/>
        <w:t xml:space="preserve">ancient Greeks; their works were received as gifts (or appropriated as prizes) by discerning Roman philosophers and statesmen who translated by them into a language (Latin) that was imposed throughout the empire; and the ideals were sedimented in Rome’s republican constitution. This was a great theme of Gibbon’s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Irrespective of Gibbon’s intimations regarding the likely fortunes of the British empire – and “Dans </w:t>
      </w:r>
      <w:proofErr w:type="spellStart"/>
      <w:r>
        <w:rPr>
          <w:rFonts w:ascii="Libre Baskerville" w:eastAsia="Libre Baskerville" w:hAnsi="Libre Baskerville" w:cs="Libre Baskerville"/>
          <w:sz w:val="24"/>
          <w:szCs w:val="24"/>
        </w:rPr>
        <w:t>cette</w:t>
      </w:r>
      <w:proofErr w:type="spellEnd"/>
      <w:r>
        <w:rPr>
          <w:rFonts w:ascii="Libre Baskerville" w:eastAsia="Libre Baskerville" w:hAnsi="Libre Baskerville" w:cs="Libre Baskerville"/>
          <w:sz w:val="24"/>
          <w:szCs w:val="24"/>
        </w:rPr>
        <w:t xml:space="preserve"> histoire </w:t>
      </w:r>
      <w:proofErr w:type="spellStart"/>
      <w:r>
        <w:rPr>
          <w:rFonts w:ascii="Libre Baskerville" w:eastAsia="Libre Baskerville" w:hAnsi="Libre Baskerville" w:cs="Libre Baskerville"/>
          <w:sz w:val="24"/>
          <w:szCs w:val="24"/>
        </w:rPr>
        <w:t>moderne</w:t>
      </w:r>
      <w:proofErr w:type="spellEnd"/>
      <w:r>
        <w:rPr>
          <w:rFonts w:ascii="Libre Baskerville" w:eastAsia="Libre Baskerville" w:hAnsi="Libre Baskerville" w:cs="Libre Baskerville"/>
          <w:sz w:val="24"/>
          <w:szCs w:val="24"/>
        </w:rPr>
        <w:t xml:space="preserve">, il </w:t>
      </w:r>
      <w:proofErr w:type="spellStart"/>
      <w:r>
        <w:rPr>
          <w:rFonts w:ascii="Libre Baskerville" w:eastAsia="Libre Baskerville" w:hAnsi="Libre Baskerville" w:cs="Libre Baskerville"/>
          <w:sz w:val="24"/>
          <w:szCs w:val="24"/>
        </w:rPr>
        <w:t>seroit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toujours</w:t>
      </w:r>
      <w:proofErr w:type="spellEnd"/>
      <w:r>
        <w:rPr>
          <w:rFonts w:ascii="Libre Baskerville" w:eastAsia="Libre Baskerville" w:hAnsi="Libre Baskerville" w:cs="Libre Baskerville"/>
          <w:sz w:val="24"/>
          <w:szCs w:val="24"/>
        </w:rPr>
        <w:t xml:space="preserve"> question de la </w:t>
      </w:r>
      <w:proofErr w:type="spellStart"/>
      <w:r>
        <w:rPr>
          <w:rFonts w:ascii="Libre Baskerville" w:eastAsia="Libre Baskerville" w:hAnsi="Libre Baskerville" w:cs="Libre Baskerville"/>
          <w:sz w:val="24"/>
          <w:szCs w:val="24"/>
        </w:rPr>
        <w:t>décadence</w:t>
      </w:r>
      <w:proofErr w:type="spellEnd"/>
      <w:r>
        <w:rPr>
          <w:rFonts w:ascii="Libre Baskerville" w:eastAsia="Libre Baskerville" w:hAnsi="Libre Baskerville" w:cs="Libre Baskerville"/>
          <w:sz w:val="24"/>
          <w:szCs w:val="24"/>
        </w:rPr>
        <w:t xml:space="preserve"> des empires”</w:t>
      </w:r>
      <w:r>
        <w:rPr>
          <w:rFonts w:ascii="Libre Baskerville" w:eastAsia="Libre Baskerville" w:hAnsi="Libre Baskerville" w:cs="Libre Baskerville"/>
          <w:sz w:val="24"/>
          <w:szCs w:val="24"/>
          <w:vertAlign w:val="superscript"/>
        </w:rPr>
        <w:footnoteReference w:id="72"/>
      </w:r>
      <w:r>
        <w:rPr>
          <w:rFonts w:ascii="Libre Baskerville" w:eastAsia="Libre Baskerville" w:hAnsi="Libre Baskerville" w:cs="Libre Baskerville"/>
          <w:sz w:val="24"/>
          <w:szCs w:val="24"/>
        </w:rPr>
        <w:t xml:space="preserve"> – the spread of the English language made it possible for a work genuinely worthy of the attention of posterity to amuse and instruct the grandchildren of those who </w:t>
      </w:r>
      <w:r w:rsidR="00527515">
        <w:rPr>
          <w:rFonts w:ascii="Libre Baskerville" w:eastAsia="Libre Baskerville" w:hAnsi="Libre Baskerville" w:cs="Libre Baskerville"/>
          <w:sz w:val="24"/>
          <w:szCs w:val="24"/>
        </w:rPr>
        <w:t>we</w:t>
      </w:r>
      <w:r>
        <w:rPr>
          <w:rFonts w:ascii="Libre Baskerville" w:eastAsia="Libre Baskerville" w:hAnsi="Libre Baskerville" w:cs="Libre Baskerville"/>
          <w:sz w:val="24"/>
          <w:szCs w:val="24"/>
        </w:rPr>
        <w:t xml:space="preserve">re yet </w:t>
      </w:r>
      <w:r w:rsidR="00527515">
        <w:rPr>
          <w:rFonts w:ascii="Libre Baskerville" w:eastAsia="Libre Baskerville" w:hAnsi="Libre Baskerville" w:cs="Libre Baskerville"/>
          <w:sz w:val="24"/>
          <w:szCs w:val="24"/>
        </w:rPr>
        <w:t xml:space="preserve">to be </w:t>
      </w:r>
      <w:r>
        <w:rPr>
          <w:rFonts w:ascii="Libre Baskerville" w:eastAsia="Libre Baskerville" w:hAnsi="Libre Baskerville" w:cs="Libre Baskerville"/>
          <w:sz w:val="24"/>
          <w:szCs w:val="24"/>
        </w:rPr>
        <w:t>born</w:t>
      </w:r>
      <w:r w:rsidR="00527515">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from the banks of the Delaware to those of the Ganges.</w:t>
      </w:r>
    </w:p>
    <w:p w14:paraId="00000019" w14:textId="14183781"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It was Hume who first persuaded Gibbon to write his history – whatever its subject or theme might be – in English.</w:t>
      </w:r>
      <w:r>
        <w:rPr>
          <w:rFonts w:ascii="Libre Baskerville" w:eastAsia="Libre Baskerville" w:hAnsi="Libre Baskerville" w:cs="Libre Baskerville"/>
          <w:sz w:val="24"/>
          <w:szCs w:val="24"/>
          <w:vertAlign w:val="superscript"/>
        </w:rPr>
        <w:footnoteReference w:id="73"/>
      </w:r>
      <w:r>
        <w:rPr>
          <w:rFonts w:ascii="Libre Baskerville" w:eastAsia="Libre Baskerville" w:hAnsi="Libre Baskerville" w:cs="Libre Baskerville"/>
          <w:sz w:val="24"/>
          <w:szCs w:val="24"/>
        </w:rPr>
        <w:t xml:space="preserve"> Hume’s own </w:t>
      </w:r>
      <w:r>
        <w:rPr>
          <w:rFonts w:ascii="Libre Baskerville" w:eastAsia="Libre Baskerville" w:hAnsi="Libre Baskerville" w:cs="Libre Baskerville"/>
          <w:i/>
          <w:sz w:val="24"/>
          <w:szCs w:val="24"/>
        </w:rPr>
        <w:t>History of England</w:t>
      </w:r>
      <w:r>
        <w:rPr>
          <w:rFonts w:ascii="Libre Baskerville" w:eastAsia="Libre Baskerville" w:hAnsi="Libre Baskerville" w:cs="Libre Baskerville"/>
          <w:sz w:val="24"/>
          <w:szCs w:val="24"/>
        </w:rPr>
        <w:t xml:space="preserve"> (175</w:t>
      </w:r>
      <w:sdt>
        <w:sdtPr>
          <w:tag w:val="goog_rdk_28"/>
          <w:id w:val="219880901"/>
        </w:sdtPr>
        <w:sdtEndPr/>
        <w:sdtContent>
          <w:r>
            <w:rPr>
              <w:rFonts w:ascii="Libre Baskerville" w:eastAsia="Libre Baskerville" w:hAnsi="Libre Baskerville" w:cs="Libre Baskerville"/>
              <w:sz w:val="24"/>
              <w:szCs w:val="24"/>
            </w:rPr>
            <w:t>4</w:t>
          </w:r>
        </w:sdtContent>
      </w:sdt>
      <w:sdt>
        <w:sdtPr>
          <w:tag w:val="goog_rdk_29"/>
          <w:id w:val="1446587152"/>
          <w:showingPlcHdr/>
        </w:sdtPr>
        <w:sdtEndPr/>
        <w:sdtContent>
          <w:r w:rsidR="004F723E">
            <w:t xml:space="preserve">     </w:t>
          </w:r>
        </w:sdtContent>
      </w:sdt>
      <w:r>
        <w:rPr>
          <w:rFonts w:ascii="Libre Baskerville" w:eastAsia="Libre Baskerville" w:hAnsi="Libre Baskerville" w:cs="Libre Baskerville"/>
          <w:sz w:val="24"/>
          <w:szCs w:val="24"/>
        </w:rPr>
        <w:t xml:space="preserve">–63) had shown that the English language could be adapted to “the proper tone, the peculiar mode of historical eloquence,” and such works constrained even the </w:t>
      </w:r>
      <w:proofErr w:type="spellStart"/>
      <w:r>
        <w:rPr>
          <w:rFonts w:ascii="Libre Baskerville" w:eastAsia="Libre Baskerville" w:hAnsi="Libre Baskerville" w:cs="Libre Baskerville"/>
          <w:sz w:val="24"/>
          <w:szCs w:val="24"/>
        </w:rPr>
        <w:t>sceptical</w:t>
      </w:r>
      <w:proofErr w:type="spellEnd"/>
      <w:r>
        <w:rPr>
          <w:rFonts w:ascii="Libre Baskerville" w:eastAsia="Libre Baskerville" w:hAnsi="Libre Baskerville" w:cs="Libre Baskerville"/>
          <w:sz w:val="24"/>
          <w:szCs w:val="24"/>
        </w:rPr>
        <w:t xml:space="preserve"> French to confess that it was possible to express refined thoughts “in such a barbarous language.”</w:t>
      </w:r>
      <w:r>
        <w:rPr>
          <w:rFonts w:ascii="Libre Baskerville" w:eastAsia="Libre Baskerville" w:hAnsi="Libre Baskerville" w:cs="Libre Baskerville"/>
          <w:sz w:val="24"/>
          <w:szCs w:val="24"/>
          <w:vertAlign w:val="superscript"/>
        </w:rPr>
        <w:footnoteReference w:id="74"/>
      </w:r>
      <w:r>
        <w:rPr>
          <w:rFonts w:ascii="Libre Baskerville" w:eastAsia="Libre Baskerville" w:hAnsi="Libre Baskerville" w:cs="Libre Baskerville"/>
          <w:sz w:val="24"/>
          <w:szCs w:val="24"/>
        </w:rPr>
        <w:t xml:space="preserve"> In Hume, Gibbon recognized an uncommon artist. Gibbon recalls closing a volume of Hume’s </w:t>
      </w:r>
      <w:r>
        <w:rPr>
          <w:rFonts w:ascii="Libre Baskerville" w:eastAsia="Libre Baskerville" w:hAnsi="Libre Baskerville" w:cs="Libre Baskerville"/>
          <w:i/>
          <w:sz w:val="24"/>
          <w:szCs w:val="24"/>
        </w:rPr>
        <w:t xml:space="preserve">History </w:t>
      </w:r>
      <w:r>
        <w:rPr>
          <w:rFonts w:ascii="Libre Baskerville" w:eastAsia="Libre Baskerville" w:hAnsi="Libre Baskerville" w:cs="Libre Baskerville"/>
          <w:sz w:val="24"/>
          <w:szCs w:val="24"/>
        </w:rPr>
        <w:t>with “a mixed sensation of delight and despair” on account of his acknowledgement that he could not hope to replicate the “calm philosophy” and “beauty” of its “inimitable” prose.</w:t>
      </w:r>
      <w:r>
        <w:rPr>
          <w:rFonts w:ascii="Libre Baskerville" w:eastAsia="Libre Baskerville" w:hAnsi="Libre Baskerville" w:cs="Libre Baskerville"/>
          <w:sz w:val="24"/>
          <w:szCs w:val="24"/>
          <w:vertAlign w:val="superscript"/>
        </w:rPr>
        <w:footnoteReference w:id="75"/>
      </w:r>
      <w:r>
        <w:rPr>
          <w:rFonts w:ascii="Libre Baskerville" w:eastAsia="Libre Baskerville" w:hAnsi="Libre Baskerville" w:cs="Libre Baskerville"/>
          <w:sz w:val="24"/>
          <w:szCs w:val="24"/>
        </w:rPr>
        <w:t xml:space="preserve"> This is high praise indeed: the only other historian whose </w:t>
      </w:r>
      <w:r>
        <w:rPr>
          <w:rFonts w:ascii="Libre Baskerville" w:eastAsia="Libre Baskerville" w:hAnsi="Libre Baskerville" w:cs="Libre Baskerville"/>
          <w:sz w:val="24"/>
          <w:szCs w:val="24"/>
        </w:rPr>
        <w:lastRenderedPageBreak/>
        <w:t>style Gibbon deems to be “inimitable” is Tacitus.</w:t>
      </w:r>
      <w:r>
        <w:rPr>
          <w:rFonts w:ascii="Libre Baskerville" w:eastAsia="Libre Baskerville" w:hAnsi="Libre Baskerville" w:cs="Libre Baskerville"/>
          <w:sz w:val="24"/>
          <w:szCs w:val="24"/>
          <w:vertAlign w:val="superscript"/>
        </w:rPr>
        <w:footnoteReference w:id="76"/>
      </w:r>
      <w:r>
        <w:rPr>
          <w:rFonts w:ascii="Libre Baskerville" w:eastAsia="Libre Baskerville" w:hAnsi="Libre Baskerville" w:cs="Libre Baskerville"/>
          <w:sz w:val="24"/>
          <w:szCs w:val="24"/>
        </w:rPr>
        <w:t xml:space="preserve"> The praise is, however, vitiated somewhat by Gibbon’s earlier reflection, in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xml:space="preserve">, that Tacitus was not merely the first, but perhaps the </w:t>
      </w:r>
      <w:r>
        <w:rPr>
          <w:rFonts w:ascii="Libre Baskerville" w:eastAsia="Libre Baskerville" w:hAnsi="Libre Baskerville" w:cs="Libre Baskerville"/>
          <w:i/>
          <w:sz w:val="24"/>
          <w:szCs w:val="24"/>
        </w:rPr>
        <w:t>only</w:t>
      </w:r>
      <w:r>
        <w:rPr>
          <w:rFonts w:ascii="Libre Baskerville" w:eastAsia="Libre Baskerville" w:hAnsi="Libre Baskerville" w:cs="Libre Baskerville"/>
          <w:sz w:val="24"/>
          <w:szCs w:val="24"/>
        </w:rPr>
        <w:t xml:space="preserve"> writer to approach the ideal of the truly philosophical historian.</w:t>
      </w:r>
      <w:r>
        <w:rPr>
          <w:rFonts w:ascii="Libre Baskerville" w:eastAsia="Libre Baskerville" w:hAnsi="Libre Baskerville" w:cs="Libre Baskerville"/>
          <w:sz w:val="24"/>
          <w:szCs w:val="24"/>
          <w:vertAlign w:val="superscript"/>
        </w:rPr>
        <w:footnoteReference w:id="77"/>
      </w:r>
    </w:p>
    <w:p w14:paraId="5C86F54F" w14:textId="77777777" w:rsidR="00527515"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One reason for this preference is not far to seek. If “freedom of mind” is the cardinal quality of the greatest artists, signified and expressed through an “inimitable” style, then those who lived in a pre-Christian era – or, at least, in an era before Christianity became a political religion, a religion of state – had it easier. As Gibbon observed in his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no ancient author barefacedly suppressed or mangled the historical record to suit their sectarian purposes; none could </w:t>
      </w:r>
      <w:r w:rsidR="00527515">
        <w:rPr>
          <w:rFonts w:ascii="Libre Baskerville" w:eastAsia="Libre Baskerville" w:hAnsi="Libre Baskerville" w:cs="Libre Baskerville"/>
          <w:sz w:val="24"/>
          <w:szCs w:val="24"/>
        </w:rPr>
        <w:t xml:space="preserve">be so readily </w:t>
      </w:r>
      <w:r>
        <w:rPr>
          <w:rFonts w:ascii="Libre Baskerville" w:eastAsia="Libre Baskerville" w:hAnsi="Libre Baskerville" w:cs="Libre Baskerville"/>
          <w:sz w:val="24"/>
          <w:szCs w:val="24"/>
        </w:rPr>
        <w:t>accused of “criminal dissimulation.”</w:t>
      </w:r>
      <w:r>
        <w:rPr>
          <w:rFonts w:ascii="Libre Baskerville" w:eastAsia="Libre Baskerville" w:hAnsi="Libre Baskerville" w:cs="Libre Baskerville"/>
          <w:sz w:val="24"/>
          <w:szCs w:val="24"/>
          <w:vertAlign w:val="superscript"/>
        </w:rPr>
        <w:footnoteReference w:id="78"/>
      </w:r>
      <w:r>
        <w:rPr>
          <w:rFonts w:ascii="Libre Baskerville" w:eastAsia="Libre Baskerville" w:hAnsi="Libre Baskerville" w:cs="Libre Baskerville"/>
          <w:sz w:val="24"/>
          <w:szCs w:val="24"/>
        </w:rPr>
        <w:t xml:space="preserve"> The Christian era, conversely, was riven by “Theological Factions;” and the signal quality of the greatest of modern historians – among whose number Gibbon includes Ammianus Marcellinus, Sarpi, de Thou, Hume, “and perhaps a few others” – is impartiality. They “deserved the singular praise of holding the balance with a steady and equal hand,” contemplating “with the same indifference, the opinions and interests of the contending parties.”</w:t>
      </w:r>
      <w:r>
        <w:rPr>
          <w:rFonts w:ascii="Libre Baskerville" w:eastAsia="Libre Baskerville" w:hAnsi="Libre Baskerville" w:cs="Libre Baskerville"/>
          <w:sz w:val="24"/>
          <w:szCs w:val="24"/>
          <w:vertAlign w:val="superscript"/>
        </w:rPr>
        <w:footnoteReference w:id="79"/>
      </w:r>
      <w:r>
        <w:rPr>
          <w:rFonts w:ascii="Libre Baskerville" w:eastAsia="Libre Baskerville" w:hAnsi="Libre Baskerville" w:cs="Libre Baskerville"/>
          <w:sz w:val="24"/>
          <w:szCs w:val="24"/>
        </w:rPr>
        <w:t xml:space="preserve"> Yet if these modern authors warrant the praise of posterity for their moderation in the face of division and </w:t>
      </w:r>
      <w:proofErr w:type="spellStart"/>
      <w:r>
        <w:rPr>
          <w:rFonts w:ascii="Libre Baskerville" w:eastAsia="Libre Baskerville" w:hAnsi="Libre Baskerville" w:cs="Libre Baskerville"/>
          <w:sz w:val="24"/>
          <w:szCs w:val="24"/>
        </w:rPr>
        <w:t>rancour</w:t>
      </w:r>
      <w:proofErr w:type="spellEnd"/>
      <w:r>
        <w:rPr>
          <w:rFonts w:ascii="Libre Baskerville" w:eastAsia="Libre Baskerville" w:hAnsi="Libre Baskerville" w:cs="Libre Baskerville"/>
          <w:sz w:val="24"/>
          <w:szCs w:val="24"/>
        </w:rPr>
        <w:t xml:space="preserve">, they can scarcely generate the devotion that is the preserve of those minds whose “freedom” was not constrained by the need to mediate between rival orthodoxies. </w:t>
      </w:r>
    </w:p>
    <w:p w14:paraId="0000001A" w14:textId="4E57F409"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It is in the writings of the greatest of the ancients, and of their modern emulators, that a reader is enabled to “admire” something greater than </w:t>
      </w:r>
      <w:r>
        <w:rPr>
          <w:rFonts w:ascii="Libre Baskerville" w:eastAsia="Libre Baskerville" w:hAnsi="Libre Baskerville" w:cs="Libre Baskerville"/>
          <w:sz w:val="24"/>
          <w:szCs w:val="24"/>
        </w:rPr>
        <w:lastRenderedPageBreak/>
        <w:t>prudence and moderation. In their works, instead, one finds “all the faculties of the mind” cultivated and employed, because Gibbon shares Montesquieu’s opinion that it was in ancient Greece that “taste and the arts […] were brought to that point that whoever believes they have been surpassed will forever be in ignorance of them.”</w:t>
      </w:r>
      <w:r>
        <w:rPr>
          <w:rFonts w:ascii="Libre Baskerville" w:eastAsia="Libre Baskerville" w:hAnsi="Libre Baskerville" w:cs="Libre Baskerville"/>
          <w:sz w:val="24"/>
          <w:szCs w:val="24"/>
          <w:vertAlign w:val="superscript"/>
        </w:rPr>
        <w:footnoteReference w:id="80"/>
      </w:r>
      <w:r>
        <w:rPr>
          <w:rFonts w:ascii="Libre Baskerville" w:eastAsia="Libre Baskerville" w:hAnsi="Libre Baskerville" w:cs="Libre Baskerville"/>
          <w:sz w:val="24"/>
          <w:szCs w:val="24"/>
        </w:rPr>
        <w:t xml:space="preserve"> </w:t>
      </w:r>
      <w:r w:rsidR="00527515">
        <w:rPr>
          <w:rFonts w:ascii="Libre Baskerville" w:eastAsia="Libre Baskerville" w:hAnsi="Libre Baskerville" w:cs="Libre Baskerville"/>
          <w:sz w:val="24"/>
          <w:szCs w:val="24"/>
        </w:rPr>
        <w:t>Initially</w:t>
      </w:r>
      <w:r>
        <w:rPr>
          <w:rFonts w:ascii="Libre Baskerville" w:eastAsia="Libre Baskerville" w:hAnsi="Libre Baskerville" w:cs="Libre Baskerville"/>
          <w:sz w:val="24"/>
          <w:szCs w:val="24"/>
        </w:rPr>
        <w:t xml:space="preserve"> in their poetry, </w:t>
      </w:r>
      <w:r w:rsidR="00527515">
        <w:rPr>
          <w:rFonts w:ascii="Libre Baskerville" w:eastAsia="Libre Baskerville" w:hAnsi="Libre Baskerville" w:cs="Libre Baskerville"/>
          <w:sz w:val="24"/>
          <w:szCs w:val="24"/>
        </w:rPr>
        <w:t>latterly</w:t>
      </w:r>
      <w:r>
        <w:rPr>
          <w:rFonts w:ascii="Libre Baskerville" w:eastAsia="Libre Baskerville" w:hAnsi="Libre Baskerville" w:cs="Libre Baskerville"/>
          <w:sz w:val="24"/>
          <w:szCs w:val="24"/>
        </w:rPr>
        <w:t xml:space="preserve"> in prose, the Greeks expressed the highest ideals that creatures like us are capable of imagining for ourselves; and the Roman empire, for all its abhorrent consequences for “freedom of mind,” translated and disseminated these works far and wide – thereby potentially enabling individuals living under conditions of unfreedom to access this timeless, and inexhaustible, repository of truth and wisdom. From the study of their works, one might admire their “inimitable virtues” and “learn to what a pitch of energy and elevation the human character had formerly aspired.”</w:t>
      </w:r>
      <w:r>
        <w:rPr>
          <w:rFonts w:ascii="Libre Baskerville" w:eastAsia="Libre Baskerville" w:hAnsi="Libre Baskerville" w:cs="Libre Baskerville"/>
          <w:sz w:val="24"/>
          <w:szCs w:val="24"/>
          <w:vertAlign w:val="superscript"/>
        </w:rPr>
        <w:footnoteReference w:id="81"/>
      </w:r>
    </w:p>
    <w:p w14:paraId="4814E3C7" w14:textId="77777777" w:rsidR="00527515"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This brings us back to Eliot’s “ideal order,” “tradition,” and the qualities that characterize the greatest works of literature. Many scholars have cautioned against reading the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at face value: they present a linea</w:t>
      </w:r>
      <w:r w:rsidR="00527515">
        <w:rPr>
          <w:rFonts w:ascii="Libre Baskerville" w:eastAsia="Libre Baskerville" w:hAnsi="Libre Baskerville" w:cs="Libre Baskerville"/>
          <w:sz w:val="24"/>
          <w:szCs w:val="24"/>
        </w:rPr>
        <w:t>r</w:t>
      </w:r>
      <w:r>
        <w:rPr>
          <w:rFonts w:ascii="Libre Baskerville" w:eastAsia="Libre Baskerville" w:hAnsi="Libre Baskerville" w:cs="Libre Baskerville"/>
          <w:sz w:val="24"/>
          <w:szCs w:val="24"/>
        </w:rPr>
        <w:t xml:space="preserve"> account of Gibbon’s intellectual development that suggests that all roads led Gibbon ineluctably to become the historian of Rome.</w:t>
      </w:r>
      <w:r>
        <w:rPr>
          <w:rFonts w:ascii="Libre Baskerville" w:eastAsia="Libre Baskerville" w:hAnsi="Libre Baskerville" w:cs="Libre Baskerville"/>
          <w:sz w:val="24"/>
          <w:szCs w:val="24"/>
          <w:vertAlign w:val="superscript"/>
        </w:rPr>
        <w:footnoteReference w:id="82"/>
      </w:r>
      <w:r>
        <w:rPr>
          <w:rFonts w:ascii="Libre Baskerville" w:eastAsia="Libre Baskerville" w:hAnsi="Libre Baskerville" w:cs="Libre Baskerville"/>
          <w:sz w:val="24"/>
          <w:szCs w:val="24"/>
        </w:rPr>
        <w:t xml:space="preserve"> This is true. In them, Gibbon identifies episodes in his personal history and relates them to his intellectual development with a singular aim: to provide readers who are interested in the “image” of Gibbon’s “mind” – an image conveyed to them through “an important and successful work”,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 with an appropriately historical account of that mind: of how it came to take the shape that it did.</w:t>
      </w:r>
      <w:r>
        <w:rPr>
          <w:rFonts w:ascii="Libre Baskerville" w:eastAsia="Libre Baskerville" w:hAnsi="Libre Baskerville" w:cs="Libre Baskerville"/>
          <w:sz w:val="24"/>
          <w:szCs w:val="24"/>
          <w:vertAlign w:val="superscript"/>
        </w:rPr>
        <w:footnoteReference w:id="83"/>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lastRenderedPageBreak/>
        <w:t xml:space="preserve">All the contingent factors of Gibbon’s life are made to bear on, and </w:t>
      </w:r>
      <w:sdt>
        <w:sdtPr>
          <w:tag w:val="goog_rdk_30"/>
          <w:id w:val="-694699304"/>
        </w:sdtPr>
        <w:sdtEndPr/>
        <w:sdtContent>
          <w:r>
            <w:rPr>
              <w:rFonts w:ascii="Libre Baskerville" w:eastAsia="Libre Baskerville" w:hAnsi="Libre Baskerville" w:cs="Libre Baskerville"/>
              <w:sz w:val="24"/>
              <w:szCs w:val="24"/>
            </w:rPr>
            <w:t xml:space="preserve">are </w:t>
          </w:r>
        </w:sdtContent>
      </w:sdt>
      <w:r>
        <w:rPr>
          <w:rFonts w:ascii="Libre Baskerville" w:eastAsia="Libre Baskerville" w:hAnsi="Libre Baskerville" w:cs="Libre Baskerville"/>
          <w:sz w:val="24"/>
          <w:szCs w:val="24"/>
        </w:rPr>
        <w:t xml:space="preserve">interpreted in the light of, this question: his mother’s negligence and his father’s coldness; the physical ailments from which he suffered until the age of sixteen; the regular interruptions in his formal schooling, and the solitude, in which the foregoing resulted; his bullying, when at school, on account of his ancestors’ Tory-Jacobite proclivities; the continued lack of discipline and direction at Oxford; being thrust into exile in a foreign land and rendered deaf and mute by its alien language; and so on. Gibbon’s triumph, on his presentation, lies in his cultivation of a “mind” that is characterized by the qualities of elasticity, </w:t>
      </w:r>
      <w:proofErr w:type="spellStart"/>
      <w:r>
        <w:rPr>
          <w:rFonts w:ascii="Libre Baskerville" w:eastAsia="Libre Baskerville" w:hAnsi="Libre Baskerville" w:cs="Libre Baskerville"/>
          <w:sz w:val="24"/>
          <w:szCs w:val="24"/>
        </w:rPr>
        <w:t>vigour</w:t>
      </w:r>
      <w:proofErr w:type="spellEnd"/>
      <w:r>
        <w:rPr>
          <w:rFonts w:ascii="Libre Baskerville" w:eastAsia="Libre Baskerville" w:hAnsi="Libre Baskerville" w:cs="Libre Baskerville"/>
          <w:sz w:val="24"/>
          <w:szCs w:val="24"/>
        </w:rPr>
        <w:t xml:space="preserve">, judgment, and (above all) freedom. </w:t>
      </w:r>
    </w:p>
    <w:p w14:paraId="0000001B" w14:textId="30A19AD1"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Gibbon’s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depict what Eliot later describes: the development of the “good critic” and true artist, who “lives in what is not merely the present, but the present moment of the past,” and who “is conscious, not of what is dead, but of what is already living.”</w:t>
      </w:r>
      <w:r>
        <w:rPr>
          <w:rFonts w:ascii="Libre Baskerville" w:eastAsia="Libre Baskerville" w:hAnsi="Libre Baskerville" w:cs="Libre Baskerville"/>
          <w:sz w:val="24"/>
          <w:szCs w:val="24"/>
          <w:vertAlign w:val="superscript"/>
        </w:rPr>
        <w:footnoteReference w:id="84"/>
      </w:r>
      <w:r>
        <w:rPr>
          <w:rFonts w:ascii="Libre Baskerville" w:eastAsia="Libre Baskerville" w:hAnsi="Libre Baskerville" w:cs="Libre Baskerville"/>
          <w:sz w:val="24"/>
          <w:szCs w:val="24"/>
        </w:rPr>
        <w:t xml:space="preserve"> It is nonetheless significant that Gibbon had identified something very like this as his ideal from a strikingly young age, as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xml:space="preserve"> attests. “Tradition,” Gibbon discovered very early, “cannot be inherited, and if you want </w:t>
      </w:r>
      <w:proofErr w:type="gramStart"/>
      <w:r>
        <w:rPr>
          <w:rFonts w:ascii="Libre Baskerville" w:eastAsia="Libre Baskerville" w:hAnsi="Libre Baskerville" w:cs="Libre Baskerville"/>
          <w:sz w:val="24"/>
          <w:szCs w:val="24"/>
        </w:rPr>
        <w:t>it</w:t>
      </w:r>
      <w:proofErr w:type="gramEnd"/>
      <w:r>
        <w:rPr>
          <w:rFonts w:ascii="Libre Baskerville" w:eastAsia="Libre Baskerville" w:hAnsi="Libre Baskerville" w:cs="Libre Baskerville"/>
          <w:sz w:val="24"/>
          <w:szCs w:val="24"/>
        </w:rPr>
        <w:t xml:space="preserve"> you must obtain it by great </w:t>
      </w:r>
      <w:proofErr w:type="spellStart"/>
      <w:r>
        <w:rPr>
          <w:rFonts w:ascii="Libre Baskerville" w:eastAsia="Libre Baskerville" w:hAnsi="Libre Baskerville" w:cs="Libre Baskerville"/>
          <w:sz w:val="24"/>
          <w:szCs w:val="24"/>
        </w:rPr>
        <w:t>labour</w:t>
      </w:r>
      <w:proofErr w:type="spellEnd"/>
      <w:r>
        <w:rPr>
          <w:rFonts w:ascii="Libre Baskerville" w:eastAsia="Libre Baskerville" w:hAnsi="Libre Baskerville" w:cs="Libre Baskerville"/>
          <w:sz w:val="24"/>
          <w:szCs w:val="24"/>
        </w:rPr>
        <w:t>” –</w:t>
      </w:r>
      <w:r w:rsidR="00527515">
        <w:rPr>
          <w:rFonts w:ascii="Libre Baskerville" w:eastAsia="Libre Baskerville" w:hAnsi="Libre Baskerville" w:cs="Libre Baskerville"/>
          <w:sz w:val="24"/>
          <w:szCs w:val="24"/>
        </w:rPr>
        <w:t xml:space="preserve"> </w:t>
      </w:r>
      <w:r>
        <w:rPr>
          <w:rFonts w:ascii="Libre Baskerville" w:eastAsia="Libre Baskerville" w:hAnsi="Libre Baskerville" w:cs="Libre Baskerville"/>
          <w:sz w:val="24"/>
          <w:szCs w:val="24"/>
        </w:rPr>
        <w:t>primarily, by cultivating “the historical sense.”</w:t>
      </w:r>
      <w:r>
        <w:rPr>
          <w:rFonts w:ascii="Libre Baskerville" w:eastAsia="Libre Baskerville" w:hAnsi="Libre Baskerville" w:cs="Libre Baskerville"/>
          <w:sz w:val="24"/>
          <w:szCs w:val="24"/>
          <w:vertAlign w:val="superscript"/>
        </w:rPr>
        <w:footnoteReference w:id="85"/>
      </w:r>
      <w:r>
        <w:rPr>
          <w:rFonts w:ascii="Libre Baskerville" w:eastAsia="Libre Baskerville" w:hAnsi="Libre Baskerville" w:cs="Libre Baskerville"/>
          <w:sz w:val="24"/>
          <w:szCs w:val="24"/>
        </w:rPr>
        <w:t xml:space="preserve">  </w:t>
      </w:r>
    </w:p>
    <w:p w14:paraId="649F4725" w14:textId="77777777" w:rsidR="00527515"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Some things are gifted; others must be earned. As a historian, Gibbon was wary of the fashionable concept of a “ruling” or “master” passion.</w:t>
      </w:r>
      <w:r>
        <w:rPr>
          <w:rFonts w:ascii="Libre Baskerville" w:eastAsia="Libre Baskerville" w:hAnsi="Libre Baskerville" w:cs="Libre Baskerville"/>
          <w:sz w:val="24"/>
          <w:szCs w:val="24"/>
          <w:vertAlign w:val="superscript"/>
        </w:rPr>
        <w:footnoteReference w:id="86"/>
      </w:r>
      <w:r>
        <w:rPr>
          <w:rFonts w:ascii="Libre Baskerville" w:eastAsia="Libre Baskerville" w:hAnsi="Libre Baskerville" w:cs="Libre Baskerville"/>
          <w:sz w:val="24"/>
          <w:szCs w:val="24"/>
        </w:rPr>
        <w:t xml:space="preserve"> The character sketches in the</w:t>
      </w:r>
      <w:r>
        <w:rPr>
          <w:rFonts w:ascii="Libre Baskerville" w:eastAsia="Libre Baskerville" w:hAnsi="Libre Baskerville" w:cs="Libre Baskerville"/>
          <w:i/>
          <w:sz w:val="24"/>
          <w:szCs w:val="24"/>
        </w:rPr>
        <w:t xml:space="preserve"> Decline and Fall </w:t>
      </w:r>
      <w:r>
        <w:rPr>
          <w:rFonts w:ascii="Libre Baskerville" w:eastAsia="Libre Baskerville" w:hAnsi="Libre Baskerville" w:cs="Libre Baskerville"/>
          <w:sz w:val="24"/>
          <w:szCs w:val="24"/>
        </w:rPr>
        <w:t xml:space="preserve">present human beings – and particularly the kind of individual whose ambition for power and pre-eminence leads them to make their mark on the historical page – as a tissue of contradictions, which the historian might hold in balance but is rarely justified in unifying behind one, </w:t>
      </w:r>
      <w:r>
        <w:rPr>
          <w:rFonts w:ascii="Libre Baskerville" w:eastAsia="Libre Baskerville" w:hAnsi="Libre Baskerville" w:cs="Libre Baskerville"/>
          <w:sz w:val="24"/>
          <w:szCs w:val="24"/>
        </w:rPr>
        <w:lastRenderedPageBreak/>
        <w:t>leading principle.</w:t>
      </w:r>
      <w:r>
        <w:rPr>
          <w:rFonts w:ascii="Libre Baskerville" w:eastAsia="Libre Baskerville" w:hAnsi="Libre Baskerville" w:cs="Libre Baskerville"/>
          <w:sz w:val="24"/>
          <w:szCs w:val="24"/>
          <w:vertAlign w:val="superscript"/>
        </w:rPr>
        <w:footnoteReference w:id="87"/>
      </w:r>
      <w:r>
        <w:rPr>
          <w:rFonts w:ascii="Libre Baskerville" w:eastAsia="Libre Baskerville" w:hAnsi="Libre Baskerville" w:cs="Libre Baskerville"/>
          <w:sz w:val="24"/>
          <w:szCs w:val="24"/>
        </w:rPr>
        <w:t xml:space="preserve"> Yet in his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Gibbon presents himself as a “rare” exception.</w:t>
      </w:r>
      <w:r>
        <w:rPr>
          <w:rFonts w:ascii="Libre Baskerville" w:eastAsia="Libre Baskerville" w:hAnsi="Libre Baskerville" w:cs="Libre Baskerville"/>
          <w:sz w:val="24"/>
          <w:szCs w:val="24"/>
          <w:vertAlign w:val="superscript"/>
        </w:rPr>
        <w:footnoteReference w:id="88"/>
      </w:r>
      <w:r>
        <w:rPr>
          <w:rFonts w:ascii="Libre Baskerville" w:eastAsia="Libre Baskerville" w:hAnsi="Libre Baskerville" w:cs="Libre Baskerville"/>
          <w:sz w:val="24"/>
          <w:szCs w:val="24"/>
        </w:rPr>
        <w:t xml:space="preserve"> In 1783, </w:t>
      </w:r>
      <w:r w:rsidR="00527515">
        <w:rPr>
          <w:rFonts w:ascii="Libre Baskerville" w:eastAsia="Libre Baskerville" w:hAnsi="Libre Baskerville" w:cs="Libre Baskerville"/>
          <w:sz w:val="24"/>
          <w:szCs w:val="24"/>
        </w:rPr>
        <w:t>he</w:t>
      </w:r>
      <w:r>
        <w:rPr>
          <w:rFonts w:ascii="Libre Baskerville" w:eastAsia="Libre Baskerville" w:hAnsi="Libre Baskerville" w:cs="Libre Baskerville"/>
          <w:sz w:val="24"/>
          <w:szCs w:val="24"/>
        </w:rPr>
        <w:t xml:space="preserve"> reflected that he stood “indebted to the indulgence of Nature” for what he considered his “ruling passion”: a “strong and constant passion for letters,” a “love of study,” attended by a desire to write a work worthy of immortality.</w:t>
      </w:r>
      <w:r>
        <w:rPr>
          <w:rFonts w:ascii="Libre Baskerville" w:eastAsia="Libre Baskerville" w:hAnsi="Libre Baskerville" w:cs="Libre Baskerville"/>
          <w:sz w:val="24"/>
          <w:szCs w:val="24"/>
          <w:vertAlign w:val="superscript"/>
        </w:rPr>
        <w:footnoteReference w:id="89"/>
      </w:r>
      <w:r>
        <w:rPr>
          <w:rFonts w:ascii="Libre Baskerville" w:eastAsia="Libre Baskerville" w:hAnsi="Libre Baskerville" w:cs="Libre Baskerville"/>
          <w:sz w:val="24"/>
          <w:szCs w:val="24"/>
        </w:rPr>
        <w:t xml:space="preserve"> The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relate how this passion had lacked any </w:t>
      </w:r>
      <w:r w:rsidR="00527515">
        <w:rPr>
          <w:rFonts w:ascii="Libre Baskerville" w:eastAsia="Libre Baskerville" w:hAnsi="Libre Baskerville" w:cs="Libre Baskerville"/>
          <w:sz w:val="24"/>
          <w:szCs w:val="24"/>
        </w:rPr>
        <w:t xml:space="preserve">clear </w:t>
      </w:r>
      <w:r>
        <w:rPr>
          <w:rFonts w:ascii="Libre Baskerville" w:eastAsia="Libre Baskerville" w:hAnsi="Libre Baskerville" w:cs="Libre Baskerville"/>
          <w:sz w:val="24"/>
          <w:szCs w:val="24"/>
        </w:rPr>
        <w:t xml:space="preserve">direction in his younger years, in part due to an absence of guidance from any parent, teacher, or friend. </w:t>
      </w:r>
    </w:p>
    <w:p w14:paraId="0000001C" w14:textId="179D1CFE"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If there is a moral contained in Gibbon’s story, it is surely that we are the company we keep. As he observed in the </w:t>
      </w:r>
      <w:r>
        <w:rPr>
          <w:rFonts w:ascii="Libre Baskerville" w:eastAsia="Libre Baskerville" w:hAnsi="Libre Baskerville" w:cs="Libre Baskerville"/>
          <w:i/>
          <w:sz w:val="24"/>
          <w:szCs w:val="24"/>
        </w:rPr>
        <w:t>Vindication</w:t>
      </w:r>
      <w:r>
        <w:rPr>
          <w:rFonts w:ascii="Libre Baskerville" w:eastAsia="Libre Baskerville" w:hAnsi="Libre Baskerville" w:cs="Libre Baskerville"/>
          <w:sz w:val="24"/>
          <w:szCs w:val="24"/>
        </w:rPr>
        <w:t>: “Every animal employs the note, or cry, or howl, which is peculiar to its species; every man expresses himself in the dialect the most congenial to his temper and inclination, the most familiar to the company in which he has lived, and to the authors with whom he is conversant.”</w:t>
      </w:r>
      <w:r>
        <w:rPr>
          <w:rFonts w:ascii="Libre Baskerville" w:eastAsia="Libre Baskerville" w:hAnsi="Libre Baskerville" w:cs="Libre Baskerville"/>
          <w:sz w:val="24"/>
          <w:szCs w:val="24"/>
          <w:vertAlign w:val="superscript"/>
        </w:rPr>
        <w:footnoteReference w:id="90"/>
      </w:r>
      <w:r>
        <w:rPr>
          <w:rFonts w:ascii="Libre Baskerville" w:eastAsia="Libre Baskerville" w:hAnsi="Libre Baskerville" w:cs="Libre Baskerville"/>
          <w:sz w:val="24"/>
          <w:szCs w:val="24"/>
        </w:rPr>
        <w:t xml:space="preserve"> As a youth Gibbon exercised no discretion on this score; he engaged in “free desultory reading.”</w:t>
      </w:r>
      <w:r>
        <w:rPr>
          <w:rFonts w:ascii="Libre Baskerville" w:eastAsia="Libre Baskerville" w:hAnsi="Libre Baskerville" w:cs="Libre Baskerville"/>
          <w:sz w:val="24"/>
          <w:szCs w:val="24"/>
          <w:vertAlign w:val="superscript"/>
        </w:rPr>
        <w:footnoteReference w:id="91"/>
      </w:r>
      <w:r>
        <w:rPr>
          <w:rFonts w:ascii="Libre Baskerville" w:eastAsia="Libre Baskerville" w:hAnsi="Libre Baskerville" w:cs="Libre Baskerville"/>
          <w:sz w:val="24"/>
          <w:szCs w:val="24"/>
        </w:rPr>
        <w:t xml:space="preserve"> He remained at liberty to read whatever he liked and, in theory, to think his own thoughts; but he had yet to learn how to distinguish between liberty and license. He was a disciple in search of a master: his mind susceptible, as Eliot puts it, to impress by whichever mind he happened to be conversing with through his reading. If Gibbon offers a remarkably complacent rendition of the great set piece of the </w:t>
      </w:r>
      <w:r>
        <w:rPr>
          <w:rFonts w:ascii="Libre Baskerville" w:eastAsia="Libre Baskerville" w:hAnsi="Libre Baskerville" w:cs="Libre Baskerville"/>
          <w:i/>
          <w:sz w:val="24"/>
          <w:szCs w:val="24"/>
        </w:rPr>
        <w:t>Memoirs</w:t>
      </w:r>
      <w:r>
        <w:rPr>
          <w:rFonts w:ascii="Libre Baskerville" w:eastAsia="Libre Baskerville" w:hAnsi="Libre Baskerville" w:cs="Libre Baskerville"/>
          <w:sz w:val="24"/>
          <w:szCs w:val="24"/>
        </w:rPr>
        <w:t xml:space="preserve"> – his “rash step” of abjuring “the Religion of my Country” – </w:t>
      </w:r>
      <w:sdt>
        <w:sdtPr>
          <w:tag w:val="goog_rdk_31"/>
          <w:id w:val="259420311"/>
        </w:sdtPr>
        <w:sdtEndPr/>
        <w:sdtContent>
          <w:r>
            <w:rPr>
              <w:rFonts w:ascii="Libre Baskerville" w:eastAsia="Libre Baskerville" w:hAnsi="Libre Baskerville" w:cs="Libre Baskerville"/>
              <w:sz w:val="24"/>
              <w:szCs w:val="24"/>
            </w:rPr>
            <w:t>he does so</w:t>
          </w:r>
        </w:sdtContent>
      </w:sdt>
      <w:r>
        <w:rPr>
          <w:rFonts w:ascii="Libre Baskerville" w:eastAsia="Libre Baskerville" w:hAnsi="Libre Baskerville" w:cs="Libre Baskerville"/>
          <w:sz w:val="24"/>
          <w:szCs w:val="24"/>
        </w:rPr>
        <w:t xml:space="preserve"> because of the qualities of mind he considers it to exemplify in his younger self: “freedom” and “curiosity,” along with “elasticity.”</w:t>
      </w:r>
      <w:r>
        <w:rPr>
          <w:rFonts w:ascii="Libre Baskerville" w:eastAsia="Libre Baskerville" w:hAnsi="Libre Baskerville" w:cs="Libre Baskerville"/>
          <w:sz w:val="24"/>
          <w:szCs w:val="24"/>
          <w:vertAlign w:val="superscript"/>
        </w:rPr>
        <w:footnoteReference w:id="92"/>
      </w:r>
      <w:r>
        <w:rPr>
          <w:rFonts w:ascii="Libre Baskerville" w:eastAsia="Libre Baskerville" w:hAnsi="Libre Baskerville" w:cs="Libre Baskerville"/>
          <w:sz w:val="24"/>
          <w:szCs w:val="24"/>
        </w:rPr>
        <w:t xml:space="preserve"> As Gibbon observes in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“freedom is the first step to knowledge and curiosity.”</w:t>
      </w:r>
      <w:r>
        <w:rPr>
          <w:rFonts w:ascii="Libre Baskerville" w:eastAsia="Libre Baskerville" w:hAnsi="Libre Baskerville" w:cs="Libre Baskerville"/>
          <w:sz w:val="24"/>
          <w:szCs w:val="24"/>
          <w:vertAlign w:val="superscript"/>
        </w:rPr>
        <w:footnoteReference w:id="93"/>
      </w:r>
      <w:r>
        <w:rPr>
          <w:rFonts w:ascii="Libre Baskerville" w:eastAsia="Libre Baskerville" w:hAnsi="Libre Baskerville" w:cs="Libre Baskerville"/>
          <w:sz w:val="24"/>
          <w:szCs w:val="24"/>
        </w:rPr>
        <w:t xml:space="preserve"> In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similarly, Gibbon considers a susceptibility to the powerful minds one studies as a virtue, as will Eliot later: one’s mind must be “</w:t>
      </w:r>
      <w:proofErr w:type="spellStart"/>
      <w:r>
        <w:rPr>
          <w:rFonts w:ascii="Libre Baskerville" w:eastAsia="Libre Baskerville" w:hAnsi="Libre Baskerville" w:cs="Libre Baskerville"/>
          <w:sz w:val="24"/>
          <w:szCs w:val="24"/>
        </w:rPr>
        <w:t>honnête</w:t>
      </w:r>
      <w:proofErr w:type="spellEnd"/>
      <w:r>
        <w:rPr>
          <w:rFonts w:ascii="Libre Baskerville" w:eastAsia="Libre Baskerville" w:hAnsi="Libre Baskerville" w:cs="Libre Baskerville"/>
          <w:sz w:val="24"/>
          <w:szCs w:val="24"/>
        </w:rPr>
        <w:t xml:space="preserve"> et sensible” if one is </w:t>
      </w:r>
      <w:r>
        <w:rPr>
          <w:rFonts w:ascii="Libre Baskerville" w:eastAsia="Libre Baskerville" w:hAnsi="Libre Baskerville" w:cs="Libre Baskerville"/>
          <w:sz w:val="24"/>
          <w:szCs w:val="24"/>
        </w:rPr>
        <w:lastRenderedPageBreak/>
        <w:t>to see the world through another’s eyes, to hear what they have to say, and to feel the sentiments their words express.</w:t>
      </w:r>
      <w:r>
        <w:rPr>
          <w:rFonts w:ascii="Libre Baskerville" w:eastAsia="Libre Baskerville" w:hAnsi="Libre Baskerville" w:cs="Libre Baskerville"/>
          <w:sz w:val="24"/>
          <w:szCs w:val="24"/>
          <w:vertAlign w:val="superscript"/>
        </w:rPr>
        <w:footnoteReference w:id="94"/>
      </w:r>
      <w:r>
        <w:rPr>
          <w:rFonts w:ascii="Libre Baskerville" w:eastAsia="Libre Baskerville" w:hAnsi="Libre Baskerville" w:cs="Libre Baskerville"/>
          <w:sz w:val="24"/>
          <w:szCs w:val="24"/>
        </w:rPr>
        <w:t xml:space="preserve"> All, Gibbon suggests, that was lacking in his younger years was the direction of his “ruling passion” to objects that were worthy of it. He needed, in short, to keep better company. If, as a novi</w:t>
      </w:r>
      <w:r w:rsidR="00527515">
        <w:rPr>
          <w:rFonts w:ascii="Libre Baskerville" w:eastAsia="Libre Baskerville" w:hAnsi="Libre Baskerville" w:cs="Libre Baskerville"/>
          <w:sz w:val="24"/>
          <w:szCs w:val="24"/>
        </w:rPr>
        <w:t>c</w:t>
      </w:r>
      <w:r>
        <w:rPr>
          <w:rFonts w:ascii="Libre Baskerville" w:eastAsia="Libre Baskerville" w:hAnsi="Libre Baskerville" w:cs="Libre Baskerville"/>
          <w:sz w:val="24"/>
          <w:szCs w:val="24"/>
        </w:rPr>
        <w:t>e, he must be a</w:t>
      </w:r>
      <w:r w:rsidR="00527515">
        <w:rPr>
          <w:rFonts w:ascii="Libre Baskerville" w:eastAsia="Libre Baskerville" w:hAnsi="Libre Baskerville" w:cs="Libre Baskerville"/>
          <w:sz w:val="24"/>
          <w:szCs w:val="24"/>
        </w:rPr>
        <w:t>n apprentice</w:t>
      </w:r>
      <w:r>
        <w:rPr>
          <w:rFonts w:ascii="Libre Baskerville" w:eastAsia="Libre Baskerville" w:hAnsi="Libre Baskerville" w:cs="Libre Baskerville"/>
          <w:sz w:val="24"/>
          <w:szCs w:val="24"/>
        </w:rPr>
        <w:t>, he needed to find masters who would embrace him as an equal once he attained maturity and was himself worthy of it.</w:t>
      </w:r>
    </w:p>
    <w:p w14:paraId="0000001D" w14:textId="2F78E129"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only masters worthy and capable of such tutorship were the ancients, as Gibbon’s first publication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so fulsomely attests. Prior to his exile in Lausanne, however, Gibbon could “only embrace the phantom” of Homer; he was incapable of “discerning that Pope’s translation is a portrait endowed with every merit, except likeness to the original.” So, too, with Dryden’s Virgil and Sandys</w:t>
      </w:r>
      <w:r w:rsidR="00527515">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Ovid.</w:t>
      </w:r>
      <w:r>
        <w:rPr>
          <w:rFonts w:ascii="Libre Baskerville" w:eastAsia="Libre Baskerville" w:hAnsi="Libre Baskerville" w:cs="Libre Baskerville"/>
          <w:sz w:val="24"/>
          <w:szCs w:val="24"/>
          <w:vertAlign w:val="superscript"/>
        </w:rPr>
        <w:footnoteReference w:id="95"/>
      </w:r>
      <w:r>
        <w:rPr>
          <w:rFonts w:ascii="Libre Baskerville" w:eastAsia="Libre Baskerville" w:hAnsi="Libre Baskerville" w:cs="Libre Baskerville"/>
          <w:sz w:val="24"/>
          <w:szCs w:val="24"/>
        </w:rPr>
        <w:t xml:space="preserve"> If one were to converse with the ancients, one had to be able to read them in the original; and it was only through sweat and frustrated tears that Gibbon “purchased the knowledge of the Latin syntax” and, eventually, the Greek, and was thereby enabled to see Homer in his native dress.</w:t>
      </w:r>
      <w:r>
        <w:rPr>
          <w:rFonts w:ascii="Libre Baskerville" w:eastAsia="Libre Baskerville" w:hAnsi="Libre Baskerville" w:cs="Libre Baskerville"/>
          <w:sz w:val="24"/>
          <w:szCs w:val="24"/>
          <w:vertAlign w:val="superscript"/>
        </w:rPr>
        <w:footnoteReference w:id="96"/>
      </w:r>
      <w:r>
        <w:rPr>
          <w:rFonts w:ascii="Libre Baskerville" w:eastAsia="Libre Baskerville" w:hAnsi="Libre Baskerville" w:cs="Libre Baskerville"/>
          <w:sz w:val="24"/>
          <w:szCs w:val="24"/>
        </w:rPr>
        <w:t xml:space="preserve"> Mastering this literature, and devouring it with an omnivorous appetite, was crucial to “the plentiful nourishment and rapid growth of my mind.”</w:t>
      </w:r>
      <w:r>
        <w:rPr>
          <w:rFonts w:ascii="Libre Baskerville" w:eastAsia="Libre Baskerville" w:hAnsi="Libre Baskerville" w:cs="Libre Baskerville"/>
          <w:sz w:val="24"/>
          <w:szCs w:val="24"/>
          <w:vertAlign w:val="superscript"/>
        </w:rPr>
        <w:footnoteReference w:id="97"/>
      </w:r>
      <w:r>
        <w:rPr>
          <w:rFonts w:ascii="Libre Baskerville" w:eastAsia="Libre Baskerville" w:hAnsi="Libre Baskerville" w:cs="Libre Baskerville"/>
          <w:sz w:val="24"/>
          <w:szCs w:val="24"/>
        </w:rPr>
        <w:t xml:space="preserve"> </w:t>
      </w:r>
    </w:p>
    <w:p w14:paraId="0000001E"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To be sure, reading such authors with a “susceptible mind” was a necessary, but hardly a sufficient condition for seeing the world through their eyes. Here, a stock of critical erudition – including the pioneering historical cartography of </w:t>
      </w:r>
      <w:proofErr w:type="spellStart"/>
      <w:r>
        <w:rPr>
          <w:rFonts w:ascii="Libre Baskerville" w:eastAsia="Libre Baskerville" w:hAnsi="Libre Baskerville" w:cs="Libre Baskerville"/>
          <w:sz w:val="24"/>
          <w:szCs w:val="24"/>
        </w:rPr>
        <w:t>d’Anville</w:t>
      </w:r>
      <w:proofErr w:type="spellEnd"/>
      <w:r>
        <w:rPr>
          <w:rFonts w:ascii="Libre Baskerville" w:eastAsia="Libre Baskerville" w:hAnsi="Libre Baskerville" w:cs="Libre Baskerville"/>
          <w:sz w:val="24"/>
          <w:szCs w:val="24"/>
          <w:vertAlign w:val="superscript"/>
        </w:rPr>
        <w:footnoteReference w:id="98"/>
      </w:r>
      <w:r>
        <w:rPr>
          <w:rFonts w:ascii="Libre Baskerville" w:eastAsia="Libre Baskerville" w:hAnsi="Libre Baskerville" w:cs="Libre Baskerville"/>
          <w:sz w:val="24"/>
          <w:szCs w:val="24"/>
        </w:rPr>
        <w:t xml:space="preserve"> – was essential to assist a student to appreciate the contours of their world, and to become aware of the chasm, not least in regard to conceptual change, that separates our world from theirs.</w:t>
      </w:r>
      <w:r>
        <w:rPr>
          <w:rFonts w:ascii="Libre Baskerville" w:eastAsia="Libre Baskerville" w:hAnsi="Libre Baskerville" w:cs="Libre Baskerville"/>
          <w:sz w:val="24"/>
          <w:szCs w:val="24"/>
          <w:vertAlign w:val="superscript"/>
        </w:rPr>
        <w:footnoteReference w:id="99"/>
      </w:r>
      <w:r>
        <w:rPr>
          <w:rFonts w:ascii="Libre Baskerville" w:eastAsia="Libre Baskerville" w:hAnsi="Libre Baskerville" w:cs="Libre Baskerville"/>
          <w:sz w:val="24"/>
          <w:szCs w:val="24"/>
        </w:rPr>
        <w:t xml:space="preserve"> This was why Gibbon was so </w:t>
      </w:r>
      <w:r>
        <w:rPr>
          <w:rFonts w:ascii="Libre Baskerville" w:eastAsia="Libre Baskerville" w:hAnsi="Libre Baskerville" w:cs="Libre Baskerville"/>
          <w:sz w:val="24"/>
          <w:szCs w:val="24"/>
        </w:rPr>
        <w:lastRenderedPageBreak/>
        <w:t xml:space="preserve">concerned to forge a rapprochement between erudition and philosophy in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although here one must recall his later observation that, at this time, “I always associated the study of Philosophy with those of literature” (primarily meaning ancient literature).</w:t>
      </w:r>
      <w:r>
        <w:rPr>
          <w:rFonts w:ascii="Libre Baskerville" w:eastAsia="Libre Baskerville" w:hAnsi="Libre Baskerville" w:cs="Libre Baskerville"/>
          <w:sz w:val="24"/>
          <w:szCs w:val="24"/>
          <w:vertAlign w:val="superscript"/>
        </w:rPr>
        <w:footnoteReference w:id="100"/>
      </w:r>
      <w:r>
        <w:rPr>
          <w:rFonts w:ascii="Libre Baskerville" w:eastAsia="Libre Baskerville" w:hAnsi="Libre Baskerville" w:cs="Libre Baskerville"/>
          <w:sz w:val="24"/>
          <w:szCs w:val="24"/>
        </w:rPr>
        <w:t xml:space="preserve"> The study of philosophy, or literature, without the assistance of critical erudition has no root; but erudition, without the fertilizing influence of philosophy, bears no fruit. In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xml:space="preserve"> we again encounter the claim that the love of ancient literature, and the heedless impulse to surrender (or to sacrifice) oneself to other minds that it requires, is a gift of nature, even as it must be cultivated and disciplined by erudition. This disposition of “mind,” this “genius” or “esprit,” without which one cannot hope to access the “chests” full of invaluable wisdom (i.e. Greek and Roman literature), is a gift shared by very few:</w:t>
      </w:r>
    </w:p>
    <w:p w14:paraId="0000001F" w14:textId="77777777" w:rsidR="00D467CA" w:rsidRDefault="006F2E25">
      <w:pPr>
        <w:spacing w:line="360" w:lineRule="auto"/>
        <w:ind w:left="56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Quelle étude </w:t>
      </w:r>
      <w:proofErr w:type="spellStart"/>
      <w:r>
        <w:rPr>
          <w:rFonts w:ascii="Libre Baskerville" w:eastAsia="Libre Baskerville" w:hAnsi="Libre Baskerville" w:cs="Libre Baskerville"/>
          <w:sz w:val="24"/>
          <w:szCs w:val="24"/>
        </w:rPr>
        <w:t>peut</w:t>
      </w:r>
      <w:proofErr w:type="spellEnd"/>
      <w:r>
        <w:rPr>
          <w:rFonts w:ascii="Libre Baskerville" w:eastAsia="Libre Baskerville" w:hAnsi="Libre Baskerville" w:cs="Libre Baskerville"/>
          <w:sz w:val="24"/>
          <w:szCs w:val="24"/>
        </w:rPr>
        <w:t xml:space="preserve"> former </w:t>
      </w:r>
      <w:proofErr w:type="spellStart"/>
      <w:r>
        <w:rPr>
          <w:rFonts w:ascii="Libre Baskerville" w:eastAsia="Libre Baskerville" w:hAnsi="Libre Baskerville" w:cs="Libre Baskerville"/>
          <w:sz w:val="24"/>
          <w:szCs w:val="24"/>
        </w:rPr>
        <w:t>cet</w:t>
      </w:r>
      <w:proofErr w:type="spellEnd"/>
      <w:r>
        <w:rPr>
          <w:rFonts w:ascii="Libre Baskerville" w:eastAsia="Libre Baskerville" w:hAnsi="Libre Baskerville" w:cs="Libre Baskerville"/>
          <w:sz w:val="24"/>
          <w:szCs w:val="24"/>
        </w:rPr>
        <w:t xml:space="preserve"> esprit? Je </w:t>
      </w:r>
      <w:proofErr w:type="spellStart"/>
      <w:r>
        <w:rPr>
          <w:rFonts w:ascii="Libre Baskerville" w:eastAsia="Libre Baskerville" w:hAnsi="Libre Baskerville" w:cs="Libre Baskerville"/>
          <w:sz w:val="24"/>
          <w:szCs w:val="24"/>
        </w:rPr>
        <w:t>n’en</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connois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aucune</w:t>
      </w:r>
      <w:proofErr w:type="spellEnd"/>
      <w:r>
        <w:rPr>
          <w:rFonts w:ascii="Libre Baskerville" w:eastAsia="Libre Baskerville" w:hAnsi="Libre Baskerville" w:cs="Libre Baskerville"/>
          <w:sz w:val="24"/>
          <w:szCs w:val="24"/>
        </w:rPr>
        <w:t xml:space="preserve">. Don du </w:t>
      </w:r>
      <w:proofErr w:type="spellStart"/>
      <w:r>
        <w:rPr>
          <w:rFonts w:ascii="Libre Baskerville" w:eastAsia="Libre Baskerville" w:hAnsi="Libre Baskerville" w:cs="Libre Baskerville"/>
          <w:sz w:val="24"/>
          <w:szCs w:val="24"/>
        </w:rPr>
        <w:t>ciel</w:t>
      </w:r>
      <w:proofErr w:type="spellEnd"/>
      <w:r>
        <w:rPr>
          <w:rFonts w:ascii="Libre Baskerville" w:eastAsia="Libre Baskerville" w:hAnsi="Libre Baskerville" w:cs="Libre Baskerville"/>
          <w:sz w:val="24"/>
          <w:szCs w:val="24"/>
        </w:rPr>
        <w:t xml:space="preserve">, le grand </w:t>
      </w:r>
      <w:proofErr w:type="spellStart"/>
      <w:r>
        <w:rPr>
          <w:rFonts w:ascii="Libre Baskerville" w:eastAsia="Libre Baskerville" w:hAnsi="Libre Baskerville" w:cs="Libre Baskerville"/>
          <w:sz w:val="24"/>
          <w:szCs w:val="24"/>
        </w:rPr>
        <w:t>nombre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l’ignore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ou</w:t>
      </w:r>
      <w:proofErr w:type="spellEnd"/>
      <w:r>
        <w:rPr>
          <w:rFonts w:ascii="Libre Baskerville" w:eastAsia="Libre Baskerville" w:hAnsi="Libre Baskerville" w:cs="Libre Baskerville"/>
          <w:sz w:val="24"/>
          <w:szCs w:val="24"/>
        </w:rPr>
        <w:t xml:space="preserve"> le </w:t>
      </w:r>
      <w:proofErr w:type="spellStart"/>
      <w:r>
        <w:rPr>
          <w:rFonts w:ascii="Libre Baskerville" w:eastAsia="Libre Baskerville" w:hAnsi="Libre Baskerville" w:cs="Libre Baskerville"/>
          <w:sz w:val="24"/>
          <w:szCs w:val="24"/>
        </w:rPr>
        <w:t>méprise</w:t>
      </w:r>
      <w:proofErr w:type="spellEnd"/>
      <w:r>
        <w:rPr>
          <w:rFonts w:ascii="Libre Baskerville" w:eastAsia="Libre Baskerville" w:hAnsi="Libre Baskerville" w:cs="Libre Baskerville"/>
          <w:sz w:val="24"/>
          <w:szCs w:val="24"/>
        </w:rPr>
        <w:t xml:space="preserve">; les sages le </w:t>
      </w:r>
      <w:proofErr w:type="spellStart"/>
      <w:r>
        <w:rPr>
          <w:rFonts w:ascii="Libre Baskerville" w:eastAsia="Libre Baskerville" w:hAnsi="Libre Baskerville" w:cs="Libre Baskerville"/>
          <w:sz w:val="24"/>
          <w:szCs w:val="24"/>
        </w:rPr>
        <w:t>souhaitent</w:t>
      </w:r>
      <w:proofErr w:type="spellEnd"/>
      <w:r>
        <w:rPr>
          <w:rFonts w:ascii="Libre Baskerville" w:eastAsia="Libre Baskerville" w:hAnsi="Libre Baskerville" w:cs="Libre Baskerville"/>
          <w:sz w:val="24"/>
          <w:szCs w:val="24"/>
        </w:rPr>
        <w:t xml:space="preserve">; quelque </w:t>
      </w:r>
      <w:proofErr w:type="spellStart"/>
      <w:r>
        <w:rPr>
          <w:rFonts w:ascii="Libre Baskerville" w:eastAsia="Libre Baskerville" w:hAnsi="Libre Baskerville" w:cs="Libre Baskerville"/>
          <w:sz w:val="24"/>
          <w:szCs w:val="24"/>
        </w:rPr>
        <w:t>uns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l’ont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reçu</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nul</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l’acquiert</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mais</w:t>
      </w:r>
      <w:proofErr w:type="spellEnd"/>
      <w:r>
        <w:rPr>
          <w:rFonts w:ascii="Libre Baskerville" w:eastAsia="Libre Baskerville" w:hAnsi="Libre Baskerville" w:cs="Libre Baskerville"/>
          <w:sz w:val="24"/>
          <w:szCs w:val="24"/>
        </w:rPr>
        <w:t xml:space="preserve"> je </w:t>
      </w:r>
      <w:proofErr w:type="spellStart"/>
      <w:r>
        <w:rPr>
          <w:rFonts w:ascii="Libre Baskerville" w:eastAsia="Libre Baskerville" w:hAnsi="Libre Baskerville" w:cs="Libre Baskerville"/>
          <w:sz w:val="24"/>
          <w:szCs w:val="24"/>
        </w:rPr>
        <w:t>crois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l’étude</w:t>
      </w:r>
      <w:proofErr w:type="spellEnd"/>
      <w:r>
        <w:rPr>
          <w:rFonts w:ascii="Libre Baskerville" w:eastAsia="Libre Baskerville" w:hAnsi="Libre Baskerville" w:cs="Libre Baskerville"/>
          <w:sz w:val="24"/>
          <w:szCs w:val="24"/>
        </w:rPr>
        <w:t xml:space="preserve"> de la </w:t>
      </w:r>
      <w:proofErr w:type="spellStart"/>
      <w:r>
        <w:rPr>
          <w:rFonts w:ascii="Libre Baskerville" w:eastAsia="Libre Baskerville" w:hAnsi="Libre Baskerville" w:cs="Libre Baskerville"/>
          <w:sz w:val="24"/>
          <w:szCs w:val="24"/>
        </w:rPr>
        <w:t>littérature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cette</w:t>
      </w:r>
      <w:proofErr w:type="spellEnd"/>
      <w:r>
        <w:rPr>
          <w:rFonts w:ascii="Libre Baskerville" w:eastAsia="Libre Baskerville" w:hAnsi="Libre Baskerville" w:cs="Libre Baskerville"/>
          <w:sz w:val="24"/>
          <w:szCs w:val="24"/>
        </w:rPr>
        <w:t xml:space="preserve"> habitude de </w:t>
      </w:r>
      <w:proofErr w:type="spellStart"/>
      <w:r>
        <w:rPr>
          <w:rFonts w:ascii="Libre Baskerville" w:eastAsia="Libre Baskerville" w:hAnsi="Libre Baskerville" w:cs="Libre Baskerville"/>
          <w:sz w:val="24"/>
          <w:szCs w:val="24"/>
        </w:rPr>
        <w:t>devenir</w:t>
      </w:r>
      <w:proofErr w:type="spellEnd"/>
      <w:r>
        <w:rPr>
          <w:rFonts w:ascii="Libre Baskerville" w:eastAsia="Libre Baskerville" w:hAnsi="Libre Baskerville" w:cs="Libre Baskerville"/>
          <w:sz w:val="24"/>
          <w:szCs w:val="24"/>
        </w:rPr>
        <w:t xml:space="preserve">, tour-à-tour, </w:t>
      </w:r>
      <w:proofErr w:type="spellStart"/>
      <w:r>
        <w:rPr>
          <w:rFonts w:ascii="Libre Baskerville" w:eastAsia="Libre Baskerville" w:hAnsi="Libre Baskerville" w:cs="Libre Baskerville"/>
          <w:sz w:val="24"/>
          <w:szCs w:val="24"/>
        </w:rPr>
        <w:t>Grec</w:t>
      </w:r>
      <w:proofErr w:type="spellEnd"/>
      <w:r>
        <w:rPr>
          <w:rFonts w:ascii="Libre Baskerville" w:eastAsia="Libre Baskerville" w:hAnsi="Libre Baskerville" w:cs="Libre Baskerville"/>
          <w:sz w:val="24"/>
          <w:szCs w:val="24"/>
        </w:rPr>
        <w:t xml:space="preserve">, Romain, disciple de </w:t>
      </w:r>
      <w:proofErr w:type="spellStart"/>
      <w:r>
        <w:rPr>
          <w:rFonts w:ascii="Libre Baskerville" w:eastAsia="Libre Baskerville" w:hAnsi="Libre Baskerville" w:cs="Libre Baskerville"/>
          <w:sz w:val="24"/>
          <w:szCs w:val="24"/>
        </w:rPr>
        <w:t>Zénon</w:t>
      </w:r>
      <w:proofErr w:type="spellEnd"/>
      <w:r>
        <w:rPr>
          <w:rFonts w:ascii="Libre Baskerville" w:eastAsia="Libre Baskerville" w:hAnsi="Libre Baskerville" w:cs="Libre Baskerville"/>
          <w:sz w:val="24"/>
          <w:szCs w:val="24"/>
        </w:rPr>
        <w:t xml:space="preserve"> ou </w:t>
      </w:r>
      <w:proofErr w:type="spellStart"/>
      <w:r>
        <w:rPr>
          <w:rFonts w:ascii="Libre Baskerville" w:eastAsia="Libre Baskerville" w:hAnsi="Libre Baskerville" w:cs="Libre Baskerville"/>
          <w:sz w:val="24"/>
          <w:szCs w:val="24"/>
        </w:rPr>
        <w:t>d’Epicure</w:t>
      </w:r>
      <w:proofErr w:type="spellEnd"/>
      <w:r>
        <w:rPr>
          <w:rFonts w:ascii="Libre Baskerville" w:eastAsia="Libre Baskerville" w:hAnsi="Libre Baskerville" w:cs="Libre Baskerville"/>
          <w:sz w:val="24"/>
          <w:szCs w:val="24"/>
        </w:rPr>
        <w:t xml:space="preserve">, bien propre à le developer et à </w:t>
      </w:r>
      <w:proofErr w:type="spellStart"/>
      <w:r>
        <w:rPr>
          <w:rFonts w:ascii="Libre Baskerville" w:eastAsia="Libre Baskerville" w:hAnsi="Libre Baskerville" w:cs="Libre Baskerville"/>
          <w:sz w:val="24"/>
          <w:szCs w:val="24"/>
        </w:rPr>
        <w:t>l’exercer</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Atravers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cette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diversité</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infinie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d’esprits</w:t>
      </w:r>
      <w:proofErr w:type="spellEnd"/>
      <w:r>
        <w:rPr>
          <w:rFonts w:ascii="Libre Baskerville" w:eastAsia="Libre Baskerville" w:hAnsi="Libre Baskerville" w:cs="Libre Baskerville"/>
          <w:sz w:val="24"/>
          <w:szCs w:val="24"/>
        </w:rPr>
        <w:t xml:space="preserve">, on </w:t>
      </w:r>
      <w:proofErr w:type="spellStart"/>
      <w:r>
        <w:rPr>
          <w:rFonts w:ascii="Libre Baskerville" w:eastAsia="Libre Baskerville" w:hAnsi="Libre Baskerville" w:cs="Libre Baskerville"/>
          <w:sz w:val="24"/>
          <w:szCs w:val="24"/>
        </w:rPr>
        <w:t>remarke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une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conformité</w:t>
      </w:r>
      <w:proofErr w:type="spellEnd"/>
      <w:r>
        <w:rPr>
          <w:rFonts w:ascii="Libre Baskerville" w:eastAsia="Libre Baskerville" w:hAnsi="Libre Baskerville" w:cs="Libre Baskerville"/>
          <w:sz w:val="24"/>
          <w:szCs w:val="24"/>
        </w:rPr>
        <w:t xml:space="preserve"> Générale entre </w:t>
      </w:r>
      <w:proofErr w:type="spellStart"/>
      <w:r>
        <w:rPr>
          <w:rFonts w:ascii="Libre Baskerville" w:eastAsia="Libre Baskerville" w:hAnsi="Libre Baskerville" w:cs="Libre Baskerville"/>
          <w:sz w:val="24"/>
          <w:szCs w:val="24"/>
        </w:rPr>
        <w:t>ceux</w:t>
      </w:r>
      <w:proofErr w:type="spellEnd"/>
      <w:r>
        <w:rPr>
          <w:rFonts w:ascii="Libre Baskerville" w:eastAsia="Libre Baskerville" w:hAnsi="Libre Baskerville" w:cs="Libre Baskerville"/>
          <w:sz w:val="24"/>
          <w:szCs w:val="24"/>
        </w:rPr>
        <w:t xml:space="preserve">, à qui </w:t>
      </w:r>
      <w:proofErr w:type="spellStart"/>
      <w:r>
        <w:rPr>
          <w:rFonts w:ascii="Libre Baskerville" w:eastAsia="Libre Baskerville" w:hAnsi="Libre Baskerville" w:cs="Libre Baskerville"/>
          <w:sz w:val="24"/>
          <w:szCs w:val="24"/>
        </w:rPr>
        <w:t>leur</w:t>
      </w:r>
      <w:proofErr w:type="spellEnd"/>
      <w:r>
        <w:rPr>
          <w:rFonts w:ascii="Libre Baskerville" w:eastAsia="Libre Baskerville" w:hAnsi="Libre Baskerville" w:cs="Libre Baskerville"/>
          <w:sz w:val="24"/>
          <w:szCs w:val="24"/>
        </w:rPr>
        <w:t xml:space="preserve"> siècle, </w:t>
      </w:r>
      <w:proofErr w:type="spellStart"/>
      <w:r>
        <w:rPr>
          <w:rFonts w:ascii="Libre Baskerville" w:eastAsia="Libre Baskerville" w:hAnsi="Libre Baskerville" w:cs="Libre Baskerville"/>
          <w:sz w:val="24"/>
          <w:szCs w:val="24"/>
        </w:rPr>
        <w:t>leur</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païs</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leur</w:t>
      </w:r>
      <w:proofErr w:type="spellEnd"/>
      <w:r>
        <w:rPr>
          <w:rFonts w:ascii="Libre Baskerville" w:eastAsia="Libre Baskerville" w:hAnsi="Libre Baskerville" w:cs="Libre Baskerville"/>
          <w:sz w:val="24"/>
          <w:szCs w:val="24"/>
        </w:rPr>
        <w:t xml:space="preserve"> religion a inspire </w:t>
      </w:r>
      <w:proofErr w:type="spellStart"/>
      <w:r>
        <w:rPr>
          <w:rFonts w:ascii="Libre Baskerville" w:eastAsia="Libre Baskerville" w:hAnsi="Libre Baskerville" w:cs="Libre Baskerville"/>
          <w:sz w:val="24"/>
          <w:szCs w:val="24"/>
        </w:rPr>
        <w:t>une</w:t>
      </w:r>
      <w:proofErr w:type="spellEnd"/>
      <w:r>
        <w:rPr>
          <w:rFonts w:ascii="Libre Baskerville" w:eastAsia="Libre Baskerville" w:hAnsi="Libre Baskerville" w:cs="Libre Baskerville"/>
          <w:sz w:val="24"/>
          <w:szCs w:val="24"/>
        </w:rPr>
        <w:t xml:space="preserve"> manière à-peu près </w:t>
      </w:r>
      <w:proofErr w:type="spellStart"/>
      <w:r>
        <w:rPr>
          <w:rFonts w:ascii="Libre Baskerville" w:eastAsia="Libre Baskerville" w:hAnsi="Libre Baskerville" w:cs="Libre Baskerville"/>
          <w:sz w:val="24"/>
          <w:szCs w:val="24"/>
        </w:rPr>
        <w:t>pareille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d’envisager</w:t>
      </w:r>
      <w:proofErr w:type="spellEnd"/>
      <w:r>
        <w:rPr>
          <w:rFonts w:ascii="Libre Baskerville" w:eastAsia="Libre Baskerville" w:hAnsi="Libre Baskerville" w:cs="Libre Baskerville"/>
          <w:sz w:val="24"/>
          <w:szCs w:val="24"/>
        </w:rPr>
        <w:t xml:space="preserve"> les </w:t>
      </w:r>
      <w:proofErr w:type="spellStart"/>
      <w:r>
        <w:rPr>
          <w:rFonts w:ascii="Libre Baskerville" w:eastAsia="Libre Baskerville" w:hAnsi="Libre Baskerville" w:cs="Libre Baskerville"/>
          <w:sz w:val="24"/>
          <w:szCs w:val="24"/>
        </w:rPr>
        <w:t>même</w:t>
      </w:r>
      <w:proofErr w:type="spellEnd"/>
      <w:r>
        <w:rPr>
          <w:rFonts w:ascii="Libre Baskerville" w:eastAsia="Libre Baskerville" w:hAnsi="Libre Baskerville" w:cs="Libre Baskerville"/>
          <w:sz w:val="24"/>
          <w:szCs w:val="24"/>
        </w:rPr>
        <w:t xml:space="preserve"> </w:t>
      </w:r>
      <w:proofErr w:type="spellStart"/>
      <w:r>
        <w:rPr>
          <w:rFonts w:ascii="Libre Baskerville" w:eastAsia="Libre Baskerville" w:hAnsi="Libre Baskerville" w:cs="Libre Baskerville"/>
          <w:sz w:val="24"/>
          <w:szCs w:val="24"/>
        </w:rPr>
        <w:t>objets</w:t>
      </w:r>
      <w:proofErr w:type="spellEnd"/>
      <w:r>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vertAlign w:val="superscript"/>
        </w:rPr>
        <w:footnoteReference w:id="101"/>
      </w:r>
    </w:p>
    <w:p w14:paraId="00000020" w14:textId="77777777" w:rsidR="00D467CA" w:rsidRDefault="006F2E25">
      <w:pPr>
        <w:spacing w:line="360" w:lineRule="auto"/>
        <w:ind w:left="56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[Will it be asked, </w:t>
      </w:r>
      <w:proofErr w:type="gramStart"/>
      <w:r>
        <w:rPr>
          <w:rFonts w:ascii="Libre Baskerville" w:eastAsia="Libre Baskerville" w:hAnsi="Libre Baskerville" w:cs="Libre Baskerville"/>
          <w:sz w:val="24"/>
          <w:szCs w:val="24"/>
        </w:rPr>
        <w:t>What</w:t>
      </w:r>
      <w:proofErr w:type="gramEnd"/>
      <w:r>
        <w:rPr>
          <w:rFonts w:ascii="Libre Baskerville" w:eastAsia="Libre Baskerville" w:hAnsi="Libre Baskerville" w:cs="Libre Baskerville"/>
          <w:sz w:val="24"/>
          <w:szCs w:val="24"/>
        </w:rPr>
        <w:t xml:space="preserve"> study can form such a genius? I know of none. It is the gift of heaven, which the greater part of mankind are ignorant of, or despise; it is the wish of the wise; some have received, but not one has acquired, it: I conceive, however, that the Study of Literature, the habit of becoming by turns, a Greek, a Roman, the disciple of Zeno and of Epicurus, is extremely proper to exercise its powers and display its merit. It is remarkable, that, throughout that infinite diversity of geniuses, there </w:t>
      </w:r>
      <w:r>
        <w:rPr>
          <w:rFonts w:ascii="Libre Baskerville" w:eastAsia="Libre Baskerville" w:hAnsi="Libre Baskerville" w:cs="Libre Baskerville"/>
          <w:sz w:val="24"/>
          <w:szCs w:val="24"/>
        </w:rPr>
        <w:lastRenderedPageBreak/>
        <w:t>is a general conformity of sentiment between those whom their age, country and religion have led to take a view of the same objects, in nearly the same manner.]</w:t>
      </w:r>
      <w:r>
        <w:rPr>
          <w:rFonts w:ascii="Libre Baskerville" w:eastAsia="Libre Baskerville" w:hAnsi="Libre Baskerville" w:cs="Libre Baskerville"/>
          <w:sz w:val="24"/>
          <w:szCs w:val="24"/>
          <w:vertAlign w:val="superscript"/>
        </w:rPr>
        <w:footnoteReference w:id="102"/>
      </w:r>
      <w:r>
        <w:rPr>
          <w:rFonts w:ascii="Libre Baskerville" w:eastAsia="Libre Baskerville" w:hAnsi="Libre Baskerville" w:cs="Libre Baskerville"/>
        </w:rPr>
        <w:t xml:space="preserve"> </w:t>
      </w:r>
    </w:p>
    <w:p w14:paraId="00000021"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Essential for a proper understanding of Gibbon’s conception of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 and, arguably, of its achievement – is to grasp why Gibbon considers the greatest artists, the “geniuses,” to be able to speak to other minds across space and time. Gibbon broaches this question in a critical essay on Richard Hurd’s edition of Horace’s </w:t>
      </w:r>
      <w:proofErr w:type="spellStart"/>
      <w:r>
        <w:rPr>
          <w:rFonts w:ascii="Libre Baskerville" w:eastAsia="Libre Baskerville" w:hAnsi="Libre Baskerville" w:cs="Libre Baskerville"/>
          <w:i/>
          <w:sz w:val="24"/>
          <w:szCs w:val="24"/>
        </w:rPr>
        <w:t>Epistola</w:t>
      </w:r>
      <w:proofErr w:type="spellEnd"/>
      <w:r>
        <w:rPr>
          <w:rFonts w:ascii="Libre Baskerville" w:eastAsia="Libre Baskerville" w:hAnsi="Libre Baskerville" w:cs="Libre Baskerville"/>
          <w:i/>
          <w:sz w:val="24"/>
          <w:szCs w:val="24"/>
        </w:rPr>
        <w:t xml:space="preserve"> </w:t>
      </w:r>
      <w:proofErr w:type="spellStart"/>
      <w:r>
        <w:rPr>
          <w:rFonts w:ascii="Libre Baskerville" w:eastAsia="Libre Baskerville" w:hAnsi="Libre Baskerville" w:cs="Libre Baskerville"/>
          <w:i/>
          <w:sz w:val="24"/>
          <w:szCs w:val="24"/>
        </w:rPr>
        <w:t>ad</w:t>
      </w:r>
      <w:proofErr w:type="spellEnd"/>
      <w:r>
        <w:rPr>
          <w:rFonts w:ascii="Libre Baskerville" w:eastAsia="Libre Baskerville" w:hAnsi="Libre Baskerville" w:cs="Libre Baskerville"/>
          <w:i/>
          <w:sz w:val="24"/>
          <w:szCs w:val="24"/>
        </w:rPr>
        <w:t xml:space="preserve"> </w:t>
      </w:r>
      <w:proofErr w:type="spellStart"/>
      <w:r>
        <w:rPr>
          <w:rFonts w:ascii="Libre Baskerville" w:eastAsia="Libre Baskerville" w:hAnsi="Libre Baskerville" w:cs="Libre Baskerville"/>
          <w:i/>
          <w:sz w:val="24"/>
          <w:szCs w:val="24"/>
        </w:rPr>
        <w:t>Augustum</w:t>
      </w:r>
      <w:proofErr w:type="spellEnd"/>
      <w:r>
        <w:rPr>
          <w:rFonts w:ascii="Libre Baskerville" w:eastAsia="Libre Baskerville" w:hAnsi="Libre Baskerville" w:cs="Libre Baskerville"/>
          <w:sz w:val="24"/>
          <w:szCs w:val="24"/>
        </w:rPr>
        <w:t xml:space="preserve"> (the 1757 second edition), which he composed shortly after the publication of the </w:t>
      </w:r>
      <w:r>
        <w:rPr>
          <w:rFonts w:ascii="Libre Baskerville" w:eastAsia="Libre Baskerville" w:hAnsi="Libre Baskerville" w:cs="Libre Baskerville"/>
          <w:i/>
          <w:sz w:val="24"/>
          <w:szCs w:val="24"/>
        </w:rPr>
        <w:t>Essai</w:t>
      </w:r>
      <w:r>
        <w:rPr>
          <w:rFonts w:ascii="Libre Baskerville" w:eastAsia="Libre Baskerville" w:hAnsi="Libre Baskerville" w:cs="Libre Baskerville"/>
          <w:sz w:val="24"/>
          <w:szCs w:val="24"/>
        </w:rPr>
        <w:t>. He does so by reflecting on the concept of “influence.”</w:t>
      </w:r>
      <w:r>
        <w:rPr>
          <w:rFonts w:ascii="Libre Baskerville" w:eastAsia="Libre Baskerville" w:hAnsi="Libre Baskerville" w:cs="Libre Baskerville"/>
          <w:sz w:val="24"/>
          <w:szCs w:val="24"/>
          <w:vertAlign w:val="superscript"/>
        </w:rPr>
        <w:footnoteReference w:id="103"/>
      </w:r>
      <w:r>
        <w:rPr>
          <w:rFonts w:ascii="Libre Baskerville" w:eastAsia="Libre Baskerville" w:hAnsi="Libre Baskerville" w:cs="Libre Baskerville"/>
          <w:sz w:val="24"/>
          <w:szCs w:val="24"/>
        </w:rPr>
        <w:t xml:space="preserve"> </w:t>
      </w:r>
    </w:p>
    <w:p w14:paraId="00000022"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summarized his disagreement with Hurd on this point as follows: “I look upon imitation, to be the most natural and general cause, of any striking resemblance, between two writers; and </w:t>
      </w:r>
      <w:proofErr w:type="gramStart"/>
      <w:r>
        <w:rPr>
          <w:rFonts w:ascii="Libre Baskerville" w:eastAsia="Libre Baskerville" w:hAnsi="Libre Baskerville" w:cs="Libre Baskerville"/>
          <w:sz w:val="24"/>
          <w:szCs w:val="24"/>
        </w:rPr>
        <w:t>therefore</w:t>
      </w:r>
      <w:proofErr w:type="gramEnd"/>
      <w:r>
        <w:rPr>
          <w:rFonts w:ascii="Libre Baskerville" w:eastAsia="Libre Baskerville" w:hAnsi="Libre Baskerville" w:cs="Libre Baskerville"/>
          <w:sz w:val="24"/>
          <w:szCs w:val="24"/>
        </w:rPr>
        <w:t xml:space="preserve"> assign it, without </w:t>
      </w:r>
      <w:proofErr w:type="gramStart"/>
      <w:r>
        <w:rPr>
          <w:rFonts w:ascii="Libre Baskerville" w:eastAsia="Libre Baskerville" w:hAnsi="Libre Baskerville" w:cs="Libre Baskerville"/>
          <w:sz w:val="24"/>
          <w:szCs w:val="24"/>
        </w:rPr>
        <w:t>particular reasons</w:t>
      </w:r>
      <w:proofErr w:type="gramEnd"/>
      <w:r>
        <w:rPr>
          <w:rFonts w:ascii="Libre Baskerville" w:eastAsia="Libre Baskerville" w:hAnsi="Libre Baskerville" w:cs="Libre Baskerville"/>
          <w:sz w:val="24"/>
          <w:szCs w:val="24"/>
        </w:rPr>
        <w:t xml:space="preserve"> to the contrary. </w:t>
      </w:r>
      <w:proofErr w:type="spellStart"/>
      <w:r>
        <w:rPr>
          <w:rFonts w:ascii="Libre Baskerville" w:eastAsia="Libre Baskerville" w:hAnsi="Libre Baskerville" w:cs="Libre Baskerville"/>
          <w:sz w:val="24"/>
          <w:szCs w:val="24"/>
        </w:rPr>
        <w:t>Mr</w:t>
      </w:r>
      <w:proofErr w:type="spellEnd"/>
      <w:r>
        <w:rPr>
          <w:rFonts w:ascii="Libre Baskerville" w:eastAsia="Libre Baskerville" w:hAnsi="Libre Baskerville" w:cs="Libre Baskerville"/>
          <w:sz w:val="24"/>
          <w:szCs w:val="24"/>
        </w:rPr>
        <w:t xml:space="preserve"> Hurd on the other hand, thinks it may generally be accounted for, by a resemblance of mental operations, and therefore never suspects an imitation, without particular circumstances, which lead to the detection of it.”</w:t>
      </w:r>
      <w:r>
        <w:rPr>
          <w:rFonts w:ascii="Libre Baskerville" w:eastAsia="Libre Baskerville" w:hAnsi="Libre Baskerville" w:cs="Libre Baskerville"/>
          <w:sz w:val="24"/>
          <w:szCs w:val="24"/>
          <w:vertAlign w:val="superscript"/>
        </w:rPr>
        <w:footnoteReference w:id="104"/>
      </w:r>
      <w:r>
        <w:rPr>
          <w:rFonts w:ascii="Libre Baskerville" w:eastAsia="Libre Baskerville" w:hAnsi="Libre Baskerville" w:cs="Libre Baskerville"/>
          <w:sz w:val="24"/>
          <w:szCs w:val="24"/>
        </w:rPr>
        <w:t xml:space="preserve"> Gibbon simply takes it as read, unless there is compelling evidence otherwise, that “inclination” directs any writer “to the imitation of some particular model; of some writer whose soul is most congenial to his own, and whom he can read with the greatest delight, and imitate with the most ease.” To be sure, the possibility or likelihood that one author might have had access to the works of the other must be ascertained; but, for Gibbon’s purposes, this is a very low bar to clear – because all European authors, at least, have, and have long had, access to the works of the ancients. Hurd’s contrary view is, he argues, strikingly naïve: no writer, no person, encounters the phenomena of “the Moral and natural world” unmediated, and then performs their own autonomous </w:t>
      </w:r>
      <w:r>
        <w:rPr>
          <w:rFonts w:ascii="Libre Baskerville" w:eastAsia="Libre Baskerville" w:hAnsi="Libre Baskerville" w:cs="Libre Baskerville"/>
          <w:sz w:val="24"/>
          <w:szCs w:val="24"/>
        </w:rPr>
        <w:lastRenderedPageBreak/>
        <w:t>“mental operation” on it. Rather, whether we are aware of the fact or not, our vision is refracted through other eyes: specifically, through “the eyes of the ancients,” whose visions are impressed and “engraved on our minds, before we reflect, [and they] grow up with us afterwards.”</w:t>
      </w:r>
      <w:r>
        <w:rPr>
          <w:rFonts w:ascii="Libre Baskerville" w:eastAsia="Libre Baskerville" w:hAnsi="Libre Baskerville" w:cs="Libre Baskerville"/>
          <w:sz w:val="24"/>
          <w:szCs w:val="24"/>
          <w:vertAlign w:val="superscript"/>
        </w:rPr>
        <w:footnoteReference w:id="105"/>
      </w:r>
      <w:r>
        <w:rPr>
          <w:rFonts w:ascii="Libre Baskerville" w:eastAsia="Libre Baskerville" w:hAnsi="Libre Baskerville" w:cs="Libre Baskerville"/>
          <w:sz w:val="24"/>
          <w:szCs w:val="24"/>
        </w:rPr>
        <w:t xml:space="preserve"> </w:t>
      </w:r>
    </w:p>
    <w:p w14:paraId="00000023" w14:textId="6C3172AB"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Why does Gibbon consider this question of “influence” to be important? Here, we arrive back at Eliot’s conception of “tradition.” We are all, Gibbon informs Hurd, captive to tradition and history; but this need not mean that we are captive to the specific historical moment, or the “age and culture,” in which we have been placed by fortune. To deny the first form of captivity – </w:t>
      </w:r>
      <w:r>
        <w:rPr>
          <w:rFonts w:ascii="Libre Baskerville" w:eastAsia="Libre Baskerville" w:hAnsi="Libre Baskerville" w:cs="Libre Baskerville"/>
          <w:i/>
          <w:sz w:val="24"/>
          <w:szCs w:val="24"/>
        </w:rPr>
        <w:t>viz.</w:t>
      </w:r>
      <w:r>
        <w:rPr>
          <w:rFonts w:ascii="Libre Baskerville" w:eastAsia="Libre Baskerville" w:hAnsi="Libre Baskerville" w:cs="Libre Baskerville"/>
          <w:sz w:val="24"/>
          <w:szCs w:val="24"/>
        </w:rPr>
        <w:t xml:space="preserve"> that we inhabit a world, and a way of viewing the world, that we have inherited – is assuredly to succumb to the second form of captivity. Only the latter strips us of what Gibbon takes to be our most precious possession: our “freedom of mind,” along with an “elasticity” that enables us to converse with the minds, and to see with the eyes, of those who have inhabited our world before us. And it is by conversing with those minds, and performing </w:t>
      </w:r>
      <w:r>
        <w:rPr>
          <w:rFonts w:ascii="Libre Baskerville" w:eastAsia="Libre Baskerville" w:hAnsi="Libre Baskerville" w:cs="Libre Baskerville"/>
          <w:i/>
          <w:sz w:val="24"/>
          <w:szCs w:val="24"/>
        </w:rPr>
        <w:t>this</w:t>
      </w:r>
      <w:r>
        <w:rPr>
          <w:rFonts w:ascii="Libre Baskerville" w:eastAsia="Libre Baskerville" w:hAnsi="Libre Baskerville" w:cs="Libre Baskerville"/>
          <w:sz w:val="24"/>
          <w:szCs w:val="24"/>
        </w:rPr>
        <w:t xml:space="preserve"> “mental operation,” that we cultivate our capacity for judgment and embrace the “privilege” of thinking with our “own reason,” because “the exercise of the understanding combines the past with the present.”</w:t>
      </w:r>
      <w:r>
        <w:rPr>
          <w:rFonts w:ascii="Libre Baskerville" w:eastAsia="Libre Baskerville" w:hAnsi="Libre Baskerville" w:cs="Libre Baskerville"/>
          <w:sz w:val="24"/>
          <w:szCs w:val="24"/>
          <w:vertAlign w:val="superscript"/>
        </w:rPr>
        <w:footnoteReference w:id="106"/>
      </w:r>
      <w:r>
        <w:rPr>
          <w:rFonts w:ascii="Libre Baskerville" w:eastAsia="Libre Baskerville" w:hAnsi="Libre Baskerville" w:cs="Libre Baskerville"/>
          <w:sz w:val="24"/>
          <w:szCs w:val="24"/>
        </w:rPr>
        <w:t xml:space="preserve"> If, conversely, we assume, with Hurd, that we are independent of any such tradition, we assuredly surrender ourselves to the parochial tastes and judgments of the age in which we happen to live whilst nonetheless deceiving ourselves into believing that we are free. </w:t>
      </w:r>
    </w:p>
    <w:p w14:paraId="37F8D4F5" w14:textId="77777777" w:rsidR="00B754C7"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Here, Gibbon’s distinction between two species of writer lurks beneath the surface of his reply to Hurd. The author who acknowledges that they are beholden to tradition engages in conversation – for Gibbon, the sweetest and most enjoyable conversation imaginable – with those minds who succeeded in articulating its highest ideals and values. Those who are the legatees of Greece and Rome (and it is open to question whether Gibbon entertained the possibility of a civilization that genuinely deserved the name whose citizens </w:t>
      </w:r>
      <w:r>
        <w:rPr>
          <w:rFonts w:ascii="Libre Baskerville" w:eastAsia="Libre Baskerville" w:hAnsi="Libre Baskerville" w:cs="Libre Baskerville"/>
          <w:sz w:val="24"/>
          <w:szCs w:val="24"/>
        </w:rPr>
        <w:lastRenderedPageBreak/>
        <w:t xml:space="preserve">were </w:t>
      </w:r>
      <w:r>
        <w:rPr>
          <w:rFonts w:ascii="Libre Baskerville" w:eastAsia="Libre Baskerville" w:hAnsi="Libre Baskerville" w:cs="Libre Baskerville"/>
          <w:i/>
          <w:sz w:val="24"/>
          <w:szCs w:val="24"/>
        </w:rPr>
        <w:t>not</w:t>
      </w:r>
      <w:r>
        <w:rPr>
          <w:rFonts w:ascii="Libre Baskerville" w:eastAsia="Libre Baskerville" w:hAnsi="Libre Baskerville" w:cs="Libre Baskerville"/>
          <w:sz w:val="24"/>
          <w:szCs w:val="24"/>
        </w:rPr>
        <w:t xml:space="preserve"> legatees) are fortunate indeed. It is in the literary productions of the ancients, from Homer onward, that such ideals are most admirably expressed. Indeed, through our study of their works, these ancient authors can become “the most intimate of [our] friends” – as Homer and other ancients were for Gibbon who, </w:t>
      </w:r>
      <w:r w:rsidR="00B754C7">
        <w:rPr>
          <w:rFonts w:ascii="Libre Baskerville" w:eastAsia="Libre Baskerville" w:hAnsi="Libre Baskerville" w:cs="Libre Baskerville"/>
          <w:sz w:val="24"/>
          <w:szCs w:val="24"/>
        </w:rPr>
        <w:t>sitting</w:t>
      </w:r>
      <w:r>
        <w:rPr>
          <w:rFonts w:ascii="Libre Baskerville" w:eastAsia="Libre Baskerville" w:hAnsi="Libre Baskerville" w:cs="Libre Baskerville"/>
          <w:sz w:val="24"/>
          <w:szCs w:val="24"/>
        </w:rPr>
        <w:t xml:space="preserve"> in his library and surrounded by his books, “was never less alone than when by myself.”</w:t>
      </w:r>
      <w:r>
        <w:rPr>
          <w:rFonts w:ascii="Libre Baskerville" w:eastAsia="Libre Baskerville" w:hAnsi="Libre Baskerville" w:cs="Libre Baskerville"/>
          <w:sz w:val="24"/>
          <w:szCs w:val="24"/>
          <w:vertAlign w:val="superscript"/>
        </w:rPr>
        <w:footnoteReference w:id="107"/>
      </w:r>
      <w:r>
        <w:rPr>
          <w:rFonts w:ascii="Libre Baskerville" w:eastAsia="Libre Baskerville" w:hAnsi="Libre Baskerville" w:cs="Libre Baskerville"/>
          <w:sz w:val="24"/>
          <w:szCs w:val="24"/>
        </w:rPr>
        <w:t xml:space="preserve"> As for Eliot, so for Gibbon: any author whose works bear the stamp of a truly original mind readily acknowledges that their task is to participate in this conversation between the dead, the living, and those as yet unborn. </w:t>
      </w:r>
    </w:p>
    <w:p w14:paraId="00000024" w14:textId="3757A244"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They also feel the burden of responsibility that this brings with it. They alone possess the “mature judgment [that] is indispensably requisite for the successful execution of </w:t>
      </w:r>
      <w:r>
        <w:rPr>
          <w:rFonts w:ascii="Libre Baskerville" w:eastAsia="Libre Baskerville" w:hAnsi="Libre Baskerville" w:cs="Libre Baskerville"/>
          <w:i/>
          <w:sz w:val="24"/>
          <w:szCs w:val="24"/>
        </w:rPr>
        <w:t>any</w:t>
      </w:r>
      <w:r>
        <w:rPr>
          <w:rFonts w:ascii="Libre Baskerville" w:eastAsia="Libre Baskerville" w:hAnsi="Libre Baskerville" w:cs="Libre Baskerville"/>
          <w:sz w:val="24"/>
          <w:szCs w:val="24"/>
        </w:rPr>
        <w:t xml:space="preserve"> work of literature, and more especially of criticism.”</w:t>
      </w:r>
      <w:r>
        <w:rPr>
          <w:rFonts w:ascii="Libre Baskerville" w:eastAsia="Libre Baskerville" w:hAnsi="Libre Baskerville" w:cs="Libre Baskerville"/>
          <w:sz w:val="24"/>
          <w:szCs w:val="24"/>
          <w:vertAlign w:val="superscript"/>
        </w:rPr>
        <w:footnoteReference w:id="108"/>
      </w:r>
      <w:r>
        <w:rPr>
          <w:rFonts w:ascii="Libre Baskerville" w:eastAsia="Libre Baskerville" w:hAnsi="Libre Baskerville" w:cs="Libre Baskerville"/>
          <w:sz w:val="24"/>
          <w:szCs w:val="24"/>
        </w:rPr>
        <w:t xml:space="preserve"> This perhaps explains is why the concept of “literary property” was so obnoxious to Gibbon. A great work of literature, for Gibbon, reverberates with the voices of all the writers who have “impressed” the image of their minds on the author’s, with the result that “it would be impossible to define the boundaries of their respective property.”</w:t>
      </w:r>
      <w:r>
        <w:rPr>
          <w:rFonts w:ascii="Libre Baskerville" w:eastAsia="Libre Baskerville" w:hAnsi="Libre Baskerville" w:cs="Libre Baskerville"/>
          <w:sz w:val="24"/>
          <w:szCs w:val="24"/>
          <w:vertAlign w:val="superscript"/>
        </w:rPr>
        <w:footnoteReference w:id="109"/>
      </w:r>
      <w:r>
        <w:rPr>
          <w:rFonts w:ascii="Libre Baskerville" w:eastAsia="Libre Baskerville" w:hAnsi="Libre Baskerville" w:cs="Libre Baskerville"/>
          <w:sz w:val="24"/>
          <w:szCs w:val="24"/>
        </w:rPr>
        <w:t xml:space="preserve"> Seen in this light, it is scarcely surprising that Gibbon, in his </w:t>
      </w:r>
      <w:r>
        <w:rPr>
          <w:rFonts w:ascii="Libre Baskerville" w:eastAsia="Libre Baskerville" w:hAnsi="Libre Baskerville" w:cs="Libre Baskerville"/>
          <w:i/>
          <w:sz w:val="24"/>
          <w:szCs w:val="24"/>
        </w:rPr>
        <w:t>Vindication</w:t>
      </w:r>
      <w:r>
        <w:rPr>
          <w:rFonts w:ascii="Libre Baskerville" w:eastAsia="Libre Baskerville" w:hAnsi="Libre Baskerville" w:cs="Libre Baskerville"/>
          <w:sz w:val="24"/>
          <w:szCs w:val="24"/>
        </w:rPr>
        <w:t xml:space="preserve">, contemptuously dismissed the accusations of plagiarism levelled at the first volume of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vertAlign w:val="superscript"/>
        </w:rPr>
        <w:footnoteReference w:id="110"/>
      </w:r>
    </w:p>
    <w:p w14:paraId="00000025" w14:textId="55BA564F"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Gibbon was, from the first, keenly aware that on account of his “happy choice of the subject” his readers would come to the work with “expectations, which it will not be easy to satisfy: the more especially as lively ignorance is apt to expect much more than the nature and extent of historical materials can enable an author to produce.”</w:t>
      </w:r>
      <w:r>
        <w:rPr>
          <w:rFonts w:ascii="Libre Baskerville" w:eastAsia="Libre Baskerville" w:hAnsi="Libre Baskerville" w:cs="Libre Baskerville"/>
          <w:sz w:val="24"/>
          <w:szCs w:val="24"/>
          <w:vertAlign w:val="superscript"/>
        </w:rPr>
        <w:footnoteReference w:id="111"/>
      </w:r>
      <w:r>
        <w:rPr>
          <w:rFonts w:ascii="Libre Baskerville" w:eastAsia="Libre Baskerville" w:hAnsi="Libre Baskerville" w:cs="Libre Baskerville"/>
          <w:sz w:val="24"/>
          <w:szCs w:val="24"/>
        </w:rPr>
        <w:t xml:space="preserve"> Such readers already had their own “dream” or “image” </w:t>
      </w:r>
      <w:r>
        <w:rPr>
          <w:rFonts w:ascii="Libre Baskerville" w:eastAsia="Libre Baskerville" w:hAnsi="Libre Baskerville" w:cs="Libre Baskerville"/>
          <w:sz w:val="24"/>
          <w:szCs w:val="24"/>
        </w:rPr>
        <w:lastRenderedPageBreak/>
        <w:t xml:space="preserve">of Rome, one that was decidedly less ambivalent than Gibbon’s own. By the time he picks up the story, Rome had, for Gibbon, already </w:t>
      </w:r>
      <w:r w:rsidR="00B754C7">
        <w:rPr>
          <w:rFonts w:ascii="Libre Baskerville" w:eastAsia="Libre Baskerville" w:hAnsi="Libre Baskerville" w:cs="Libre Baskerville"/>
          <w:sz w:val="24"/>
          <w:szCs w:val="24"/>
        </w:rPr>
        <w:t>coarsened</w:t>
      </w:r>
      <w:r>
        <w:rPr>
          <w:rFonts w:ascii="Libre Baskerville" w:eastAsia="Libre Baskerville" w:hAnsi="Libre Baskerville" w:cs="Libre Baskerville"/>
          <w:sz w:val="24"/>
          <w:szCs w:val="24"/>
        </w:rPr>
        <w:t xml:space="preserve"> the minds of most of its subjects by stripping them of freedom and the curiosity to which it leads. Their minds have “contracted” and turned in on themselves even before Rome suffers the fate of all empires: that of seeing her suburbs became her frontier. Most Romans are already ignorant of the glorious bequest left to them by their predecessors, who were in turn indebted for them to the Greeks whom they had conquered. The contraction of the minds of the Romans was accompanied by a contraction in their perception of historical time.</w:t>
      </w:r>
      <w:r>
        <w:rPr>
          <w:rFonts w:ascii="Libre Baskerville" w:eastAsia="Libre Baskerville" w:hAnsi="Libre Baskerville" w:cs="Libre Baskerville"/>
          <w:sz w:val="24"/>
          <w:szCs w:val="24"/>
          <w:vertAlign w:val="superscript"/>
        </w:rPr>
        <w:footnoteReference w:id="112"/>
      </w:r>
      <w:r>
        <w:rPr>
          <w:rFonts w:ascii="Libre Baskerville" w:eastAsia="Libre Baskerville" w:hAnsi="Libre Baskerville" w:cs="Libre Baskerville"/>
          <w:sz w:val="24"/>
          <w:szCs w:val="24"/>
        </w:rPr>
        <w:t xml:space="preserve"> </w:t>
      </w:r>
    </w:p>
    <w:p w14:paraId="284712D5" w14:textId="77777777" w:rsidR="00B754C7"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In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Gibbon identifies no example of an individual whose mind has once more been enlarged to its full extent, by exercising all its faculties in the study of ancient literature. If there are heroes in Gibbon’s story, these are surely the lowly historians who provide him with necessary (if not always reliable) guidance, and with whom he engages in friendly banter throughout his pages. Even those figures who stand apart, and whose actions bear “the stamp of an original and superior genius,” such as Mahomet, were reduced by their illiteracy and concomitant lack of familiarity with ancient literature to “a narrow circle of existence, deprived of those faithful mirrors, which reflect to our mind the minds of sages and heroes.”</w:t>
      </w:r>
      <w:r>
        <w:rPr>
          <w:rFonts w:ascii="Libre Baskerville" w:eastAsia="Libre Baskerville" w:hAnsi="Libre Baskerville" w:cs="Libre Baskerville"/>
          <w:sz w:val="24"/>
          <w:szCs w:val="24"/>
          <w:vertAlign w:val="superscript"/>
        </w:rPr>
        <w:footnoteReference w:id="113"/>
      </w:r>
      <w:r>
        <w:rPr>
          <w:rFonts w:ascii="Libre Baskerville" w:eastAsia="Libre Baskerville" w:hAnsi="Libre Baskerville" w:cs="Libre Baskerville"/>
          <w:sz w:val="24"/>
          <w:szCs w:val="24"/>
        </w:rPr>
        <w:t xml:space="preserve"> </w:t>
      </w:r>
    </w:p>
    <w:p w14:paraId="00000026" w14:textId="71F3BBA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The story he has to tell, Gibbon readily confesses, is little more than “the uniform and disgusting tale of slaughter and devastation;” and historians who choose to tell such tales more often than not do so in </w:t>
      </w:r>
      <w:sdt>
        <w:sdtPr>
          <w:tag w:val="goog_rdk_33"/>
          <w:id w:val="-1973441959"/>
        </w:sdtPr>
        <w:sdtEndPr/>
        <w:sdtContent>
          <w:r>
            <w:rPr>
              <w:rFonts w:ascii="Libre Baskerville" w:eastAsia="Libre Baskerville" w:hAnsi="Libre Baskerville" w:cs="Libre Baskerville"/>
              <w:sz w:val="24"/>
              <w:szCs w:val="24"/>
            </w:rPr>
            <w:t xml:space="preserve">a </w:t>
          </w:r>
        </w:sdtContent>
      </w:sdt>
      <w:r>
        <w:rPr>
          <w:rFonts w:ascii="Libre Baskerville" w:eastAsia="Libre Baskerville" w:hAnsi="Libre Baskerville" w:cs="Libre Baskerville"/>
          <w:sz w:val="24"/>
          <w:szCs w:val="24"/>
        </w:rPr>
        <w:t>celebratory vein, exculpating those whose inhumanity they evidently share.</w:t>
      </w:r>
      <w:r>
        <w:rPr>
          <w:rFonts w:ascii="Libre Baskerville" w:eastAsia="Libre Baskerville" w:hAnsi="Libre Baskerville" w:cs="Libre Baskerville"/>
          <w:sz w:val="24"/>
          <w:szCs w:val="24"/>
          <w:vertAlign w:val="superscript"/>
        </w:rPr>
        <w:footnoteReference w:id="114"/>
      </w:r>
      <w:r>
        <w:rPr>
          <w:rFonts w:ascii="Libre Baskerville" w:eastAsia="Libre Baskerville" w:hAnsi="Libre Baskerville" w:cs="Libre Baskerville"/>
          <w:sz w:val="24"/>
          <w:szCs w:val="24"/>
        </w:rPr>
        <w:t xml:space="preserve"> Gibbon never succumbs to such a temptation; but he does ask, more than once: where is the “tender” and “unbroken” thread to be found which might enable us to navigate our way through such confused times, in which human beings frequently appear to lack the spark of reason that supposedly sets them apart from brute </w:t>
      </w:r>
      <w:r>
        <w:rPr>
          <w:rFonts w:ascii="Libre Baskerville" w:eastAsia="Libre Baskerville" w:hAnsi="Libre Baskerville" w:cs="Libre Baskerville"/>
          <w:sz w:val="24"/>
          <w:szCs w:val="24"/>
        </w:rPr>
        <w:lastRenderedPageBreak/>
        <w:t>beasts? What, to return to Woolf, enables Gibbon to take flight, to rise above the “tedious and uniform tale of weakness and misery” with which his historical materials present him?</w:t>
      </w:r>
      <w:r>
        <w:rPr>
          <w:rFonts w:ascii="Libre Baskerville" w:eastAsia="Libre Baskerville" w:hAnsi="Libre Baskerville" w:cs="Libre Baskerville"/>
          <w:sz w:val="24"/>
          <w:szCs w:val="24"/>
          <w:vertAlign w:val="superscript"/>
        </w:rPr>
        <w:footnoteReference w:id="115"/>
      </w:r>
      <w:r>
        <w:rPr>
          <w:rFonts w:ascii="Libre Baskerville" w:eastAsia="Libre Baskerville" w:hAnsi="Libre Baskerville" w:cs="Libre Baskerville"/>
          <w:sz w:val="24"/>
          <w:szCs w:val="24"/>
        </w:rPr>
        <w:t xml:space="preserve"> How, from such unpromising materials, could Gibbon possibly hope to produce an “immortal” work, written in an “inimitable” style, and bearing the unmistakable “stamp” of a mind characterized by the very qualities – of elasticity, </w:t>
      </w:r>
      <w:proofErr w:type="spellStart"/>
      <w:r>
        <w:rPr>
          <w:rFonts w:ascii="Libre Baskerville" w:eastAsia="Libre Baskerville" w:hAnsi="Libre Baskerville" w:cs="Libre Baskerville"/>
          <w:sz w:val="24"/>
          <w:szCs w:val="24"/>
        </w:rPr>
        <w:t>vigour</w:t>
      </w:r>
      <w:proofErr w:type="spellEnd"/>
      <w:r>
        <w:rPr>
          <w:rFonts w:ascii="Libre Baskerville" w:eastAsia="Libre Baskerville" w:hAnsi="Libre Baskerville" w:cs="Libre Baskerville"/>
          <w:sz w:val="24"/>
          <w:szCs w:val="24"/>
        </w:rPr>
        <w:t xml:space="preserve">, judgment, and freedom – that his </w:t>
      </w:r>
      <w:r>
        <w:rPr>
          <w:rFonts w:ascii="Libre Baskerville" w:eastAsia="Libre Baskerville" w:hAnsi="Libre Baskerville" w:cs="Libre Baskerville"/>
          <w:i/>
          <w:sz w:val="24"/>
          <w:szCs w:val="24"/>
        </w:rPr>
        <w:t xml:space="preserve">dramatis personae </w:t>
      </w:r>
      <w:r>
        <w:rPr>
          <w:rFonts w:ascii="Libre Baskerville" w:eastAsia="Libre Baskerville" w:hAnsi="Libre Baskerville" w:cs="Libre Baskerville"/>
          <w:sz w:val="24"/>
          <w:szCs w:val="24"/>
        </w:rPr>
        <w:t>so signally lack? A work, indeed, that “surpassed scholarship</w:t>
      </w:r>
      <w:r w:rsidR="00AA6FC4">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to acquire the status of “literature of genius” – a work for all time?</w:t>
      </w:r>
      <w:r>
        <w:rPr>
          <w:rFonts w:ascii="Libre Baskerville" w:eastAsia="Libre Baskerville" w:hAnsi="Libre Baskerville" w:cs="Libre Baskerville"/>
          <w:sz w:val="24"/>
          <w:szCs w:val="24"/>
          <w:vertAlign w:val="superscript"/>
        </w:rPr>
        <w:footnoteReference w:id="116"/>
      </w:r>
    </w:p>
    <w:p w14:paraId="35E0ECDA" w14:textId="77777777" w:rsidR="00B754C7"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This essay suggests that the “unbroken thread” that illuminates Gibbon’s path through centuries of human misery, a thread that regularly appears to be broken but is only temporarily concealed from view, is provided by his lifelong commitment to the ideals enshrined in ancient literature, and his conviction of the inestimable value of studying it. This literature was disseminated, and preserved, by individuals and institutions that were incapable of finding anything of value in it; it is, on occasion, imitated but scarcely </w:t>
      </w:r>
      <w:sdt>
        <w:sdtPr>
          <w:tag w:val="goog_rdk_34"/>
          <w:id w:val="963233736"/>
        </w:sdtPr>
        <w:sdtEndPr/>
        <w:sdtContent>
          <w:r>
            <w:rPr>
              <w:rFonts w:ascii="Libre Baskerville" w:eastAsia="Libre Baskerville" w:hAnsi="Libre Baskerville" w:cs="Libre Baskerville"/>
              <w:sz w:val="24"/>
              <w:szCs w:val="24"/>
            </w:rPr>
            <w:t xml:space="preserve">ever </w:t>
          </w:r>
        </w:sdtContent>
      </w:sdt>
      <w:r>
        <w:rPr>
          <w:rFonts w:ascii="Libre Baskerville" w:eastAsia="Libre Baskerville" w:hAnsi="Libre Baskerville" w:cs="Libre Baskerville"/>
          <w:sz w:val="24"/>
          <w:szCs w:val="24"/>
        </w:rPr>
        <w:t>emulated.</w:t>
      </w:r>
      <w:r>
        <w:rPr>
          <w:rFonts w:ascii="Libre Baskerville" w:eastAsia="Libre Baskerville" w:hAnsi="Libre Baskerville" w:cs="Libre Baskerville"/>
          <w:sz w:val="24"/>
          <w:szCs w:val="24"/>
          <w:vertAlign w:val="superscript"/>
        </w:rPr>
        <w:footnoteReference w:id="117"/>
      </w:r>
      <w:r>
        <w:rPr>
          <w:rFonts w:ascii="Libre Baskerville" w:eastAsia="Libre Baskerville" w:hAnsi="Libre Baskerville" w:cs="Libre Baskerville"/>
          <w:sz w:val="24"/>
          <w:szCs w:val="24"/>
        </w:rPr>
        <w:t xml:space="preserve"> Yet this literature is </w:t>
      </w:r>
      <w:r>
        <w:rPr>
          <w:rFonts w:ascii="Libre Baskerville" w:eastAsia="Libre Baskerville" w:hAnsi="Libre Baskerville" w:cs="Libre Baskerville"/>
          <w:i/>
          <w:sz w:val="24"/>
          <w:szCs w:val="24"/>
        </w:rPr>
        <w:t>there</w:t>
      </w:r>
      <w:r>
        <w:rPr>
          <w:rFonts w:ascii="Libre Baskerville" w:eastAsia="Libre Baskerville" w:hAnsi="Libre Baskerville" w:cs="Libre Baskerville"/>
          <w:sz w:val="24"/>
          <w:szCs w:val="24"/>
        </w:rPr>
        <w:t xml:space="preserve">, always awaiting those minds who come to it eager to see the world with their own eyes, and yet sensible of the advantages of surrendering themselves, if only for a time, to the ancients. </w:t>
      </w:r>
    </w:p>
    <w:p w14:paraId="0B94AEA2" w14:textId="77777777" w:rsidR="00B754C7"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The ancients</w:t>
      </w:r>
      <w:r w:rsidR="00B754C7">
        <w:rPr>
          <w:rFonts w:ascii="Libre Baskerville" w:eastAsia="Libre Baskerville" w:hAnsi="Libre Baskerville" w:cs="Libre Baskerville"/>
          <w:sz w:val="24"/>
          <w:szCs w:val="24"/>
        </w:rPr>
        <w:t>, in their turn,</w:t>
      </w:r>
      <w:r>
        <w:rPr>
          <w:rFonts w:ascii="Libre Baskerville" w:eastAsia="Libre Baskerville" w:hAnsi="Libre Baskerville" w:cs="Libre Baskerville"/>
          <w:sz w:val="24"/>
          <w:szCs w:val="24"/>
        </w:rPr>
        <w:t xml:space="preserve"> are ready to provide instruction, amusement, and conversation to those who seek it; to enlighten all future generations as to “the rights of civil and religious freedom;” and to impart “a liberal spirit of enquiry and toleration.”</w:t>
      </w:r>
      <w:r>
        <w:rPr>
          <w:rFonts w:ascii="Libre Baskerville" w:eastAsia="Libre Baskerville" w:hAnsi="Libre Baskerville" w:cs="Libre Baskerville"/>
          <w:sz w:val="24"/>
          <w:szCs w:val="24"/>
          <w:vertAlign w:val="superscript"/>
        </w:rPr>
        <w:footnoteReference w:id="118"/>
      </w:r>
      <w:r>
        <w:rPr>
          <w:rFonts w:ascii="Libre Baskerville" w:eastAsia="Libre Baskerville" w:hAnsi="Libre Baskerville" w:cs="Libre Baskerville"/>
          <w:sz w:val="24"/>
          <w:szCs w:val="24"/>
        </w:rPr>
        <w:t xml:space="preserve"> Gibbon’s work emulates, it does not imitate; seeing events </w:t>
      </w:r>
      <w:r>
        <w:rPr>
          <w:rFonts w:ascii="Libre Baskerville" w:eastAsia="Libre Baskerville" w:hAnsi="Libre Baskerville" w:cs="Libre Baskerville"/>
          <w:sz w:val="24"/>
          <w:szCs w:val="24"/>
        </w:rPr>
        <w:lastRenderedPageBreak/>
        <w:t>through the eyes of others, he does not cease to “see with my own.”</w:t>
      </w:r>
      <w:r>
        <w:rPr>
          <w:rFonts w:ascii="Libre Baskerville" w:eastAsia="Libre Baskerville" w:hAnsi="Libre Baskerville" w:cs="Libre Baskerville"/>
          <w:sz w:val="24"/>
          <w:szCs w:val="24"/>
          <w:vertAlign w:val="superscript"/>
        </w:rPr>
        <w:footnoteReference w:id="119"/>
      </w:r>
      <w:r>
        <w:rPr>
          <w:rFonts w:ascii="Libre Baskerville" w:eastAsia="Libre Baskerville" w:hAnsi="Libre Baskerville" w:cs="Libre Baskerville"/>
          <w:sz w:val="24"/>
          <w:szCs w:val="24"/>
        </w:rPr>
        <w:t xml:space="preserve"> Gibbon’s history, like all great works of literature in his estimation, invites us to “admire” something infinitely greater than ourselves. The object of our admiration is certainly not the Roman empire; nor is it Gibbon, or even Gibbon’s “inimitable” style. It is, rather, what Gibbon’s style discloses: the “stamp” or “image” of a “mind” willing and able to converse with the dead, the living, and the still to be born; a mind alert and awake to the “pitch of energy and elevation” to which “the human character” is capable of </w:t>
      </w:r>
      <w:r w:rsidR="00B754C7">
        <w:rPr>
          <w:rFonts w:ascii="Libre Baskerville" w:eastAsia="Libre Baskerville" w:hAnsi="Libre Baskerville" w:cs="Libre Baskerville"/>
          <w:sz w:val="24"/>
          <w:szCs w:val="24"/>
        </w:rPr>
        <w:t>ascending</w:t>
      </w:r>
      <w:r>
        <w:rPr>
          <w:rFonts w:ascii="Libre Baskerville" w:eastAsia="Libre Baskerville" w:hAnsi="Libre Baskerville" w:cs="Libre Baskerville"/>
          <w:sz w:val="24"/>
          <w:szCs w:val="24"/>
        </w:rPr>
        <w:t>; a mind committed to the task of “transfusing” into his “native tongue, the Taste and spirit of the Classics.”</w:t>
      </w:r>
      <w:r>
        <w:rPr>
          <w:rFonts w:ascii="Libre Baskerville" w:eastAsia="Libre Baskerville" w:hAnsi="Libre Baskerville" w:cs="Libre Baskerville"/>
          <w:sz w:val="24"/>
          <w:szCs w:val="24"/>
          <w:vertAlign w:val="superscript"/>
        </w:rPr>
        <w:footnoteReference w:id="120"/>
      </w:r>
      <w:r>
        <w:rPr>
          <w:rFonts w:ascii="Libre Baskerville" w:eastAsia="Libre Baskerville" w:hAnsi="Libre Baskerville" w:cs="Libre Baskerville"/>
          <w:sz w:val="24"/>
          <w:szCs w:val="24"/>
        </w:rPr>
        <w:t xml:space="preserve"> </w:t>
      </w:r>
    </w:p>
    <w:p w14:paraId="00000027" w14:textId="6DEA419D"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Gibbon’s style is, like Tacitus’s, “inimitable” because history just is ceaseless change, and the patient in need of such a transfusion is constantly changing with it. If </w:t>
      </w:r>
      <w:r w:rsidR="00B754C7">
        <w:rPr>
          <w:rFonts w:ascii="Libre Baskerville" w:eastAsia="Libre Baskerville" w:hAnsi="Libre Baskerville" w:cs="Libre Baskerville"/>
          <w:sz w:val="24"/>
          <w:szCs w:val="24"/>
        </w:rPr>
        <w:t>the</w:t>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allures readers still, to an extent not true of any other work of enlightenment history, it is surely worth remarking that</w:t>
      </w:r>
      <w:r w:rsidR="00B754C7">
        <w:rPr>
          <w:rFonts w:ascii="Libre Baskerville" w:eastAsia="Libre Baskerville" w:hAnsi="Libre Baskerville" w:cs="Libre Baskerville"/>
          <w:sz w:val="24"/>
          <w:szCs w:val="24"/>
        </w:rPr>
        <w:t xml:space="preserve"> Gibbon,</w:t>
      </w:r>
      <w:r>
        <w:rPr>
          <w:rFonts w:ascii="Libre Baskerville" w:eastAsia="Libre Baskerville" w:hAnsi="Libre Baskerville" w:cs="Libre Baskerville"/>
          <w:sz w:val="24"/>
          <w:szCs w:val="24"/>
        </w:rPr>
        <w:t xml:space="preserve"> </w:t>
      </w:r>
      <w:r w:rsidR="00B754C7">
        <w:rPr>
          <w:rFonts w:ascii="Libre Baskerville" w:eastAsia="Libre Baskerville" w:hAnsi="Libre Baskerville" w:cs="Libre Baskerville"/>
          <w:sz w:val="24"/>
          <w:szCs w:val="24"/>
        </w:rPr>
        <w:t xml:space="preserve">more than </w:t>
      </w:r>
      <w:r>
        <w:rPr>
          <w:rFonts w:ascii="Libre Baskerville" w:eastAsia="Libre Baskerville" w:hAnsi="Libre Baskerville" w:cs="Libre Baskerville"/>
          <w:sz w:val="24"/>
          <w:szCs w:val="24"/>
        </w:rPr>
        <w:t xml:space="preserve">any other eighteenth-century historian, set out with such an audience (posterity) in mind. And he thought long and hard about how to speak to it. If his work retains a capacity to enlarge the mind and to extend the sympathies of its reader, </w:t>
      </w:r>
      <w:r w:rsidR="00B754C7">
        <w:rPr>
          <w:rFonts w:ascii="Libre Baskerville" w:eastAsia="Libre Baskerville" w:hAnsi="Libre Baskerville" w:cs="Libre Baskerville"/>
          <w:sz w:val="24"/>
          <w:szCs w:val="24"/>
        </w:rPr>
        <w:t>it</w:t>
      </w:r>
      <w:r>
        <w:rPr>
          <w:rFonts w:ascii="Libre Baskerville" w:eastAsia="Libre Baskerville" w:hAnsi="Libre Baskerville" w:cs="Libre Baskerville"/>
          <w:sz w:val="24"/>
          <w:szCs w:val="24"/>
        </w:rPr>
        <w:t xml:space="preserve"> is because it encapsulates and expresses the highest ideals not merely of Gibbon’s own “age and culture,” but the ideals</w:t>
      </w:r>
      <w:r w:rsidR="00B754C7">
        <w:rPr>
          <w:rFonts w:ascii="Libre Baskerville" w:eastAsia="Libre Baskerville" w:hAnsi="Libre Baskerville" w:cs="Libre Baskerville"/>
          <w:sz w:val="24"/>
          <w:szCs w:val="24"/>
        </w:rPr>
        <w:t>, too,</w:t>
      </w:r>
      <w:r>
        <w:rPr>
          <w:rFonts w:ascii="Libre Baskerville" w:eastAsia="Libre Baskerville" w:hAnsi="Libre Baskerville" w:cs="Libre Baskerville"/>
          <w:sz w:val="24"/>
          <w:szCs w:val="24"/>
        </w:rPr>
        <w:t xml:space="preserve"> of </w:t>
      </w:r>
      <w:r w:rsidR="00B754C7">
        <w:rPr>
          <w:rFonts w:ascii="Libre Baskerville" w:eastAsia="Libre Baskerville" w:hAnsi="Libre Baskerville" w:cs="Libre Baskerville"/>
          <w:sz w:val="24"/>
          <w:szCs w:val="24"/>
        </w:rPr>
        <w:t>that</w:t>
      </w:r>
      <w:r>
        <w:rPr>
          <w:rFonts w:ascii="Libre Baskerville" w:eastAsia="Libre Baskerville" w:hAnsi="Libre Baskerville" w:cs="Libre Baskerville"/>
          <w:sz w:val="24"/>
          <w:szCs w:val="24"/>
        </w:rPr>
        <w:t xml:space="preserve"> unbroken tradition that Gibbon calls civilization, and which finds both its point of origin and return in ancient Greece. Any such work could be “Subject only to the Empire of time.”</w:t>
      </w:r>
      <w:r>
        <w:rPr>
          <w:rFonts w:ascii="Libre Baskerville" w:eastAsia="Libre Baskerville" w:hAnsi="Libre Baskerville" w:cs="Libre Baskerville"/>
          <w:sz w:val="24"/>
          <w:szCs w:val="24"/>
          <w:vertAlign w:val="superscript"/>
        </w:rPr>
        <w:footnoteReference w:id="121"/>
      </w:r>
    </w:p>
    <w:p w14:paraId="00000028" w14:textId="77777777" w:rsidR="00D467CA" w:rsidRDefault="00D467CA">
      <w:pPr>
        <w:rPr>
          <w:rFonts w:ascii="Libre Baskerville" w:eastAsia="Libre Baskerville" w:hAnsi="Libre Baskerville" w:cs="Libre Baskerville"/>
          <w:b/>
          <w:sz w:val="24"/>
          <w:szCs w:val="24"/>
        </w:rPr>
      </w:pPr>
    </w:p>
    <w:p w14:paraId="00000029" w14:textId="77777777" w:rsidR="00D467CA" w:rsidRDefault="006F2E25">
      <w:pPr>
        <w:rPr>
          <w:rFonts w:ascii="Libre Baskerville" w:eastAsia="Libre Baskerville" w:hAnsi="Libre Baskerville" w:cs="Libre Baskerville"/>
          <w:b/>
          <w:sz w:val="24"/>
          <w:szCs w:val="24"/>
        </w:rPr>
      </w:pPr>
      <w:r>
        <w:br w:type="page"/>
      </w:r>
    </w:p>
    <w:p w14:paraId="0000002A" w14:textId="77777777" w:rsidR="00D467CA" w:rsidRDefault="006F2E25">
      <w:pPr>
        <w:rPr>
          <w:rFonts w:ascii="Libre Baskerville" w:eastAsia="Libre Baskerville" w:hAnsi="Libre Baskerville" w:cs="Libre Baskerville"/>
          <w:b/>
          <w:sz w:val="24"/>
          <w:szCs w:val="24"/>
        </w:rPr>
      </w:pPr>
      <w:r>
        <w:rPr>
          <w:rFonts w:ascii="Libre Baskerville" w:eastAsia="Libre Baskerville" w:hAnsi="Libre Baskerville" w:cs="Libre Baskerville"/>
          <w:b/>
          <w:sz w:val="24"/>
          <w:szCs w:val="24"/>
        </w:rPr>
        <w:lastRenderedPageBreak/>
        <w:t>Bibliography of works cited</w:t>
      </w:r>
    </w:p>
    <w:p w14:paraId="0000002B"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Bagehot, Walter. “Edward Gibbon,” in </w:t>
      </w:r>
      <w:r>
        <w:rPr>
          <w:rFonts w:ascii="Libre Baskerville" w:eastAsia="Libre Baskerville" w:hAnsi="Libre Baskerville" w:cs="Libre Baskerville"/>
          <w:i/>
          <w:sz w:val="24"/>
          <w:szCs w:val="24"/>
        </w:rPr>
        <w:t>The Works and Life of Walter Bagehot</w:t>
      </w:r>
      <w:r>
        <w:rPr>
          <w:rFonts w:ascii="Libre Baskerville" w:eastAsia="Libre Baskerville" w:hAnsi="Libre Baskerville" w:cs="Libre Baskerville"/>
          <w:sz w:val="24"/>
          <w:szCs w:val="24"/>
        </w:rPr>
        <w:t>, vol. 2, 127–77.</w:t>
      </w:r>
      <w:r>
        <w:rPr>
          <w:rFonts w:ascii="Libre Baskerville" w:eastAsia="Libre Baskerville" w:hAnsi="Libre Baskerville" w:cs="Libre Baskerville"/>
          <w:sz w:val="28"/>
          <w:szCs w:val="28"/>
        </w:rPr>
        <w:t xml:space="preserve"> </w:t>
      </w:r>
      <w:r>
        <w:rPr>
          <w:rFonts w:ascii="Libre Baskerville" w:eastAsia="Libre Baskerville" w:hAnsi="Libre Baskerville" w:cs="Libre Baskerville"/>
          <w:sz w:val="24"/>
          <w:szCs w:val="24"/>
        </w:rPr>
        <w:t>London: Longmans, 1915.</w:t>
      </w:r>
    </w:p>
    <w:p w14:paraId="0000002C"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Bowersock, G. W. </w:t>
      </w:r>
      <w:r>
        <w:rPr>
          <w:rFonts w:ascii="Libre Baskerville" w:eastAsia="Libre Baskerville" w:hAnsi="Libre Baskerville" w:cs="Libre Baskerville"/>
          <w:i/>
          <w:sz w:val="24"/>
          <w:szCs w:val="24"/>
        </w:rPr>
        <w:t>From Gibbon to Auden: Essays on the Classical Tradition</w:t>
      </w:r>
      <w:r>
        <w:rPr>
          <w:rFonts w:ascii="Libre Baskerville" w:eastAsia="Libre Baskerville" w:hAnsi="Libre Baskerville" w:cs="Libre Baskerville"/>
          <w:sz w:val="24"/>
          <w:szCs w:val="24"/>
        </w:rPr>
        <w:t>. Oxford: Oxford University Press, 2009.</w:t>
      </w:r>
    </w:p>
    <w:p w14:paraId="0000002D"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Carlyle, Thomas. </w:t>
      </w:r>
      <w:r>
        <w:rPr>
          <w:rFonts w:ascii="Libre Baskerville" w:eastAsia="Libre Baskerville" w:hAnsi="Libre Baskerville" w:cs="Libre Baskerville"/>
          <w:i/>
          <w:sz w:val="24"/>
          <w:szCs w:val="24"/>
        </w:rPr>
        <w:t>Early Letters of Thomas Carlyle</w:t>
      </w:r>
      <w:r>
        <w:rPr>
          <w:rFonts w:ascii="Libre Baskerville" w:eastAsia="Libre Baskerville" w:hAnsi="Libre Baskerville" w:cs="Libre Baskerville"/>
          <w:sz w:val="24"/>
          <w:szCs w:val="24"/>
        </w:rPr>
        <w:t>, edited by C. E. Norton, 2 vols. London: Macmillan, 1886.</w:t>
      </w:r>
    </w:p>
    <w:p w14:paraId="0000002E" w14:textId="77777777" w:rsidR="00D467CA" w:rsidRDefault="006F2E25">
      <w:pPr>
        <w:spacing w:line="360" w:lineRule="auto"/>
        <w:jc w:val="both"/>
        <w:rPr>
          <w:rFonts w:ascii="Libre Baskerville" w:eastAsia="Libre Baskerville" w:hAnsi="Libre Baskerville" w:cs="Libre Baskerville"/>
          <w:sz w:val="24"/>
          <w:szCs w:val="24"/>
        </w:rPr>
      </w:pPr>
      <w:proofErr w:type="spellStart"/>
      <w:r>
        <w:rPr>
          <w:rFonts w:ascii="Libre Baskerville" w:eastAsia="Libre Baskerville" w:hAnsi="Libre Baskerville" w:cs="Libre Baskerville"/>
          <w:sz w:val="24"/>
          <w:szCs w:val="24"/>
        </w:rPr>
        <w:t>Carnochan</w:t>
      </w:r>
      <w:proofErr w:type="spellEnd"/>
      <w:r>
        <w:rPr>
          <w:rFonts w:ascii="Libre Baskerville" w:eastAsia="Libre Baskerville" w:hAnsi="Libre Baskerville" w:cs="Libre Baskerville"/>
          <w:sz w:val="24"/>
          <w:szCs w:val="24"/>
        </w:rPr>
        <w:t xml:space="preserve">, W. B. </w:t>
      </w:r>
      <w:r>
        <w:rPr>
          <w:rFonts w:ascii="Libre Baskerville" w:eastAsia="Libre Baskerville" w:hAnsi="Libre Baskerville" w:cs="Libre Baskerville"/>
          <w:i/>
          <w:sz w:val="24"/>
          <w:szCs w:val="24"/>
        </w:rPr>
        <w:t>Gibbon’s Solitude: The Inward World of the Historian</w:t>
      </w:r>
      <w:r>
        <w:rPr>
          <w:rFonts w:ascii="Libre Baskerville" w:eastAsia="Libre Baskerville" w:hAnsi="Libre Baskerville" w:cs="Libre Baskerville"/>
          <w:sz w:val="24"/>
          <w:szCs w:val="24"/>
        </w:rPr>
        <w:t>. Stanford, CA: Stanford University Press, 1987.</w:t>
      </w:r>
    </w:p>
    <w:p w14:paraId="0000002F"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Chadwick, Owen. “Gibbon and the Church Historians,” in </w:t>
      </w:r>
      <w:r>
        <w:rPr>
          <w:rFonts w:ascii="Libre Baskerville" w:eastAsia="Libre Baskerville" w:hAnsi="Libre Baskerville" w:cs="Libre Baskerville"/>
          <w:i/>
          <w:sz w:val="24"/>
          <w:szCs w:val="24"/>
        </w:rPr>
        <w:t>Edward Gibbon and The Decline and Fall of the Roman Empire</w:t>
      </w:r>
      <w:r>
        <w:rPr>
          <w:rFonts w:ascii="Libre Baskerville" w:eastAsia="Libre Baskerville" w:hAnsi="Libre Baskerville" w:cs="Libre Baskerville"/>
          <w:sz w:val="24"/>
          <w:szCs w:val="24"/>
        </w:rPr>
        <w:t>, edited by G. W. Bowersock, John L. Clive, and Stephen R. Graubard, 219–31. Cambridge, MA: Harvard University Press, 1977.</w:t>
      </w:r>
    </w:p>
    <w:p w14:paraId="00000030" w14:textId="656C385B"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T. S. </w:t>
      </w:r>
      <w:r>
        <w:rPr>
          <w:rFonts w:ascii="Libre Baskerville" w:eastAsia="Libre Baskerville" w:hAnsi="Libre Baskerville" w:cs="Libre Baskerville"/>
          <w:i/>
          <w:sz w:val="24"/>
          <w:szCs w:val="24"/>
        </w:rPr>
        <w:t>The Idea of a Christian Society</w:t>
      </w:r>
      <w:r>
        <w:rPr>
          <w:rFonts w:ascii="Libre Baskerville" w:eastAsia="Libre Baskerville" w:hAnsi="Libre Baskerville" w:cs="Libre Baskerville"/>
          <w:sz w:val="24"/>
          <w:szCs w:val="24"/>
        </w:rPr>
        <w:t>. New York: Harcourt, Brace, &amp; Co., 1940.</w:t>
      </w:r>
    </w:p>
    <w:p w14:paraId="00000031" w14:textId="5C4BFDAC"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T. S. “Dante” (1929), in </w:t>
      </w:r>
      <w:r>
        <w:rPr>
          <w:rFonts w:ascii="Libre Baskerville" w:eastAsia="Libre Baskerville" w:hAnsi="Libre Baskerville" w:cs="Libre Baskerville"/>
          <w:i/>
          <w:sz w:val="24"/>
          <w:szCs w:val="24"/>
        </w:rPr>
        <w:t>Selected Essays</w:t>
      </w:r>
      <w:r>
        <w:rPr>
          <w:rFonts w:ascii="Libre Baskerville" w:eastAsia="Libre Baskerville" w:hAnsi="Libre Baskerville" w:cs="Libre Baskerville"/>
          <w:sz w:val="24"/>
          <w:szCs w:val="24"/>
        </w:rPr>
        <w:t>, 199–237. New Edition, New York: Harcourt, Brace &amp; World, 1964.</w:t>
      </w:r>
    </w:p>
    <w:p w14:paraId="00000032" w14:textId="650C01E6"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T. S. “The Function of Criticism” (1919), in </w:t>
      </w:r>
      <w:r>
        <w:rPr>
          <w:rFonts w:ascii="Libre Baskerville" w:eastAsia="Libre Baskerville" w:hAnsi="Libre Baskerville" w:cs="Libre Baskerville"/>
          <w:i/>
          <w:sz w:val="24"/>
          <w:szCs w:val="24"/>
        </w:rPr>
        <w:t>Selected Essays</w:t>
      </w:r>
      <w:r>
        <w:rPr>
          <w:rFonts w:ascii="Libre Baskerville" w:eastAsia="Libre Baskerville" w:hAnsi="Libre Baskerville" w:cs="Libre Baskerville"/>
          <w:sz w:val="24"/>
          <w:szCs w:val="24"/>
        </w:rPr>
        <w:t>, 12–22. New Edition, New York: Harcourt, Brace &amp; World, 1964.</w:t>
      </w:r>
    </w:p>
    <w:p w14:paraId="00000033" w14:textId="02CBBD38"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T. S. “Religion and Literature” (1935), in </w:t>
      </w:r>
      <w:r>
        <w:rPr>
          <w:rFonts w:ascii="Libre Baskerville" w:eastAsia="Libre Baskerville" w:hAnsi="Libre Baskerville" w:cs="Libre Baskerville"/>
          <w:i/>
          <w:sz w:val="24"/>
          <w:szCs w:val="24"/>
        </w:rPr>
        <w:t>Selected Essays</w:t>
      </w:r>
      <w:r>
        <w:rPr>
          <w:rFonts w:ascii="Libre Baskerville" w:eastAsia="Libre Baskerville" w:hAnsi="Libre Baskerville" w:cs="Libre Baskerville"/>
          <w:sz w:val="24"/>
          <w:szCs w:val="24"/>
        </w:rPr>
        <w:t>, 343–54. New Edition, New York: Harcourt, Brace &amp; World, 1964.</w:t>
      </w:r>
    </w:p>
    <w:p w14:paraId="00000034" w14:textId="4D94DA83"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Eliot, T. S. “Tradition and the Individual Talent” (1919), in </w:t>
      </w:r>
      <w:r>
        <w:rPr>
          <w:rFonts w:ascii="Libre Baskerville" w:eastAsia="Libre Baskerville" w:hAnsi="Libre Baskerville" w:cs="Libre Baskerville"/>
          <w:i/>
          <w:sz w:val="24"/>
          <w:szCs w:val="24"/>
        </w:rPr>
        <w:t>Selected Essays</w:t>
      </w:r>
      <w:r>
        <w:rPr>
          <w:rFonts w:ascii="Libre Baskerville" w:eastAsia="Libre Baskerville" w:hAnsi="Libre Baskerville" w:cs="Libre Baskerville"/>
          <w:sz w:val="24"/>
          <w:szCs w:val="24"/>
        </w:rPr>
        <w:t>, 3–11. New Edition, New York: Harcourt, Brace &amp; World, 1964.</w:t>
      </w:r>
    </w:p>
    <w:p w14:paraId="00000035"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The Autobiographies of Edward Gibbon</w:t>
      </w:r>
      <w:r>
        <w:rPr>
          <w:rFonts w:ascii="Libre Baskerville" w:eastAsia="Libre Baskerville" w:hAnsi="Libre Baskerville" w:cs="Libre Baskerville"/>
          <w:sz w:val="24"/>
          <w:szCs w:val="24"/>
        </w:rPr>
        <w:t>, edited by John Murray. London: John Murray, 1896.</w:t>
      </w:r>
    </w:p>
    <w:p w14:paraId="00000036"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The English Essays of Edward Gibbon</w:t>
      </w:r>
      <w:r>
        <w:rPr>
          <w:rFonts w:ascii="Libre Baskerville" w:eastAsia="Libre Baskerville" w:hAnsi="Libre Baskerville" w:cs="Libre Baskerville"/>
          <w:sz w:val="24"/>
          <w:szCs w:val="24"/>
        </w:rPr>
        <w:t>, edited by Patricia B. Craddock. Oxford: Clarendon Press, 1972.</w:t>
      </w:r>
    </w:p>
    <w:p w14:paraId="00000037"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Gibbon, Edward. </w:t>
      </w:r>
      <w:r>
        <w:rPr>
          <w:rFonts w:ascii="Libre Baskerville" w:eastAsia="Libre Baskerville" w:hAnsi="Libre Baskerville" w:cs="Libre Baskerville"/>
          <w:i/>
          <w:sz w:val="24"/>
          <w:szCs w:val="24"/>
        </w:rPr>
        <w:t xml:space="preserve">Essai sur </w:t>
      </w:r>
      <w:proofErr w:type="spellStart"/>
      <w:r>
        <w:rPr>
          <w:rFonts w:ascii="Libre Baskerville" w:eastAsia="Libre Baskerville" w:hAnsi="Libre Baskerville" w:cs="Libre Baskerville"/>
          <w:i/>
          <w:sz w:val="24"/>
          <w:szCs w:val="24"/>
        </w:rPr>
        <w:t>l’étude</w:t>
      </w:r>
      <w:proofErr w:type="spellEnd"/>
      <w:r>
        <w:rPr>
          <w:rFonts w:ascii="Libre Baskerville" w:eastAsia="Libre Baskerville" w:hAnsi="Libre Baskerville" w:cs="Libre Baskerville"/>
          <w:i/>
          <w:sz w:val="24"/>
          <w:szCs w:val="24"/>
        </w:rPr>
        <w:t xml:space="preserve"> de la </w:t>
      </w:r>
      <w:proofErr w:type="spellStart"/>
      <w:r>
        <w:rPr>
          <w:rFonts w:ascii="Libre Baskerville" w:eastAsia="Libre Baskerville" w:hAnsi="Libre Baskerville" w:cs="Libre Baskerville"/>
          <w:i/>
          <w:sz w:val="24"/>
          <w:szCs w:val="24"/>
        </w:rPr>
        <w:t>littérature</w:t>
      </w:r>
      <w:proofErr w:type="spellEnd"/>
      <w:r>
        <w:rPr>
          <w:rFonts w:ascii="Libre Baskerville" w:eastAsia="Libre Baskerville" w:hAnsi="Libre Baskerville" w:cs="Libre Baskerville"/>
          <w:sz w:val="24"/>
          <w:szCs w:val="24"/>
        </w:rPr>
        <w:t>. London: T. Becket and P. A. de Hont, 1761.</w:t>
      </w:r>
    </w:p>
    <w:p w14:paraId="00000038"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 xml:space="preserve">An Essay on the Study of Literature, Written Originally in French… </w:t>
      </w:r>
      <w:r>
        <w:rPr>
          <w:rFonts w:ascii="Libre Baskerville" w:eastAsia="Libre Baskerville" w:hAnsi="Libre Baskerville" w:cs="Libre Baskerville"/>
          <w:sz w:val="24"/>
          <w:szCs w:val="24"/>
        </w:rPr>
        <w:t>London: T. Becket and P. A. de Hondt, 1764.</w:t>
      </w:r>
    </w:p>
    <w:p w14:paraId="00000039"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The History of the Decline and Fall of the Roman Empire</w:t>
      </w:r>
      <w:r>
        <w:rPr>
          <w:rFonts w:ascii="Libre Baskerville" w:eastAsia="Libre Baskerville" w:hAnsi="Libre Baskerville" w:cs="Libre Baskerville"/>
          <w:sz w:val="24"/>
          <w:szCs w:val="24"/>
        </w:rPr>
        <w:t>, edited by David Womersley, 3 vols. London: Allen Lane, 1994.</w:t>
      </w:r>
    </w:p>
    <w:p w14:paraId="0000003A"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The Letters of Edward Gibbon</w:t>
      </w:r>
      <w:r>
        <w:rPr>
          <w:rFonts w:ascii="Libre Baskerville" w:eastAsia="Libre Baskerville" w:hAnsi="Libre Baskerville" w:cs="Libre Baskerville"/>
          <w:sz w:val="24"/>
          <w:szCs w:val="24"/>
        </w:rPr>
        <w:t>, edited by J. E. Norton, 3 vols. London: Cassell, 1956.</w:t>
      </w:r>
    </w:p>
    <w:p w14:paraId="0000003B"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The Miscellaneous Works of Edward Gibbon</w:t>
      </w:r>
      <w:r>
        <w:rPr>
          <w:rFonts w:ascii="Libre Baskerville" w:eastAsia="Libre Baskerville" w:hAnsi="Libre Baskerville" w:cs="Libre Baskerville"/>
          <w:sz w:val="24"/>
          <w:szCs w:val="24"/>
        </w:rPr>
        <w:t>, edited by John, Lord Sheffield, 3 vols. London: John Murray, 1815.</w:t>
      </w:r>
    </w:p>
    <w:p w14:paraId="0000003C"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Gibbon, Edward. </w:t>
      </w:r>
      <w:r>
        <w:rPr>
          <w:rFonts w:ascii="Libre Baskerville" w:eastAsia="Libre Baskerville" w:hAnsi="Libre Baskerville" w:cs="Libre Baskerville"/>
          <w:i/>
          <w:sz w:val="24"/>
          <w:szCs w:val="24"/>
        </w:rPr>
        <w:t>A Vindication of Some Passages in the Fifteenth and Sixteenth Volumes of the … Decline and Fall</w:t>
      </w:r>
      <w:r>
        <w:rPr>
          <w:rFonts w:ascii="Libre Baskerville" w:eastAsia="Libre Baskerville" w:hAnsi="Libre Baskerville" w:cs="Libre Baskerville"/>
          <w:sz w:val="24"/>
          <w:szCs w:val="24"/>
        </w:rPr>
        <w:t xml:space="preserve">, in </w:t>
      </w:r>
      <w:r>
        <w:rPr>
          <w:rFonts w:ascii="Libre Baskerville" w:eastAsia="Libre Baskerville" w:hAnsi="Libre Baskerville" w:cs="Libre Baskerville"/>
          <w:i/>
          <w:sz w:val="24"/>
          <w:szCs w:val="24"/>
        </w:rPr>
        <w:t>The English Essays of Edward Gibbon</w:t>
      </w:r>
      <w:r>
        <w:rPr>
          <w:rFonts w:ascii="Libre Baskerville" w:eastAsia="Libre Baskerville" w:hAnsi="Libre Baskerville" w:cs="Libre Baskerville"/>
          <w:sz w:val="24"/>
          <w:szCs w:val="24"/>
        </w:rPr>
        <w:t>, edited by Patricia B. Craddock, 229</w:t>
      </w:r>
      <w:r>
        <w:rPr>
          <w:rFonts w:ascii="Libre Baskerville" w:eastAsia="Libre Baskerville" w:hAnsi="Libre Baskerville" w:cs="Libre Baskerville"/>
        </w:rPr>
        <w:t>–</w:t>
      </w:r>
      <w:r>
        <w:rPr>
          <w:rFonts w:ascii="Libre Baskerville" w:eastAsia="Libre Baskerville" w:hAnsi="Libre Baskerville" w:cs="Libre Baskerville"/>
          <w:sz w:val="24"/>
          <w:szCs w:val="24"/>
        </w:rPr>
        <w:t>313. Oxford: Clarendon Press, 1972.</w:t>
      </w:r>
    </w:p>
    <w:p w14:paraId="0000003D"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Ghosh, Peter. “The Conception of Gibbon’s </w:t>
      </w:r>
      <w:r>
        <w:rPr>
          <w:rFonts w:ascii="Libre Baskerville" w:eastAsia="Libre Baskerville" w:hAnsi="Libre Baskerville" w:cs="Libre Baskerville"/>
          <w:i/>
          <w:sz w:val="24"/>
          <w:szCs w:val="24"/>
        </w:rPr>
        <w:t>History</w:t>
      </w:r>
      <w:r>
        <w:rPr>
          <w:rFonts w:ascii="Libre Baskerville" w:eastAsia="Libre Baskerville" w:hAnsi="Libre Baskerville" w:cs="Libre Baskerville"/>
          <w:sz w:val="24"/>
          <w:szCs w:val="24"/>
        </w:rPr>
        <w:t xml:space="preserve">,” in </w:t>
      </w:r>
      <w:r>
        <w:rPr>
          <w:rFonts w:ascii="Libre Baskerville" w:eastAsia="Libre Baskerville" w:hAnsi="Libre Baskerville" w:cs="Libre Baskerville"/>
          <w:i/>
          <w:sz w:val="24"/>
          <w:szCs w:val="24"/>
        </w:rPr>
        <w:t>Edward Gibbon and Empire</w:t>
      </w:r>
      <w:r>
        <w:rPr>
          <w:rFonts w:ascii="Libre Baskerville" w:eastAsia="Libre Baskerville" w:hAnsi="Libre Baskerville" w:cs="Libre Baskerville"/>
          <w:sz w:val="24"/>
          <w:szCs w:val="24"/>
        </w:rPr>
        <w:t>, edited by Rosamond McKitterick and Roland Quinault, 271–316. Cambridge: Cambridge University Press, 1997.</w:t>
      </w:r>
    </w:p>
    <w:p w14:paraId="0000003E"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Gossman, Lionel. </w:t>
      </w:r>
      <w:r>
        <w:rPr>
          <w:rFonts w:ascii="Libre Baskerville" w:eastAsia="Libre Baskerville" w:hAnsi="Libre Baskerville" w:cs="Libre Baskerville"/>
          <w:i/>
          <w:sz w:val="24"/>
          <w:szCs w:val="24"/>
        </w:rPr>
        <w:t xml:space="preserve">The Empire </w:t>
      </w:r>
      <w:proofErr w:type="spellStart"/>
      <w:r>
        <w:rPr>
          <w:rFonts w:ascii="Libre Baskerville" w:eastAsia="Libre Baskerville" w:hAnsi="Libre Baskerville" w:cs="Libre Baskerville"/>
          <w:i/>
          <w:sz w:val="24"/>
          <w:szCs w:val="24"/>
        </w:rPr>
        <w:t>Unpossess’d</w:t>
      </w:r>
      <w:proofErr w:type="spellEnd"/>
      <w:r>
        <w:rPr>
          <w:rFonts w:ascii="Libre Baskerville" w:eastAsia="Libre Baskerville" w:hAnsi="Libre Baskerville" w:cs="Libre Baskerville"/>
          <w:i/>
          <w:sz w:val="24"/>
          <w:szCs w:val="24"/>
        </w:rPr>
        <w:t>: An Essay on Gibbon’s Decline and Fall</w:t>
      </w:r>
      <w:r>
        <w:rPr>
          <w:rFonts w:ascii="Libre Baskerville" w:eastAsia="Libre Baskerville" w:hAnsi="Libre Baskerville" w:cs="Libre Baskerville"/>
          <w:sz w:val="24"/>
          <w:szCs w:val="24"/>
        </w:rPr>
        <w:t>. Cambridge: Cambridge University Press, 1981.</w:t>
      </w:r>
    </w:p>
    <w:p w14:paraId="0000003F"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Hicks, Philip. </w:t>
      </w:r>
      <w:r>
        <w:rPr>
          <w:rFonts w:ascii="Libre Baskerville" w:eastAsia="Libre Baskerville" w:hAnsi="Libre Baskerville" w:cs="Libre Baskerville"/>
          <w:i/>
          <w:sz w:val="24"/>
          <w:szCs w:val="24"/>
        </w:rPr>
        <w:t>Neoclassical History and English Culture: From Clarendon to Hume</w:t>
      </w:r>
      <w:r>
        <w:rPr>
          <w:rFonts w:ascii="Libre Baskerville" w:eastAsia="Libre Baskerville" w:hAnsi="Libre Baskerville" w:cs="Libre Baskerville"/>
          <w:sz w:val="24"/>
          <w:szCs w:val="24"/>
        </w:rPr>
        <w:t>. Basingstoke: Macmillan, 1996.</w:t>
      </w:r>
    </w:p>
    <w:p w14:paraId="00000040"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Hume, David. “My Own Life,” and “Of the Middle Station of Life,” in </w:t>
      </w:r>
      <w:r>
        <w:rPr>
          <w:rFonts w:ascii="Libre Baskerville" w:eastAsia="Libre Baskerville" w:hAnsi="Libre Baskerville" w:cs="Libre Baskerville"/>
          <w:i/>
          <w:sz w:val="24"/>
          <w:szCs w:val="24"/>
        </w:rPr>
        <w:t>Essays, Moral, Political, and Literary</w:t>
      </w:r>
      <w:r>
        <w:rPr>
          <w:rFonts w:ascii="Libre Baskerville" w:eastAsia="Libre Baskerville" w:hAnsi="Libre Baskerville" w:cs="Libre Baskerville"/>
          <w:sz w:val="24"/>
          <w:szCs w:val="24"/>
        </w:rPr>
        <w:t xml:space="preserve">, edited by Eugene F. Miller, xxxi–xli, 545–51. Indianapolis: Liberty Fund, 1985. </w:t>
      </w:r>
    </w:p>
    <w:p w14:paraId="00000041"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Hume, David. </w:t>
      </w:r>
      <w:r>
        <w:rPr>
          <w:rFonts w:ascii="Libre Baskerville" w:eastAsia="Libre Baskerville" w:hAnsi="Libre Baskerville" w:cs="Libre Baskerville"/>
          <w:i/>
          <w:sz w:val="24"/>
          <w:szCs w:val="24"/>
        </w:rPr>
        <w:t>The Letters of David Hume</w:t>
      </w:r>
      <w:r>
        <w:rPr>
          <w:rFonts w:ascii="Libre Baskerville" w:eastAsia="Libre Baskerville" w:hAnsi="Libre Baskerville" w:cs="Libre Baskerville"/>
          <w:sz w:val="24"/>
          <w:szCs w:val="24"/>
        </w:rPr>
        <w:t>, ed. J. Y. T. Greig, 2 vols. Oxford: Oxford University Press, 1932.</w:t>
      </w:r>
    </w:p>
    <w:p w14:paraId="00000042"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Hyde, Lewis. </w:t>
      </w:r>
      <w:r>
        <w:rPr>
          <w:rFonts w:ascii="Libre Baskerville" w:eastAsia="Libre Baskerville" w:hAnsi="Libre Baskerville" w:cs="Libre Baskerville"/>
          <w:i/>
          <w:sz w:val="24"/>
          <w:szCs w:val="24"/>
        </w:rPr>
        <w:t>The Gift: How the Creative Spirit Transforms the World</w:t>
      </w:r>
      <w:r>
        <w:rPr>
          <w:rFonts w:ascii="Libre Baskerville" w:eastAsia="Libre Baskerville" w:hAnsi="Libre Baskerville" w:cs="Libre Baskerville"/>
          <w:sz w:val="24"/>
          <w:szCs w:val="24"/>
        </w:rPr>
        <w:t>. New edition, London: Canongate, 2012.</w:t>
      </w:r>
    </w:p>
    <w:p w14:paraId="00000043"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Jordan, David P. </w:t>
      </w:r>
      <w:r>
        <w:rPr>
          <w:rFonts w:ascii="Libre Baskerville" w:eastAsia="Libre Baskerville" w:hAnsi="Libre Baskerville" w:cs="Libre Baskerville"/>
          <w:i/>
          <w:sz w:val="24"/>
          <w:szCs w:val="24"/>
        </w:rPr>
        <w:t>Gibbon and His Roman Empire</w:t>
      </w:r>
      <w:r>
        <w:rPr>
          <w:rFonts w:ascii="Libre Baskerville" w:eastAsia="Libre Baskerville" w:hAnsi="Libre Baskerville" w:cs="Libre Baskerville"/>
          <w:sz w:val="24"/>
          <w:szCs w:val="24"/>
        </w:rPr>
        <w:t>. Urbana, Ill.: University of Illinois Press, 1971.</w:t>
      </w:r>
    </w:p>
    <w:p w14:paraId="00000044"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Kors, Alan Charles. </w:t>
      </w:r>
      <w:r>
        <w:rPr>
          <w:rFonts w:ascii="Libre Baskerville" w:eastAsia="Libre Baskerville" w:hAnsi="Libre Baskerville" w:cs="Libre Baskerville"/>
          <w:i/>
          <w:sz w:val="24"/>
          <w:szCs w:val="24"/>
        </w:rPr>
        <w:t>Naturalism and Unbelief in France, 1650–1729</w:t>
      </w:r>
      <w:r>
        <w:rPr>
          <w:rFonts w:ascii="Libre Baskerville" w:eastAsia="Libre Baskerville" w:hAnsi="Libre Baskerville" w:cs="Libre Baskerville"/>
          <w:sz w:val="24"/>
          <w:szCs w:val="24"/>
        </w:rPr>
        <w:t>. Cambridge: Cambridge University Press, 2016.</w:t>
      </w:r>
    </w:p>
    <w:p w14:paraId="00000045"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Macfarlane, Robert. </w:t>
      </w:r>
      <w:r>
        <w:rPr>
          <w:rFonts w:ascii="Libre Baskerville" w:eastAsia="Libre Baskerville" w:hAnsi="Libre Baskerville" w:cs="Libre Baskerville"/>
          <w:i/>
          <w:sz w:val="24"/>
          <w:szCs w:val="24"/>
        </w:rPr>
        <w:t>The Gifts of Reading</w:t>
      </w:r>
      <w:r>
        <w:rPr>
          <w:rFonts w:ascii="Libre Baskerville" w:eastAsia="Libre Baskerville" w:hAnsi="Libre Baskerville" w:cs="Libre Baskerville"/>
          <w:sz w:val="24"/>
          <w:szCs w:val="24"/>
        </w:rPr>
        <w:t>. London: Penguin, 2016.</w:t>
      </w:r>
    </w:p>
    <w:p w14:paraId="00000046" w14:textId="77777777" w:rsidR="00D467CA" w:rsidRDefault="006F2E25">
      <w:pPr>
        <w:spacing w:line="360" w:lineRule="auto"/>
        <w:jc w:val="both"/>
        <w:rPr>
          <w:rFonts w:ascii="Libre Baskerville" w:eastAsia="Libre Baskerville" w:hAnsi="Libre Baskerville" w:cs="Libre Baskerville"/>
          <w:sz w:val="24"/>
          <w:szCs w:val="24"/>
        </w:rPr>
      </w:pPr>
      <w:proofErr w:type="spellStart"/>
      <w:r>
        <w:rPr>
          <w:rFonts w:ascii="Libre Baskerville" w:eastAsia="Libre Baskerville" w:hAnsi="Libre Baskerville" w:cs="Libre Baskerville"/>
          <w:sz w:val="24"/>
          <w:szCs w:val="24"/>
        </w:rPr>
        <w:t>Momigliano</w:t>
      </w:r>
      <w:proofErr w:type="spellEnd"/>
      <w:r>
        <w:rPr>
          <w:rFonts w:ascii="Libre Baskerville" w:eastAsia="Libre Baskerville" w:hAnsi="Libre Baskerville" w:cs="Libre Baskerville"/>
          <w:sz w:val="24"/>
          <w:szCs w:val="24"/>
        </w:rPr>
        <w:t xml:space="preserve">, Arnaldo. “Gibbon’s Contribution to Historical Method,” in </w:t>
      </w:r>
      <w:r>
        <w:rPr>
          <w:rFonts w:ascii="Libre Baskerville" w:eastAsia="Libre Baskerville" w:hAnsi="Libre Baskerville" w:cs="Libre Baskerville"/>
          <w:i/>
          <w:sz w:val="24"/>
          <w:szCs w:val="24"/>
        </w:rPr>
        <w:t>Studies in Historiography</w:t>
      </w:r>
      <w:r>
        <w:rPr>
          <w:rFonts w:ascii="Libre Baskerville" w:eastAsia="Libre Baskerville" w:hAnsi="Libre Baskerville" w:cs="Libre Baskerville"/>
          <w:sz w:val="24"/>
          <w:szCs w:val="24"/>
        </w:rPr>
        <w:t>, 40–55. London: Weidenfeld and Nicolson, 1966.</w:t>
      </w:r>
    </w:p>
    <w:p w14:paraId="00000047"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Montesquieu, Charles de </w:t>
      </w:r>
      <w:proofErr w:type="spellStart"/>
      <w:r>
        <w:rPr>
          <w:rFonts w:ascii="Libre Baskerville" w:eastAsia="Libre Baskerville" w:hAnsi="Libre Baskerville" w:cs="Libre Baskerville"/>
          <w:sz w:val="24"/>
          <w:szCs w:val="24"/>
        </w:rPr>
        <w:t>Secondat</w:t>
      </w:r>
      <w:proofErr w:type="spellEnd"/>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i/>
          <w:sz w:val="24"/>
          <w:szCs w:val="24"/>
        </w:rPr>
        <w:t>The Spirit of the Laws</w:t>
      </w:r>
      <w:r>
        <w:rPr>
          <w:rFonts w:ascii="Libre Baskerville" w:eastAsia="Libre Baskerville" w:hAnsi="Libre Baskerville" w:cs="Libre Baskerville"/>
          <w:sz w:val="24"/>
          <w:szCs w:val="24"/>
        </w:rPr>
        <w:t>, translated and edited by Anne M. Cohler, Basia Carolyn Miller, and Harold Samuel Stone. Cambridge: Cambridge University Press, 1989.</w:t>
      </w:r>
    </w:p>
    <w:p w14:paraId="00000048"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Montesquieu, Charles de </w:t>
      </w:r>
      <w:proofErr w:type="spellStart"/>
      <w:r>
        <w:rPr>
          <w:rFonts w:ascii="Libre Baskerville" w:eastAsia="Libre Baskerville" w:hAnsi="Libre Baskerville" w:cs="Libre Baskerville"/>
          <w:sz w:val="24"/>
          <w:szCs w:val="24"/>
        </w:rPr>
        <w:t>Secondat</w:t>
      </w:r>
      <w:proofErr w:type="spellEnd"/>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i/>
          <w:sz w:val="24"/>
          <w:szCs w:val="24"/>
        </w:rPr>
        <w:t>Mes pensées (My Thoughts</w:t>
      </w:r>
      <w:r>
        <w:rPr>
          <w:rFonts w:ascii="Libre Baskerville" w:eastAsia="Libre Baskerville" w:hAnsi="Libre Baskerville" w:cs="Libre Baskerville"/>
          <w:sz w:val="24"/>
          <w:szCs w:val="24"/>
        </w:rPr>
        <w:t>), translated and edited by Henry C. Clark. Indianapolis: Liberty Fund, 2012.</w:t>
      </w:r>
    </w:p>
    <w:p w14:paraId="00000049"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Oakley, Francis. “‘Anxieties of Influence’: Skinner, Figgis, Conciliarism and Early Modern Constitutionalism.” </w:t>
      </w:r>
      <w:r>
        <w:rPr>
          <w:rFonts w:ascii="Libre Baskerville" w:eastAsia="Libre Baskerville" w:hAnsi="Libre Baskerville" w:cs="Libre Baskerville"/>
          <w:i/>
          <w:sz w:val="24"/>
          <w:szCs w:val="24"/>
        </w:rPr>
        <w:t>Past &amp; Present</w:t>
      </w:r>
      <w:r>
        <w:rPr>
          <w:rFonts w:ascii="Libre Baskerville" w:eastAsia="Libre Baskerville" w:hAnsi="Libre Baskerville" w:cs="Libre Baskerville"/>
          <w:sz w:val="24"/>
          <w:szCs w:val="24"/>
        </w:rPr>
        <w:t xml:space="preserve"> 151 (1996): 60–110.</w:t>
      </w:r>
    </w:p>
    <w:p w14:paraId="0000004A"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O’Brien, Karen. </w:t>
      </w:r>
      <w:r>
        <w:rPr>
          <w:rFonts w:ascii="Libre Baskerville" w:eastAsia="Libre Baskerville" w:hAnsi="Libre Baskerville" w:cs="Libre Baskerville"/>
          <w:i/>
          <w:sz w:val="24"/>
          <w:szCs w:val="24"/>
        </w:rPr>
        <w:t>Narratives of Enlightenment: Cosmopolitan History from Voltaire to Gibbon</w:t>
      </w:r>
      <w:r>
        <w:rPr>
          <w:rFonts w:ascii="Libre Baskerville" w:eastAsia="Libre Baskerville" w:hAnsi="Libre Baskerville" w:cs="Libre Baskerville"/>
          <w:sz w:val="24"/>
          <w:szCs w:val="24"/>
        </w:rPr>
        <w:t>. Cambridge: Cambridge University Press, 1997.</w:t>
      </w:r>
    </w:p>
    <w:p w14:paraId="0000004B"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Parker, Fred. “Gibbon’s Style in </w:t>
      </w:r>
      <w:r>
        <w:rPr>
          <w:rFonts w:ascii="Libre Baskerville" w:eastAsia="Libre Baskerville" w:hAnsi="Libre Baskerville" w:cs="Libre Baskerville"/>
          <w:i/>
          <w:sz w:val="24"/>
          <w:szCs w:val="24"/>
        </w:rPr>
        <w:t>The Decline and Fall</w:t>
      </w:r>
      <w:r>
        <w:rPr>
          <w:rFonts w:ascii="Libre Baskerville" w:eastAsia="Libre Baskerville" w:hAnsi="Libre Baskerville" w:cs="Libre Baskerville"/>
          <w:sz w:val="24"/>
          <w:szCs w:val="24"/>
        </w:rPr>
        <w:t xml:space="preserve">,” in </w:t>
      </w:r>
      <w:r>
        <w:rPr>
          <w:rFonts w:ascii="Libre Baskerville" w:eastAsia="Libre Baskerville" w:hAnsi="Libre Baskerville" w:cs="Libre Baskerville"/>
          <w:i/>
          <w:sz w:val="24"/>
          <w:szCs w:val="24"/>
        </w:rPr>
        <w:t>The Cambridge Companion to Edward Gibbon</w:t>
      </w:r>
      <w:r>
        <w:rPr>
          <w:rFonts w:ascii="Libre Baskerville" w:eastAsia="Libre Baskerville" w:hAnsi="Libre Baskerville" w:cs="Libre Baskerville"/>
          <w:sz w:val="24"/>
          <w:szCs w:val="24"/>
        </w:rPr>
        <w:t>, edited by Karen O’Brien and Brian Young, 167–83. Cambridge: Cambridge University Press, 2018.</w:t>
      </w:r>
    </w:p>
    <w:p w14:paraId="0000004C"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Pocock, J. G. A. </w:t>
      </w:r>
      <w:r>
        <w:rPr>
          <w:rFonts w:ascii="Libre Baskerville" w:eastAsia="Libre Baskerville" w:hAnsi="Libre Baskerville" w:cs="Libre Baskerville"/>
          <w:i/>
          <w:sz w:val="24"/>
          <w:szCs w:val="24"/>
        </w:rPr>
        <w:t>Barbarism and Religion</w:t>
      </w:r>
      <w:r>
        <w:rPr>
          <w:rFonts w:ascii="Libre Baskerville" w:eastAsia="Libre Baskerville" w:hAnsi="Libre Baskerville" w:cs="Libre Baskerville"/>
          <w:sz w:val="24"/>
          <w:szCs w:val="24"/>
        </w:rPr>
        <w:t>, 6 vols. Cambridge: Cambridge University Press, 1999–2015.</w:t>
      </w:r>
    </w:p>
    <w:p w14:paraId="0000004D"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Roberts, Charlotte. </w:t>
      </w:r>
      <w:r>
        <w:rPr>
          <w:rFonts w:ascii="Libre Baskerville" w:eastAsia="Libre Baskerville" w:hAnsi="Libre Baskerville" w:cs="Libre Baskerville"/>
          <w:i/>
          <w:sz w:val="24"/>
          <w:szCs w:val="24"/>
        </w:rPr>
        <w:t>Edward Gibbon and the Shape of History</w:t>
      </w:r>
      <w:r>
        <w:rPr>
          <w:rFonts w:ascii="Libre Baskerville" w:eastAsia="Libre Baskerville" w:hAnsi="Libre Baskerville" w:cs="Libre Baskerville"/>
          <w:sz w:val="24"/>
          <w:szCs w:val="24"/>
        </w:rPr>
        <w:t>. Oxford: Oxford University Press, 2014.</w:t>
      </w:r>
    </w:p>
    <w:p w14:paraId="0000004E"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Robertson, John. “Gibbon’s Roman Empire as a Universal Monarchy: The </w:t>
      </w:r>
      <w:r>
        <w:rPr>
          <w:rFonts w:ascii="Libre Baskerville" w:eastAsia="Libre Baskerville" w:hAnsi="Libre Baskerville" w:cs="Libre Baskerville"/>
          <w:i/>
          <w:sz w:val="24"/>
          <w:szCs w:val="24"/>
        </w:rPr>
        <w:t>Decline and Fall</w:t>
      </w:r>
      <w:r>
        <w:rPr>
          <w:rFonts w:ascii="Libre Baskerville" w:eastAsia="Libre Baskerville" w:hAnsi="Libre Baskerville" w:cs="Libre Baskerville"/>
          <w:sz w:val="24"/>
          <w:szCs w:val="24"/>
        </w:rPr>
        <w:t xml:space="preserve"> and the Imperial Idea in Early Modern Europe,” in </w:t>
      </w:r>
      <w:r>
        <w:rPr>
          <w:rFonts w:ascii="Libre Baskerville" w:eastAsia="Libre Baskerville" w:hAnsi="Libre Baskerville" w:cs="Libre Baskerville"/>
          <w:i/>
          <w:sz w:val="24"/>
          <w:szCs w:val="24"/>
        </w:rPr>
        <w:t>Edward Gibbon and Empire</w:t>
      </w:r>
      <w:r>
        <w:rPr>
          <w:rFonts w:ascii="Libre Baskerville" w:eastAsia="Libre Baskerville" w:hAnsi="Libre Baskerville" w:cs="Libre Baskerville"/>
          <w:sz w:val="24"/>
          <w:szCs w:val="24"/>
        </w:rPr>
        <w:t>, edited by Rosamond McKitterick and Roland Quinault, 247–70. Cambridge: Cambridge University Press, 1997.</w:t>
      </w:r>
    </w:p>
    <w:p w14:paraId="0000004F"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Rowe, A. L. “Our Historical Essayist </w:t>
      </w:r>
      <w:r>
        <w:rPr>
          <w:rFonts w:ascii="Libre Baskerville" w:eastAsia="Libre Baskerville" w:hAnsi="Libre Baskerville" w:cs="Libre Baskerville"/>
          <w:i/>
          <w:sz w:val="24"/>
          <w:szCs w:val="24"/>
        </w:rPr>
        <w:t>par excellence</w:t>
      </w:r>
      <w:r>
        <w:rPr>
          <w:rFonts w:ascii="Libre Baskerville" w:eastAsia="Libre Baskerville" w:hAnsi="Libre Baskerville" w:cs="Libre Baskerville"/>
          <w:sz w:val="24"/>
          <w:szCs w:val="24"/>
        </w:rPr>
        <w:t xml:space="preserve">.” </w:t>
      </w:r>
      <w:r>
        <w:rPr>
          <w:rFonts w:ascii="Libre Baskerville" w:eastAsia="Libre Baskerville" w:hAnsi="Libre Baskerville" w:cs="Libre Baskerville"/>
          <w:i/>
          <w:sz w:val="24"/>
          <w:szCs w:val="24"/>
        </w:rPr>
        <w:t>The Times</w:t>
      </w:r>
      <w:r>
        <w:rPr>
          <w:rFonts w:ascii="Libre Baskerville" w:eastAsia="Libre Baskerville" w:hAnsi="Libre Baskerville" w:cs="Libre Baskerville"/>
          <w:sz w:val="24"/>
          <w:szCs w:val="24"/>
        </w:rPr>
        <w:t>, 15 January 1994.</w:t>
      </w:r>
    </w:p>
    <w:p w14:paraId="00000050"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Shackleton, Robert. “The Impact of French Literature on Gibbon,” in </w:t>
      </w:r>
      <w:r>
        <w:rPr>
          <w:rFonts w:ascii="Libre Baskerville" w:eastAsia="Libre Baskerville" w:hAnsi="Libre Baskerville" w:cs="Libre Baskerville"/>
          <w:i/>
          <w:sz w:val="24"/>
          <w:szCs w:val="24"/>
        </w:rPr>
        <w:t>Edward Gibbon and The Decline and Fall of the Roman Empire</w:t>
      </w:r>
      <w:r>
        <w:rPr>
          <w:rFonts w:ascii="Libre Baskerville" w:eastAsia="Libre Baskerville" w:hAnsi="Libre Baskerville" w:cs="Libre Baskerville"/>
          <w:sz w:val="24"/>
          <w:szCs w:val="24"/>
        </w:rPr>
        <w:t>, edited by G. W. Bowersock, John L. Clive, and Stephen R. Graubard, 207–18. Cambridge, MA: Harvard University Press, 1977.</w:t>
      </w:r>
    </w:p>
    <w:p w14:paraId="00000051"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Skinner, Quentin. “The Limits of Historical Explanations.” </w:t>
      </w:r>
      <w:r>
        <w:rPr>
          <w:rFonts w:ascii="Libre Baskerville" w:eastAsia="Libre Baskerville" w:hAnsi="Libre Baskerville" w:cs="Libre Baskerville"/>
          <w:i/>
          <w:sz w:val="24"/>
          <w:szCs w:val="24"/>
        </w:rPr>
        <w:t>Philosophy</w:t>
      </w:r>
      <w:r>
        <w:rPr>
          <w:rFonts w:ascii="Libre Baskerville" w:eastAsia="Libre Baskerville" w:hAnsi="Libre Baskerville" w:cs="Libre Baskerville"/>
          <w:sz w:val="24"/>
          <w:szCs w:val="24"/>
        </w:rPr>
        <w:t xml:space="preserve"> 41 (1966): 199–215</w:t>
      </w:r>
    </w:p>
    <w:p w14:paraId="00000052"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Strachey, Lytton. “Gibbon,” in </w:t>
      </w:r>
      <w:r>
        <w:rPr>
          <w:rFonts w:ascii="Libre Baskerville" w:eastAsia="Libre Baskerville" w:hAnsi="Libre Baskerville" w:cs="Libre Baskerville"/>
          <w:i/>
          <w:sz w:val="24"/>
          <w:szCs w:val="24"/>
        </w:rPr>
        <w:t>Portraits in Miniature and Other Essays</w:t>
      </w:r>
      <w:r>
        <w:rPr>
          <w:rFonts w:ascii="Libre Baskerville" w:eastAsia="Libre Baskerville" w:hAnsi="Libre Baskerville" w:cs="Libre Baskerville"/>
          <w:sz w:val="24"/>
          <w:szCs w:val="24"/>
        </w:rPr>
        <w:t>, 154–68. London: Chatto &amp; Windus, 1931.</w:t>
      </w:r>
    </w:p>
    <w:p w14:paraId="049A760B" w14:textId="691A6EB2" w:rsidR="00EE2F75" w:rsidRDefault="00EE2F75">
      <w:pPr>
        <w:spacing w:line="360" w:lineRule="auto"/>
        <w:jc w:val="both"/>
        <w:rPr>
          <w:rFonts w:ascii="Libre Baskerville" w:eastAsia="Libre Baskerville" w:hAnsi="Libre Baskerville" w:cs="Libre Baskerville"/>
          <w:sz w:val="24"/>
          <w:szCs w:val="24"/>
        </w:rPr>
      </w:pPr>
      <w:r w:rsidRPr="00EE2F75">
        <w:rPr>
          <w:rFonts w:ascii="Libre Baskerville" w:eastAsia="Libre Baskerville" w:hAnsi="Libre Baskerville" w:cs="Libre Baskerville"/>
          <w:sz w:val="24"/>
          <w:szCs w:val="24"/>
        </w:rPr>
        <w:t xml:space="preserve">Stuart-Buttle, Tim. “The Notorious Dr. Middleton: David Hume and the Ninewells Years.” </w:t>
      </w:r>
      <w:r w:rsidRPr="00EE2F75">
        <w:rPr>
          <w:rFonts w:ascii="Libre Baskerville" w:eastAsia="Libre Baskerville" w:hAnsi="Libre Baskerville" w:cs="Libre Baskerville"/>
          <w:i/>
          <w:iCs/>
          <w:sz w:val="24"/>
          <w:szCs w:val="24"/>
        </w:rPr>
        <w:t>History of European Ideas</w:t>
      </w:r>
      <w:r w:rsidRPr="00EE2F75">
        <w:rPr>
          <w:rFonts w:ascii="Libre Baskerville" w:eastAsia="Libre Baskerville" w:hAnsi="Libre Baskerville" w:cs="Libre Baskerville"/>
          <w:sz w:val="24"/>
          <w:szCs w:val="24"/>
        </w:rPr>
        <w:t xml:space="preserve"> 49:2 (2023): 267–94.</w:t>
      </w:r>
    </w:p>
    <w:p w14:paraId="00000053" w14:textId="48A1DCA5"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Trevor-Roper, Hugh R. “Gibbon and the Publication of </w:t>
      </w:r>
      <w:r>
        <w:rPr>
          <w:rFonts w:ascii="Libre Baskerville" w:eastAsia="Libre Baskerville" w:hAnsi="Libre Baskerville" w:cs="Libre Baskerville"/>
          <w:i/>
          <w:sz w:val="24"/>
          <w:szCs w:val="24"/>
        </w:rPr>
        <w:t>The Decline and Fall of the Roman Empire</w:t>
      </w:r>
      <w:r>
        <w:rPr>
          <w:rFonts w:ascii="Libre Baskerville" w:eastAsia="Libre Baskerville" w:hAnsi="Libre Baskerville" w:cs="Libre Baskerville"/>
          <w:sz w:val="24"/>
          <w:szCs w:val="24"/>
        </w:rPr>
        <w:t xml:space="preserve">, 1776–1976,” in </w:t>
      </w:r>
      <w:r>
        <w:rPr>
          <w:rFonts w:ascii="Libre Baskerville" w:eastAsia="Libre Baskerville" w:hAnsi="Libre Baskerville" w:cs="Libre Baskerville"/>
          <w:i/>
          <w:sz w:val="24"/>
          <w:szCs w:val="24"/>
        </w:rPr>
        <w:t>History and the Enlightenment</w:t>
      </w:r>
      <w:r>
        <w:rPr>
          <w:rFonts w:ascii="Libre Baskerville" w:eastAsia="Libre Baskerville" w:hAnsi="Libre Baskerville" w:cs="Libre Baskerville"/>
          <w:sz w:val="24"/>
          <w:szCs w:val="24"/>
        </w:rPr>
        <w:t>, edited by John Robertson, 144–60. New Haven: Yale University Press, 2010.</w:t>
      </w:r>
    </w:p>
    <w:p w14:paraId="00000054"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Whitman, Walt. “Democratic Vistas,” in </w:t>
      </w:r>
      <w:r>
        <w:rPr>
          <w:rFonts w:ascii="Libre Baskerville" w:eastAsia="Libre Baskerville" w:hAnsi="Libre Baskerville" w:cs="Libre Baskerville"/>
          <w:i/>
          <w:sz w:val="24"/>
          <w:szCs w:val="24"/>
        </w:rPr>
        <w:t>Democratic Vistas and Other Papers</w:t>
      </w:r>
      <w:r>
        <w:rPr>
          <w:rFonts w:ascii="Libre Baskerville" w:eastAsia="Libre Baskerville" w:hAnsi="Libre Baskerville" w:cs="Libre Baskerville"/>
          <w:sz w:val="24"/>
          <w:szCs w:val="24"/>
        </w:rPr>
        <w:t>. London: Walter Scott, 1888.</w:t>
      </w:r>
    </w:p>
    <w:p w14:paraId="00000055" w14:textId="77777777" w:rsidR="00D467CA" w:rsidRDefault="006F2E25">
      <w:pPr>
        <w:spacing w:line="360" w:lineRule="auto"/>
        <w:jc w:val="both"/>
        <w:rPr>
          <w:rFonts w:ascii="Libre Baskerville" w:eastAsia="Libre Baskerville" w:hAnsi="Libre Baskerville" w:cs="Libre Baskerville"/>
          <w:sz w:val="24"/>
          <w:szCs w:val="24"/>
        </w:rPr>
      </w:pPr>
      <w:proofErr w:type="spellStart"/>
      <w:r>
        <w:rPr>
          <w:rFonts w:ascii="Libre Baskerville" w:eastAsia="Libre Baskerville" w:hAnsi="Libre Baskerville" w:cs="Libre Baskerville"/>
          <w:sz w:val="24"/>
          <w:szCs w:val="24"/>
        </w:rPr>
        <w:t>Whittow</w:t>
      </w:r>
      <w:proofErr w:type="spellEnd"/>
      <w:r>
        <w:rPr>
          <w:rFonts w:ascii="Libre Baskerville" w:eastAsia="Libre Baskerville" w:hAnsi="Libre Baskerville" w:cs="Libre Baskerville"/>
          <w:sz w:val="24"/>
          <w:szCs w:val="24"/>
        </w:rPr>
        <w:t xml:space="preserve">, Mark. “Do Byzantine Historians Still Read Gibbon?” in </w:t>
      </w:r>
      <w:r>
        <w:rPr>
          <w:rFonts w:ascii="Libre Baskerville" w:eastAsia="Libre Baskerville" w:hAnsi="Libre Baskerville" w:cs="Libre Baskerville"/>
          <w:i/>
          <w:sz w:val="24"/>
          <w:szCs w:val="24"/>
        </w:rPr>
        <w:t>The Cambridge Companion to Edward Gibbon</w:t>
      </w:r>
      <w:r>
        <w:rPr>
          <w:rFonts w:ascii="Libre Baskerville" w:eastAsia="Libre Baskerville" w:hAnsi="Libre Baskerville" w:cs="Libre Baskerville"/>
          <w:sz w:val="24"/>
          <w:szCs w:val="24"/>
        </w:rPr>
        <w:t>, edited by Karen O’Brien and Brian Young, 78–92. Cambridge: Cambridge University Press, 2018.</w:t>
      </w:r>
    </w:p>
    <w:p w14:paraId="00000056"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Womersley, David. </w:t>
      </w:r>
      <w:r>
        <w:rPr>
          <w:rFonts w:ascii="Libre Baskerville" w:eastAsia="Libre Baskerville" w:hAnsi="Libre Baskerville" w:cs="Libre Baskerville"/>
          <w:i/>
          <w:sz w:val="24"/>
          <w:szCs w:val="24"/>
        </w:rPr>
        <w:t>Gibbon and the “Watchmen of the Holy City”: The Historian and His Reputation, 1776–1815</w:t>
      </w:r>
      <w:r>
        <w:rPr>
          <w:rFonts w:ascii="Libre Baskerville" w:eastAsia="Libre Baskerville" w:hAnsi="Libre Baskerville" w:cs="Libre Baskerville"/>
          <w:sz w:val="24"/>
          <w:szCs w:val="24"/>
        </w:rPr>
        <w:t>. Oxford: Oxford University Press, 2002.</w:t>
      </w:r>
    </w:p>
    <w:p w14:paraId="00000057"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Womersley, David. </w:t>
      </w:r>
      <w:r>
        <w:rPr>
          <w:rFonts w:ascii="Libre Baskerville" w:eastAsia="Libre Baskerville" w:hAnsi="Libre Baskerville" w:cs="Libre Baskerville"/>
          <w:i/>
          <w:sz w:val="24"/>
          <w:szCs w:val="24"/>
        </w:rPr>
        <w:t>The Transformation of the Decline and Fall of the Roman Empire</w:t>
      </w:r>
      <w:r>
        <w:rPr>
          <w:rFonts w:ascii="Libre Baskerville" w:eastAsia="Libre Baskerville" w:hAnsi="Libre Baskerville" w:cs="Libre Baskerville"/>
          <w:sz w:val="24"/>
          <w:szCs w:val="24"/>
        </w:rPr>
        <w:t>. Cambridge: Cambridge University Press, 1988.</w:t>
      </w:r>
    </w:p>
    <w:p w14:paraId="00000058"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Woolf, Virginia. “The Historian and ‘The Gibbon’” (1937), in </w:t>
      </w:r>
      <w:r>
        <w:rPr>
          <w:rFonts w:ascii="Libre Baskerville" w:eastAsia="Libre Baskerville" w:hAnsi="Libre Baskerville" w:cs="Libre Baskerville"/>
          <w:i/>
          <w:sz w:val="24"/>
          <w:szCs w:val="24"/>
        </w:rPr>
        <w:t>The Essays of Virginia Woolf, Volume VI: 1933–1941</w:t>
      </w:r>
      <w:r>
        <w:rPr>
          <w:rFonts w:ascii="Libre Baskerville" w:eastAsia="Libre Baskerville" w:hAnsi="Libre Baskerville" w:cs="Libre Baskerville"/>
          <w:sz w:val="24"/>
          <w:szCs w:val="24"/>
        </w:rPr>
        <w:t>, edited by Stuart N. Clark, 81–91. London: Hogarth Press, 2011.</w:t>
      </w:r>
    </w:p>
    <w:p w14:paraId="00000059"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 xml:space="preserve">Virginia Woolf. “Reflections at Sheffield Palace” (1937), in </w:t>
      </w:r>
      <w:r>
        <w:rPr>
          <w:rFonts w:ascii="Libre Baskerville" w:eastAsia="Libre Baskerville" w:hAnsi="Libre Baskerville" w:cs="Libre Baskerville"/>
          <w:i/>
          <w:sz w:val="24"/>
          <w:szCs w:val="24"/>
        </w:rPr>
        <w:t>The Essays of Virginia Woolf, Volume VI: 1933–1941</w:t>
      </w:r>
      <w:r>
        <w:rPr>
          <w:rFonts w:ascii="Libre Baskerville" w:eastAsia="Libre Baskerville" w:hAnsi="Libre Baskerville" w:cs="Libre Baskerville"/>
          <w:sz w:val="24"/>
          <w:szCs w:val="24"/>
        </w:rPr>
        <w:t xml:space="preserve">, edited by Stuart N. Clark, 102–111. London: Hogarth Press, 2011.  </w:t>
      </w:r>
    </w:p>
    <w:p w14:paraId="0000005A"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Young, G. M. </w:t>
      </w:r>
      <w:r>
        <w:rPr>
          <w:rFonts w:ascii="Libre Baskerville" w:eastAsia="Libre Baskerville" w:hAnsi="Libre Baskerville" w:cs="Libre Baskerville"/>
          <w:i/>
          <w:sz w:val="24"/>
          <w:szCs w:val="24"/>
        </w:rPr>
        <w:t>Gibbon</w:t>
      </w:r>
      <w:r>
        <w:rPr>
          <w:rFonts w:ascii="Libre Baskerville" w:eastAsia="Libre Baskerville" w:hAnsi="Libre Baskerville" w:cs="Libre Baskerville"/>
          <w:sz w:val="24"/>
          <w:szCs w:val="24"/>
        </w:rPr>
        <w:t>. Edinburgh: Peter Davies, 1932.</w:t>
      </w:r>
    </w:p>
    <w:p w14:paraId="0000005B" w14:textId="77777777" w:rsidR="00D467CA" w:rsidRDefault="00D467CA">
      <w:pPr>
        <w:spacing w:line="360" w:lineRule="auto"/>
        <w:jc w:val="both"/>
        <w:rPr>
          <w:rFonts w:ascii="Libre Baskerville" w:eastAsia="Libre Baskerville" w:hAnsi="Libre Baskerville" w:cs="Libre Baskerville"/>
          <w:sz w:val="24"/>
          <w:szCs w:val="24"/>
        </w:rPr>
      </w:pPr>
    </w:p>
    <w:p w14:paraId="0000005C" w14:textId="77777777" w:rsidR="00D467CA" w:rsidRDefault="00D467CA">
      <w:pPr>
        <w:spacing w:line="360" w:lineRule="auto"/>
        <w:jc w:val="both"/>
        <w:rPr>
          <w:rFonts w:ascii="Libre Baskerville" w:eastAsia="Libre Baskerville" w:hAnsi="Libre Baskerville" w:cs="Libre Baskerville"/>
          <w:sz w:val="24"/>
          <w:szCs w:val="24"/>
        </w:rPr>
      </w:pPr>
    </w:p>
    <w:p w14:paraId="0000005D" w14:textId="77777777" w:rsidR="00D467CA" w:rsidRDefault="006F2E25">
      <w:pPr>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 </w:t>
      </w:r>
    </w:p>
    <w:sectPr w:rsidR="00D467CA">
      <w:footerReference w:type="default" r:id="rId7"/>
      <w:pgSz w:w="11906" w:h="16838"/>
      <w:pgMar w:top="1417" w:right="1134"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A12A" w14:textId="77777777" w:rsidR="000F2DB9" w:rsidRDefault="000F2DB9">
      <w:pPr>
        <w:spacing w:after="0" w:line="240" w:lineRule="auto"/>
      </w:pPr>
      <w:r>
        <w:separator/>
      </w:r>
    </w:p>
  </w:endnote>
  <w:endnote w:type="continuationSeparator" w:id="0">
    <w:p w14:paraId="1E72F8B9" w14:textId="77777777" w:rsidR="000F2DB9" w:rsidRDefault="000F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8C1FBE3-34B3-46B3-BDEE-CEAE2D0CF747}"/>
    <w:embedItalic r:id="rId2" w:fontKey="{2C3E0475-C774-4B91-9177-A30F1149BA99}"/>
  </w:font>
  <w:font w:name="Aptos Display">
    <w:charset w:val="00"/>
    <w:family w:val="swiss"/>
    <w:pitch w:val="variable"/>
    <w:sig w:usb0="20000287" w:usb1="00000003" w:usb2="00000000" w:usb3="00000000" w:csb0="0000019F" w:csb1="00000000"/>
    <w:embedRegular r:id="rId3" w:fontKey="{60ADA96E-DA5B-4E2F-B5FB-DD06FA1734CD}"/>
  </w:font>
  <w:font w:name="Times New Roman">
    <w:panose1 w:val="02020603050405020304"/>
    <w:charset w:val="00"/>
    <w:family w:val="roman"/>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embedRegular r:id="rId4" w:fontKey="{A0957129-1314-4118-8185-DF5F46DB8AFF}"/>
    <w:embedBold r:id="rId5" w:fontKey="{DA109F26-6E40-406F-B440-97B17C330951}"/>
    <w:embedItalic r:id="rId6" w:fontKey="{ABD4DA90-2B94-4ABB-8B4D-54AA3B60ECA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6" w14:textId="7DF014E9" w:rsidR="00D467CA" w:rsidRDefault="006F2E25">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C256A">
      <w:rPr>
        <w:noProof/>
        <w:color w:val="000000"/>
      </w:rPr>
      <w:t>1</w:t>
    </w:r>
    <w:r>
      <w:rPr>
        <w:color w:val="000000"/>
      </w:rPr>
      <w:fldChar w:fldCharType="end"/>
    </w:r>
  </w:p>
  <w:p w14:paraId="000000D7" w14:textId="77777777" w:rsidR="00D467CA" w:rsidRDefault="00D467C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EDD4" w14:textId="77777777" w:rsidR="000F2DB9" w:rsidRDefault="000F2DB9">
      <w:pPr>
        <w:spacing w:after="0" w:line="240" w:lineRule="auto"/>
      </w:pPr>
      <w:r>
        <w:separator/>
      </w:r>
    </w:p>
  </w:footnote>
  <w:footnote w:type="continuationSeparator" w:id="0">
    <w:p w14:paraId="2ACC3A39" w14:textId="77777777" w:rsidR="000F2DB9" w:rsidRDefault="000F2DB9">
      <w:pPr>
        <w:spacing w:after="0" w:line="240" w:lineRule="auto"/>
      </w:pPr>
      <w:r>
        <w:continuationSeparator/>
      </w:r>
    </w:p>
  </w:footnote>
  <w:footnote w:id="1">
    <w:p w14:paraId="521FD9B8" w14:textId="42B03821" w:rsidR="00B35B79" w:rsidRDefault="00B35B79" w:rsidP="00B35B79">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Senior Lecturer, Department of Politics and International Relations, University of York. This essay was written during an immensely enjoyable research fellowship at the Helsinki Collegium for Advanced Studies in 2024–5. I am deeply thankful to the Collegium’s director, Hanne Appelqvist, to her administrative team, and to the Collegium’s other fellows for their support and stimulating conversation.</w:t>
      </w:r>
    </w:p>
  </w:footnote>
  <w:footnote w:id="2">
    <w:p w14:paraId="0000005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Thomas Bowdler edited an expurgated edition of the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in 1826, which castrated it of parts (chapters XV and XVI, along with the more acerbic of Gibbon’s footnotes) that were deemed unfit for consumption by youths and the fairer sex. Hence the eponymous verb ‘to bowdlerize,’ meaning “to expurgate (a book or writing) by omitting or modifying words or passages considered to be indelicate or offensive; to castrate” (</w:t>
      </w:r>
      <w:r>
        <w:rPr>
          <w:rFonts w:ascii="Libre Baskerville" w:eastAsia="Libre Baskerville" w:hAnsi="Libre Baskerville" w:cs="Libre Baskerville"/>
          <w:i/>
          <w:color w:val="000000"/>
          <w:sz w:val="20"/>
          <w:szCs w:val="20"/>
        </w:rPr>
        <w:t>OED</w:t>
      </w:r>
      <w:r>
        <w:rPr>
          <w:rFonts w:ascii="Libre Baskerville" w:eastAsia="Libre Baskerville" w:hAnsi="Libre Baskerville" w:cs="Libre Baskerville"/>
          <w:color w:val="000000"/>
          <w:sz w:val="20"/>
          <w:szCs w:val="20"/>
        </w:rPr>
        <w:t xml:space="preserve">).   </w:t>
      </w:r>
    </w:p>
  </w:footnote>
  <w:footnote w:id="3">
    <w:p w14:paraId="0000005F"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Walter Bagehot, “Edward Gibbon” (1856), in </w:t>
      </w:r>
      <w:r>
        <w:rPr>
          <w:rFonts w:ascii="Libre Baskerville" w:eastAsia="Libre Baskerville" w:hAnsi="Libre Baskerville" w:cs="Libre Baskerville"/>
          <w:i/>
          <w:color w:val="000000"/>
          <w:sz w:val="20"/>
          <w:szCs w:val="20"/>
        </w:rPr>
        <w:t>The Works and Life of Walter Bagehot</w:t>
      </w:r>
      <w:r>
        <w:rPr>
          <w:rFonts w:ascii="Libre Baskerville" w:eastAsia="Libre Baskerville" w:hAnsi="Libre Baskerville" w:cs="Libre Baskerville"/>
          <w:color w:val="000000"/>
          <w:sz w:val="20"/>
          <w:szCs w:val="20"/>
        </w:rPr>
        <w:t>, 10 vols. (London: Longmans, 1915), ii. 105.</w:t>
      </w:r>
    </w:p>
  </w:footnote>
  <w:footnote w:id="4">
    <w:p w14:paraId="00000060"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Thomas Carlyle to Miss Welsh, Feb. 1823, in </w:t>
      </w:r>
      <w:r>
        <w:rPr>
          <w:rFonts w:ascii="Libre Baskerville" w:eastAsia="Libre Baskerville" w:hAnsi="Libre Baskerville" w:cs="Libre Baskerville"/>
          <w:i/>
          <w:color w:val="000000"/>
          <w:sz w:val="20"/>
          <w:szCs w:val="20"/>
        </w:rPr>
        <w:t>Early Letters of Thomas Carlyle</w:t>
      </w:r>
      <w:r>
        <w:rPr>
          <w:rFonts w:ascii="Libre Baskerville" w:eastAsia="Libre Baskerville" w:hAnsi="Libre Baskerville" w:cs="Libre Baskerville"/>
          <w:color w:val="000000"/>
          <w:sz w:val="20"/>
          <w:szCs w:val="20"/>
        </w:rPr>
        <w:t xml:space="preserve">, ed. C. E. Norton, 2 vols. (London: Macmillan, 1886), ii. 180–1. </w:t>
      </w:r>
    </w:p>
  </w:footnote>
  <w:footnote w:id="5">
    <w:p w14:paraId="00000061" w14:textId="5BF26C8C"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Edward Gibbon, </w:t>
      </w:r>
      <w:r>
        <w:rPr>
          <w:rFonts w:ascii="Libre Baskerville" w:eastAsia="Libre Baskerville" w:hAnsi="Libre Baskerville" w:cs="Libre Baskerville"/>
          <w:i/>
          <w:color w:val="000000"/>
          <w:sz w:val="20"/>
          <w:szCs w:val="20"/>
        </w:rPr>
        <w:t>The History of the Decline and Fall of the Roman Empire</w:t>
      </w:r>
      <w:r>
        <w:rPr>
          <w:rFonts w:ascii="Libre Baskerville" w:eastAsia="Libre Baskerville" w:hAnsi="Libre Baskerville" w:cs="Libre Baskerville"/>
          <w:color w:val="000000"/>
          <w:sz w:val="20"/>
          <w:szCs w:val="20"/>
        </w:rPr>
        <w:t xml:space="preserve">, ed. David Womersley, 3 vols. (London: Allen Lane, 1994), iii. 148 n. 151. Gibbon refers here to the abbé de Sade’s </w:t>
      </w:r>
      <w:proofErr w:type="spellStart"/>
      <w:r>
        <w:rPr>
          <w:rFonts w:ascii="Libre Baskerville" w:eastAsia="Libre Baskerville" w:hAnsi="Libre Baskerville" w:cs="Libre Baskerville"/>
          <w:i/>
          <w:color w:val="000000"/>
          <w:sz w:val="20"/>
          <w:szCs w:val="20"/>
        </w:rPr>
        <w:t>Mémoires</w:t>
      </w:r>
      <w:proofErr w:type="spellEnd"/>
      <w:r>
        <w:rPr>
          <w:rFonts w:ascii="Libre Baskerville" w:eastAsia="Libre Baskerville" w:hAnsi="Libre Baskerville" w:cs="Libre Baskerville"/>
          <w:i/>
          <w:color w:val="000000"/>
          <w:sz w:val="20"/>
          <w:szCs w:val="20"/>
        </w:rPr>
        <w:t xml:space="preserve"> pour la vie de François </w:t>
      </w:r>
      <w:proofErr w:type="spellStart"/>
      <w:r>
        <w:rPr>
          <w:rFonts w:ascii="Libre Baskerville" w:eastAsia="Libre Baskerville" w:hAnsi="Libre Baskerville" w:cs="Libre Baskerville"/>
          <w:i/>
          <w:color w:val="000000"/>
          <w:sz w:val="20"/>
          <w:szCs w:val="20"/>
        </w:rPr>
        <w:t>Pétraque</w:t>
      </w:r>
      <w:proofErr w:type="spellEnd"/>
      <w:r>
        <w:rPr>
          <w:rFonts w:ascii="Libre Baskerville" w:eastAsia="Libre Baskerville" w:hAnsi="Libre Baskerville" w:cs="Libre Baskerville"/>
          <w:color w:val="000000"/>
          <w:sz w:val="20"/>
          <w:szCs w:val="20"/>
        </w:rPr>
        <w:t xml:space="preserve"> (3 vols., 1764–67), but the statement surely stands as a pre-emptive rebuke to readers </w:t>
      </w:r>
      <w:r w:rsidR="00234C7F">
        <w:rPr>
          <w:rFonts w:ascii="Libre Baskerville" w:eastAsia="Libre Baskerville" w:hAnsi="Libre Baskerville" w:cs="Libre Baskerville"/>
          <w:color w:val="000000"/>
          <w:sz w:val="20"/>
          <w:szCs w:val="20"/>
        </w:rPr>
        <w:t xml:space="preserve">of his own tomes </w:t>
      </w:r>
      <w:r>
        <w:rPr>
          <w:rFonts w:ascii="Libre Baskerville" w:eastAsia="Libre Baskerville" w:hAnsi="Libre Baskerville" w:cs="Libre Baskerville"/>
          <w:color w:val="000000"/>
          <w:sz w:val="20"/>
          <w:szCs w:val="20"/>
        </w:rPr>
        <w:t xml:space="preserve">– currently wading through his fifth volume – inclined to accuse </w:t>
      </w:r>
      <w:r>
        <w:rPr>
          <w:rFonts w:ascii="Libre Baskerville" w:eastAsia="Libre Baskerville" w:hAnsi="Libre Baskerville" w:cs="Libre Baskerville"/>
          <w:i/>
          <w:color w:val="000000"/>
          <w:sz w:val="20"/>
          <w:szCs w:val="20"/>
        </w:rPr>
        <w:t>him</w:t>
      </w:r>
      <w:r>
        <w:rPr>
          <w:rFonts w:ascii="Libre Baskerville" w:eastAsia="Libre Baskerville" w:hAnsi="Libre Baskerville" w:cs="Libre Baskerville"/>
          <w:color w:val="000000"/>
          <w:sz w:val="20"/>
          <w:szCs w:val="20"/>
        </w:rPr>
        <w:t xml:space="preserve"> of a similar charge.</w:t>
      </w:r>
    </w:p>
  </w:footnote>
  <w:footnote w:id="6">
    <w:p w14:paraId="0000006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Virginia Woolf, “The Historian and “The Gibbon”’ (1937), in </w:t>
      </w:r>
      <w:r>
        <w:rPr>
          <w:rFonts w:ascii="Libre Baskerville" w:eastAsia="Libre Baskerville" w:hAnsi="Libre Baskerville" w:cs="Libre Baskerville"/>
          <w:i/>
          <w:color w:val="000000"/>
          <w:sz w:val="20"/>
          <w:szCs w:val="20"/>
        </w:rPr>
        <w:t>The Essays of Virginia Woolf, Volume VI: 1933</w:t>
      </w:r>
      <w:r>
        <w:rPr>
          <w:rFonts w:ascii="Libre Baskerville" w:eastAsia="Libre Baskerville" w:hAnsi="Libre Baskerville" w:cs="Libre Baskerville"/>
          <w:color w:val="000000"/>
          <w:sz w:val="20"/>
          <w:szCs w:val="20"/>
        </w:rPr>
        <w:t>–</w:t>
      </w:r>
      <w:r>
        <w:rPr>
          <w:rFonts w:ascii="Libre Baskerville" w:eastAsia="Libre Baskerville" w:hAnsi="Libre Baskerville" w:cs="Libre Baskerville"/>
          <w:i/>
          <w:color w:val="000000"/>
          <w:sz w:val="20"/>
          <w:szCs w:val="20"/>
        </w:rPr>
        <w:t>1941</w:t>
      </w:r>
      <w:r>
        <w:rPr>
          <w:rFonts w:ascii="Libre Baskerville" w:eastAsia="Libre Baskerville" w:hAnsi="Libre Baskerville" w:cs="Libre Baskerville"/>
          <w:color w:val="000000"/>
          <w:sz w:val="20"/>
          <w:szCs w:val="20"/>
        </w:rPr>
        <w:t>, ed. Stuart N. Clarke (London: Hogarth Press, 2011), 81–2.</w:t>
      </w:r>
    </w:p>
  </w:footnote>
  <w:footnote w:id="7">
    <w:p w14:paraId="0000006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Bagehot, “Edward Gibbon,” 102. For a more recent account that foregrounds Gibbon’s concern to impose the illusion of order on the seemingly unfathomable chaos of history, see Lionel Gossman, </w:t>
      </w:r>
      <w:r>
        <w:rPr>
          <w:rFonts w:ascii="Libre Baskerville" w:eastAsia="Libre Baskerville" w:hAnsi="Libre Baskerville" w:cs="Libre Baskerville"/>
          <w:i/>
          <w:color w:val="000000"/>
          <w:sz w:val="20"/>
          <w:szCs w:val="20"/>
        </w:rPr>
        <w:t xml:space="preserve">The Empire </w:t>
      </w:r>
      <w:proofErr w:type="spellStart"/>
      <w:r>
        <w:rPr>
          <w:rFonts w:ascii="Libre Baskerville" w:eastAsia="Libre Baskerville" w:hAnsi="Libre Baskerville" w:cs="Libre Baskerville"/>
          <w:i/>
          <w:color w:val="000000"/>
          <w:sz w:val="20"/>
          <w:szCs w:val="20"/>
        </w:rPr>
        <w:t>Unpossess’d</w:t>
      </w:r>
      <w:proofErr w:type="spellEnd"/>
      <w:r>
        <w:rPr>
          <w:rFonts w:ascii="Libre Baskerville" w:eastAsia="Libre Baskerville" w:hAnsi="Libre Baskerville" w:cs="Libre Baskerville"/>
          <w:i/>
          <w:color w:val="000000"/>
          <w:sz w:val="20"/>
          <w:szCs w:val="20"/>
        </w:rPr>
        <w:t>: An Essay on Gibbon’s Decline and Fall</w:t>
      </w:r>
      <w:r>
        <w:rPr>
          <w:rFonts w:ascii="Libre Baskerville" w:eastAsia="Libre Baskerville" w:hAnsi="Libre Baskerville" w:cs="Libre Baskerville"/>
          <w:color w:val="000000"/>
          <w:sz w:val="20"/>
          <w:szCs w:val="20"/>
        </w:rPr>
        <w:t xml:space="preserve"> (Cambridge: Cambridge University Press, 1981).</w:t>
      </w:r>
    </w:p>
  </w:footnote>
  <w:footnote w:id="8">
    <w:p w14:paraId="0000006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Carlyle to Miss Welsh, Feb. 1823, in </w:t>
      </w:r>
      <w:r>
        <w:rPr>
          <w:rFonts w:ascii="Libre Baskerville" w:eastAsia="Libre Baskerville" w:hAnsi="Libre Baskerville" w:cs="Libre Baskerville"/>
          <w:i/>
          <w:color w:val="000000"/>
          <w:sz w:val="20"/>
          <w:szCs w:val="20"/>
        </w:rPr>
        <w:t>Early Letters</w:t>
      </w:r>
      <w:r>
        <w:rPr>
          <w:rFonts w:ascii="Libre Baskerville" w:eastAsia="Libre Baskerville" w:hAnsi="Libre Baskerville" w:cs="Libre Baskerville"/>
          <w:color w:val="000000"/>
          <w:sz w:val="20"/>
          <w:szCs w:val="20"/>
        </w:rPr>
        <w:t xml:space="preserve">, ii. 180–1. </w:t>
      </w:r>
    </w:p>
  </w:footnote>
  <w:footnote w:id="9">
    <w:p w14:paraId="0000006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Edward Gibbon, </w:t>
      </w:r>
      <w:r>
        <w:rPr>
          <w:rFonts w:ascii="Libre Baskerville" w:eastAsia="Libre Baskerville" w:hAnsi="Libre Baskerville" w:cs="Libre Baskerville"/>
          <w:i/>
          <w:color w:val="000000"/>
          <w:sz w:val="20"/>
          <w:szCs w:val="20"/>
        </w:rPr>
        <w:t>A Vindication of Some Passages in the Fifteenth and Sixteenth Volumes of the … Decline and Fall</w:t>
      </w:r>
      <w:r>
        <w:rPr>
          <w:rFonts w:ascii="Libre Baskerville" w:eastAsia="Libre Baskerville" w:hAnsi="Libre Baskerville" w:cs="Libre Baskerville"/>
          <w:color w:val="000000"/>
          <w:sz w:val="20"/>
          <w:szCs w:val="20"/>
        </w:rPr>
        <w:t xml:space="preserve"> (1779), in </w:t>
      </w:r>
      <w:r>
        <w:rPr>
          <w:rFonts w:ascii="Libre Baskerville" w:eastAsia="Libre Baskerville" w:hAnsi="Libre Baskerville" w:cs="Libre Baskerville"/>
          <w:i/>
          <w:color w:val="000000"/>
          <w:sz w:val="20"/>
          <w:szCs w:val="20"/>
        </w:rPr>
        <w:t>The English Essays of Edward Gibbon</w:t>
      </w:r>
      <w:r>
        <w:rPr>
          <w:rFonts w:ascii="Libre Baskerville" w:eastAsia="Libre Baskerville" w:hAnsi="Libre Baskerville" w:cs="Libre Baskerville"/>
          <w:color w:val="000000"/>
          <w:sz w:val="20"/>
          <w:szCs w:val="20"/>
        </w:rPr>
        <w:t>, ed. Patricia B. Craddock (Oxford: Clarendon Press, 1972), 231.</w:t>
      </w:r>
    </w:p>
  </w:footnote>
  <w:footnote w:id="10">
    <w:p w14:paraId="0000006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Lytton Strachey, “Gibbon,” in </w:t>
      </w:r>
      <w:r>
        <w:rPr>
          <w:rFonts w:ascii="Libre Baskerville" w:eastAsia="Libre Baskerville" w:hAnsi="Libre Baskerville" w:cs="Libre Baskerville"/>
          <w:i/>
          <w:color w:val="000000"/>
          <w:sz w:val="20"/>
          <w:szCs w:val="20"/>
        </w:rPr>
        <w:t>Portraits in Miniature and Other Essays</w:t>
      </w:r>
      <w:r>
        <w:rPr>
          <w:rFonts w:ascii="Libre Baskerville" w:eastAsia="Libre Baskerville" w:hAnsi="Libre Baskerville" w:cs="Libre Baskerville"/>
          <w:color w:val="000000"/>
          <w:sz w:val="20"/>
          <w:szCs w:val="20"/>
        </w:rPr>
        <w:t xml:space="preserve"> (London: Chatto &amp; Windus, 1931), 163. Strachey’s view is rehearsed, and rubbished, by Hugh Trevor-Roper, “Gibbon and the Publication of </w:t>
      </w:r>
      <w:r>
        <w:rPr>
          <w:rFonts w:ascii="Libre Baskerville" w:eastAsia="Libre Baskerville" w:hAnsi="Libre Baskerville" w:cs="Libre Baskerville"/>
          <w:i/>
          <w:color w:val="000000"/>
          <w:sz w:val="20"/>
          <w:szCs w:val="20"/>
        </w:rPr>
        <w:t>The Decline and Fall of the Roman Empire</w:t>
      </w:r>
      <w:r>
        <w:rPr>
          <w:rFonts w:ascii="Libre Baskerville" w:eastAsia="Libre Baskerville" w:hAnsi="Libre Baskerville" w:cs="Libre Baskerville"/>
          <w:color w:val="000000"/>
          <w:sz w:val="20"/>
          <w:szCs w:val="20"/>
        </w:rPr>
        <w:t xml:space="preserve">, 1776–1976,” in </w:t>
      </w:r>
      <w:r>
        <w:rPr>
          <w:rFonts w:ascii="Libre Baskerville" w:eastAsia="Libre Baskerville" w:hAnsi="Libre Baskerville" w:cs="Libre Baskerville"/>
          <w:i/>
          <w:color w:val="000000"/>
          <w:sz w:val="20"/>
          <w:szCs w:val="20"/>
        </w:rPr>
        <w:t>History and the Enlightenment</w:t>
      </w:r>
      <w:r>
        <w:rPr>
          <w:rFonts w:ascii="Libre Baskerville" w:eastAsia="Libre Baskerville" w:hAnsi="Libre Baskerville" w:cs="Libre Baskerville"/>
          <w:color w:val="000000"/>
          <w:sz w:val="20"/>
          <w:szCs w:val="20"/>
        </w:rPr>
        <w:t>, ed. John Robertson (New Haven: Yale University Press, 2010), 144.</w:t>
      </w:r>
    </w:p>
  </w:footnote>
  <w:footnote w:id="11">
    <w:p w14:paraId="0000006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Peter Ghosh, “The Conception of Gibbon’s </w:t>
      </w:r>
      <w:r>
        <w:rPr>
          <w:rFonts w:ascii="Libre Baskerville" w:eastAsia="Libre Baskerville" w:hAnsi="Libre Baskerville" w:cs="Libre Baskerville"/>
          <w:i/>
          <w:color w:val="000000"/>
          <w:sz w:val="20"/>
          <w:szCs w:val="20"/>
        </w:rPr>
        <w:t>History</w:t>
      </w:r>
      <w:r>
        <w:rPr>
          <w:rFonts w:ascii="Libre Baskerville" w:eastAsia="Libre Baskerville" w:hAnsi="Libre Baskerville" w:cs="Libre Baskerville"/>
          <w:color w:val="000000"/>
          <w:sz w:val="20"/>
          <w:szCs w:val="20"/>
        </w:rPr>
        <w:t xml:space="preserve">,” in </w:t>
      </w:r>
      <w:r>
        <w:rPr>
          <w:rFonts w:ascii="Libre Baskerville" w:eastAsia="Libre Baskerville" w:hAnsi="Libre Baskerville" w:cs="Libre Baskerville"/>
          <w:i/>
          <w:color w:val="000000"/>
          <w:sz w:val="20"/>
          <w:szCs w:val="20"/>
        </w:rPr>
        <w:t>Edward Gibbon and Empire</w:t>
      </w:r>
      <w:r>
        <w:rPr>
          <w:rFonts w:ascii="Libre Baskerville" w:eastAsia="Libre Baskerville" w:hAnsi="Libre Baskerville" w:cs="Libre Baskerville"/>
          <w:color w:val="000000"/>
          <w:sz w:val="20"/>
          <w:szCs w:val="20"/>
        </w:rPr>
        <w:t xml:space="preserve">, ed. Rosamond McKitterick and Roland Quinault (Cambridge: Cambridge University Press, 1997), 276–9. </w:t>
      </w:r>
    </w:p>
  </w:footnote>
  <w:footnote w:id="12">
    <w:p w14:paraId="0000006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Edward Gibbon, </w:t>
      </w:r>
      <w:r>
        <w:rPr>
          <w:rFonts w:ascii="Libre Baskerville" w:eastAsia="Libre Baskerville" w:hAnsi="Libre Baskerville" w:cs="Libre Baskerville"/>
          <w:i/>
          <w:color w:val="000000"/>
          <w:sz w:val="20"/>
          <w:szCs w:val="20"/>
        </w:rPr>
        <w:t>The Autobiographies of Edward Gibbon</w:t>
      </w:r>
      <w:r>
        <w:rPr>
          <w:rFonts w:ascii="Libre Baskerville" w:eastAsia="Libre Baskerville" w:hAnsi="Libre Baskerville" w:cs="Libre Baskerville"/>
          <w:color w:val="000000"/>
          <w:sz w:val="20"/>
          <w:szCs w:val="20"/>
        </w:rPr>
        <w:t xml:space="preserve">, ed. John Murray (London: John Murray, 1896), 278. For the development of Gibbon’s style through successive volumes, see David Womersley, </w:t>
      </w:r>
      <w:r>
        <w:rPr>
          <w:rFonts w:ascii="Libre Baskerville" w:eastAsia="Libre Baskerville" w:hAnsi="Libre Baskerville" w:cs="Libre Baskerville"/>
          <w:i/>
          <w:color w:val="000000"/>
          <w:sz w:val="20"/>
          <w:szCs w:val="20"/>
        </w:rPr>
        <w:t>The Transformation of the Decline and Fall of the Roman Empire</w:t>
      </w:r>
      <w:r>
        <w:rPr>
          <w:rFonts w:ascii="Libre Baskerville" w:eastAsia="Libre Baskerville" w:hAnsi="Libre Baskerville" w:cs="Libre Baskerville"/>
          <w:color w:val="000000"/>
          <w:sz w:val="20"/>
          <w:szCs w:val="20"/>
        </w:rPr>
        <w:t xml:space="preserve"> (Cambridge: Cambridge University Press, 1988). </w:t>
      </w:r>
    </w:p>
  </w:footnote>
  <w:footnote w:id="13">
    <w:p w14:paraId="0000006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Dorothea Gibbon, 13 April 1781, in </w:t>
      </w:r>
      <w:r>
        <w:rPr>
          <w:rFonts w:ascii="Libre Baskerville" w:eastAsia="Libre Baskerville" w:hAnsi="Libre Baskerville" w:cs="Libre Baskerville"/>
          <w:i/>
          <w:color w:val="000000"/>
          <w:sz w:val="20"/>
          <w:szCs w:val="20"/>
        </w:rPr>
        <w:t>The Letters of Edward Gibbon</w:t>
      </w:r>
      <w:r>
        <w:rPr>
          <w:rFonts w:ascii="Libre Baskerville" w:eastAsia="Libre Baskerville" w:hAnsi="Libre Baskerville" w:cs="Libre Baskerville"/>
          <w:color w:val="000000"/>
          <w:sz w:val="20"/>
          <w:szCs w:val="20"/>
        </w:rPr>
        <w:t xml:space="preserve">, ed. J. E. Norton, 3 vols. (London: Cassell, 1956), ii. 265–7. </w:t>
      </w:r>
    </w:p>
  </w:footnote>
  <w:footnote w:id="14">
    <w:p w14:paraId="0000006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332–3.</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 xml:space="preserve">Gibbon alludes to the fact that the final trilogy was largely composed in Lausanne. Commenting on a draft section of Gibbon’s projected history of the Swiss in 1767 (written in French), Hume observed the tendency of Gibbon’s French to seduce him into writing in “a style more poetical and figurative, and more highly </w:t>
      </w:r>
      <w:proofErr w:type="spellStart"/>
      <w:r>
        <w:rPr>
          <w:rFonts w:ascii="Libre Baskerville" w:eastAsia="Libre Baskerville" w:hAnsi="Libre Baskerville" w:cs="Libre Baskerville"/>
          <w:color w:val="000000"/>
          <w:sz w:val="20"/>
          <w:szCs w:val="20"/>
        </w:rPr>
        <w:t>coloured</w:t>
      </w:r>
      <w:proofErr w:type="spellEnd"/>
      <w:r>
        <w:rPr>
          <w:rFonts w:ascii="Libre Baskerville" w:eastAsia="Libre Baskerville" w:hAnsi="Libre Baskerville" w:cs="Libre Baskerville"/>
          <w:color w:val="000000"/>
          <w:sz w:val="20"/>
          <w:szCs w:val="20"/>
        </w:rPr>
        <w:t xml:space="preserve">, than our language seems to permit of”: Hume to Gibbon, 24 October 1767, in </w:t>
      </w:r>
      <w:r>
        <w:rPr>
          <w:rFonts w:ascii="Libre Baskerville" w:eastAsia="Libre Baskerville" w:hAnsi="Libre Baskerville" w:cs="Libre Baskerville"/>
          <w:i/>
          <w:color w:val="000000"/>
          <w:sz w:val="20"/>
          <w:szCs w:val="20"/>
        </w:rPr>
        <w:t>The Letters of David Hume</w:t>
      </w:r>
      <w:r>
        <w:rPr>
          <w:rFonts w:ascii="Libre Baskerville" w:eastAsia="Libre Baskerville" w:hAnsi="Libre Baskerville" w:cs="Libre Baskerville"/>
          <w:color w:val="000000"/>
          <w:sz w:val="20"/>
          <w:szCs w:val="20"/>
        </w:rPr>
        <w:t>, ed. J. Y. T. Greig, 2 vols. (Oxford: Oxford University Press, 1932), ii. 170–71. Hume’s letter is discussed further below.</w:t>
      </w:r>
    </w:p>
  </w:footnote>
  <w:footnote w:id="15">
    <w:p w14:paraId="0000006B" w14:textId="120B7444"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“Religion and Literature” (1935), in </w:t>
      </w:r>
      <w:r>
        <w:rPr>
          <w:rFonts w:ascii="Libre Baskerville" w:eastAsia="Libre Baskerville" w:hAnsi="Libre Baskerville" w:cs="Libre Baskerville"/>
          <w:i/>
          <w:color w:val="000000"/>
          <w:sz w:val="20"/>
          <w:szCs w:val="20"/>
        </w:rPr>
        <w:t>Selected Essays</w:t>
      </w:r>
      <w:r>
        <w:rPr>
          <w:rFonts w:ascii="Libre Baskerville" w:eastAsia="Libre Baskerville" w:hAnsi="Libre Baskerville" w:cs="Libre Baskerville"/>
          <w:color w:val="000000"/>
          <w:sz w:val="20"/>
          <w:szCs w:val="20"/>
        </w:rPr>
        <w:t xml:space="preserve">, new </w:t>
      </w:r>
      <w:proofErr w:type="spellStart"/>
      <w:r>
        <w:rPr>
          <w:rFonts w:ascii="Libre Baskerville" w:eastAsia="Libre Baskerville" w:hAnsi="Libre Baskerville" w:cs="Libre Baskerville"/>
          <w:color w:val="000000"/>
          <w:sz w:val="20"/>
          <w:szCs w:val="20"/>
        </w:rPr>
        <w:t>edn</w:t>
      </w:r>
      <w:proofErr w:type="spellEnd"/>
      <w:r>
        <w:rPr>
          <w:rFonts w:ascii="Libre Baskerville" w:eastAsia="Libre Baskerville" w:hAnsi="Libre Baskerville" w:cs="Libre Baskerville"/>
          <w:color w:val="000000"/>
          <w:sz w:val="20"/>
          <w:szCs w:val="20"/>
        </w:rPr>
        <w:t xml:space="preserve">. (New York: Harcourt, Brace &amp; World, 1964), 345: emphasis in the original. </w:t>
      </w:r>
    </w:p>
  </w:footnote>
  <w:footnote w:id="16">
    <w:p w14:paraId="0000006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 Vindication</w:t>
      </w:r>
      <w:r>
        <w:rPr>
          <w:rFonts w:ascii="Libre Baskerville" w:eastAsia="Libre Baskerville" w:hAnsi="Libre Baskerville" w:cs="Libre Baskerville"/>
          <w:color w:val="000000"/>
          <w:sz w:val="20"/>
          <w:szCs w:val="20"/>
        </w:rPr>
        <w:t>, 235: the emphasis is Gibbon’s.</w:t>
      </w:r>
    </w:p>
  </w:footnote>
  <w:footnote w:id="17">
    <w:p w14:paraId="0000006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Montesquieu,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trans. and ed. Henry C. Clark (Indianapolis: Liberty Fund, 2012), §1450.</w:t>
      </w:r>
    </w:p>
  </w:footnote>
  <w:footnote w:id="18">
    <w:p w14:paraId="0000006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Edward Gibbon, Sr, 9 October 1764,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184.</w:t>
      </w:r>
    </w:p>
  </w:footnote>
  <w:footnote w:id="19">
    <w:p w14:paraId="0000006F"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355.</w:t>
      </w:r>
    </w:p>
  </w:footnote>
  <w:footnote w:id="20">
    <w:p w14:paraId="00000070"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Edward Gibbon, Sr, 9 October 1764,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xml:space="preserve">. 184. Cp. A. L. Rowe’s perceptive remark: “All the time that he was in Rome he was, he says, ‘as in a dream.’ That is the right spirit. He was inspired by the monuments, the relics, the </w:t>
      </w:r>
      <w:proofErr w:type="gramStart"/>
      <w:r>
        <w:rPr>
          <w:rFonts w:ascii="Libre Baskerville" w:eastAsia="Libre Baskerville" w:hAnsi="Libre Baskerville" w:cs="Libre Baskerville"/>
          <w:color w:val="000000"/>
          <w:sz w:val="20"/>
          <w:szCs w:val="20"/>
        </w:rPr>
        <w:t>evidences</w:t>
      </w:r>
      <w:proofErr w:type="gramEnd"/>
      <w:r>
        <w:rPr>
          <w:rFonts w:ascii="Libre Baskerville" w:eastAsia="Libre Baskerville" w:hAnsi="Libre Baskerville" w:cs="Libre Baskerville"/>
          <w:color w:val="000000"/>
          <w:sz w:val="20"/>
          <w:szCs w:val="20"/>
        </w:rPr>
        <w:t xml:space="preserve"> of ancient Rome: that was what sparked off the imagination, which marks the difference between scholarship and genius. For beneath Gibbon's classic prose, there is a vein of poetry”: “Our Historical Essayist </w:t>
      </w:r>
      <w:r>
        <w:rPr>
          <w:rFonts w:ascii="Libre Baskerville" w:eastAsia="Libre Baskerville" w:hAnsi="Libre Baskerville" w:cs="Libre Baskerville"/>
          <w:i/>
          <w:color w:val="000000"/>
          <w:sz w:val="20"/>
          <w:szCs w:val="20"/>
        </w:rPr>
        <w:t>par excellence</w:t>
      </w:r>
      <w:r>
        <w:rPr>
          <w:rFonts w:ascii="Libre Baskerville" w:eastAsia="Libre Baskerville" w:hAnsi="Libre Baskerville" w:cs="Libre Baskerville"/>
          <w:color w:val="000000"/>
          <w:sz w:val="20"/>
          <w:szCs w:val="20"/>
        </w:rPr>
        <w:t xml:space="preserve">,” </w:t>
      </w:r>
      <w:r>
        <w:rPr>
          <w:rFonts w:ascii="Libre Baskerville" w:eastAsia="Libre Baskerville" w:hAnsi="Libre Baskerville" w:cs="Libre Baskerville"/>
          <w:i/>
          <w:color w:val="000000"/>
          <w:sz w:val="20"/>
          <w:szCs w:val="20"/>
        </w:rPr>
        <w:t>The Times</w:t>
      </w:r>
      <w:r>
        <w:rPr>
          <w:rFonts w:ascii="Libre Baskerville" w:eastAsia="Libre Baskerville" w:hAnsi="Libre Baskerville" w:cs="Libre Baskerville"/>
          <w:color w:val="000000"/>
          <w:sz w:val="20"/>
          <w:szCs w:val="20"/>
        </w:rPr>
        <w:t>, 15 January 1994.</w:t>
      </w:r>
    </w:p>
  </w:footnote>
  <w:footnote w:id="21">
    <w:p w14:paraId="0000007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To the educated early modern reader, “the ancients were familiar voices;” their works, “preserved, published, translated, and frequently reprinted, […] shared bookshelves with authors contemporary to the readers, [… and] were seventeenth- and eighteenth-century authors, in that sense”: Alan Charles Kors, </w:t>
      </w:r>
      <w:r>
        <w:rPr>
          <w:rFonts w:ascii="Libre Baskerville" w:eastAsia="Libre Baskerville" w:hAnsi="Libre Baskerville" w:cs="Libre Baskerville"/>
          <w:i/>
          <w:color w:val="000000"/>
          <w:sz w:val="20"/>
          <w:szCs w:val="20"/>
        </w:rPr>
        <w:t>Naturalism and Unbelief in France, 1650–1729</w:t>
      </w:r>
      <w:r>
        <w:rPr>
          <w:rFonts w:ascii="Libre Baskerville" w:eastAsia="Libre Baskerville" w:hAnsi="Libre Baskerville" w:cs="Libre Baskerville"/>
          <w:color w:val="000000"/>
          <w:sz w:val="20"/>
          <w:szCs w:val="20"/>
        </w:rPr>
        <w:t xml:space="preserve"> (Cambridge: Cambridge University Press, 2016), 49.</w:t>
      </w:r>
    </w:p>
  </w:footnote>
  <w:footnote w:id="22">
    <w:p w14:paraId="0000007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xml:space="preserve">. 31. Gibbon later conceded, when commenting on this passage with a view to producing a revised edition of the work, that “nations of the earth” was perhaps an exaggeration: “Mr. Hume told me that in correcting his history, he always </w:t>
      </w:r>
      <w:proofErr w:type="spellStart"/>
      <w:r>
        <w:rPr>
          <w:rFonts w:ascii="Libre Baskerville" w:eastAsia="Libre Baskerville" w:hAnsi="Libre Baskerville" w:cs="Libre Baskerville"/>
          <w:color w:val="000000"/>
          <w:sz w:val="20"/>
          <w:szCs w:val="20"/>
        </w:rPr>
        <w:t>laboured</w:t>
      </w:r>
      <w:proofErr w:type="spellEnd"/>
      <w:r>
        <w:rPr>
          <w:rFonts w:ascii="Libre Baskerville" w:eastAsia="Libre Baskerville" w:hAnsi="Libre Baskerville" w:cs="Libre Baskerville"/>
          <w:color w:val="000000"/>
          <w:sz w:val="20"/>
          <w:szCs w:val="20"/>
        </w:rPr>
        <w:t xml:space="preserve"> to reduce </w:t>
      </w:r>
      <w:proofErr w:type="gramStart"/>
      <w:r>
        <w:rPr>
          <w:rFonts w:ascii="Libre Baskerville" w:eastAsia="Libre Baskerville" w:hAnsi="Libre Baskerville" w:cs="Libre Baskerville"/>
          <w:color w:val="000000"/>
          <w:sz w:val="20"/>
          <w:szCs w:val="20"/>
        </w:rPr>
        <w:t>superlatives, and</w:t>
      </w:r>
      <w:proofErr w:type="gramEnd"/>
      <w:r>
        <w:rPr>
          <w:rFonts w:ascii="Libre Baskerville" w:eastAsia="Libre Baskerville" w:hAnsi="Libre Baskerville" w:cs="Libre Baskerville"/>
          <w:color w:val="000000"/>
          <w:sz w:val="20"/>
          <w:szCs w:val="20"/>
        </w:rPr>
        <w:t xml:space="preserve"> soften positives. Have Asia and Africa, from Japan to Morocco, any feeling or memory of the Roman Empire?”: “Materials for a Seventh Volume,” in </w:t>
      </w:r>
      <w:r>
        <w:rPr>
          <w:rFonts w:ascii="Libre Baskerville" w:eastAsia="Libre Baskerville" w:hAnsi="Libre Baskerville" w:cs="Libre Baskerville"/>
          <w:i/>
          <w:color w:val="000000"/>
          <w:sz w:val="20"/>
          <w:szCs w:val="20"/>
        </w:rPr>
        <w:t>English Essays</w:t>
      </w:r>
      <w:r>
        <w:rPr>
          <w:rFonts w:ascii="Libre Baskerville" w:eastAsia="Libre Baskerville" w:hAnsi="Libre Baskerville" w:cs="Libre Baskerville"/>
          <w:color w:val="000000"/>
          <w:sz w:val="20"/>
          <w:szCs w:val="20"/>
        </w:rPr>
        <w:t>, 338.</w:t>
      </w:r>
    </w:p>
  </w:footnote>
  <w:footnote w:id="23">
    <w:p w14:paraId="0000007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David P. Jordan, </w:t>
      </w:r>
      <w:r>
        <w:rPr>
          <w:rFonts w:ascii="Libre Baskerville" w:eastAsia="Libre Baskerville" w:hAnsi="Libre Baskerville" w:cs="Libre Baskerville"/>
          <w:i/>
          <w:color w:val="000000"/>
          <w:sz w:val="20"/>
          <w:szCs w:val="20"/>
        </w:rPr>
        <w:t>Gibbon and his Roman Empire</w:t>
      </w:r>
      <w:r>
        <w:rPr>
          <w:rFonts w:ascii="Libre Baskerville" w:eastAsia="Libre Baskerville" w:hAnsi="Libre Baskerville" w:cs="Libre Baskerville"/>
          <w:color w:val="000000"/>
          <w:sz w:val="20"/>
          <w:szCs w:val="20"/>
        </w:rPr>
        <w:t xml:space="preserve"> (Urbana, Ill.: University of Illinois Press, 1971), xiii. </w:t>
      </w:r>
    </w:p>
  </w:footnote>
  <w:footnote w:id="24">
    <w:p w14:paraId="0000007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Karen O’Brien, </w:t>
      </w:r>
      <w:r>
        <w:rPr>
          <w:rFonts w:ascii="Libre Baskerville" w:eastAsia="Libre Baskerville" w:hAnsi="Libre Baskerville" w:cs="Libre Baskerville"/>
          <w:i/>
          <w:color w:val="000000"/>
          <w:sz w:val="20"/>
          <w:szCs w:val="20"/>
        </w:rPr>
        <w:t xml:space="preserve">Narratives of Enlightenment: Cosmopolitan History from Voltaire to Gibbon </w:t>
      </w:r>
      <w:r>
        <w:rPr>
          <w:rFonts w:ascii="Libre Baskerville" w:eastAsia="Libre Baskerville" w:hAnsi="Libre Baskerville" w:cs="Libre Baskerville"/>
          <w:color w:val="000000"/>
          <w:sz w:val="20"/>
          <w:szCs w:val="20"/>
        </w:rPr>
        <w:t>(Cambridge: Cambridge University Press, 1997), 5.</w:t>
      </w:r>
    </w:p>
  </w:footnote>
  <w:footnote w:id="25">
    <w:p w14:paraId="0000007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Dorothea Gibbon, 29 January 1765,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191.</w:t>
      </w:r>
    </w:p>
  </w:footnote>
  <w:footnote w:id="26">
    <w:p w14:paraId="0000007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J. B. Holroyd, 1 August 1775,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ii. 81–2: italics added.</w:t>
      </w:r>
    </w:p>
  </w:footnote>
  <w:footnote w:id="27">
    <w:p w14:paraId="0000007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J. G. A. Pocock, </w:t>
      </w:r>
      <w:r>
        <w:rPr>
          <w:rFonts w:ascii="Libre Baskerville" w:eastAsia="Libre Baskerville" w:hAnsi="Libre Baskerville" w:cs="Libre Baskerville"/>
          <w:i/>
          <w:color w:val="000000"/>
          <w:sz w:val="20"/>
          <w:szCs w:val="20"/>
        </w:rPr>
        <w:t>Barbarism and Religion</w:t>
      </w:r>
      <w:r>
        <w:rPr>
          <w:rFonts w:ascii="Libre Baskerville" w:eastAsia="Libre Baskerville" w:hAnsi="Libre Baskerville" w:cs="Libre Baskerville"/>
          <w:color w:val="000000"/>
          <w:sz w:val="20"/>
          <w:szCs w:val="20"/>
        </w:rPr>
        <w:t xml:space="preserve">, 6 vols. (Cambridge: Cambridge University Press, 1999–2015), </w:t>
      </w:r>
      <w:r>
        <w:rPr>
          <w:rFonts w:ascii="Libre Baskerville" w:eastAsia="Libre Baskerville" w:hAnsi="Libre Baskerville" w:cs="Libre Baskerville"/>
          <w:i/>
          <w:color w:val="000000"/>
          <w:sz w:val="20"/>
          <w:szCs w:val="20"/>
        </w:rPr>
        <w:t>Volume I:</w:t>
      </w:r>
      <w:r>
        <w:rPr>
          <w:rFonts w:ascii="Libre Baskerville" w:eastAsia="Libre Baskerville" w:hAnsi="Libre Baskerville" w:cs="Libre Baskerville"/>
          <w:color w:val="000000"/>
          <w:sz w:val="20"/>
          <w:szCs w:val="20"/>
        </w:rPr>
        <w:t xml:space="preserve"> </w:t>
      </w:r>
      <w:r>
        <w:rPr>
          <w:rFonts w:ascii="Libre Baskerville" w:eastAsia="Libre Baskerville" w:hAnsi="Libre Baskerville" w:cs="Libre Baskerville"/>
          <w:i/>
          <w:color w:val="000000"/>
          <w:sz w:val="20"/>
          <w:szCs w:val="20"/>
        </w:rPr>
        <w:t>The Enlightenments of Edward Gibbon, 1737–1764</w:t>
      </w:r>
      <w:r>
        <w:rPr>
          <w:rFonts w:ascii="Libre Baskerville" w:eastAsia="Libre Baskerville" w:hAnsi="Libre Baskerville" w:cs="Libre Baskerville"/>
          <w:color w:val="000000"/>
          <w:sz w:val="20"/>
          <w:szCs w:val="20"/>
        </w:rPr>
        <w:t xml:space="preserve"> (1999), 1. </w:t>
      </w:r>
    </w:p>
  </w:footnote>
  <w:footnote w:id="28">
    <w:p w14:paraId="0000007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Cp. G. W. Bowersock, </w:t>
      </w:r>
      <w:r>
        <w:rPr>
          <w:rFonts w:ascii="Libre Baskerville" w:eastAsia="Libre Baskerville" w:hAnsi="Libre Baskerville" w:cs="Libre Baskerville"/>
          <w:i/>
          <w:color w:val="000000"/>
          <w:sz w:val="20"/>
          <w:szCs w:val="20"/>
        </w:rPr>
        <w:t>From Gibbon to Auden: Essays on the Classical Tradition</w:t>
      </w:r>
      <w:r>
        <w:rPr>
          <w:rFonts w:ascii="Libre Baskerville" w:eastAsia="Libre Baskerville" w:hAnsi="Libre Baskerville" w:cs="Libre Baskerville"/>
          <w:color w:val="000000"/>
          <w:sz w:val="20"/>
          <w:szCs w:val="20"/>
        </w:rPr>
        <w:t xml:space="preserve"> (Oxford: Oxford University Press, 2009), 1: “It would hardly be surprising for a historian of the Roman Empire to turn to Gibbon. From my earliest work, on the Augustan empire, the </w:t>
      </w:r>
      <w:r>
        <w:rPr>
          <w:rFonts w:ascii="Libre Baskerville" w:eastAsia="Libre Baskerville" w:hAnsi="Libre Baskerville" w:cs="Libre Baskerville"/>
          <w:i/>
          <w:color w:val="000000"/>
          <w:sz w:val="20"/>
          <w:szCs w:val="20"/>
        </w:rPr>
        <w:t xml:space="preserve">Decline and Fall </w:t>
      </w:r>
      <w:r>
        <w:rPr>
          <w:rFonts w:ascii="Libre Baskerville" w:eastAsia="Libre Baskerville" w:hAnsi="Libre Baskerville" w:cs="Libre Baskerville"/>
          <w:color w:val="000000"/>
          <w:sz w:val="20"/>
          <w:szCs w:val="20"/>
        </w:rPr>
        <w:t xml:space="preserve">has provided a standard of historical interpretation and exposition that remains as extraordinary today as it was when it was written”; with Mark </w:t>
      </w:r>
      <w:proofErr w:type="spellStart"/>
      <w:r>
        <w:rPr>
          <w:rFonts w:ascii="Libre Baskerville" w:eastAsia="Libre Baskerville" w:hAnsi="Libre Baskerville" w:cs="Libre Baskerville"/>
          <w:color w:val="000000"/>
          <w:sz w:val="20"/>
          <w:szCs w:val="20"/>
        </w:rPr>
        <w:t>Whittow</w:t>
      </w:r>
      <w:proofErr w:type="spellEnd"/>
      <w:r>
        <w:rPr>
          <w:rFonts w:ascii="Libre Baskerville" w:eastAsia="Libre Baskerville" w:hAnsi="Libre Baskerville" w:cs="Libre Baskerville"/>
          <w:color w:val="000000"/>
          <w:sz w:val="20"/>
          <w:szCs w:val="20"/>
        </w:rPr>
        <w:t xml:space="preserve">, “Do Byzantine Historians Still Read Gibbon?” in </w:t>
      </w:r>
      <w:r>
        <w:rPr>
          <w:rFonts w:ascii="Libre Baskerville" w:eastAsia="Libre Baskerville" w:hAnsi="Libre Baskerville" w:cs="Libre Baskerville"/>
          <w:i/>
          <w:color w:val="000000"/>
          <w:sz w:val="20"/>
          <w:szCs w:val="20"/>
        </w:rPr>
        <w:t>The Cambridge Companion to Edward Gibbon</w:t>
      </w:r>
      <w:r>
        <w:rPr>
          <w:rFonts w:ascii="Libre Baskerville" w:eastAsia="Libre Baskerville" w:hAnsi="Libre Baskerville" w:cs="Libre Baskerville"/>
          <w:color w:val="000000"/>
          <w:sz w:val="20"/>
          <w:szCs w:val="20"/>
        </w:rPr>
        <w:t>, ed. Karen O’Brien and Brian Young (Cambridge: Cambridge University Press, 2018), 78, who observes that, even if “Byzantinists may no longer read Gibbon,” to do so would make them more aware of (and alert to the provenance of) certain of their own presuppositions, because “they continue to read Gibbon’s ideas in other people’s words – and still repeat them.”</w:t>
      </w:r>
    </w:p>
  </w:footnote>
  <w:footnote w:id="29">
    <w:p w14:paraId="0000007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Pocock, </w:t>
      </w:r>
      <w:r>
        <w:rPr>
          <w:rFonts w:ascii="Libre Baskerville" w:eastAsia="Libre Baskerville" w:hAnsi="Libre Baskerville" w:cs="Libre Baskerville"/>
          <w:i/>
          <w:color w:val="000000"/>
          <w:sz w:val="20"/>
          <w:szCs w:val="20"/>
        </w:rPr>
        <w:t>Barbarism and Religion, Volume 1</w:t>
      </w:r>
      <w:r>
        <w:rPr>
          <w:rFonts w:ascii="Libre Baskerville" w:eastAsia="Libre Baskerville" w:hAnsi="Libre Baskerville" w:cs="Libre Baskerville"/>
          <w:color w:val="000000"/>
          <w:sz w:val="20"/>
          <w:szCs w:val="20"/>
        </w:rPr>
        <w:t>, 1.</w:t>
      </w:r>
    </w:p>
  </w:footnote>
  <w:footnote w:id="30">
    <w:p w14:paraId="0000007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Fred Parker, “Gibbon’s Style in </w:t>
      </w:r>
      <w:r>
        <w:rPr>
          <w:rFonts w:ascii="Libre Baskerville" w:eastAsia="Libre Baskerville" w:hAnsi="Libre Baskerville" w:cs="Libre Baskerville"/>
          <w:i/>
          <w:color w:val="000000"/>
          <w:sz w:val="20"/>
          <w:szCs w:val="20"/>
        </w:rPr>
        <w:t>The Decline and Fall</w:t>
      </w:r>
      <w:r>
        <w:rPr>
          <w:rFonts w:ascii="Libre Baskerville" w:eastAsia="Libre Baskerville" w:hAnsi="Libre Baskerville" w:cs="Libre Baskerville"/>
          <w:color w:val="000000"/>
          <w:sz w:val="20"/>
          <w:szCs w:val="20"/>
        </w:rPr>
        <w:t xml:space="preserve">,” in </w:t>
      </w:r>
      <w:r>
        <w:rPr>
          <w:rFonts w:ascii="Libre Baskerville" w:eastAsia="Libre Baskerville" w:hAnsi="Libre Baskerville" w:cs="Libre Baskerville"/>
          <w:i/>
          <w:color w:val="000000"/>
          <w:sz w:val="20"/>
          <w:szCs w:val="20"/>
        </w:rPr>
        <w:t>The Cambridge Companion to Edward Gibbon</w:t>
      </w:r>
      <w:r>
        <w:rPr>
          <w:rFonts w:ascii="Libre Baskerville" w:eastAsia="Libre Baskerville" w:hAnsi="Libre Baskerville" w:cs="Libre Baskerville"/>
          <w:color w:val="000000"/>
          <w:sz w:val="20"/>
          <w:szCs w:val="20"/>
        </w:rPr>
        <w:t>, ed. Karen O’Brien and Brian Young (Cambridge: Cambridge University Press, 2018), 167.</w:t>
      </w:r>
    </w:p>
  </w:footnote>
  <w:footnote w:id="31">
    <w:p w14:paraId="0000007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 M. Young, </w:t>
      </w:r>
      <w:r>
        <w:rPr>
          <w:rFonts w:ascii="Libre Baskerville" w:eastAsia="Libre Baskerville" w:hAnsi="Libre Baskerville" w:cs="Libre Baskerville"/>
          <w:i/>
          <w:color w:val="000000"/>
          <w:sz w:val="20"/>
          <w:szCs w:val="20"/>
        </w:rPr>
        <w:t xml:space="preserve">Gibbon </w:t>
      </w:r>
      <w:r>
        <w:rPr>
          <w:rFonts w:ascii="Libre Baskerville" w:eastAsia="Libre Baskerville" w:hAnsi="Libre Baskerville" w:cs="Libre Baskerville"/>
          <w:color w:val="000000"/>
          <w:sz w:val="20"/>
          <w:szCs w:val="20"/>
        </w:rPr>
        <w:t>(Edinburgh: Peter Davies, 1932), 73.</w:t>
      </w:r>
    </w:p>
  </w:footnote>
  <w:footnote w:id="32">
    <w:p w14:paraId="0000007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i/>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210; 285.</w:t>
      </w:r>
    </w:p>
  </w:footnote>
  <w:footnote w:id="33">
    <w:p w14:paraId="0000007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i/>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Arnaldo </w:t>
      </w:r>
      <w:proofErr w:type="spellStart"/>
      <w:r>
        <w:rPr>
          <w:rFonts w:ascii="Libre Baskerville" w:eastAsia="Libre Baskerville" w:hAnsi="Libre Baskerville" w:cs="Libre Baskerville"/>
          <w:color w:val="000000"/>
          <w:sz w:val="20"/>
          <w:szCs w:val="20"/>
        </w:rPr>
        <w:t>Momigliano</w:t>
      </w:r>
      <w:proofErr w:type="spellEnd"/>
      <w:r>
        <w:rPr>
          <w:rFonts w:ascii="Libre Baskerville" w:eastAsia="Libre Baskerville" w:hAnsi="Libre Baskerville" w:cs="Libre Baskerville"/>
          <w:color w:val="000000"/>
          <w:sz w:val="20"/>
          <w:szCs w:val="20"/>
        </w:rPr>
        <w:t xml:space="preserve">, “Gibbon’s Contribution to Historical Method” [orig. 1954], </w:t>
      </w:r>
      <w:proofErr w:type="spellStart"/>
      <w:r>
        <w:rPr>
          <w:rFonts w:ascii="Libre Baskerville" w:eastAsia="Libre Baskerville" w:hAnsi="Libre Baskerville" w:cs="Libre Baskerville"/>
          <w:color w:val="000000"/>
          <w:sz w:val="20"/>
          <w:szCs w:val="20"/>
        </w:rPr>
        <w:t>repr</w:t>
      </w:r>
      <w:proofErr w:type="spellEnd"/>
      <w:r>
        <w:rPr>
          <w:rFonts w:ascii="Libre Baskerville" w:eastAsia="Libre Baskerville" w:hAnsi="Libre Baskerville" w:cs="Libre Baskerville"/>
          <w:color w:val="000000"/>
          <w:sz w:val="20"/>
          <w:szCs w:val="20"/>
        </w:rPr>
        <w:t xml:space="preserve">. in idem, </w:t>
      </w:r>
      <w:r>
        <w:rPr>
          <w:rFonts w:ascii="Libre Baskerville" w:eastAsia="Libre Baskerville" w:hAnsi="Libre Baskerville" w:cs="Libre Baskerville"/>
          <w:i/>
          <w:color w:val="000000"/>
          <w:sz w:val="20"/>
          <w:szCs w:val="20"/>
        </w:rPr>
        <w:t>Studies in Historiography</w:t>
      </w:r>
      <w:r>
        <w:rPr>
          <w:rFonts w:ascii="Libre Baskerville" w:eastAsia="Libre Baskerville" w:hAnsi="Libre Baskerville" w:cs="Libre Baskerville"/>
          <w:color w:val="000000"/>
          <w:sz w:val="20"/>
          <w:szCs w:val="20"/>
        </w:rPr>
        <w:t xml:space="preserve"> (London: Weidenfeld and Nicolson, 1966), 48. </w:t>
      </w:r>
    </w:p>
  </w:footnote>
  <w:footnote w:id="34">
    <w:p w14:paraId="0000007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i/>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Owen Chadwick, “Gibbon and the Church Historians,” in </w:t>
      </w:r>
      <w:r>
        <w:rPr>
          <w:rFonts w:ascii="Libre Baskerville" w:eastAsia="Libre Baskerville" w:hAnsi="Libre Baskerville" w:cs="Libre Baskerville"/>
          <w:i/>
          <w:color w:val="000000"/>
          <w:sz w:val="20"/>
          <w:szCs w:val="20"/>
        </w:rPr>
        <w:t>Edward Gibbon and the Decline and Fall of the Roman Empire</w:t>
      </w:r>
      <w:r>
        <w:rPr>
          <w:rFonts w:ascii="Libre Baskerville" w:eastAsia="Libre Baskerville" w:hAnsi="Libre Baskerville" w:cs="Libre Baskerville"/>
          <w:color w:val="000000"/>
          <w:sz w:val="20"/>
          <w:szCs w:val="20"/>
        </w:rPr>
        <w:t>, ed. G. W. Bowersock, John L. Clive, and Stephen R. Graubard (Cambridge, MA: Harvard University Press, 1977), 229–30.</w:t>
      </w:r>
    </w:p>
  </w:footnote>
  <w:footnote w:id="35">
    <w:p w14:paraId="0000007F"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 if Gibbon had done the kind of research expected of a thoroughgoing scholar, the great views would in all probability never have taken shape or found expression. […] He might have been another </w:t>
      </w:r>
      <w:proofErr w:type="spellStart"/>
      <w:r>
        <w:rPr>
          <w:rFonts w:ascii="Libre Baskerville" w:eastAsia="Libre Baskerville" w:hAnsi="Libre Baskerville" w:cs="Libre Baskerville"/>
          <w:color w:val="000000"/>
          <w:sz w:val="20"/>
          <w:szCs w:val="20"/>
        </w:rPr>
        <w:t>Tillemont</w:t>
      </w:r>
      <w:proofErr w:type="spellEnd"/>
      <w:r>
        <w:rPr>
          <w:rFonts w:ascii="Libre Baskerville" w:eastAsia="Libre Baskerville" w:hAnsi="Libre Baskerville" w:cs="Libre Baskerville"/>
          <w:color w:val="000000"/>
          <w:sz w:val="20"/>
          <w:szCs w:val="20"/>
        </w:rPr>
        <w:t xml:space="preserve">, or even another Hume or Robertson. By recognizing the weaknesses of </w:t>
      </w:r>
      <w:proofErr w:type="gramStart"/>
      <w:r>
        <w:rPr>
          <w:rFonts w:ascii="Libre Baskerville" w:eastAsia="Libre Baskerville" w:hAnsi="Libre Baskerville" w:cs="Libre Baskerville"/>
          <w:color w:val="000000"/>
          <w:sz w:val="20"/>
          <w:szCs w:val="20"/>
        </w:rPr>
        <w:t>Gibbon</w:t>
      </w:r>
      <w:proofErr w:type="gramEnd"/>
      <w:r>
        <w:rPr>
          <w:rFonts w:ascii="Libre Baskerville" w:eastAsia="Libre Baskerville" w:hAnsi="Libre Baskerville" w:cs="Libre Baskerville"/>
          <w:color w:val="000000"/>
          <w:sz w:val="20"/>
          <w:szCs w:val="20"/>
        </w:rPr>
        <w:t xml:space="preserve"> we can see why he was great. Those very weaknesses allowed that strong imagination to run its course, to create the matchless </w:t>
      </w:r>
      <w:proofErr w:type="spellStart"/>
      <w:r>
        <w:rPr>
          <w:rFonts w:ascii="Libre Baskerville" w:eastAsia="Libre Baskerville" w:hAnsi="Libre Baskerville" w:cs="Libre Baskerville"/>
          <w:color w:val="000000"/>
          <w:sz w:val="20"/>
          <w:szCs w:val="20"/>
        </w:rPr>
        <w:t>characterisations</w:t>
      </w:r>
      <w:proofErr w:type="spellEnd"/>
      <w:r>
        <w:rPr>
          <w:rFonts w:ascii="Libre Baskerville" w:eastAsia="Libre Baskerville" w:hAnsi="Libre Baskerville" w:cs="Libre Baskerville"/>
          <w:color w:val="000000"/>
          <w:sz w:val="20"/>
          <w:szCs w:val="20"/>
        </w:rPr>
        <w:t xml:space="preserve">, the high drama, and the vivid scenes that constitute the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Bowersock, </w:t>
      </w:r>
      <w:r>
        <w:rPr>
          <w:rFonts w:ascii="Libre Baskerville" w:eastAsia="Libre Baskerville" w:hAnsi="Libre Baskerville" w:cs="Libre Baskerville"/>
          <w:i/>
          <w:color w:val="000000"/>
          <w:sz w:val="20"/>
          <w:szCs w:val="20"/>
        </w:rPr>
        <w:t>Gibbon to Auden</w:t>
      </w:r>
      <w:r>
        <w:rPr>
          <w:rFonts w:ascii="Libre Baskerville" w:eastAsia="Libre Baskerville" w:hAnsi="Libre Baskerville" w:cs="Libre Baskerville"/>
          <w:color w:val="000000"/>
          <w:sz w:val="20"/>
          <w:szCs w:val="20"/>
        </w:rPr>
        <w:t>, 18–19.</w:t>
      </w:r>
    </w:p>
  </w:footnote>
  <w:footnote w:id="36">
    <w:p w14:paraId="00000080"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Momigliano</w:t>
      </w:r>
      <w:proofErr w:type="spellEnd"/>
      <w:r>
        <w:rPr>
          <w:rFonts w:ascii="Libre Baskerville" w:eastAsia="Libre Baskerville" w:hAnsi="Libre Baskerville" w:cs="Libre Baskerville"/>
          <w:color w:val="000000"/>
          <w:sz w:val="20"/>
          <w:szCs w:val="20"/>
        </w:rPr>
        <w:t>, “Gibbon’s Contribution,” was a seminal intervention in the scholarship on eighteenth-century historiography, identifying the challenge faced by Gibbon and his contemporaries in both France and Britain of combining erudition, philosophy, and narrative. See further Robert Shackleton, “The Impact of French Literature on Gibbon,” in</w:t>
      </w:r>
      <w:r>
        <w:rPr>
          <w:rFonts w:ascii="Libre Baskerville" w:eastAsia="Libre Baskerville" w:hAnsi="Libre Baskerville" w:cs="Libre Baskerville"/>
          <w:i/>
          <w:color w:val="000000"/>
          <w:sz w:val="20"/>
          <w:szCs w:val="20"/>
        </w:rPr>
        <w:t xml:space="preserve"> Edward Gibbon and The Decline and Fall of the Roman Empire</w:t>
      </w:r>
      <w:r>
        <w:rPr>
          <w:rFonts w:ascii="Libre Baskerville" w:eastAsia="Libre Baskerville" w:hAnsi="Libre Baskerville" w:cs="Libre Baskerville"/>
          <w:color w:val="000000"/>
          <w:sz w:val="20"/>
          <w:szCs w:val="20"/>
        </w:rPr>
        <w:t xml:space="preserve">, ed. G. W. Bowersock, John L. Clive, and Stephen R. Graubard, (Cambridge, MA: Harvard University Press, 1977), 207–18; Philip Hicks, </w:t>
      </w:r>
      <w:r>
        <w:rPr>
          <w:rFonts w:ascii="Libre Baskerville" w:eastAsia="Libre Baskerville" w:hAnsi="Libre Baskerville" w:cs="Libre Baskerville"/>
          <w:i/>
          <w:color w:val="000000"/>
          <w:sz w:val="20"/>
          <w:szCs w:val="20"/>
        </w:rPr>
        <w:t xml:space="preserve">Neoclassical History and English Culture: From Clarendon to Hume </w:t>
      </w:r>
      <w:r>
        <w:rPr>
          <w:rFonts w:ascii="Libre Baskerville" w:eastAsia="Libre Baskerville" w:hAnsi="Libre Baskerville" w:cs="Libre Baskerville"/>
          <w:color w:val="000000"/>
          <w:sz w:val="20"/>
          <w:szCs w:val="20"/>
        </w:rPr>
        <w:t xml:space="preserve">(Basingstoke: Macmillan, 1996); and, above all, Pocock, </w:t>
      </w:r>
      <w:r>
        <w:rPr>
          <w:rFonts w:ascii="Libre Baskerville" w:eastAsia="Libre Baskerville" w:hAnsi="Libre Baskerville" w:cs="Libre Baskerville"/>
          <w:i/>
          <w:color w:val="000000"/>
          <w:sz w:val="20"/>
          <w:szCs w:val="20"/>
        </w:rPr>
        <w:t>Barbarism and Religion</w:t>
      </w:r>
      <w:r>
        <w:rPr>
          <w:rFonts w:ascii="Libre Baskerville" w:eastAsia="Libre Baskerville" w:hAnsi="Libre Baskerville" w:cs="Libre Baskerville"/>
          <w:color w:val="000000"/>
          <w:sz w:val="20"/>
          <w:szCs w:val="20"/>
        </w:rPr>
        <w:t xml:space="preserve">, especially its first two volumes (the first of which is dedicated to </w:t>
      </w:r>
      <w:proofErr w:type="spellStart"/>
      <w:r>
        <w:rPr>
          <w:rFonts w:ascii="Libre Baskerville" w:eastAsia="Libre Baskerville" w:hAnsi="Libre Baskerville" w:cs="Libre Baskerville"/>
          <w:color w:val="000000"/>
          <w:sz w:val="20"/>
          <w:szCs w:val="20"/>
        </w:rPr>
        <w:t>Momigliano</w:t>
      </w:r>
      <w:proofErr w:type="spellEnd"/>
      <w:r>
        <w:rPr>
          <w:rFonts w:ascii="Libre Baskerville" w:eastAsia="Libre Baskerville" w:hAnsi="Libre Baskerville" w:cs="Libre Baskerville"/>
          <w:color w:val="000000"/>
          <w:sz w:val="20"/>
          <w:szCs w:val="20"/>
        </w:rPr>
        <w:t>).</w:t>
      </w:r>
    </w:p>
    <w:bookmarkStart w:id="0" w:name="_heading=h.vn8t90og0tjh" w:colFirst="0" w:colLast="0"/>
    <w:bookmarkEnd w:id="0"/>
  </w:footnote>
  <w:footnote w:id="37">
    <w:p w14:paraId="0000008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bookmarkStart w:id="1" w:name="_heading=h.vn8t90og0tjh" w:colFirst="0" w:colLast="0"/>
      <w:bookmarkEnd w:id="1"/>
      <w:r>
        <w:rPr>
          <w:rStyle w:val="FootnoteReference"/>
        </w:rPr>
        <w:footnoteRef/>
      </w:r>
      <w:r>
        <w:rPr>
          <w:rFonts w:ascii="Libre Baskerville" w:eastAsia="Libre Baskerville" w:hAnsi="Libre Baskerville" w:cs="Libre Baskerville"/>
          <w:color w:val="000000"/>
          <w:sz w:val="20"/>
          <w:szCs w:val="20"/>
        </w:rPr>
        <w:t xml:space="preserve"> John Robertson, “Gibbon’s Roman Empire as a Universal Monarchy: The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and the Imperial Idea in Early Modern Europe,” in </w:t>
      </w:r>
      <w:r>
        <w:rPr>
          <w:rFonts w:ascii="Libre Baskerville" w:eastAsia="Libre Baskerville" w:hAnsi="Libre Baskerville" w:cs="Libre Baskerville"/>
          <w:i/>
          <w:color w:val="000000"/>
          <w:sz w:val="20"/>
          <w:szCs w:val="20"/>
        </w:rPr>
        <w:t>Edward Gibbon and Empire</w:t>
      </w:r>
      <w:r>
        <w:rPr>
          <w:rFonts w:ascii="Libre Baskerville" w:eastAsia="Libre Baskerville" w:hAnsi="Libre Baskerville" w:cs="Libre Baskerville"/>
          <w:color w:val="000000"/>
          <w:sz w:val="20"/>
          <w:szCs w:val="20"/>
        </w:rPr>
        <w:t>, ed. Rosamond McKitterick and Roland Quinault (Cambridge: Cambridge University Press, 1997), 247.</w:t>
      </w:r>
    </w:p>
  </w:footnote>
  <w:footnote w:id="38">
    <w:p w14:paraId="0000008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 237.</w:t>
      </w:r>
    </w:p>
  </w:footnote>
  <w:footnote w:id="39">
    <w:p w14:paraId="0000008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Montesquieu,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xml:space="preserve">, §598. Cp. Young, </w:t>
      </w:r>
      <w:r>
        <w:rPr>
          <w:rFonts w:ascii="Libre Baskerville" w:eastAsia="Libre Baskerville" w:hAnsi="Libre Baskerville" w:cs="Libre Baskerville"/>
          <w:i/>
          <w:color w:val="000000"/>
          <w:sz w:val="20"/>
          <w:szCs w:val="20"/>
        </w:rPr>
        <w:t>Gibbon</w:t>
      </w:r>
      <w:r>
        <w:rPr>
          <w:rFonts w:ascii="Libre Baskerville" w:eastAsia="Libre Baskerville" w:hAnsi="Libre Baskerville" w:cs="Libre Baskerville"/>
          <w:color w:val="000000"/>
          <w:sz w:val="20"/>
          <w:szCs w:val="20"/>
        </w:rPr>
        <w:t>, 151: “the first step toward the comprehension of Byzantine history is to forget all that Gibbon has said about it.”</w:t>
      </w:r>
    </w:p>
  </w:footnote>
  <w:footnote w:id="40">
    <w:p w14:paraId="0000008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xml:space="preserve">, 105, 292; David Hume, “Of the Middle Station of Life” (1742), in </w:t>
      </w:r>
      <w:r>
        <w:rPr>
          <w:rFonts w:ascii="Libre Baskerville" w:eastAsia="Libre Baskerville" w:hAnsi="Libre Baskerville" w:cs="Libre Baskerville"/>
          <w:i/>
          <w:color w:val="000000"/>
          <w:sz w:val="20"/>
          <w:szCs w:val="20"/>
        </w:rPr>
        <w:t>Essays, Moral, Political, and Literary</w:t>
      </w:r>
      <w:r>
        <w:rPr>
          <w:rFonts w:ascii="Libre Baskerville" w:eastAsia="Libre Baskerville" w:hAnsi="Libre Baskerville" w:cs="Libre Baskerville"/>
          <w:color w:val="000000"/>
          <w:sz w:val="20"/>
          <w:szCs w:val="20"/>
        </w:rPr>
        <w:t>, ed. Eugene F. Miller (Indianapolis: Liberty Fund, 1985), 547–8.</w:t>
      </w:r>
    </w:p>
    <w:bookmarkStart w:id="2" w:name="_heading=h.5aro3g6sebff" w:colFirst="0" w:colLast="0"/>
    <w:bookmarkEnd w:id="2"/>
  </w:footnote>
  <w:footnote w:id="41">
    <w:p w14:paraId="0000008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bookmarkStart w:id="3" w:name="_heading=h.5aro3g6sebff" w:colFirst="0" w:colLast="0"/>
      <w:bookmarkEnd w:id="3"/>
      <w:r>
        <w:rPr>
          <w:rStyle w:val="FootnoteReference"/>
        </w:rPr>
        <w:footnoteRef/>
      </w:r>
      <w:r>
        <w:rPr>
          <w:rFonts w:ascii="Libre Baskerville" w:eastAsia="Libre Baskerville" w:hAnsi="Libre Baskerville" w:cs="Libre Baskerville"/>
          <w:color w:val="000000"/>
          <w:sz w:val="20"/>
          <w:szCs w:val="20"/>
        </w:rPr>
        <w:t xml:space="preserve"> David Hume to William Strahan, August 1770, in </w:t>
      </w:r>
      <w:r>
        <w:rPr>
          <w:rFonts w:ascii="Libre Baskerville" w:eastAsia="Libre Baskerville" w:hAnsi="Libre Baskerville" w:cs="Libre Baskerville"/>
          <w:i/>
          <w:color w:val="000000"/>
          <w:sz w:val="20"/>
          <w:szCs w:val="20"/>
        </w:rPr>
        <w:t>Letters of David Hume</w:t>
      </w:r>
      <w:r>
        <w:rPr>
          <w:rFonts w:ascii="Libre Baskerville" w:eastAsia="Libre Baskerville" w:hAnsi="Libre Baskerville" w:cs="Libre Baskerville"/>
          <w:color w:val="000000"/>
          <w:sz w:val="20"/>
          <w:szCs w:val="20"/>
        </w:rPr>
        <w:t xml:space="preserve">, ii. 230. </w:t>
      </w:r>
    </w:p>
  </w:footnote>
  <w:footnote w:id="42">
    <w:p w14:paraId="0000008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iii. 811 n. 41. For Johnson’s view that, in history, “all the greatest powers of the mind are quiescent,” see Trevor-Roper, “Gibbon and the Publication,” 148.</w:t>
      </w:r>
    </w:p>
  </w:footnote>
  <w:footnote w:id="43">
    <w:p w14:paraId="0000008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338. Indeed, one scholar considers this an overcorrection, which has led to the neglect of Gibbon’s stylistic qualities: Parker, “Gibbon’s Style,” 167.</w:t>
      </w:r>
    </w:p>
  </w:footnote>
  <w:footnote w:id="44">
    <w:p w14:paraId="0000008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152.</w:t>
      </w:r>
    </w:p>
  </w:footnote>
  <w:footnote w:id="45">
    <w:p w14:paraId="0000008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J’ai</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toujours</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méprisé</w:t>
      </w:r>
      <w:proofErr w:type="spellEnd"/>
      <w:r>
        <w:rPr>
          <w:rFonts w:ascii="Libre Baskerville" w:eastAsia="Libre Baskerville" w:hAnsi="Libre Baskerville" w:cs="Libre Baskerville"/>
          <w:color w:val="000000"/>
          <w:sz w:val="20"/>
          <w:szCs w:val="20"/>
        </w:rPr>
        <w:t xml:space="preserve"> la triste </w:t>
      </w:r>
      <w:proofErr w:type="spellStart"/>
      <w:r>
        <w:rPr>
          <w:rFonts w:ascii="Libre Baskerville" w:eastAsia="Libre Baskerville" w:hAnsi="Libre Baskerville" w:cs="Libre Baskerville"/>
          <w:color w:val="000000"/>
          <w:sz w:val="20"/>
          <w:szCs w:val="20"/>
        </w:rPr>
        <w:t>philosophie</w:t>
      </w:r>
      <w:proofErr w:type="spellEnd"/>
      <w:r>
        <w:rPr>
          <w:rFonts w:ascii="Libre Baskerville" w:eastAsia="Libre Baskerville" w:hAnsi="Libre Baskerville" w:cs="Libre Baskerville"/>
          <w:color w:val="000000"/>
          <w:sz w:val="20"/>
          <w:szCs w:val="20"/>
        </w:rPr>
        <w:t xml:space="preserve"> qui </w:t>
      </w:r>
      <w:proofErr w:type="spellStart"/>
      <w:r>
        <w:rPr>
          <w:rFonts w:ascii="Libre Baskerville" w:eastAsia="Libre Baskerville" w:hAnsi="Libre Baskerville" w:cs="Libre Baskerville"/>
          <w:color w:val="000000"/>
          <w:sz w:val="20"/>
          <w:szCs w:val="20"/>
        </w:rPr>
        <w:t>veut</w:t>
      </w:r>
      <w:proofErr w:type="spellEnd"/>
      <w:r>
        <w:rPr>
          <w:rFonts w:ascii="Libre Baskerville" w:eastAsia="Libre Baskerville" w:hAnsi="Libre Baskerville" w:cs="Libre Baskerville"/>
          <w:color w:val="000000"/>
          <w:sz w:val="20"/>
          <w:szCs w:val="20"/>
        </w:rPr>
        <w:t xml:space="preserve"> nous </w:t>
      </w:r>
      <w:proofErr w:type="spellStart"/>
      <w:r>
        <w:rPr>
          <w:rFonts w:ascii="Libre Baskerville" w:eastAsia="Libre Baskerville" w:hAnsi="Libre Baskerville" w:cs="Libre Baskerville"/>
          <w:color w:val="000000"/>
          <w:sz w:val="20"/>
          <w:szCs w:val="20"/>
        </w:rPr>
        <w:t>rendre</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insensibles</w:t>
      </w:r>
      <w:proofErr w:type="spellEnd"/>
      <w:r>
        <w:rPr>
          <w:rFonts w:ascii="Libre Baskerville" w:eastAsia="Libre Baskerville" w:hAnsi="Libre Baskerville" w:cs="Libre Baskerville"/>
          <w:color w:val="000000"/>
          <w:sz w:val="20"/>
          <w:szCs w:val="20"/>
        </w:rPr>
        <w:t xml:space="preserve"> à la gloire. </w:t>
      </w:r>
      <w:proofErr w:type="spellStart"/>
      <w:r>
        <w:rPr>
          <w:rFonts w:ascii="Libre Baskerville" w:eastAsia="Libre Baskerville" w:hAnsi="Libre Baskerville" w:cs="Libre Baskerville"/>
          <w:color w:val="000000"/>
          <w:sz w:val="20"/>
          <w:szCs w:val="20"/>
        </w:rPr>
        <w:t>J’ambitionne</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celle</w:t>
      </w:r>
      <w:proofErr w:type="spellEnd"/>
      <w:r>
        <w:rPr>
          <w:rFonts w:ascii="Libre Baskerville" w:eastAsia="Libre Baskerville" w:hAnsi="Libre Baskerville" w:cs="Libre Baskerville"/>
          <w:color w:val="000000"/>
          <w:sz w:val="20"/>
          <w:szCs w:val="20"/>
        </w:rPr>
        <w:t xml:space="preserve"> d’être </w:t>
      </w:r>
      <w:proofErr w:type="spellStart"/>
      <w:r>
        <w:rPr>
          <w:rFonts w:ascii="Libre Baskerville" w:eastAsia="Libre Baskerville" w:hAnsi="Libre Baskerville" w:cs="Libre Baskerville"/>
          <w:color w:val="000000"/>
          <w:sz w:val="20"/>
          <w:szCs w:val="20"/>
        </w:rPr>
        <w:t>lu</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en</w:t>
      </w:r>
      <w:proofErr w:type="spellEnd"/>
      <w:r>
        <w:rPr>
          <w:rFonts w:ascii="Libre Baskerville" w:eastAsia="Libre Baskerville" w:hAnsi="Libre Baskerville" w:cs="Libre Baskerville"/>
          <w:color w:val="000000"/>
          <w:sz w:val="20"/>
          <w:szCs w:val="20"/>
        </w:rPr>
        <w:t xml:space="preserve"> France et dans le Continent”: Gibbon to Jean-Baptiste-Antoine Suard, 8 November 1776,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ii. 121–4.</w:t>
      </w:r>
    </w:p>
  </w:footnote>
  <w:footnote w:id="46">
    <w:p w14:paraId="0000008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Bowersock, </w:t>
      </w:r>
      <w:r>
        <w:rPr>
          <w:rFonts w:ascii="Libre Baskerville" w:eastAsia="Libre Baskerville" w:hAnsi="Libre Baskerville" w:cs="Libre Baskerville"/>
          <w:i/>
          <w:color w:val="000000"/>
          <w:sz w:val="20"/>
          <w:szCs w:val="20"/>
        </w:rPr>
        <w:t>From Gibbon to Auden</w:t>
      </w:r>
      <w:r>
        <w:rPr>
          <w:rFonts w:ascii="Libre Baskerville" w:eastAsia="Libre Baskerville" w:hAnsi="Libre Baskerville" w:cs="Libre Baskerville"/>
          <w:color w:val="000000"/>
          <w:sz w:val="20"/>
          <w:szCs w:val="20"/>
        </w:rPr>
        <w:t xml:space="preserve">, 19; cp. Young, </w:t>
      </w:r>
      <w:r>
        <w:rPr>
          <w:rFonts w:ascii="Libre Baskerville" w:eastAsia="Libre Baskerville" w:hAnsi="Libre Baskerville" w:cs="Libre Baskerville"/>
          <w:i/>
          <w:color w:val="000000"/>
          <w:sz w:val="20"/>
          <w:szCs w:val="20"/>
        </w:rPr>
        <w:t>Gibbon</w:t>
      </w:r>
      <w:r>
        <w:rPr>
          <w:rFonts w:ascii="Libre Baskerville" w:eastAsia="Libre Baskerville" w:hAnsi="Libre Baskerville" w:cs="Libre Baskerville"/>
          <w:color w:val="000000"/>
          <w:sz w:val="20"/>
          <w:szCs w:val="20"/>
        </w:rPr>
        <w:t xml:space="preserve">, 73: Gibbon’s “triumph was the triumph of </w:t>
      </w:r>
      <w:r>
        <w:rPr>
          <w:rFonts w:ascii="Libre Baskerville" w:eastAsia="Libre Baskerville" w:hAnsi="Libre Baskerville" w:cs="Libre Baskerville"/>
          <w:i/>
          <w:color w:val="000000"/>
          <w:sz w:val="20"/>
          <w:szCs w:val="20"/>
        </w:rPr>
        <w:t>genius</w:t>
      </w:r>
      <w:r>
        <w:rPr>
          <w:rFonts w:ascii="Libre Baskerville" w:eastAsia="Libre Baskerville" w:hAnsi="Libre Baskerville" w:cs="Libre Baskerville"/>
          <w:color w:val="000000"/>
          <w:sz w:val="20"/>
          <w:szCs w:val="20"/>
        </w:rPr>
        <w:t>” (emphasis added).</w:t>
      </w:r>
    </w:p>
    <w:bookmarkStart w:id="4" w:name="_heading=h.h06rtse6jbdb" w:colFirst="0" w:colLast="0"/>
    <w:bookmarkEnd w:id="4"/>
  </w:footnote>
  <w:footnote w:id="47">
    <w:p w14:paraId="0000008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bookmarkStart w:id="5" w:name="_heading=h.h06rtse6jbdb" w:colFirst="0" w:colLast="0"/>
      <w:bookmarkEnd w:id="5"/>
      <w:r>
        <w:rPr>
          <w:rStyle w:val="FootnoteReference"/>
        </w:rPr>
        <w:footnoteRef/>
      </w:r>
      <w:r>
        <w:rPr>
          <w:rFonts w:ascii="Libre Baskerville" w:eastAsia="Libre Baskerville" w:hAnsi="Libre Baskerville" w:cs="Libre Baskerville"/>
          <w:color w:val="000000"/>
          <w:sz w:val="20"/>
          <w:szCs w:val="20"/>
        </w:rPr>
        <w:t xml:space="preserve"> Lewis Hyde, </w:t>
      </w:r>
      <w:r>
        <w:rPr>
          <w:rFonts w:ascii="Libre Baskerville" w:eastAsia="Libre Baskerville" w:hAnsi="Libre Baskerville" w:cs="Libre Baskerville"/>
          <w:i/>
          <w:color w:val="000000"/>
          <w:sz w:val="20"/>
          <w:szCs w:val="20"/>
        </w:rPr>
        <w:t>The Gift: How the Creative Spirit Transforms the World</w:t>
      </w:r>
      <w:r>
        <w:rPr>
          <w:rFonts w:ascii="Libre Baskerville" w:eastAsia="Libre Baskerville" w:hAnsi="Libre Baskerville" w:cs="Libre Baskerville"/>
          <w:color w:val="000000"/>
          <w:sz w:val="20"/>
          <w:szCs w:val="20"/>
        </w:rPr>
        <w:t xml:space="preserve"> (orig. 1983; new </w:t>
      </w:r>
      <w:proofErr w:type="spellStart"/>
      <w:r>
        <w:rPr>
          <w:rFonts w:ascii="Libre Baskerville" w:eastAsia="Libre Baskerville" w:hAnsi="Libre Baskerville" w:cs="Libre Baskerville"/>
          <w:color w:val="000000"/>
          <w:sz w:val="20"/>
          <w:szCs w:val="20"/>
        </w:rPr>
        <w:t>edn</w:t>
      </w:r>
      <w:proofErr w:type="spellEnd"/>
      <w:r>
        <w:rPr>
          <w:rFonts w:ascii="Libre Baskerville" w:eastAsia="Libre Baskerville" w:hAnsi="Libre Baskerville" w:cs="Libre Baskerville"/>
          <w:color w:val="000000"/>
          <w:sz w:val="20"/>
          <w:szCs w:val="20"/>
        </w:rPr>
        <w:t>, London: Canongate, 2012), 196.</w:t>
      </w:r>
    </w:p>
  </w:footnote>
  <w:footnote w:id="48">
    <w:p w14:paraId="0000008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Walt Whitman, “Democratic Vistas” (1871), in </w:t>
      </w:r>
      <w:r>
        <w:rPr>
          <w:rFonts w:ascii="Libre Baskerville" w:eastAsia="Libre Baskerville" w:hAnsi="Libre Baskerville" w:cs="Libre Baskerville"/>
          <w:i/>
          <w:color w:val="000000"/>
          <w:sz w:val="20"/>
          <w:szCs w:val="20"/>
        </w:rPr>
        <w:t>Democratic Vistas and Other Papers</w:t>
      </w:r>
      <w:r>
        <w:rPr>
          <w:rFonts w:ascii="Libre Baskerville" w:eastAsia="Libre Baskerville" w:hAnsi="Libre Baskerville" w:cs="Libre Baskerville"/>
          <w:color w:val="000000"/>
          <w:sz w:val="20"/>
          <w:szCs w:val="20"/>
        </w:rPr>
        <w:t xml:space="preserve"> (London: Walter Scott, 1888), 34.</w:t>
      </w:r>
    </w:p>
    <w:bookmarkStart w:id="6" w:name="_heading=h.za0qc4ufwfor" w:colFirst="0" w:colLast="0"/>
    <w:bookmarkEnd w:id="6"/>
  </w:footnote>
  <w:footnote w:id="49">
    <w:p w14:paraId="0000008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bookmarkStart w:id="7" w:name="_heading=h.za0qc4ufwfor" w:colFirst="0" w:colLast="0"/>
      <w:bookmarkEnd w:id="7"/>
      <w:r>
        <w:rPr>
          <w:rStyle w:val="FootnoteReference"/>
        </w:rPr>
        <w:footnoteRef/>
      </w:r>
      <w:r>
        <w:rPr>
          <w:rFonts w:ascii="Libre Baskerville" w:eastAsia="Libre Baskerville" w:hAnsi="Libre Baskerville" w:cs="Libre Baskerville"/>
          <w:color w:val="000000"/>
          <w:sz w:val="20"/>
          <w:szCs w:val="20"/>
        </w:rPr>
        <w:t xml:space="preserve"> Robert Macfarlane, </w:t>
      </w:r>
      <w:r>
        <w:rPr>
          <w:rFonts w:ascii="Libre Baskerville" w:eastAsia="Libre Baskerville" w:hAnsi="Libre Baskerville" w:cs="Libre Baskerville"/>
          <w:i/>
          <w:color w:val="000000"/>
          <w:sz w:val="20"/>
          <w:szCs w:val="20"/>
        </w:rPr>
        <w:t>The Gifts of Reading</w:t>
      </w:r>
      <w:r>
        <w:rPr>
          <w:rFonts w:ascii="Libre Baskerville" w:eastAsia="Libre Baskerville" w:hAnsi="Libre Baskerville" w:cs="Libre Baskerville"/>
          <w:color w:val="000000"/>
          <w:sz w:val="20"/>
          <w:szCs w:val="20"/>
        </w:rPr>
        <w:t xml:space="preserve"> (London: Penguin, 2016), 18–21.</w:t>
      </w:r>
    </w:p>
  </w:footnote>
  <w:footnote w:id="50">
    <w:p w14:paraId="0000008E" w14:textId="40845EB6"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w:t>
      </w:r>
      <w:r>
        <w:rPr>
          <w:rFonts w:ascii="Libre Baskerville" w:eastAsia="Libre Baskerville" w:hAnsi="Libre Baskerville" w:cs="Libre Baskerville"/>
          <w:i/>
          <w:color w:val="000000"/>
          <w:sz w:val="20"/>
          <w:szCs w:val="20"/>
        </w:rPr>
        <w:t>The Idea of a Christian Society</w:t>
      </w:r>
      <w:r>
        <w:rPr>
          <w:rFonts w:ascii="Libre Baskerville" w:eastAsia="Libre Baskerville" w:hAnsi="Libre Baskerville" w:cs="Libre Baskerville"/>
          <w:color w:val="000000"/>
          <w:sz w:val="20"/>
          <w:szCs w:val="20"/>
        </w:rPr>
        <w:t xml:space="preserve"> (New York: Harcourt, Brace &amp; Co., 1940), 15. </w:t>
      </w:r>
    </w:p>
  </w:footnote>
  <w:footnote w:id="51">
    <w:p w14:paraId="0000008F" w14:textId="771D5000"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“Tradition and the Individual Talent” (1919), in </w:t>
      </w:r>
      <w:r>
        <w:rPr>
          <w:rFonts w:ascii="Libre Baskerville" w:eastAsia="Libre Baskerville" w:hAnsi="Libre Baskerville" w:cs="Libre Baskerville"/>
          <w:i/>
          <w:color w:val="000000"/>
          <w:sz w:val="20"/>
          <w:szCs w:val="20"/>
        </w:rPr>
        <w:t>Selected Essays</w:t>
      </w:r>
      <w:r>
        <w:rPr>
          <w:rFonts w:ascii="Libre Baskerville" w:eastAsia="Libre Baskerville" w:hAnsi="Libre Baskerville" w:cs="Libre Baskerville"/>
          <w:color w:val="000000"/>
          <w:sz w:val="20"/>
          <w:szCs w:val="20"/>
        </w:rPr>
        <w:t>, 4; 7.</w:t>
      </w:r>
    </w:p>
  </w:footnote>
  <w:footnote w:id="52">
    <w:p w14:paraId="00000090" w14:textId="3066EC58"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“Dante” (1929), in </w:t>
      </w:r>
      <w:r>
        <w:rPr>
          <w:rFonts w:ascii="Libre Baskerville" w:eastAsia="Libre Baskerville" w:hAnsi="Libre Baskerville" w:cs="Libre Baskerville"/>
          <w:i/>
          <w:color w:val="000000"/>
          <w:sz w:val="20"/>
          <w:szCs w:val="20"/>
        </w:rPr>
        <w:t>Selected Essays</w:t>
      </w:r>
      <w:r>
        <w:rPr>
          <w:rFonts w:ascii="Libre Baskerville" w:eastAsia="Libre Baskerville" w:hAnsi="Libre Baskerville" w:cs="Libre Baskerville"/>
          <w:color w:val="000000"/>
          <w:sz w:val="20"/>
          <w:szCs w:val="20"/>
        </w:rPr>
        <w:t>, 236.</w:t>
      </w:r>
    </w:p>
  </w:footnote>
  <w:footnote w:id="53">
    <w:p w14:paraId="00000091" w14:textId="3BADAF00"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“Tradition and the Individual Talent,” 5; 11.</w:t>
      </w:r>
    </w:p>
  </w:footnote>
  <w:footnote w:id="54">
    <w:p w14:paraId="00000092" w14:textId="5FAD8F9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As Eliot insistently uses the male pronoun, and as the following paragraphs combine paraphrase with extended exposition, I have felt constrained to follow his practice.</w:t>
      </w:r>
    </w:p>
  </w:footnote>
  <w:footnote w:id="55">
    <w:p w14:paraId="00000093" w14:textId="3BC94273"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 S. Eliot, “The Function of Criticism” (1923), in </w:t>
      </w:r>
      <w:r>
        <w:rPr>
          <w:rFonts w:ascii="Libre Baskerville" w:eastAsia="Libre Baskerville" w:hAnsi="Libre Baskerville" w:cs="Libre Baskerville"/>
          <w:i/>
          <w:color w:val="000000"/>
          <w:sz w:val="20"/>
          <w:szCs w:val="20"/>
        </w:rPr>
        <w:t>Selected Essays</w:t>
      </w:r>
      <w:r>
        <w:rPr>
          <w:rFonts w:ascii="Libre Baskerville" w:eastAsia="Libre Baskerville" w:hAnsi="Libre Baskerville" w:cs="Libre Baskerville"/>
          <w:color w:val="000000"/>
          <w:sz w:val="20"/>
          <w:szCs w:val="20"/>
        </w:rPr>
        <w:t>,</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18.</w:t>
      </w:r>
    </w:p>
  </w:footnote>
  <w:footnote w:id="56">
    <w:p w14:paraId="00000094" w14:textId="60BAC82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Eliot, “Religion and Literature,”</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349–50.</w:t>
      </w:r>
    </w:p>
  </w:footnote>
  <w:footnote w:id="57">
    <w:p w14:paraId="00000095" w14:textId="1AFBED92"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Eliot, “The Function of Criticism,”</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13.</w:t>
      </w:r>
    </w:p>
  </w:footnote>
  <w:footnote w:id="58">
    <w:p w14:paraId="0000009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proofErr w:type="spellStart"/>
      <w:r>
        <w:rPr>
          <w:rFonts w:ascii="Libre Baskerville" w:eastAsia="Libre Baskerville" w:hAnsi="Libre Baskerville" w:cs="Libre Baskerville"/>
          <w:color w:val="000000"/>
          <w:sz w:val="20"/>
          <w:szCs w:val="20"/>
        </w:rPr>
        <w:t>Mémoire</w:t>
      </w:r>
      <w:proofErr w:type="spellEnd"/>
      <w:r>
        <w:rPr>
          <w:rFonts w:ascii="Libre Baskerville" w:eastAsia="Libre Baskerville" w:hAnsi="Libre Baskerville" w:cs="Libre Baskerville"/>
          <w:color w:val="000000"/>
          <w:sz w:val="20"/>
          <w:szCs w:val="20"/>
        </w:rPr>
        <w:t xml:space="preserve"> sur La </w:t>
      </w:r>
      <w:proofErr w:type="spellStart"/>
      <w:r>
        <w:rPr>
          <w:rFonts w:ascii="Libre Baskerville" w:eastAsia="Libre Baskerville" w:hAnsi="Libre Baskerville" w:cs="Libre Baskerville"/>
          <w:color w:val="000000"/>
          <w:sz w:val="20"/>
          <w:szCs w:val="20"/>
        </w:rPr>
        <w:t>Monarchie</w:t>
      </w:r>
      <w:proofErr w:type="spellEnd"/>
      <w:r>
        <w:rPr>
          <w:rFonts w:ascii="Libre Baskerville" w:eastAsia="Libre Baskerville" w:hAnsi="Libre Baskerville" w:cs="Libre Baskerville"/>
          <w:color w:val="000000"/>
          <w:sz w:val="20"/>
          <w:szCs w:val="20"/>
        </w:rPr>
        <w:t xml:space="preserve"> des </w:t>
      </w:r>
      <w:proofErr w:type="spellStart"/>
      <w:r>
        <w:rPr>
          <w:rFonts w:ascii="Libre Baskerville" w:eastAsia="Libre Baskerville" w:hAnsi="Libre Baskerville" w:cs="Libre Baskerville"/>
          <w:color w:val="000000"/>
          <w:sz w:val="20"/>
          <w:szCs w:val="20"/>
        </w:rPr>
        <w:t>Mèdes</w:t>
      </w:r>
      <w:proofErr w:type="spellEnd"/>
      <w:r>
        <w:rPr>
          <w:rFonts w:ascii="Libre Baskerville" w:eastAsia="Libre Baskerville" w:hAnsi="Libre Baskerville" w:cs="Libre Baskerville"/>
          <w:color w:val="000000"/>
          <w:sz w:val="20"/>
          <w:szCs w:val="20"/>
        </w:rPr>
        <w:t xml:space="preserve">” (c.1758–63), in </w:t>
      </w:r>
      <w:r>
        <w:rPr>
          <w:rFonts w:ascii="Libre Baskerville" w:eastAsia="Libre Baskerville" w:hAnsi="Libre Baskerville" w:cs="Libre Baskerville"/>
          <w:i/>
          <w:color w:val="000000"/>
          <w:sz w:val="20"/>
          <w:szCs w:val="20"/>
        </w:rPr>
        <w:t>The Miscellaneous Works of Edward Gibbon</w:t>
      </w:r>
      <w:r>
        <w:rPr>
          <w:rFonts w:ascii="Libre Baskerville" w:eastAsia="Libre Baskerville" w:hAnsi="Libre Baskerville" w:cs="Libre Baskerville"/>
          <w:color w:val="000000"/>
          <w:sz w:val="20"/>
          <w:szCs w:val="20"/>
        </w:rPr>
        <w:t>, ed. John, Lord Sheffield, 3 vols. (London: John Murray, 1815), iii.</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45.</w:t>
      </w:r>
    </w:p>
  </w:footnote>
  <w:footnote w:id="59">
    <w:p w14:paraId="0000009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All translations of Gibbon’s writings in French are mine, unless otherwise stated.</w:t>
      </w:r>
    </w:p>
  </w:footnote>
  <w:footnote w:id="60">
    <w:p w14:paraId="0000009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 Vindication</w:t>
      </w:r>
      <w:r>
        <w:rPr>
          <w:rFonts w:ascii="Libre Baskerville" w:eastAsia="Libre Baskerville" w:hAnsi="Libre Baskerville" w:cs="Libre Baskerville"/>
          <w:color w:val="000000"/>
          <w:sz w:val="20"/>
          <w:szCs w:val="20"/>
        </w:rPr>
        <w:t>, 353.</w:t>
      </w:r>
    </w:p>
  </w:footnote>
  <w:footnote w:id="61">
    <w:p w14:paraId="0000009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349.</w:t>
      </w:r>
    </w:p>
  </w:footnote>
  <w:footnote w:id="62">
    <w:p w14:paraId="0000009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286.</w:t>
      </w:r>
    </w:p>
  </w:footnote>
  <w:footnote w:id="63">
    <w:p w14:paraId="0000009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Edward Gibbon, </w:t>
      </w:r>
      <w:r>
        <w:rPr>
          <w:rFonts w:ascii="Libre Baskerville" w:eastAsia="Libre Baskerville" w:hAnsi="Libre Baskerville" w:cs="Libre Baskerville"/>
          <w:i/>
          <w:color w:val="000000"/>
          <w:sz w:val="20"/>
          <w:szCs w:val="20"/>
        </w:rPr>
        <w:t xml:space="preserve">Essai sur </w:t>
      </w:r>
      <w:proofErr w:type="spellStart"/>
      <w:r>
        <w:rPr>
          <w:rFonts w:ascii="Libre Baskerville" w:eastAsia="Libre Baskerville" w:hAnsi="Libre Baskerville" w:cs="Libre Baskerville"/>
          <w:i/>
          <w:color w:val="000000"/>
          <w:sz w:val="20"/>
          <w:szCs w:val="20"/>
        </w:rPr>
        <w:t>l’étude</w:t>
      </w:r>
      <w:proofErr w:type="spellEnd"/>
      <w:r>
        <w:rPr>
          <w:rFonts w:ascii="Libre Baskerville" w:eastAsia="Libre Baskerville" w:hAnsi="Libre Baskerville" w:cs="Libre Baskerville"/>
          <w:i/>
          <w:color w:val="000000"/>
          <w:sz w:val="20"/>
          <w:szCs w:val="20"/>
        </w:rPr>
        <w:t xml:space="preserve"> de la </w:t>
      </w:r>
      <w:proofErr w:type="spellStart"/>
      <w:r>
        <w:rPr>
          <w:rFonts w:ascii="Libre Baskerville" w:eastAsia="Libre Baskerville" w:hAnsi="Libre Baskerville" w:cs="Libre Baskerville"/>
          <w:i/>
          <w:color w:val="000000"/>
          <w:sz w:val="20"/>
          <w:szCs w:val="20"/>
        </w:rPr>
        <w:t>littérature</w:t>
      </w:r>
      <w:proofErr w:type="spellEnd"/>
      <w:r>
        <w:rPr>
          <w:rFonts w:ascii="Libre Baskerville" w:eastAsia="Libre Baskerville" w:hAnsi="Libre Baskerville" w:cs="Libre Baskerville"/>
          <w:color w:val="000000"/>
          <w:sz w:val="20"/>
          <w:szCs w:val="20"/>
        </w:rPr>
        <w:t xml:space="preserve"> (London: T. Becket and P. A. de Hont, 1761), 26–7.</w:t>
      </w:r>
    </w:p>
  </w:footnote>
  <w:footnote w:id="64">
    <w:p w14:paraId="0000009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 Vindication</w:t>
      </w:r>
      <w:r>
        <w:rPr>
          <w:rFonts w:ascii="Libre Baskerville" w:eastAsia="Libre Baskerville" w:hAnsi="Libre Baskerville" w:cs="Libre Baskerville"/>
          <w:color w:val="000000"/>
          <w:sz w:val="20"/>
          <w:szCs w:val="20"/>
        </w:rPr>
        <w:t>, 30; 104.</w:t>
      </w:r>
    </w:p>
  </w:footnote>
  <w:footnote w:id="65">
    <w:p w14:paraId="0000009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338–9; 347.</w:t>
      </w:r>
    </w:p>
  </w:footnote>
  <w:footnote w:id="66">
    <w:p w14:paraId="0000009E" w14:textId="3C1E26C2"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This certainly seems true of Gibbon’s “master” and idol, Hume, whose pre-eminent concern appears to have been with the reception of his works, and especially his </w:t>
      </w:r>
      <w:r>
        <w:rPr>
          <w:rFonts w:ascii="Libre Baskerville" w:eastAsia="Libre Baskerville" w:hAnsi="Libre Baskerville" w:cs="Libre Baskerville"/>
          <w:i/>
          <w:color w:val="000000"/>
          <w:sz w:val="20"/>
          <w:szCs w:val="20"/>
        </w:rPr>
        <w:t>History of England</w:t>
      </w:r>
      <w:r>
        <w:rPr>
          <w:rFonts w:ascii="Libre Baskerville" w:eastAsia="Libre Baskerville" w:hAnsi="Libre Baskerville" w:cs="Libre Baskerville"/>
          <w:color w:val="000000"/>
          <w:sz w:val="20"/>
          <w:szCs w:val="20"/>
        </w:rPr>
        <w:t xml:space="preserve">, not merely in Britain, but in England. For further discussion see </w:t>
      </w:r>
      <w:r w:rsidR="00EE2F75" w:rsidRPr="00EE2F75">
        <w:rPr>
          <w:rFonts w:ascii="Libre Baskerville" w:eastAsia="Libre Baskerville" w:hAnsi="Libre Baskerville" w:cs="Libre Baskerville"/>
          <w:color w:val="000000"/>
          <w:sz w:val="20"/>
          <w:szCs w:val="20"/>
        </w:rPr>
        <w:t xml:space="preserve">Tim Stuart-Buttle, </w:t>
      </w:r>
      <w:bookmarkStart w:id="8" w:name="_Hlk200656716"/>
      <w:r w:rsidR="00EE2F75" w:rsidRPr="00EE2F75">
        <w:rPr>
          <w:rFonts w:ascii="Libre Baskerville" w:eastAsia="Libre Baskerville" w:hAnsi="Libre Baskerville" w:cs="Libre Baskerville"/>
          <w:color w:val="000000"/>
          <w:sz w:val="20"/>
          <w:szCs w:val="20"/>
        </w:rPr>
        <w:t xml:space="preserve">“The Notorious Dr. Middleton: David Hume and the Ninewells Years,” </w:t>
      </w:r>
      <w:r w:rsidR="00EE2F75" w:rsidRPr="00EE2F75">
        <w:rPr>
          <w:rFonts w:ascii="Libre Baskerville" w:eastAsia="Libre Baskerville" w:hAnsi="Libre Baskerville" w:cs="Libre Baskerville"/>
          <w:i/>
          <w:iCs/>
          <w:color w:val="000000"/>
          <w:sz w:val="20"/>
          <w:szCs w:val="20"/>
        </w:rPr>
        <w:t>History of European Ideas</w:t>
      </w:r>
      <w:r w:rsidR="00EE2F75" w:rsidRPr="00EE2F75">
        <w:rPr>
          <w:rFonts w:ascii="Libre Baskerville" w:eastAsia="Libre Baskerville" w:hAnsi="Libre Baskerville" w:cs="Libre Baskerville"/>
          <w:color w:val="000000"/>
          <w:sz w:val="20"/>
          <w:szCs w:val="20"/>
        </w:rPr>
        <w:t xml:space="preserve"> 49:2 (2023): 267–94</w:t>
      </w:r>
      <w:bookmarkEnd w:id="8"/>
      <w:r w:rsidR="00EE2F75">
        <w:rPr>
          <w:rFonts w:ascii="Libre Baskerville" w:eastAsia="Libre Baskerville" w:hAnsi="Libre Baskerville" w:cs="Libre Baskerville"/>
          <w:color w:val="000000"/>
          <w:sz w:val="20"/>
          <w:szCs w:val="20"/>
        </w:rPr>
        <w:t>.</w:t>
      </w:r>
    </w:p>
  </w:footnote>
  <w:footnote w:id="67">
    <w:p w14:paraId="0000009F" w14:textId="208A2AF8"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346;</w:t>
      </w:r>
      <w:r>
        <w:rPr>
          <w:rFonts w:ascii="Libre Baskerville" w:eastAsia="Libre Baskerville" w:hAnsi="Libre Baskerville" w:cs="Libre Baskerville"/>
          <w:i/>
          <w:color w:val="000000"/>
          <w:sz w:val="20"/>
          <w:szCs w:val="20"/>
        </w:rPr>
        <w:t xml:space="preserve"> </w:t>
      </w:r>
      <w:r>
        <w:rPr>
          <w:rFonts w:ascii="Libre Baskerville" w:eastAsia="Libre Baskerville" w:hAnsi="Libre Baskerville" w:cs="Libre Baskerville"/>
          <w:color w:val="000000"/>
          <w:sz w:val="20"/>
          <w:szCs w:val="20"/>
        </w:rPr>
        <w:t xml:space="preserve">Gibbon to J. B. Holroyd, 15 May 1775,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xml:space="preserve">, ii. 68–9. </w:t>
      </w:r>
    </w:p>
  </w:footnote>
  <w:footnote w:id="68">
    <w:p w14:paraId="000000A0" w14:textId="49B2B15F" w:rsidR="00D467CA" w:rsidRPr="0044607D"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sidRPr="004F723E">
        <w:rPr>
          <w:rFonts w:ascii="Libre Baskerville" w:eastAsia="Libre Baskerville" w:hAnsi="Libre Baskerville" w:cs="Libre Baskerville"/>
          <w:color w:val="000000"/>
          <w:sz w:val="20"/>
          <w:szCs w:val="20"/>
          <w:lang w:val="fi-FI"/>
        </w:rPr>
        <w:t xml:space="preserve"> </w:t>
      </w:r>
      <w:r w:rsidRPr="004F723E">
        <w:rPr>
          <w:rFonts w:ascii="Libre Baskerville" w:eastAsia="Libre Baskerville" w:hAnsi="Libre Baskerville" w:cs="Libre Baskerville"/>
          <w:color w:val="000000"/>
          <w:sz w:val="20"/>
          <w:szCs w:val="20"/>
          <w:lang w:val="fi-FI"/>
        </w:rPr>
        <w:t xml:space="preserve">Gibbon, </w:t>
      </w:r>
      <w:r w:rsidRPr="004F723E">
        <w:rPr>
          <w:rFonts w:ascii="Libre Baskerville" w:eastAsia="Libre Baskerville" w:hAnsi="Libre Baskerville" w:cs="Libre Baskerville"/>
          <w:i/>
          <w:color w:val="000000"/>
          <w:sz w:val="20"/>
          <w:szCs w:val="20"/>
          <w:lang w:val="fi-FI"/>
        </w:rPr>
        <w:t>Essai</w:t>
      </w:r>
      <w:r w:rsidRPr="004F723E">
        <w:rPr>
          <w:rFonts w:ascii="Libre Baskerville" w:eastAsia="Libre Baskerville" w:hAnsi="Libre Baskerville" w:cs="Libre Baskerville"/>
          <w:color w:val="000000"/>
          <w:sz w:val="20"/>
          <w:szCs w:val="20"/>
          <w:lang w:val="fi-FI"/>
        </w:rPr>
        <w:t>, ‘Avis au Lecteur’, 1.</w:t>
      </w:r>
      <w:r w:rsidR="0044607D" w:rsidRPr="0044607D">
        <w:rPr>
          <w:rFonts w:ascii="Libre Baskerville" w:eastAsia="Libre Baskerville" w:hAnsi="Libre Baskerville" w:cs="Libre Baskerville"/>
          <w:color w:val="000000"/>
          <w:sz w:val="20"/>
          <w:szCs w:val="20"/>
          <w:lang w:val="fi-FI"/>
        </w:rPr>
        <w:t xml:space="preserve"> </w:t>
      </w:r>
      <w:r w:rsidR="0044607D">
        <w:rPr>
          <w:rFonts w:ascii="Libre Baskerville" w:eastAsia="Libre Baskerville" w:hAnsi="Libre Baskerville" w:cs="Libre Baskerville"/>
          <w:color w:val="000000"/>
          <w:sz w:val="20"/>
          <w:szCs w:val="20"/>
        </w:rPr>
        <w:t>For Gibbon’s decided ambivalence towards empire as a political form, at least in Europe, see Robertson, “Gibbon’s Roman Empire.”</w:t>
      </w:r>
    </w:p>
  </w:footnote>
  <w:footnote w:id="69">
    <w:p w14:paraId="000000A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Montesquieu, </w:t>
      </w:r>
      <w:r>
        <w:rPr>
          <w:rFonts w:ascii="Libre Baskerville" w:eastAsia="Libre Baskerville" w:hAnsi="Libre Baskerville" w:cs="Libre Baskerville"/>
          <w:i/>
          <w:color w:val="000000"/>
          <w:sz w:val="20"/>
          <w:szCs w:val="20"/>
        </w:rPr>
        <w:t>My Thoughts (Mes Pensées)</w:t>
      </w:r>
      <w:r>
        <w:rPr>
          <w:rFonts w:ascii="Libre Baskerville" w:eastAsia="Libre Baskerville" w:hAnsi="Libre Baskerville" w:cs="Libre Baskerville"/>
          <w:color w:val="000000"/>
          <w:sz w:val="20"/>
          <w:szCs w:val="20"/>
        </w:rPr>
        <w:t>, §1483; §1790.</w:t>
      </w:r>
    </w:p>
  </w:footnote>
  <w:footnote w:id="70">
    <w:p w14:paraId="000000A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Edward Gibbon, Sr, 9 October 1764,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184.</w:t>
      </w:r>
    </w:p>
  </w:footnote>
  <w:footnote w:id="71">
    <w:p w14:paraId="000000A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“Index Expurgatorius” (c.1765–70), in </w:t>
      </w:r>
      <w:r>
        <w:rPr>
          <w:rFonts w:ascii="Libre Baskerville" w:eastAsia="Libre Baskerville" w:hAnsi="Libre Baskerville" w:cs="Libre Baskerville"/>
          <w:i/>
          <w:color w:val="000000"/>
          <w:sz w:val="20"/>
          <w:szCs w:val="20"/>
        </w:rPr>
        <w:t>English Essays</w:t>
      </w:r>
      <w:r>
        <w:rPr>
          <w:rFonts w:ascii="Libre Baskerville" w:eastAsia="Libre Baskerville" w:hAnsi="Libre Baskerville" w:cs="Libre Baskerville"/>
          <w:color w:val="000000"/>
          <w:sz w:val="20"/>
          <w:szCs w:val="20"/>
        </w:rPr>
        <w:t>, 118.</w:t>
      </w:r>
    </w:p>
  </w:footnote>
  <w:footnote w:id="72">
    <w:p w14:paraId="000000A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Georges </w:t>
      </w:r>
      <w:proofErr w:type="spellStart"/>
      <w:r>
        <w:rPr>
          <w:rFonts w:ascii="Libre Baskerville" w:eastAsia="Libre Baskerville" w:hAnsi="Libre Baskerville" w:cs="Libre Baskerville"/>
          <w:color w:val="000000"/>
          <w:sz w:val="20"/>
          <w:szCs w:val="20"/>
        </w:rPr>
        <w:t>Deyverdun</w:t>
      </w:r>
      <w:proofErr w:type="spellEnd"/>
      <w:r>
        <w:rPr>
          <w:rFonts w:ascii="Libre Baskerville" w:eastAsia="Libre Baskerville" w:hAnsi="Libre Baskerville" w:cs="Libre Baskerville"/>
          <w:color w:val="000000"/>
          <w:sz w:val="20"/>
          <w:szCs w:val="20"/>
        </w:rPr>
        <w:t xml:space="preserve">, 20 May 1783,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ii. 326–30.</w:t>
      </w:r>
    </w:p>
  </w:footnote>
  <w:footnote w:id="73">
    <w:p w14:paraId="000000A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Commenting on Gibbon’s draft of the opening to his projected history of the Swiss revolution in 1767, Hume remarked: “I have only one objection, derived from the language in which it is written. Why do you compose in French, and carry faggots into the wood, as Horace says </w:t>
      </w:r>
      <w:proofErr w:type="gramStart"/>
      <w:r>
        <w:rPr>
          <w:rFonts w:ascii="Libre Baskerville" w:eastAsia="Libre Baskerville" w:hAnsi="Libre Baskerville" w:cs="Libre Baskerville"/>
          <w:color w:val="000000"/>
          <w:sz w:val="20"/>
          <w:szCs w:val="20"/>
        </w:rPr>
        <w:t>with regard to</w:t>
      </w:r>
      <w:proofErr w:type="gramEnd"/>
      <w:r>
        <w:rPr>
          <w:rFonts w:ascii="Libre Baskerville" w:eastAsia="Libre Baskerville" w:hAnsi="Libre Baskerville" w:cs="Libre Baskerville"/>
          <w:color w:val="000000"/>
          <w:sz w:val="20"/>
          <w:szCs w:val="20"/>
        </w:rPr>
        <w:t xml:space="preserve"> the Romans who wrote in Greek? I grant that you have a like motive to those Romans, and adopt a language much more generally diffused than your native tongue. But have you not remarked the fate of those two ancient languages in following ages? The Latin, though then less celebrated, and confined to more narrow limits, has in some measure outlived the Greek, and is now more generally understood by men of letters. Let the French, therefore, triumph in the present diffusion of their tongue. Our solid and increasing establishments in America, where we need less dread the inundation of Barbarians, promise a superior stability and duration to the English language”: Hume to Gibbon, 24 Oct. 1767, in </w:t>
      </w:r>
      <w:r>
        <w:rPr>
          <w:rFonts w:ascii="Libre Baskerville" w:eastAsia="Libre Baskerville" w:hAnsi="Libre Baskerville" w:cs="Libre Baskerville"/>
          <w:i/>
          <w:color w:val="000000"/>
          <w:sz w:val="20"/>
          <w:szCs w:val="20"/>
        </w:rPr>
        <w:t>Letters of David Hume</w:t>
      </w:r>
      <w:r>
        <w:rPr>
          <w:rFonts w:ascii="Libre Baskerville" w:eastAsia="Libre Baskerville" w:hAnsi="Libre Baskerville" w:cs="Libre Baskerville"/>
          <w:color w:val="000000"/>
          <w:sz w:val="20"/>
          <w:szCs w:val="20"/>
        </w:rPr>
        <w:t>, ii. 170–71.</w:t>
      </w:r>
    </w:p>
  </w:footnote>
  <w:footnote w:id="74">
    <w:p w14:paraId="000000A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xml:space="preserve">, 278. The surprise that the English language might be capable of expressing refined thoughts, not least because of the general perception that “there is no one who imitates” the “Ancients […] so little and is further removed from them” than the English, is Montesquieu’s: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§251.</w:t>
      </w:r>
    </w:p>
  </w:footnote>
  <w:footnote w:id="75">
    <w:p w14:paraId="000000A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166–7.</w:t>
      </w:r>
    </w:p>
  </w:footnote>
  <w:footnote w:id="76">
    <w:p w14:paraId="000000A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528 (“the inimitable character of the style of Tacitus”).</w:t>
      </w:r>
    </w:p>
  </w:footnote>
  <w:footnote w:id="77">
    <w:p w14:paraId="000000A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Essai</w:t>
      </w:r>
      <w:r>
        <w:rPr>
          <w:rFonts w:ascii="Libre Baskerville" w:eastAsia="Libre Baskerville" w:hAnsi="Libre Baskerville" w:cs="Libre Baskerville"/>
          <w:color w:val="000000"/>
          <w:sz w:val="20"/>
          <w:szCs w:val="20"/>
        </w:rPr>
        <w:t xml:space="preserve">, 107 (“Si les philosophes ne </w:t>
      </w:r>
      <w:proofErr w:type="spellStart"/>
      <w:r>
        <w:rPr>
          <w:rFonts w:ascii="Libre Baskerville" w:eastAsia="Libre Baskerville" w:hAnsi="Libre Baskerville" w:cs="Libre Baskerville"/>
          <w:color w:val="000000"/>
          <w:sz w:val="20"/>
          <w:szCs w:val="20"/>
        </w:rPr>
        <w:t>sont</w:t>
      </w:r>
      <w:proofErr w:type="spellEnd"/>
      <w:r>
        <w:rPr>
          <w:rFonts w:ascii="Libre Baskerville" w:eastAsia="Libre Baskerville" w:hAnsi="Libre Baskerville" w:cs="Libre Baskerville"/>
          <w:color w:val="000000"/>
          <w:sz w:val="20"/>
          <w:szCs w:val="20"/>
        </w:rPr>
        <w:t xml:space="preserve"> past </w:t>
      </w:r>
      <w:proofErr w:type="spellStart"/>
      <w:r>
        <w:rPr>
          <w:rFonts w:ascii="Libre Baskerville" w:eastAsia="Libre Baskerville" w:hAnsi="Libre Baskerville" w:cs="Libre Baskerville"/>
          <w:color w:val="000000"/>
          <w:sz w:val="20"/>
          <w:szCs w:val="20"/>
        </w:rPr>
        <w:t>toujours</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historiens</w:t>
      </w:r>
      <w:proofErr w:type="spellEnd"/>
      <w:r>
        <w:rPr>
          <w:rFonts w:ascii="Libre Baskerville" w:eastAsia="Libre Baskerville" w:hAnsi="Libre Baskerville" w:cs="Libre Baskerville"/>
          <w:color w:val="000000"/>
          <w:sz w:val="20"/>
          <w:szCs w:val="20"/>
        </w:rPr>
        <w:t xml:space="preserve">, il </w:t>
      </w:r>
      <w:proofErr w:type="spellStart"/>
      <w:r>
        <w:rPr>
          <w:rFonts w:ascii="Libre Baskerville" w:eastAsia="Libre Baskerville" w:hAnsi="Libre Baskerville" w:cs="Libre Baskerville"/>
          <w:color w:val="000000"/>
          <w:sz w:val="20"/>
          <w:szCs w:val="20"/>
        </w:rPr>
        <w:t>seroit</w:t>
      </w:r>
      <w:proofErr w:type="spellEnd"/>
      <w:r>
        <w:rPr>
          <w:rFonts w:ascii="Libre Baskerville" w:eastAsia="Libre Baskerville" w:hAnsi="Libre Baskerville" w:cs="Libre Baskerville"/>
          <w:color w:val="000000"/>
          <w:sz w:val="20"/>
          <w:szCs w:val="20"/>
        </w:rPr>
        <w:t xml:space="preserve"> du-</w:t>
      </w:r>
      <w:proofErr w:type="spellStart"/>
      <w:r>
        <w:rPr>
          <w:rFonts w:ascii="Libre Baskerville" w:eastAsia="Libre Baskerville" w:hAnsi="Libre Baskerville" w:cs="Libre Baskerville"/>
          <w:color w:val="000000"/>
          <w:sz w:val="20"/>
          <w:szCs w:val="20"/>
        </w:rPr>
        <w:t>moins</w:t>
      </w:r>
      <w:proofErr w:type="spellEnd"/>
      <w:r>
        <w:rPr>
          <w:rFonts w:ascii="Libre Baskerville" w:eastAsia="Libre Baskerville" w:hAnsi="Libre Baskerville" w:cs="Libre Baskerville"/>
          <w:color w:val="000000"/>
          <w:sz w:val="20"/>
          <w:szCs w:val="20"/>
        </w:rPr>
        <w:t xml:space="preserve"> à </w:t>
      </w:r>
      <w:proofErr w:type="spellStart"/>
      <w:r>
        <w:rPr>
          <w:rFonts w:ascii="Libre Baskerville" w:eastAsia="Libre Baskerville" w:hAnsi="Libre Baskerville" w:cs="Libre Baskerville"/>
          <w:color w:val="000000"/>
          <w:sz w:val="20"/>
          <w:szCs w:val="20"/>
        </w:rPr>
        <w:t>souhaiter</w:t>
      </w:r>
      <w:proofErr w:type="spellEnd"/>
      <w:r>
        <w:rPr>
          <w:rFonts w:ascii="Libre Baskerville" w:eastAsia="Libre Baskerville" w:hAnsi="Libre Baskerville" w:cs="Libre Baskerville"/>
          <w:color w:val="000000"/>
          <w:sz w:val="20"/>
          <w:szCs w:val="20"/>
        </w:rPr>
        <w:t xml:space="preserve"> que les </w:t>
      </w:r>
      <w:proofErr w:type="spellStart"/>
      <w:r>
        <w:rPr>
          <w:rFonts w:ascii="Libre Baskerville" w:eastAsia="Libre Baskerville" w:hAnsi="Libre Baskerville" w:cs="Libre Baskerville"/>
          <w:color w:val="000000"/>
          <w:sz w:val="20"/>
          <w:szCs w:val="20"/>
        </w:rPr>
        <w:t>historiens</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fussent</w:t>
      </w:r>
      <w:proofErr w:type="spellEnd"/>
      <w:r>
        <w:rPr>
          <w:rFonts w:ascii="Libre Baskerville" w:eastAsia="Libre Baskerville" w:hAnsi="Libre Baskerville" w:cs="Libre Baskerville"/>
          <w:color w:val="000000"/>
          <w:sz w:val="20"/>
          <w:szCs w:val="20"/>
        </w:rPr>
        <w:t xml:space="preserve"> philosophes. […] Je ne </w:t>
      </w:r>
      <w:proofErr w:type="spellStart"/>
      <w:r>
        <w:rPr>
          <w:rFonts w:ascii="Libre Baskerville" w:eastAsia="Libre Baskerville" w:hAnsi="Libre Baskerville" w:cs="Libre Baskerville"/>
          <w:color w:val="000000"/>
          <w:sz w:val="20"/>
          <w:szCs w:val="20"/>
        </w:rPr>
        <w:t>connois</w:t>
      </w:r>
      <w:proofErr w:type="spellEnd"/>
      <w:r>
        <w:rPr>
          <w:rFonts w:ascii="Libre Baskerville" w:eastAsia="Libre Baskerville" w:hAnsi="Libre Baskerville" w:cs="Libre Baskerville"/>
          <w:color w:val="000000"/>
          <w:sz w:val="20"/>
          <w:szCs w:val="20"/>
        </w:rPr>
        <w:t xml:space="preserve"> que </w:t>
      </w:r>
      <w:proofErr w:type="spellStart"/>
      <w:r>
        <w:rPr>
          <w:rFonts w:ascii="Libre Baskerville" w:eastAsia="Libre Baskerville" w:hAnsi="Libre Baskerville" w:cs="Libre Baskerville"/>
          <w:color w:val="000000"/>
          <w:sz w:val="20"/>
          <w:szCs w:val="20"/>
        </w:rPr>
        <w:t>Tacite</w:t>
      </w:r>
      <w:proofErr w:type="spellEnd"/>
      <w:r>
        <w:rPr>
          <w:rFonts w:ascii="Libre Baskerville" w:eastAsia="Libre Baskerville" w:hAnsi="Libre Baskerville" w:cs="Libre Baskerville"/>
          <w:color w:val="000000"/>
          <w:sz w:val="20"/>
          <w:szCs w:val="20"/>
        </w:rPr>
        <w:t xml:space="preserve"> qui </w:t>
      </w:r>
      <w:proofErr w:type="spellStart"/>
      <w:r>
        <w:rPr>
          <w:rFonts w:ascii="Libre Baskerville" w:eastAsia="Libre Baskerville" w:hAnsi="Libre Baskerville" w:cs="Libre Baskerville"/>
          <w:color w:val="000000"/>
          <w:sz w:val="20"/>
          <w:szCs w:val="20"/>
        </w:rPr>
        <w:t>ait</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rempli</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mon</w:t>
      </w:r>
      <w:proofErr w:type="spellEnd"/>
      <w:r>
        <w:rPr>
          <w:rFonts w:ascii="Libre Baskerville" w:eastAsia="Libre Baskerville" w:hAnsi="Libre Baskerville" w:cs="Libre Baskerville"/>
          <w:color w:val="000000"/>
          <w:sz w:val="20"/>
          <w:szCs w:val="20"/>
        </w:rPr>
        <w:t xml:space="preserve"> idée de </w:t>
      </w:r>
      <w:proofErr w:type="spellStart"/>
      <w:r>
        <w:rPr>
          <w:rFonts w:ascii="Libre Baskerville" w:eastAsia="Libre Baskerville" w:hAnsi="Libre Baskerville" w:cs="Libre Baskerville"/>
          <w:color w:val="000000"/>
          <w:sz w:val="20"/>
          <w:szCs w:val="20"/>
        </w:rPr>
        <w:t>cet</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historien</w:t>
      </w:r>
      <w:proofErr w:type="spellEnd"/>
      <w:r>
        <w:rPr>
          <w:rFonts w:ascii="Libre Baskerville" w:eastAsia="Libre Baskerville" w:hAnsi="Libre Baskerville" w:cs="Libre Baskerville"/>
          <w:color w:val="000000"/>
          <w:sz w:val="20"/>
          <w:szCs w:val="20"/>
        </w:rPr>
        <w:t xml:space="preserve"> philosophique”).</w:t>
      </w:r>
    </w:p>
  </w:footnote>
  <w:footnote w:id="78">
    <w:p w14:paraId="000000A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xml:space="preserve">, 304. Gibbon contrasts Herodotus and Thucydides, who “would never have deserved the esteem of posterity, if they had designedly suppressed or transiently mentioned those facts which could tend to the disgrace of Greece or at Athens,” with Eusebius and other ecclesiastical historians. Montesquieu expressed a similar thought, if for a different (or additional) reason: “We constantly accuse the Ancients of betraying the truth. Why do we pretend they love it less than we do? On the contrary, they would have loved it more, because their philosophy had morals as its object more than ours does”: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xml:space="preserve">, §102. </w:t>
      </w:r>
    </w:p>
  </w:footnote>
  <w:footnote w:id="79">
    <w:p w14:paraId="000000A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299.</w:t>
      </w:r>
    </w:p>
  </w:footnote>
  <w:footnote w:id="80">
    <w:p w14:paraId="000000A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Montesquieu, </w:t>
      </w:r>
      <w:r>
        <w:rPr>
          <w:rFonts w:ascii="Libre Baskerville" w:eastAsia="Libre Baskerville" w:hAnsi="Libre Baskerville" w:cs="Libre Baskerville"/>
          <w:i/>
          <w:color w:val="000000"/>
          <w:sz w:val="20"/>
          <w:szCs w:val="20"/>
        </w:rPr>
        <w:t>The Spirit of the Laws</w:t>
      </w:r>
      <w:r>
        <w:rPr>
          <w:rFonts w:ascii="Libre Baskerville" w:eastAsia="Libre Baskerville" w:hAnsi="Libre Baskerville" w:cs="Libre Baskerville"/>
          <w:color w:val="000000"/>
          <w:sz w:val="20"/>
          <w:szCs w:val="20"/>
        </w:rPr>
        <w:t>, trans. and ed. A. M. Cohler, B. C. Miller, and H. S. Stone (Cambridge: Cambridge University Press, 1989), 4.21.7.</w:t>
      </w:r>
    </w:p>
  </w:footnote>
  <w:footnote w:id="81">
    <w:p w14:paraId="000000A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iii. 381.</w:t>
      </w:r>
    </w:p>
  </w:footnote>
  <w:footnote w:id="82">
    <w:p w14:paraId="000000A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See especially David Womersley, </w:t>
      </w:r>
      <w:r>
        <w:rPr>
          <w:rFonts w:ascii="Libre Baskerville" w:eastAsia="Libre Baskerville" w:hAnsi="Libre Baskerville" w:cs="Libre Baskerville"/>
          <w:i/>
          <w:color w:val="000000"/>
          <w:sz w:val="20"/>
          <w:szCs w:val="20"/>
        </w:rPr>
        <w:t>Gibbon and the “Watchmen of the Holy City”: The Historian and His Reputation, 1776–1815</w:t>
      </w:r>
      <w:r>
        <w:rPr>
          <w:rFonts w:ascii="Libre Baskerville" w:eastAsia="Libre Baskerville" w:hAnsi="Libre Baskerville" w:cs="Libre Baskerville"/>
          <w:color w:val="000000"/>
          <w:sz w:val="20"/>
          <w:szCs w:val="20"/>
        </w:rPr>
        <w:t xml:space="preserve"> (Oxford: Oxford University Press, 2002), Part II; and Charlotte Roberts, </w:t>
      </w:r>
      <w:r>
        <w:rPr>
          <w:rFonts w:ascii="Libre Baskerville" w:eastAsia="Libre Baskerville" w:hAnsi="Libre Baskerville" w:cs="Libre Baskerville"/>
          <w:i/>
          <w:color w:val="000000"/>
          <w:sz w:val="20"/>
          <w:szCs w:val="20"/>
        </w:rPr>
        <w:t>Edward Gibbon and the Shape of History</w:t>
      </w:r>
      <w:r>
        <w:rPr>
          <w:rFonts w:ascii="Libre Baskerville" w:eastAsia="Libre Baskerville" w:hAnsi="Libre Baskerville" w:cs="Libre Baskerville"/>
          <w:color w:val="000000"/>
          <w:sz w:val="20"/>
          <w:szCs w:val="20"/>
        </w:rPr>
        <w:t xml:space="preserve"> (Oxford: Oxford University Press, 2014), 148–69. </w:t>
      </w:r>
    </w:p>
  </w:footnote>
  <w:footnote w:id="83">
    <w:p w14:paraId="000000AF" w14:textId="5BBBF54E"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104. It is noteworthy that Gibbon initially took Hume’s brief autobiographical sketch, “My Own Life” (1776), as his model, and in early drafts (B and E) even adopted its title (for Hume’s memoir as “justify[</w:t>
      </w:r>
      <w:proofErr w:type="spellStart"/>
      <w:r>
        <w:rPr>
          <w:rFonts w:ascii="Libre Baskerville" w:eastAsia="Libre Baskerville" w:hAnsi="Libre Baskerville" w:cs="Libre Baskerville"/>
          <w:color w:val="000000"/>
          <w:sz w:val="20"/>
          <w:szCs w:val="20"/>
        </w:rPr>
        <w:t>ing</w:t>
      </w:r>
      <w:proofErr w:type="spellEnd"/>
      <w:r>
        <w:rPr>
          <w:rFonts w:ascii="Libre Baskerville" w:eastAsia="Libre Baskerville" w:hAnsi="Libre Baskerville" w:cs="Libre Baskerville"/>
          <w:color w:val="000000"/>
          <w:sz w:val="20"/>
          <w:szCs w:val="20"/>
        </w:rPr>
        <w:t xml:space="preserve">] my design,” see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xml:space="preserve">, 104). Yet Hume’s memoir offered little more than a “History of my Writings,” and an account of how they had been received by contemporaries: Hume, “My Own Life,” in </w:t>
      </w:r>
      <w:r>
        <w:rPr>
          <w:rFonts w:ascii="Libre Baskerville" w:eastAsia="Libre Baskerville" w:hAnsi="Libre Baskerville" w:cs="Libre Baskerville"/>
          <w:i/>
          <w:color w:val="000000"/>
          <w:sz w:val="20"/>
          <w:szCs w:val="20"/>
        </w:rPr>
        <w:t>Essays, Moral, Political, and Literary</w:t>
      </w:r>
      <w:r>
        <w:rPr>
          <w:rFonts w:ascii="Libre Baskerville" w:eastAsia="Libre Baskerville" w:hAnsi="Libre Baskerville" w:cs="Libre Baskerville"/>
          <w:color w:val="000000"/>
          <w:sz w:val="20"/>
          <w:szCs w:val="20"/>
        </w:rPr>
        <w:t>, ed. Eugene F. Miller (Indianapolis: Liberty Fund, 1985), xxxi. Gibbon’s design was, as he presumably came to appreciate, of a qualitatively different order</w:t>
      </w:r>
      <w:r w:rsidR="0095333A">
        <w:rPr>
          <w:rFonts w:ascii="Libre Baskerville" w:eastAsia="Libre Baskerville" w:hAnsi="Libre Baskerville" w:cs="Libre Baskerville"/>
          <w:color w:val="000000"/>
          <w:sz w:val="20"/>
          <w:szCs w:val="20"/>
        </w:rPr>
        <w:t>.</w:t>
      </w:r>
      <w:r>
        <w:rPr>
          <w:rFonts w:ascii="Libre Baskerville" w:eastAsia="Libre Baskerville" w:hAnsi="Libre Baskerville" w:cs="Libre Baskerville"/>
          <w:color w:val="000000"/>
          <w:sz w:val="20"/>
          <w:szCs w:val="20"/>
        </w:rPr>
        <w:t xml:space="preserve"> </w:t>
      </w:r>
      <w:r w:rsidR="0095333A">
        <w:rPr>
          <w:rFonts w:ascii="Libre Baskerville" w:eastAsia="Libre Baskerville" w:hAnsi="Libre Baskerville" w:cs="Libre Baskerville"/>
          <w:color w:val="000000"/>
          <w:sz w:val="20"/>
          <w:szCs w:val="20"/>
        </w:rPr>
        <w:t>I</w:t>
      </w:r>
      <w:r>
        <w:rPr>
          <w:rFonts w:ascii="Libre Baskerville" w:eastAsia="Libre Baskerville" w:hAnsi="Libre Baskerville" w:cs="Libre Baskerville"/>
          <w:color w:val="000000"/>
          <w:sz w:val="20"/>
          <w:szCs w:val="20"/>
        </w:rPr>
        <w:t xml:space="preserve">t </w:t>
      </w:r>
      <w:proofErr w:type="spellStart"/>
      <w:r>
        <w:rPr>
          <w:rFonts w:ascii="Libre Baskerville" w:eastAsia="Libre Baskerville" w:hAnsi="Libre Baskerville" w:cs="Libre Baskerville"/>
          <w:color w:val="000000"/>
          <w:sz w:val="20"/>
          <w:szCs w:val="20"/>
        </w:rPr>
        <w:t>endeavoured</w:t>
      </w:r>
      <w:proofErr w:type="spellEnd"/>
      <w:r>
        <w:rPr>
          <w:rFonts w:ascii="Libre Baskerville" w:eastAsia="Libre Baskerville" w:hAnsi="Libre Baskerville" w:cs="Libre Baskerville"/>
          <w:color w:val="000000"/>
          <w:sz w:val="20"/>
          <w:szCs w:val="20"/>
        </w:rPr>
        <w:t xml:space="preserve"> to provide a history of the “mind” that had produced an “immortal” work, the reception of which was to be left to Gibbon’s chosen audience – posterity – to determine.</w:t>
      </w:r>
    </w:p>
  </w:footnote>
  <w:footnote w:id="84">
    <w:p w14:paraId="000000B0" w14:textId="7456E4AE"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Eliot, “Tradition and the Individual Talent,”11.</w:t>
      </w:r>
    </w:p>
  </w:footnote>
  <w:footnote w:id="85">
    <w:p w14:paraId="000000B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4.</w:t>
      </w:r>
    </w:p>
  </w:footnote>
  <w:footnote w:id="86">
    <w:p w14:paraId="000000B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For discussion, see W. B. </w:t>
      </w:r>
      <w:proofErr w:type="spellStart"/>
      <w:r>
        <w:rPr>
          <w:rFonts w:ascii="Libre Baskerville" w:eastAsia="Libre Baskerville" w:hAnsi="Libre Baskerville" w:cs="Libre Baskerville"/>
          <w:color w:val="000000"/>
          <w:sz w:val="20"/>
          <w:szCs w:val="20"/>
        </w:rPr>
        <w:t>Carnochan</w:t>
      </w:r>
      <w:proofErr w:type="spellEnd"/>
      <w:r>
        <w:rPr>
          <w:rFonts w:ascii="Libre Baskerville" w:eastAsia="Libre Baskerville" w:hAnsi="Libre Baskerville" w:cs="Libre Baskerville"/>
          <w:color w:val="000000"/>
          <w:sz w:val="20"/>
          <w:szCs w:val="20"/>
        </w:rPr>
        <w:t xml:space="preserve">, </w:t>
      </w:r>
      <w:r>
        <w:rPr>
          <w:rFonts w:ascii="Libre Baskerville" w:eastAsia="Libre Baskerville" w:hAnsi="Libre Baskerville" w:cs="Libre Baskerville"/>
          <w:i/>
          <w:color w:val="000000"/>
          <w:sz w:val="20"/>
          <w:szCs w:val="20"/>
        </w:rPr>
        <w:t>Gibbon’s Solitude: The Inward World of the Historian</w:t>
      </w:r>
      <w:r>
        <w:rPr>
          <w:rFonts w:ascii="Libre Baskerville" w:eastAsia="Libre Baskerville" w:hAnsi="Libre Baskerville" w:cs="Libre Baskerville"/>
          <w:color w:val="000000"/>
          <w:sz w:val="20"/>
          <w:szCs w:val="20"/>
        </w:rPr>
        <w:t xml:space="preserve"> (Stanford, CA: Stanford University Press, 1987), 101–23, who attributes credit to Alexander Pope for popularizing the theory.</w:t>
      </w:r>
    </w:p>
  </w:footnote>
  <w:footnote w:id="87">
    <w:p w14:paraId="000000B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Here the influence of Suetonius on Gibbon might be discerned: see Bowersock, </w:t>
      </w:r>
      <w:r>
        <w:rPr>
          <w:rFonts w:ascii="Libre Baskerville" w:eastAsia="Libre Baskerville" w:hAnsi="Libre Baskerville" w:cs="Libre Baskerville"/>
          <w:i/>
          <w:color w:val="000000"/>
          <w:sz w:val="20"/>
          <w:szCs w:val="20"/>
        </w:rPr>
        <w:t>From Gibbon to Auden</w:t>
      </w:r>
      <w:r>
        <w:rPr>
          <w:rFonts w:ascii="Libre Baskerville" w:eastAsia="Libre Baskerville" w:hAnsi="Libre Baskerville" w:cs="Libre Baskerville"/>
          <w:color w:val="000000"/>
          <w:sz w:val="20"/>
          <w:szCs w:val="20"/>
        </w:rPr>
        <w:t xml:space="preserve">, 52–65.  </w:t>
      </w:r>
    </w:p>
  </w:footnote>
  <w:footnote w:id="88">
    <w:p w14:paraId="000000B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“The ruling passion? very rare. most passions confined to times, persons, circumstances”: “Hints” (c. 1765–70), in </w:t>
      </w:r>
      <w:r>
        <w:rPr>
          <w:rFonts w:ascii="Libre Baskerville" w:eastAsia="Libre Baskerville" w:hAnsi="Libre Baskerville" w:cs="Libre Baskerville"/>
          <w:i/>
          <w:color w:val="000000"/>
          <w:sz w:val="20"/>
          <w:szCs w:val="20"/>
        </w:rPr>
        <w:t>English Essays</w:t>
      </w:r>
      <w:r>
        <w:rPr>
          <w:rFonts w:ascii="Libre Baskerville" w:eastAsia="Libre Baskerville" w:hAnsi="Libre Baskerville" w:cs="Libre Baskerville"/>
          <w:color w:val="000000"/>
          <w:sz w:val="20"/>
          <w:szCs w:val="20"/>
        </w:rPr>
        <w:t>, 90.</w:t>
      </w:r>
    </w:p>
  </w:footnote>
  <w:footnote w:id="89">
    <w:p w14:paraId="000000B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to Dorothea Gibbon, 27 December 1783, in </w:t>
      </w:r>
      <w:r>
        <w:rPr>
          <w:rFonts w:ascii="Libre Baskerville" w:eastAsia="Libre Baskerville" w:hAnsi="Libre Baskerville" w:cs="Libre Baskerville"/>
          <w:i/>
          <w:color w:val="000000"/>
          <w:sz w:val="20"/>
          <w:szCs w:val="20"/>
        </w:rPr>
        <w:t>Letters of Gibbon</w:t>
      </w:r>
      <w:r>
        <w:rPr>
          <w:rFonts w:ascii="Libre Baskerville" w:eastAsia="Libre Baskerville" w:hAnsi="Libre Baskerville" w:cs="Libre Baskerville"/>
          <w:color w:val="000000"/>
          <w:sz w:val="20"/>
          <w:szCs w:val="20"/>
        </w:rPr>
        <w:t>, ii. 385–8.</w:t>
      </w:r>
    </w:p>
  </w:footnote>
  <w:footnote w:id="90">
    <w:p w14:paraId="000000B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 Vindication</w:t>
      </w:r>
      <w:r>
        <w:rPr>
          <w:rFonts w:ascii="Libre Baskerville" w:eastAsia="Libre Baskerville" w:hAnsi="Libre Baskerville" w:cs="Libre Baskerville"/>
          <w:color w:val="000000"/>
          <w:sz w:val="20"/>
          <w:szCs w:val="20"/>
        </w:rPr>
        <w:t>, 233–4.</w:t>
      </w:r>
    </w:p>
  </w:footnote>
  <w:footnote w:id="91">
    <w:p w14:paraId="000000B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118.</w:t>
      </w:r>
    </w:p>
  </w:footnote>
  <w:footnote w:id="92">
    <w:p w14:paraId="000000B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Ibid, 130.</w:t>
      </w:r>
    </w:p>
  </w:footnote>
  <w:footnote w:id="93">
    <w:p w14:paraId="000000B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iii. 896.</w:t>
      </w:r>
    </w:p>
  </w:footnote>
  <w:footnote w:id="94">
    <w:p w14:paraId="000000B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Essai</w:t>
      </w:r>
      <w:r>
        <w:rPr>
          <w:rFonts w:ascii="Libre Baskerville" w:eastAsia="Libre Baskerville" w:hAnsi="Libre Baskerville" w:cs="Libre Baskerville"/>
          <w:color w:val="000000"/>
          <w:sz w:val="20"/>
          <w:szCs w:val="20"/>
        </w:rPr>
        <w:t xml:space="preserve">, 34. The 1764 English translation, however defective, is nice here: we must approach the authors we study “in a susceptible mind”: Edward Gibbon, </w:t>
      </w:r>
      <w:r>
        <w:rPr>
          <w:rFonts w:ascii="Libre Baskerville" w:eastAsia="Libre Baskerville" w:hAnsi="Libre Baskerville" w:cs="Libre Baskerville"/>
          <w:i/>
          <w:color w:val="000000"/>
          <w:sz w:val="20"/>
          <w:szCs w:val="20"/>
        </w:rPr>
        <w:t xml:space="preserve">An Essay on the Study of Literature, Written Originally in French… </w:t>
      </w:r>
      <w:r>
        <w:rPr>
          <w:rFonts w:ascii="Libre Baskerville" w:eastAsia="Libre Baskerville" w:hAnsi="Libre Baskerville" w:cs="Libre Baskerville"/>
          <w:color w:val="000000"/>
          <w:sz w:val="20"/>
          <w:szCs w:val="20"/>
        </w:rPr>
        <w:t>(London: T. Becket and P. A. de Hondt, 1764), 35.</w:t>
      </w:r>
    </w:p>
  </w:footnote>
  <w:footnote w:id="95">
    <w:p w14:paraId="000000B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118.</w:t>
      </w:r>
    </w:p>
  </w:footnote>
  <w:footnote w:id="96">
    <w:p w14:paraId="000000B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115; cf.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iii. 775 n. 24: “Put not your trust in translations!”</w:t>
      </w:r>
    </w:p>
  </w:footnote>
  <w:footnote w:id="97">
    <w:p w14:paraId="000000B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119.</w:t>
      </w:r>
    </w:p>
  </w:footnote>
  <w:footnote w:id="98">
    <w:p w14:paraId="000000B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In the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Gibbon pays regular tribute to “the elaborate </w:t>
      </w:r>
      <w:proofErr w:type="gramStart"/>
      <w:r>
        <w:rPr>
          <w:rFonts w:ascii="Libre Baskerville" w:eastAsia="Libre Baskerville" w:hAnsi="Libre Baskerville" w:cs="Libre Baskerville"/>
          <w:color w:val="000000"/>
          <w:sz w:val="20"/>
          <w:szCs w:val="20"/>
        </w:rPr>
        <w:t>researches</w:t>
      </w:r>
      <w:proofErr w:type="gramEnd"/>
      <w:r>
        <w:rPr>
          <w:rFonts w:ascii="Libre Baskerville" w:eastAsia="Libre Baskerville" w:hAnsi="Libre Baskerville" w:cs="Libre Baskerville"/>
          <w:color w:val="000000"/>
          <w:sz w:val="20"/>
          <w:szCs w:val="20"/>
        </w:rPr>
        <w:t xml:space="preserve"> of M. </w:t>
      </w:r>
      <w:proofErr w:type="spellStart"/>
      <w:r>
        <w:rPr>
          <w:rFonts w:ascii="Libre Baskerville" w:eastAsia="Libre Baskerville" w:hAnsi="Libre Baskerville" w:cs="Libre Baskerville"/>
          <w:color w:val="000000"/>
          <w:sz w:val="20"/>
          <w:szCs w:val="20"/>
        </w:rPr>
        <w:t>d’Anville</w:t>
      </w:r>
      <w:proofErr w:type="spellEnd"/>
      <w:r>
        <w:rPr>
          <w:rFonts w:ascii="Libre Baskerville" w:eastAsia="Libre Baskerville" w:hAnsi="Libre Baskerville" w:cs="Libre Baskerville"/>
          <w:color w:val="000000"/>
          <w:sz w:val="20"/>
          <w:szCs w:val="20"/>
        </w:rPr>
        <w:t xml:space="preserve">, a geographer, who is not a stranger in any age, or climate, of the globe”: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1042 n. 52.</w:t>
      </w:r>
    </w:p>
  </w:footnote>
  <w:footnote w:id="99">
    <w:p w14:paraId="000000BF"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For a rather extreme, but perhaps salutary expression of the extent of this chasm, see Montesquieu,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§291: “The ancient philosophers are quite unknown, and although they speak the same terms, they do not have the same ideas. Greek philosophy is quite unknown to us.”</w:t>
      </w:r>
    </w:p>
  </w:footnote>
  <w:footnote w:id="100">
    <w:p w14:paraId="000000C0"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231.</w:t>
      </w:r>
    </w:p>
  </w:footnote>
  <w:footnote w:id="101">
    <w:p w14:paraId="000000C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Essai</w:t>
      </w:r>
      <w:r>
        <w:rPr>
          <w:rFonts w:ascii="Libre Baskerville" w:eastAsia="Libre Baskerville" w:hAnsi="Libre Baskerville" w:cs="Libre Baskerville"/>
          <w:color w:val="000000"/>
          <w:sz w:val="20"/>
          <w:szCs w:val="20"/>
        </w:rPr>
        <w:t>, 87–8.</w:t>
      </w:r>
    </w:p>
  </w:footnote>
  <w:footnote w:id="102">
    <w:p w14:paraId="000000C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An Essay</w:t>
      </w:r>
      <w:r>
        <w:rPr>
          <w:rFonts w:ascii="Libre Baskerville" w:eastAsia="Libre Baskerville" w:hAnsi="Libre Baskerville" w:cs="Libre Baskerville"/>
          <w:color w:val="000000"/>
          <w:sz w:val="20"/>
          <w:szCs w:val="20"/>
        </w:rPr>
        <w:t>, 91–2.</w:t>
      </w:r>
    </w:p>
  </w:footnote>
  <w:footnote w:id="103">
    <w:p w14:paraId="000000C3" w14:textId="2314356A"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It bears remarking that the heuristic utility of the concept of “influence” remains contested by intellectual historians: compare Quentin Skinner, “The Limits of Historical Explanations,” </w:t>
      </w:r>
      <w:r>
        <w:rPr>
          <w:rFonts w:ascii="Libre Baskerville" w:eastAsia="Libre Baskerville" w:hAnsi="Libre Baskerville" w:cs="Libre Baskerville"/>
          <w:i/>
          <w:color w:val="000000"/>
          <w:sz w:val="20"/>
          <w:szCs w:val="20"/>
        </w:rPr>
        <w:t>Philosophy</w:t>
      </w:r>
      <w:r>
        <w:rPr>
          <w:rFonts w:ascii="Libre Baskerville" w:eastAsia="Libre Baskerville" w:hAnsi="Libre Baskerville" w:cs="Libre Baskerville"/>
          <w:color w:val="000000"/>
          <w:sz w:val="20"/>
          <w:szCs w:val="20"/>
        </w:rPr>
        <w:t xml:space="preserve"> 41 (1966): 199–215; with Francis Oakley, “‘Anxieties of Influence’: Skinner, Figgis, Conciliarism and Early Modern Constitutionalism,” </w:t>
      </w:r>
      <w:r>
        <w:rPr>
          <w:rFonts w:ascii="Libre Baskerville" w:eastAsia="Libre Baskerville" w:hAnsi="Libre Baskerville" w:cs="Libre Baskerville"/>
          <w:i/>
          <w:color w:val="000000"/>
          <w:sz w:val="20"/>
          <w:szCs w:val="20"/>
        </w:rPr>
        <w:t>Past &amp; Present</w:t>
      </w:r>
      <w:r>
        <w:rPr>
          <w:rFonts w:ascii="Libre Baskerville" w:eastAsia="Libre Baskerville" w:hAnsi="Libre Baskerville" w:cs="Libre Baskerville"/>
          <w:color w:val="000000"/>
          <w:sz w:val="20"/>
          <w:szCs w:val="20"/>
        </w:rPr>
        <w:t xml:space="preserve"> 151 (1996): 60–110. To summarize</w:t>
      </w:r>
      <w:r w:rsidR="00847BDA" w:rsidRPr="00847BDA">
        <w:rPr>
          <w:rFonts w:ascii="Libre Baskerville" w:eastAsia="Libre Baskerville" w:hAnsi="Libre Baskerville" w:cs="Libre Baskerville"/>
          <w:color w:val="000000"/>
          <w:sz w:val="20"/>
          <w:szCs w:val="20"/>
        </w:rPr>
        <w:t xml:space="preserve"> </w:t>
      </w:r>
      <w:r w:rsidR="00847BDA">
        <w:rPr>
          <w:rFonts w:ascii="Libre Baskerville" w:eastAsia="Libre Baskerville" w:hAnsi="Libre Baskerville" w:cs="Libre Baskerville"/>
          <w:color w:val="000000"/>
          <w:sz w:val="20"/>
          <w:szCs w:val="20"/>
        </w:rPr>
        <w:t>crudely:</w:t>
      </w:r>
      <w:r>
        <w:rPr>
          <w:rFonts w:ascii="Libre Baskerville" w:eastAsia="Libre Baskerville" w:hAnsi="Libre Baskerville" w:cs="Libre Baskerville"/>
          <w:color w:val="000000"/>
          <w:sz w:val="20"/>
          <w:szCs w:val="20"/>
        </w:rPr>
        <w:t xml:space="preserve"> Skinner is in Hurd’s corner</w:t>
      </w:r>
      <w:r w:rsidR="00847BDA">
        <w:rPr>
          <w:rFonts w:ascii="Libre Baskerville" w:eastAsia="Libre Baskerville" w:hAnsi="Libre Baskerville" w:cs="Libre Baskerville"/>
          <w:color w:val="000000"/>
          <w:sz w:val="20"/>
          <w:szCs w:val="20"/>
        </w:rPr>
        <w:t>,</w:t>
      </w:r>
      <w:r>
        <w:rPr>
          <w:rFonts w:ascii="Libre Baskerville" w:eastAsia="Libre Baskerville" w:hAnsi="Libre Baskerville" w:cs="Libre Baskerville"/>
          <w:color w:val="000000"/>
          <w:sz w:val="20"/>
          <w:szCs w:val="20"/>
        </w:rPr>
        <w:t xml:space="preserve"> Oakley in Gibbon’s.</w:t>
      </w:r>
    </w:p>
  </w:footnote>
  <w:footnote w:id="104">
    <w:p w14:paraId="000000C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Edward Gibbon, “Hurd on Horace” (1762), in </w:t>
      </w:r>
      <w:r>
        <w:rPr>
          <w:rFonts w:ascii="Libre Baskerville" w:eastAsia="Libre Baskerville" w:hAnsi="Libre Baskerville" w:cs="Libre Baskerville"/>
          <w:i/>
          <w:color w:val="000000"/>
          <w:sz w:val="20"/>
          <w:szCs w:val="20"/>
        </w:rPr>
        <w:t>English Essays</w:t>
      </w:r>
      <w:r>
        <w:rPr>
          <w:rFonts w:ascii="Libre Baskerville" w:eastAsia="Libre Baskerville" w:hAnsi="Libre Baskerville" w:cs="Libre Baskerville"/>
          <w:color w:val="000000"/>
          <w:sz w:val="20"/>
          <w:szCs w:val="20"/>
        </w:rPr>
        <w:t>, 51.</w:t>
      </w:r>
    </w:p>
  </w:footnote>
  <w:footnote w:id="105">
    <w:p w14:paraId="000000C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47.</w:t>
      </w:r>
    </w:p>
  </w:footnote>
  <w:footnote w:id="106">
    <w:p w14:paraId="000000C6"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303; 34.</w:t>
      </w:r>
    </w:p>
  </w:footnote>
  <w:footnote w:id="107">
    <w:p w14:paraId="000000C7"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192, 163.</w:t>
      </w:r>
    </w:p>
  </w:footnote>
  <w:footnote w:id="108">
    <w:p w14:paraId="000000C8"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 Vindication</w:t>
      </w:r>
      <w:r>
        <w:rPr>
          <w:rFonts w:ascii="Libre Baskerville" w:eastAsia="Libre Baskerville" w:hAnsi="Libre Baskerville" w:cs="Libre Baskerville"/>
          <w:color w:val="000000"/>
          <w:sz w:val="20"/>
          <w:szCs w:val="20"/>
        </w:rPr>
        <w:t>, 236.</w:t>
      </w:r>
    </w:p>
  </w:footnote>
  <w:footnote w:id="109">
    <w:p w14:paraId="000000C9"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264.</w:t>
      </w:r>
    </w:p>
  </w:footnote>
  <w:footnote w:id="110">
    <w:p w14:paraId="000000CA"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For juster appreciation, see Virginia Woolf, “Reflections at Sheffield Palace” (1937), in </w:t>
      </w:r>
      <w:r>
        <w:rPr>
          <w:rFonts w:ascii="Libre Baskerville" w:eastAsia="Libre Baskerville" w:hAnsi="Libre Baskerville" w:cs="Libre Baskerville"/>
          <w:i/>
          <w:color w:val="000000"/>
          <w:sz w:val="20"/>
          <w:szCs w:val="20"/>
        </w:rPr>
        <w:t>The Essays of Virginia Woolf, Volume VI: 1933</w:t>
      </w:r>
      <w:r>
        <w:rPr>
          <w:rFonts w:ascii="Libre Baskerville" w:eastAsia="Libre Baskerville" w:hAnsi="Libre Baskerville" w:cs="Libre Baskerville"/>
          <w:color w:val="000000"/>
          <w:sz w:val="20"/>
          <w:szCs w:val="20"/>
        </w:rPr>
        <w:t>–</w:t>
      </w:r>
      <w:r>
        <w:rPr>
          <w:rFonts w:ascii="Libre Baskerville" w:eastAsia="Libre Baskerville" w:hAnsi="Libre Baskerville" w:cs="Libre Baskerville"/>
          <w:i/>
          <w:color w:val="000000"/>
          <w:sz w:val="20"/>
          <w:szCs w:val="20"/>
        </w:rPr>
        <w:t>1941</w:t>
      </w:r>
      <w:r>
        <w:rPr>
          <w:rFonts w:ascii="Libre Baskerville" w:eastAsia="Libre Baskerville" w:hAnsi="Libre Baskerville" w:cs="Libre Baskerville"/>
          <w:color w:val="000000"/>
          <w:sz w:val="20"/>
          <w:szCs w:val="20"/>
        </w:rPr>
        <w:t xml:space="preserve">, ed. Stuart N. Clarke (London: Hogarth Press, 2011), 103: Woolf puts her finger, appreciatively, on one of the most remarkable features of the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it, like the “mind” that produced it, was “a whispering gallery” of others’ words. David Womersley similarly draws attention to “the allusions which make Gibbon’s prose a whispering gallery of ancient and modern literature” in his introduction to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lxx.</w:t>
      </w:r>
    </w:p>
  </w:footnote>
  <w:footnote w:id="111">
    <w:p w14:paraId="000000CB"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to Dorothea Gibbon, 3 January 1776, in </w:t>
      </w:r>
      <w:r>
        <w:rPr>
          <w:rFonts w:ascii="Libre Baskerville" w:eastAsia="Libre Baskerville" w:hAnsi="Libre Baskerville" w:cs="Libre Baskerville"/>
          <w:i/>
          <w:color w:val="000000"/>
          <w:sz w:val="20"/>
          <w:szCs w:val="20"/>
        </w:rPr>
        <w:t>Letters</w:t>
      </w:r>
      <w:r>
        <w:rPr>
          <w:rFonts w:ascii="Libre Baskerville" w:eastAsia="Libre Baskerville" w:hAnsi="Libre Baskerville" w:cs="Libre Baskerville"/>
          <w:color w:val="000000"/>
          <w:sz w:val="20"/>
          <w:szCs w:val="20"/>
        </w:rPr>
        <w:t>, ii.</w:t>
      </w:r>
      <w:r>
        <w:rPr>
          <w:rFonts w:ascii="Libre Baskerville" w:eastAsia="Libre Baskerville" w:hAnsi="Libre Baskerville" w:cs="Libre Baskerville"/>
          <w:color w:val="000000"/>
          <w:sz w:val="24"/>
          <w:szCs w:val="24"/>
        </w:rPr>
        <w:t xml:space="preserve"> </w:t>
      </w:r>
      <w:r>
        <w:rPr>
          <w:rFonts w:ascii="Libre Baskerville" w:eastAsia="Libre Baskerville" w:hAnsi="Libre Baskerville" w:cs="Libre Baskerville"/>
          <w:color w:val="000000"/>
          <w:sz w:val="20"/>
          <w:szCs w:val="20"/>
        </w:rPr>
        <w:t>93–5.</w:t>
      </w:r>
    </w:p>
  </w:footnote>
  <w:footnote w:id="112">
    <w:p w14:paraId="000000CC"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Cp. Montesquieu,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§41: “'ignorance of history has rather the effect of shortening time than of lengthening it.”</w:t>
      </w:r>
    </w:p>
  </w:footnote>
  <w:footnote w:id="113">
    <w:p w14:paraId="000000CD"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iii. 174–5.</w:t>
      </w:r>
    </w:p>
  </w:footnote>
  <w:footnote w:id="114">
    <w:p w14:paraId="000000CE"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720; ii. 147 n. 82.</w:t>
      </w:r>
    </w:p>
  </w:footnote>
  <w:footnote w:id="115">
    <w:p w14:paraId="000000CF"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Ibid, </w:t>
      </w:r>
      <w:proofErr w:type="spellStart"/>
      <w:r>
        <w:rPr>
          <w:rFonts w:ascii="Libre Baskerville" w:eastAsia="Libre Baskerville" w:hAnsi="Libre Baskerville" w:cs="Libre Baskerville"/>
          <w:color w:val="000000"/>
          <w:sz w:val="20"/>
          <w:szCs w:val="20"/>
        </w:rPr>
        <w:t>i</w:t>
      </w:r>
      <w:proofErr w:type="spellEnd"/>
      <w:r>
        <w:rPr>
          <w:rFonts w:ascii="Libre Baskerville" w:eastAsia="Libre Baskerville" w:hAnsi="Libre Baskerville" w:cs="Libre Baskerville"/>
          <w:color w:val="000000"/>
          <w:sz w:val="20"/>
          <w:szCs w:val="20"/>
        </w:rPr>
        <w:t>. 253; iii. 23.</w:t>
      </w:r>
    </w:p>
  </w:footnote>
  <w:footnote w:id="116">
    <w:p w14:paraId="000000D0"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Bowersock, </w:t>
      </w:r>
      <w:r>
        <w:rPr>
          <w:rFonts w:ascii="Libre Baskerville" w:eastAsia="Libre Baskerville" w:hAnsi="Libre Baskerville" w:cs="Libre Baskerville"/>
          <w:i/>
          <w:color w:val="000000"/>
          <w:sz w:val="20"/>
          <w:szCs w:val="20"/>
        </w:rPr>
        <w:t>From Gibbon to Auden</w:t>
      </w:r>
      <w:r>
        <w:rPr>
          <w:rFonts w:ascii="Libre Baskerville" w:eastAsia="Libre Baskerville" w:hAnsi="Libre Baskerville" w:cs="Libre Baskerville"/>
          <w:color w:val="000000"/>
          <w:sz w:val="20"/>
          <w:szCs w:val="20"/>
        </w:rPr>
        <w:t>, 19.</w:t>
      </w:r>
    </w:p>
  </w:footnote>
  <w:footnote w:id="117">
    <w:p w14:paraId="000000D1"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Most obviously during the Renaissance, when imitation, not emulation, was the order of the day: “A New World was opened to the studious as well as to the active Part of Mankind. […] For some time however the Genius of the Italians seemed overpowered by this sudden accession of Learning. Instead of exercising their own Reason, they acquiesced in that of the Ancients: instead of transfusing into their native tongue, the Taste and spirit of the Classics, they copied with the most awkward servility the language and ideas suited to an age so different from their own”: “Outlines of the History of the World” (c.1771), in </w:t>
      </w:r>
      <w:r>
        <w:rPr>
          <w:rFonts w:ascii="Libre Baskerville" w:eastAsia="Libre Baskerville" w:hAnsi="Libre Baskerville" w:cs="Libre Baskerville"/>
          <w:i/>
          <w:color w:val="000000"/>
          <w:sz w:val="20"/>
          <w:szCs w:val="20"/>
        </w:rPr>
        <w:t>English Essays</w:t>
      </w:r>
      <w:r>
        <w:rPr>
          <w:rFonts w:ascii="Libre Baskerville" w:eastAsia="Libre Baskerville" w:hAnsi="Libre Baskerville" w:cs="Libre Baskerville"/>
          <w:color w:val="000000"/>
          <w:sz w:val="20"/>
          <w:szCs w:val="20"/>
        </w:rPr>
        <w:t xml:space="preserve">, 197; cp. </w:t>
      </w:r>
      <w:r>
        <w:rPr>
          <w:rFonts w:ascii="Libre Baskerville" w:eastAsia="Libre Baskerville" w:hAnsi="Libre Baskerville" w:cs="Libre Baskerville"/>
          <w:i/>
          <w:color w:val="000000"/>
          <w:sz w:val="20"/>
          <w:szCs w:val="20"/>
        </w:rPr>
        <w:t>Essai</w:t>
      </w:r>
      <w:r>
        <w:rPr>
          <w:rFonts w:ascii="Libre Baskerville" w:eastAsia="Libre Baskerville" w:hAnsi="Libre Baskerville" w:cs="Libre Baskerville"/>
          <w:color w:val="000000"/>
          <w:sz w:val="20"/>
          <w:szCs w:val="20"/>
        </w:rPr>
        <w:t xml:space="preserve">, 5–6. Much the same fate befell Aristotle in the hands of the Arabians, who understood nothing of his language or culture and whose work was, as a result, lifeless in their hands for five hundred years before he was returned to the Europeans, who scarcely did better: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iiii</w:t>
      </w:r>
      <w:proofErr w:type="spellEnd"/>
      <w:r>
        <w:rPr>
          <w:rFonts w:ascii="Libre Baskerville" w:eastAsia="Libre Baskerville" w:hAnsi="Libre Baskerville" w:cs="Libre Baskerville"/>
          <w:color w:val="000000"/>
          <w:sz w:val="20"/>
          <w:szCs w:val="20"/>
        </w:rPr>
        <w:t xml:space="preserve">. 349–53. </w:t>
      </w:r>
    </w:p>
  </w:footnote>
  <w:footnote w:id="118">
    <w:p w14:paraId="000000D2"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Decline and Fall</w:t>
      </w:r>
      <w:r>
        <w:rPr>
          <w:rFonts w:ascii="Libre Baskerville" w:eastAsia="Libre Baskerville" w:hAnsi="Libre Baskerville" w:cs="Libre Baskerville"/>
          <w:color w:val="000000"/>
          <w:sz w:val="20"/>
          <w:szCs w:val="20"/>
        </w:rPr>
        <w:t xml:space="preserve">, iii. 353. </w:t>
      </w:r>
    </w:p>
  </w:footnote>
  <w:footnote w:id="119">
    <w:p w14:paraId="000000D3"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rStyle w:val="FootnoteReference"/>
        </w:rPr>
        <w:footnoteRef/>
      </w:r>
      <w:r>
        <w:rPr>
          <w:rFonts w:ascii="Libre Baskerville" w:eastAsia="Libre Baskerville" w:hAnsi="Libre Baskerville" w:cs="Libre Baskerville"/>
          <w:color w:val="000000"/>
          <w:sz w:val="20"/>
          <w:szCs w:val="20"/>
        </w:rPr>
        <w:t xml:space="preserve"> Gibbon, </w:t>
      </w:r>
      <w:r>
        <w:rPr>
          <w:rFonts w:ascii="Libre Baskerville" w:eastAsia="Libre Baskerville" w:hAnsi="Libre Baskerville" w:cs="Libre Baskerville"/>
          <w:i/>
          <w:color w:val="000000"/>
          <w:sz w:val="20"/>
          <w:szCs w:val="20"/>
        </w:rPr>
        <w:t>Autobiographies</w:t>
      </w:r>
      <w:r>
        <w:rPr>
          <w:rFonts w:ascii="Libre Baskerville" w:eastAsia="Libre Baskerville" w:hAnsi="Libre Baskerville" w:cs="Libre Baskerville"/>
          <w:color w:val="000000"/>
          <w:sz w:val="20"/>
          <w:szCs w:val="20"/>
        </w:rPr>
        <w:t>, 412.</w:t>
      </w:r>
    </w:p>
  </w:footnote>
  <w:footnote w:id="120">
    <w:p w14:paraId="000000D4"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Gibbon, “Outlines of the History of the World,” 197. </w:t>
      </w:r>
    </w:p>
  </w:footnote>
  <w:footnote w:id="121">
    <w:p w14:paraId="000000D5" w14:textId="77777777" w:rsidR="00D467CA" w:rsidRDefault="006F2E25">
      <w:pPr>
        <w:pBdr>
          <w:top w:val="nil"/>
          <w:left w:val="nil"/>
          <w:bottom w:val="nil"/>
          <w:right w:val="nil"/>
          <w:between w:val="nil"/>
        </w:pBdr>
        <w:spacing w:after="0" w:line="240" w:lineRule="auto"/>
        <w:jc w:val="both"/>
        <w:rPr>
          <w:rFonts w:ascii="Libre Baskerville" w:eastAsia="Libre Baskerville" w:hAnsi="Libre Baskerville" w:cs="Libre Baskerville"/>
          <w:color w:val="000000"/>
          <w:sz w:val="20"/>
          <w:szCs w:val="20"/>
          <w:u w:val="single"/>
        </w:rPr>
      </w:pPr>
      <w:r>
        <w:rPr>
          <w:rStyle w:val="FootnoteReference"/>
        </w:rPr>
        <w:footnoteRef/>
      </w:r>
      <w:r>
        <w:rPr>
          <w:rFonts w:ascii="Libre Baskerville" w:eastAsia="Libre Baskerville" w:hAnsi="Libre Baskerville" w:cs="Libre Baskerville"/>
          <w:color w:val="000000"/>
          <w:sz w:val="20"/>
          <w:szCs w:val="20"/>
        </w:rPr>
        <w:t xml:space="preserve"> I have ripped the quotation in my title from the context in which it appears in Montesquieu, </w:t>
      </w:r>
      <w:r>
        <w:rPr>
          <w:rFonts w:ascii="Libre Baskerville" w:eastAsia="Libre Baskerville" w:hAnsi="Libre Baskerville" w:cs="Libre Baskerville"/>
          <w:i/>
          <w:color w:val="000000"/>
          <w:sz w:val="20"/>
          <w:szCs w:val="20"/>
        </w:rPr>
        <w:t>Mes pensées (My Thoughts)</w:t>
      </w:r>
      <w:r>
        <w:rPr>
          <w:rFonts w:ascii="Libre Baskerville" w:eastAsia="Libre Baskerville" w:hAnsi="Libre Baskerville" w:cs="Libre Baskerville"/>
          <w:color w:val="000000"/>
          <w:sz w:val="20"/>
          <w:szCs w:val="20"/>
        </w:rPr>
        <w:t xml:space="preserve">, §2266.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CA"/>
    <w:rsid w:val="0003708B"/>
    <w:rsid w:val="000A5F9A"/>
    <w:rsid w:val="000F2DB9"/>
    <w:rsid w:val="00234C7F"/>
    <w:rsid w:val="0044607D"/>
    <w:rsid w:val="004F723E"/>
    <w:rsid w:val="00503A4D"/>
    <w:rsid w:val="00524D5B"/>
    <w:rsid w:val="00527515"/>
    <w:rsid w:val="00601716"/>
    <w:rsid w:val="006F2E25"/>
    <w:rsid w:val="007522BB"/>
    <w:rsid w:val="007D35BC"/>
    <w:rsid w:val="00847BDA"/>
    <w:rsid w:val="008512D5"/>
    <w:rsid w:val="008D3E99"/>
    <w:rsid w:val="0095333A"/>
    <w:rsid w:val="009D1AD4"/>
    <w:rsid w:val="00A33B45"/>
    <w:rsid w:val="00AA6FC4"/>
    <w:rsid w:val="00B3508A"/>
    <w:rsid w:val="00B35B79"/>
    <w:rsid w:val="00B754C7"/>
    <w:rsid w:val="00CB5880"/>
    <w:rsid w:val="00D467CA"/>
    <w:rsid w:val="00EE2F75"/>
    <w:rsid w:val="00FA1F45"/>
    <w:rsid w:val="00FC2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161D"/>
  <w15:docId w15:val="{B9681CE8-14AD-5148-8C86-D1DAE3F2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47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475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475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475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51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475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47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475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475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475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75D"/>
    <w:rPr>
      <w:rFonts w:eastAsiaTheme="majorEastAsia" w:cstheme="majorBidi"/>
      <w:color w:val="272727" w:themeColor="text1" w:themeTint="D8"/>
    </w:rPr>
  </w:style>
  <w:style w:type="character" w:customStyle="1" w:styleId="TitleChar">
    <w:name w:val="Title Char"/>
    <w:basedOn w:val="DefaultParagraphFont"/>
    <w:link w:val="Title"/>
    <w:uiPriority w:val="10"/>
    <w:rsid w:val="0051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51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75D"/>
    <w:pPr>
      <w:spacing w:before="160"/>
      <w:jc w:val="center"/>
    </w:pPr>
    <w:rPr>
      <w:i/>
      <w:iCs/>
      <w:color w:val="404040" w:themeColor="text1" w:themeTint="BF"/>
    </w:rPr>
  </w:style>
  <w:style w:type="character" w:customStyle="1" w:styleId="QuoteChar">
    <w:name w:val="Quote Char"/>
    <w:basedOn w:val="DefaultParagraphFont"/>
    <w:link w:val="Quote"/>
    <w:uiPriority w:val="29"/>
    <w:rsid w:val="0051475D"/>
    <w:rPr>
      <w:i/>
      <w:iCs/>
      <w:color w:val="404040" w:themeColor="text1" w:themeTint="BF"/>
    </w:rPr>
  </w:style>
  <w:style w:type="paragraph" w:styleId="ListParagraph">
    <w:name w:val="List Paragraph"/>
    <w:basedOn w:val="Normal"/>
    <w:uiPriority w:val="34"/>
    <w:qFormat/>
    <w:rsid w:val="0051475D"/>
    <w:pPr>
      <w:ind w:left="720"/>
      <w:contextualSpacing/>
    </w:pPr>
  </w:style>
  <w:style w:type="character" w:styleId="IntenseEmphasis">
    <w:name w:val="Intense Emphasis"/>
    <w:basedOn w:val="DefaultParagraphFont"/>
    <w:uiPriority w:val="21"/>
    <w:qFormat/>
    <w:rsid w:val="0051475D"/>
    <w:rPr>
      <w:i/>
      <w:iCs/>
      <w:color w:val="2E74B5" w:themeColor="accent1" w:themeShade="BF"/>
    </w:rPr>
  </w:style>
  <w:style w:type="paragraph" w:styleId="IntenseQuote">
    <w:name w:val="Intense Quote"/>
    <w:basedOn w:val="Normal"/>
    <w:next w:val="Normal"/>
    <w:link w:val="IntenseQuoteChar"/>
    <w:uiPriority w:val="30"/>
    <w:qFormat/>
    <w:rsid w:val="00514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475D"/>
    <w:rPr>
      <w:i/>
      <w:iCs/>
      <w:color w:val="2E74B5" w:themeColor="accent1" w:themeShade="BF"/>
    </w:rPr>
  </w:style>
  <w:style w:type="character" w:styleId="IntenseReference">
    <w:name w:val="Intense Reference"/>
    <w:basedOn w:val="DefaultParagraphFont"/>
    <w:uiPriority w:val="32"/>
    <w:qFormat/>
    <w:rsid w:val="0051475D"/>
    <w:rPr>
      <w:b/>
      <w:bCs/>
      <w:smallCaps/>
      <w:color w:val="2E74B5" w:themeColor="accent1" w:themeShade="BF"/>
      <w:spacing w:val="5"/>
    </w:rPr>
  </w:style>
  <w:style w:type="paragraph" w:styleId="FootnoteText">
    <w:name w:val="footnote text"/>
    <w:basedOn w:val="Normal"/>
    <w:link w:val="FootnoteTextChar"/>
    <w:uiPriority w:val="99"/>
    <w:semiHidden/>
    <w:unhideWhenUsed/>
    <w:rsid w:val="005147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75D"/>
    <w:rPr>
      <w:sz w:val="20"/>
      <w:szCs w:val="20"/>
    </w:rPr>
  </w:style>
  <w:style w:type="character" w:styleId="FootnoteReference">
    <w:name w:val="footnote reference"/>
    <w:basedOn w:val="DefaultParagraphFont"/>
    <w:uiPriority w:val="99"/>
    <w:semiHidden/>
    <w:unhideWhenUsed/>
    <w:rsid w:val="0051475D"/>
    <w:rPr>
      <w:vertAlign w:val="superscript"/>
    </w:rPr>
  </w:style>
  <w:style w:type="character" w:styleId="Hyperlink">
    <w:name w:val="Hyperlink"/>
    <w:basedOn w:val="DefaultParagraphFont"/>
    <w:uiPriority w:val="99"/>
    <w:unhideWhenUsed/>
    <w:rsid w:val="002F58CB"/>
    <w:rPr>
      <w:color w:val="0563C1" w:themeColor="hyperlink"/>
      <w:u w:val="single"/>
    </w:rPr>
  </w:style>
  <w:style w:type="character" w:styleId="UnresolvedMention">
    <w:name w:val="Unresolved Mention"/>
    <w:basedOn w:val="DefaultParagraphFont"/>
    <w:uiPriority w:val="99"/>
    <w:semiHidden/>
    <w:unhideWhenUsed/>
    <w:rsid w:val="002F58CB"/>
    <w:rPr>
      <w:color w:val="605E5C"/>
      <w:shd w:val="clear" w:color="auto" w:fill="E1DFDD"/>
    </w:rPr>
  </w:style>
  <w:style w:type="paragraph" w:styleId="Header">
    <w:name w:val="header"/>
    <w:basedOn w:val="Normal"/>
    <w:link w:val="HeaderChar"/>
    <w:uiPriority w:val="99"/>
    <w:unhideWhenUsed/>
    <w:rsid w:val="00B24A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4A2A"/>
  </w:style>
  <w:style w:type="paragraph" w:styleId="Footer">
    <w:name w:val="footer"/>
    <w:basedOn w:val="Normal"/>
    <w:link w:val="FooterChar"/>
    <w:uiPriority w:val="99"/>
    <w:unhideWhenUsed/>
    <w:rsid w:val="00B24A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4A2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3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aIEmrxmJ/zGPIlQ+OTQ010YLA==">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9022</Words>
  <Characters>51430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Stuart-Buttle, Timothy</dc:creator>
  <cp:lastModifiedBy>Tim Stuart-Buttle</cp:lastModifiedBy>
  <cp:revision>2</cp:revision>
  <cp:lastPrinted>2025-06-17T08:05:00Z</cp:lastPrinted>
  <dcterms:created xsi:type="dcterms:W3CDTF">2025-06-18T17:14:00Z</dcterms:created>
  <dcterms:modified xsi:type="dcterms:W3CDTF">2025-06-18T17:14:00Z</dcterms:modified>
</cp:coreProperties>
</file>